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400"/>
        <w:spacing w:after="0"/>
        <w:rPr>
          <w:sz w:val="20"/>
          <w:szCs w:val="20"/>
          <w:color w:val="auto"/>
        </w:rPr>
      </w:pPr>
      <w:r>
        <w:rPr>
          <w:rFonts w:ascii="Times New Roman" w:cs="Times New Roman" w:eastAsia="Times New Roman" w:hAnsi="Times New Roman"/>
          <w:sz w:val="22"/>
          <w:szCs w:val="22"/>
          <w:b w:val="1"/>
          <w:bCs w:val="1"/>
          <w:color w:val="auto"/>
        </w:rPr>
        <w:t>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219075</wp:posOffset>
            </wp:positionH>
            <wp:positionV relativeFrom="paragraph">
              <wp:posOffset>22225</wp:posOffset>
            </wp:positionV>
            <wp:extent cx="67036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3695" cy="8255"/>
                    </a:xfrm>
                    <a:prstGeom prst="rect">
                      <a:avLst/>
                    </a:prstGeom>
                    <a:noFill/>
                  </pic:spPr>
                </pic:pic>
              </a:graphicData>
            </a:graphic>
          </wp:anchor>
        </w:drawing>
      </w:r>
    </w:p>
    <w:p>
      <w:pPr>
        <w:spacing w:after="0" w:line="105"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13335</wp:posOffset>
            </wp:positionV>
            <wp:extent cx="1714500" cy="377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14500"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32" w:lineRule="exact"/>
        <w:rPr>
          <w:sz w:val="24"/>
          <w:szCs w:val="24"/>
          <w:color w:val="auto"/>
        </w:rPr>
      </w:pPr>
    </w:p>
    <w:p>
      <w:pPr>
        <w:ind w:left="2720" w:hanging="212"/>
        <w:spacing w:after="0"/>
        <w:tabs>
          <w:tab w:leader="none" w:pos="2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ANNUAL REPORT PURSUANT TO SECTION 13 OR 15(d) OF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jc w:val="center"/>
        <w:spacing w:after="0"/>
        <w:rPr>
          <w:sz w:val="20"/>
          <w:szCs w:val="20"/>
          <w:color w:val="auto"/>
        </w:rPr>
      </w:pPr>
      <w:r>
        <w:rPr>
          <w:rFonts w:ascii="Times New Roman" w:cs="Times New Roman" w:eastAsia="Times New Roman" w:hAnsi="Times New Roman"/>
          <w:sz w:val="14"/>
          <w:szCs w:val="14"/>
          <w:color w:val="auto"/>
        </w:rPr>
        <w:t>For the fiscal year ended December 31,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or</w:t>
      </w:r>
    </w:p>
    <w:p>
      <w:pPr>
        <w:spacing w:after="0" w:line="11" w:lineRule="exact"/>
        <w:rPr>
          <w:sz w:val="24"/>
          <w:szCs w:val="24"/>
          <w:color w:val="auto"/>
        </w:rPr>
      </w:pPr>
    </w:p>
    <w:p>
      <w:pPr>
        <w:ind w:left="2520" w:hanging="252"/>
        <w:spacing w:after="0"/>
        <w:tabs>
          <w:tab w:leader="none" w:pos="25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tbl>
      <w:tblPr>
        <w:tblLayout w:type="fixed"/>
        <w:tblInd w:w="4160" w:type="dxa"/>
        <w:tblCellMar>
          <w:top w:w="0" w:type="dxa"/>
          <w:left w:w="0" w:type="dxa"/>
          <w:bottom w:w="0" w:type="dxa"/>
          <w:right w:w="0" w:type="dxa"/>
        </w:tblCellMar>
      </w:tblPr>
      <w:tr>
        <w:trPr>
          <w:trHeight w:val="142"/>
        </w:trPr>
        <w:tc>
          <w:tcPr>
            <w:tcW w:w="17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For the transition period from</w:t>
            </w:r>
          </w:p>
        </w:tc>
        <w:tc>
          <w:tcPr>
            <w:tcW w:w="500" w:type="dxa"/>
            <w:vAlign w:val="bottom"/>
            <w:tcBorders>
              <w:bottom w:val="single" w:sz="8" w:color="auto"/>
            </w:tcBorders>
          </w:tcPr>
          <w:p>
            <w:pPr>
              <w:spacing w:after="0"/>
              <w:rPr>
                <w:sz w:val="12"/>
                <w:szCs w:val="12"/>
                <w:color w:val="auto"/>
              </w:rPr>
            </w:pPr>
          </w:p>
        </w:tc>
        <w:tc>
          <w:tcPr>
            <w:tcW w:w="18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color w:val="auto"/>
              </w:rPr>
              <w:t>to</w:t>
            </w:r>
          </w:p>
        </w:tc>
        <w:tc>
          <w:tcPr>
            <w:tcW w:w="520" w:type="dxa"/>
            <w:vAlign w:val="bottom"/>
            <w:tcBorders>
              <w:bottom w:val="single" w:sz="8" w:color="auto"/>
            </w:tcBorders>
          </w:tcPr>
          <w:p>
            <w:pPr>
              <w:spacing w:after="0"/>
              <w:rPr>
                <w:sz w:val="12"/>
                <w:szCs w:val="12"/>
                <w:color w:val="auto"/>
              </w:rPr>
            </w:pPr>
          </w:p>
        </w:tc>
      </w:tr>
      <w:tr>
        <w:trPr>
          <w:trHeight w:val="182"/>
        </w:trPr>
        <w:tc>
          <w:tcPr>
            <w:tcW w:w="2940" w:type="dxa"/>
            <w:vAlign w:val="bottom"/>
            <w:gridSpan w:val="4"/>
          </w:tcPr>
          <w:p>
            <w:pPr>
              <w:ind w:left="500"/>
              <w:spacing w:after="0"/>
              <w:rPr>
                <w:sz w:val="20"/>
                <w:szCs w:val="20"/>
                <w:color w:val="auto"/>
              </w:rPr>
            </w:pPr>
            <w:r>
              <w:rPr>
                <w:rFonts w:ascii="Times New Roman" w:cs="Times New Roman" w:eastAsia="Times New Roman" w:hAnsi="Times New Roman"/>
                <w:sz w:val="14"/>
                <w:szCs w:val="14"/>
                <w:color w:val="auto"/>
              </w:rPr>
              <w:t>Commission File Number 1-2256</w:t>
            </w:r>
          </w:p>
        </w:tc>
      </w:tr>
    </w:tbl>
    <w:p>
      <w:pPr>
        <w:spacing w:after="0" w:line="24" w:lineRule="exact"/>
        <w:rPr>
          <w:sz w:val="24"/>
          <w:szCs w:val="24"/>
          <w:color w:val="auto"/>
        </w:rPr>
      </w:pPr>
    </w:p>
    <w:tbl>
      <w:tblPr>
        <w:tblLayout w:type="fixed"/>
        <w:tblInd w:w="0" w:type="dxa"/>
        <w:tblCellMar>
          <w:top w:w="0" w:type="dxa"/>
          <w:left w:w="0" w:type="dxa"/>
          <w:bottom w:w="0" w:type="dxa"/>
          <w:right w:w="0" w:type="dxa"/>
        </w:tblCellMar>
      </w:tblPr>
      <w:tr>
        <w:trPr>
          <w:trHeight w:val="440"/>
        </w:trPr>
        <w:tc>
          <w:tcPr>
            <w:tcW w:w="300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36"/>
                <w:szCs w:val="36"/>
                <w:b w:val="1"/>
                <w:bCs w:val="1"/>
                <w:color w:val="auto"/>
                <w:w w:val="99"/>
              </w:rPr>
              <w:t>Exxon Mobil Corporation</w:t>
            </w:r>
          </w:p>
        </w:tc>
        <w:tc>
          <w:tcPr>
            <w:tcW w:w="2980" w:type="dxa"/>
            <w:vAlign w:val="bottom"/>
          </w:tcPr>
          <w:p>
            <w:pPr>
              <w:spacing w:after="0"/>
              <w:rPr>
                <w:sz w:val="24"/>
                <w:szCs w:val="24"/>
                <w:color w:val="auto"/>
              </w:rPr>
            </w:pPr>
          </w:p>
        </w:tc>
      </w:tr>
      <w:tr>
        <w:trPr>
          <w:trHeight w:val="188"/>
        </w:trPr>
        <w:tc>
          <w:tcPr>
            <w:tcW w:w="3000" w:type="dxa"/>
            <w:vAlign w:val="bottom"/>
          </w:tcPr>
          <w:p>
            <w:pPr>
              <w:spacing w:after="0"/>
              <w:rPr>
                <w:sz w:val="16"/>
                <w:szCs w:val="16"/>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2980" w:type="dxa"/>
            <w:vAlign w:val="bottom"/>
          </w:tcPr>
          <w:p>
            <w:pPr>
              <w:spacing w:after="0"/>
              <w:rPr>
                <w:sz w:val="16"/>
                <w:szCs w:val="16"/>
                <w:color w:val="auto"/>
              </w:rPr>
            </w:pPr>
          </w:p>
        </w:tc>
      </w:tr>
      <w:tr>
        <w:trPr>
          <w:trHeight w:val="257"/>
        </w:trPr>
        <w:tc>
          <w:tcPr>
            <w:tcW w:w="3000" w:type="dxa"/>
            <w:vAlign w:val="bottom"/>
          </w:tcPr>
          <w:p>
            <w:pPr>
              <w:jc w:val="center"/>
              <w:ind w:left="266"/>
              <w:spacing w:after="0"/>
              <w:rPr>
                <w:sz w:val="20"/>
                <w:szCs w:val="20"/>
                <w:color w:val="auto"/>
              </w:rPr>
            </w:pPr>
            <w:r>
              <w:rPr>
                <w:rFonts w:ascii="Times New Roman" w:cs="Times New Roman" w:eastAsia="Times New Roman" w:hAnsi="Times New Roman"/>
                <w:sz w:val="18"/>
                <w:szCs w:val="18"/>
                <w:b w:val="1"/>
                <w:bCs w:val="1"/>
                <w:color w:val="auto"/>
                <w:w w:val="98"/>
              </w:rPr>
              <w:t>New Jersey</w:t>
            </w:r>
          </w:p>
        </w:tc>
        <w:tc>
          <w:tcPr>
            <w:tcW w:w="5260" w:type="dxa"/>
            <w:vAlign w:val="bottom"/>
          </w:tcPr>
          <w:p>
            <w:pPr>
              <w:spacing w:after="0"/>
              <w:rPr>
                <w:sz w:val="22"/>
                <w:szCs w:val="22"/>
                <w:color w:val="auto"/>
              </w:rPr>
            </w:pPr>
          </w:p>
        </w:tc>
        <w:tc>
          <w:tcPr>
            <w:tcW w:w="2980" w:type="dxa"/>
            <w:vAlign w:val="bottom"/>
          </w:tcPr>
          <w:p>
            <w:pPr>
              <w:jc w:val="center"/>
              <w:ind w:right="286"/>
              <w:spacing w:after="0"/>
              <w:rPr>
                <w:sz w:val="20"/>
                <w:szCs w:val="20"/>
                <w:color w:val="auto"/>
              </w:rPr>
            </w:pPr>
            <w:r>
              <w:rPr>
                <w:rFonts w:ascii="Times New Roman" w:cs="Times New Roman" w:eastAsia="Times New Roman" w:hAnsi="Times New Roman"/>
                <w:sz w:val="18"/>
                <w:szCs w:val="18"/>
                <w:b w:val="1"/>
                <w:bCs w:val="1"/>
                <w:color w:val="auto"/>
                <w:w w:val="98"/>
              </w:rPr>
              <w:t>13-5409005</w:t>
            </w:r>
          </w:p>
        </w:tc>
      </w:tr>
      <w:tr>
        <w:trPr>
          <w:trHeight w:val="148"/>
        </w:trPr>
        <w:tc>
          <w:tcPr>
            <w:tcW w:w="3000" w:type="dxa"/>
            <w:vAlign w:val="bottom"/>
          </w:tcPr>
          <w:p>
            <w:pPr>
              <w:jc w:val="center"/>
              <w:ind w:left="266"/>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5260" w:type="dxa"/>
            <w:vAlign w:val="bottom"/>
          </w:tcPr>
          <w:p>
            <w:pPr>
              <w:spacing w:after="0"/>
              <w:rPr>
                <w:sz w:val="12"/>
                <w:szCs w:val="12"/>
                <w:color w:val="auto"/>
              </w:rPr>
            </w:pPr>
          </w:p>
        </w:tc>
        <w:tc>
          <w:tcPr>
            <w:tcW w:w="2980" w:type="dxa"/>
            <w:vAlign w:val="bottom"/>
          </w:tcPr>
          <w:p>
            <w:pPr>
              <w:jc w:val="center"/>
              <w:ind w:right="286"/>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3000" w:type="dxa"/>
            <w:vAlign w:val="bottom"/>
          </w:tcPr>
          <w:p>
            <w:pPr>
              <w:jc w:val="center"/>
              <w:ind w:left="266"/>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5260" w:type="dxa"/>
            <w:vAlign w:val="bottom"/>
          </w:tcPr>
          <w:p>
            <w:pPr>
              <w:spacing w:after="0"/>
              <w:rPr>
                <w:sz w:val="16"/>
                <w:szCs w:val="16"/>
                <w:color w:val="auto"/>
              </w:rPr>
            </w:pPr>
          </w:p>
        </w:tc>
        <w:tc>
          <w:tcPr>
            <w:tcW w:w="2980" w:type="dxa"/>
            <w:vAlign w:val="bottom"/>
          </w:tcPr>
          <w:p>
            <w:pPr>
              <w:jc w:val="center"/>
              <w:ind w:right="286"/>
              <w:spacing w:after="0"/>
              <w:rPr>
                <w:sz w:val="20"/>
                <w:szCs w:val="20"/>
                <w:color w:val="auto"/>
              </w:rPr>
            </w:pPr>
            <w:r>
              <w:rPr>
                <w:rFonts w:ascii="Times New Roman" w:cs="Times New Roman" w:eastAsia="Times New Roman" w:hAnsi="Times New Roman"/>
                <w:sz w:val="14"/>
                <w:szCs w:val="14"/>
                <w:color w:val="auto"/>
              </w:rPr>
              <w:t>Identification Number)</w:t>
            </w:r>
          </w:p>
        </w:tc>
      </w:tr>
      <w:tr>
        <w:trPr>
          <w:trHeight w:val="298"/>
        </w:trPr>
        <w:tc>
          <w:tcPr>
            <w:tcW w:w="300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22777 Springwoods Village Parkway, Spring, Texas 77389-1425</w:t>
            </w:r>
          </w:p>
        </w:tc>
        <w:tc>
          <w:tcPr>
            <w:tcW w:w="2980" w:type="dxa"/>
            <w:vAlign w:val="bottom"/>
          </w:tcPr>
          <w:p>
            <w:pPr>
              <w:spacing w:after="0"/>
              <w:rPr>
                <w:sz w:val="24"/>
                <w:szCs w:val="24"/>
                <w:color w:val="auto"/>
              </w:rPr>
            </w:pPr>
          </w:p>
        </w:tc>
      </w:tr>
      <w:tr>
        <w:trPr>
          <w:trHeight w:val="188"/>
        </w:trPr>
        <w:tc>
          <w:tcPr>
            <w:tcW w:w="3000" w:type="dxa"/>
            <w:vAlign w:val="bottom"/>
          </w:tcPr>
          <w:p>
            <w:pPr>
              <w:spacing w:after="0"/>
              <w:rPr>
                <w:sz w:val="16"/>
                <w:szCs w:val="16"/>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tc>
        <w:tc>
          <w:tcPr>
            <w:tcW w:w="2980" w:type="dxa"/>
            <w:vAlign w:val="bottom"/>
          </w:tcPr>
          <w:p>
            <w:pPr>
              <w:spacing w:after="0"/>
              <w:rPr>
                <w:sz w:val="16"/>
                <w:szCs w:val="16"/>
                <w:color w:val="auto"/>
              </w:rPr>
            </w:pPr>
          </w:p>
        </w:tc>
      </w:tr>
      <w:tr>
        <w:trPr>
          <w:trHeight w:val="230"/>
        </w:trPr>
        <w:tc>
          <w:tcPr>
            <w:tcW w:w="3000" w:type="dxa"/>
            <w:vAlign w:val="bottom"/>
          </w:tcPr>
          <w:p>
            <w:pPr>
              <w:spacing w:after="0"/>
              <w:rPr>
                <w:sz w:val="20"/>
                <w:szCs w:val="20"/>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(972) 940-6000</w:t>
            </w:r>
          </w:p>
        </w:tc>
        <w:tc>
          <w:tcPr>
            <w:tcW w:w="2980" w:type="dxa"/>
            <w:vAlign w:val="bottom"/>
          </w:tcPr>
          <w:p>
            <w:pPr>
              <w:spacing w:after="0"/>
              <w:rPr>
                <w:sz w:val="20"/>
                <w:szCs w:val="20"/>
                <w:color w:val="auto"/>
              </w:rPr>
            </w:pPr>
          </w:p>
        </w:tc>
      </w:tr>
      <w:tr>
        <w:trPr>
          <w:trHeight w:val="188"/>
        </w:trPr>
        <w:tc>
          <w:tcPr>
            <w:tcW w:w="3000" w:type="dxa"/>
            <w:vAlign w:val="bottom"/>
          </w:tcPr>
          <w:p>
            <w:pPr>
              <w:spacing w:after="0"/>
              <w:rPr>
                <w:sz w:val="16"/>
                <w:szCs w:val="16"/>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2980" w:type="dxa"/>
            <w:vAlign w:val="bottom"/>
          </w:tcPr>
          <w:p>
            <w:pPr>
              <w:spacing w:after="0"/>
              <w:rPr>
                <w:sz w:val="16"/>
                <w:szCs w:val="16"/>
                <w:color w:val="auto"/>
              </w:rPr>
            </w:pPr>
          </w:p>
        </w:tc>
      </w:tr>
      <w:tr>
        <w:trPr>
          <w:trHeight w:val="91"/>
        </w:trPr>
        <w:tc>
          <w:tcPr>
            <w:tcW w:w="3000" w:type="dxa"/>
            <w:vAlign w:val="bottom"/>
          </w:tcPr>
          <w:p>
            <w:pPr>
              <w:spacing w:after="0"/>
              <w:rPr>
                <w:sz w:val="7"/>
                <w:szCs w:val="7"/>
                <w:color w:val="auto"/>
              </w:rPr>
            </w:pPr>
          </w:p>
        </w:tc>
        <w:tc>
          <w:tcPr>
            <w:tcW w:w="5260" w:type="dxa"/>
            <w:vAlign w:val="bottom"/>
            <w:tcBorders>
              <w:bottom w:val="single" w:sz="8" w:color="auto"/>
            </w:tcBorders>
          </w:tcPr>
          <w:p>
            <w:pPr>
              <w:spacing w:after="0"/>
              <w:rPr>
                <w:sz w:val="7"/>
                <w:szCs w:val="7"/>
                <w:color w:val="auto"/>
              </w:rPr>
            </w:pPr>
          </w:p>
        </w:tc>
        <w:tc>
          <w:tcPr>
            <w:tcW w:w="2980" w:type="dxa"/>
            <w:vAlign w:val="bottom"/>
          </w:tcPr>
          <w:p>
            <w:pPr>
              <w:spacing w:after="0"/>
              <w:rPr>
                <w:sz w:val="7"/>
                <w:szCs w:val="7"/>
                <w:color w:val="auto"/>
              </w:rPr>
            </w:pPr>
          </w:p>
        </w:tc>
      </w:tr>
      <w:tr>
        <w:trPr>
          <w:trHeight w:val="304"/>
        </w:trPr>
        <w:tc>
          <w:tcPr>
            <w:tcW w:w="300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2980" w:type="dxa"/>
            <w:vAlign w:val="bottom"/>
          </w:tcPr>
          <w:p>
            <w:pPr>
              <w:spacing w:after="0"/>
              <w:rPr>
                <w:sz w:val="24"/>
                <w:szCs w:val="24"/>
                <w:color w:val="auto"/>
              </w:rPr>
            </w:pPr>
          </w:p>
        </w:tc>
      </w:tr>
      <w:tr>
        <w:trPr>
          <w:trHeight w:val="287"/>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 of Each Class</w:t>
            </w:r>
          </w:p>
        </w:tc>
        <w:tc>
          <w:tcPr>
            <w:tcW w:w="5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Trading Symbol</w:t>
            </w:r>
          </w:p>
        </w:tc>
        <w:tc>
          <w:tcPr>
            <w:tcW w:w="2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3"/>
        </w:trPr>
        <w:tc>
          <w:tcPr>
            <w:tcW w:w="3000" w:type="dxa"/>
            <w:vAlign w:val="bottom"/>
            <w:tcBorders>
              <w:bottom w:val="single" w:sz="8" w:color="auto"/>
            </w:tcBorders>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r>
      <w:tr>
        <w:trPr>
          <w:trHeight w:val="184"/>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Common Stock, without par value</w:t>
            </w:r>
          </w:p>
        </w:tc>
        <w:tc>
          <w:tcPr>
            <w:tcW w:w="5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XOM</w:t>
            </w:r>
          </w:p>
        </w:tc>
        <w:tc>
          <w:tcPr>
            <w:tcW w:w="2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r>
        <w:trPr>
          <w:trHeight w:val="191"/>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0.524% Notes due 2028</w:t>
            </w:r>
          </w:p>
        </w:tc>
        <w:tc>
          <w:tcPr>
            <w:tcW w:w="5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XOM28</w:t>
            </w:r>
          </w:p>
        </w:tc>
        <w:tc>
          <w:tcPr>
            <w:tcW w:w="2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r>
        <w:trPr>
          <w:trHeight w:val="203"/>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0.835% Notes due 2032</w:t>
            </w:r>
          </w:p>
        </w:tc>
        <w:tc>
          <w:tcPr>
            <w:tcW w:w="5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XOM32</w:t>
            </w:r>
          </w:p>
        </w:tc>
        <w:tc>
          <w:tcPr>
            <w:tcW w:w="2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r>
        <w:trPr>
          <w:trHeight w:val="203"/>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1.408% Notes due 2039</w:t>
            </w:r>
          </w:p>
        </w:tc>
        <w:tc>
          <w:tcPr>
            <w:tcW w:w="5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XOM39A</w:t>
            </w:r>
          </w:p>
        </w:tc>
        <w:tc>
          <w:tcPr>
            <w:tcW w:w="2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New York Stock Exchange</w:t>
            </w:r>
          </w:p>
        </w:tc>
      </w:tr>
    </w:tbl>
    <w:p>
      <w:pPr>
        <w:spacing w:after="0" w:line="158" w:lineRule="exact"/>
        <w:rPr>
          <w:sz w:val="24"/>
          <w:szCs w:val="24"/>
          <w:color w:val="auto"/>
        </w:rPr>
      </w:pPr>
    </w:p>
    <w:p>
      <w:pPr>
        <w:ind w:right="3560"/>
        <w:spacing w:after="0" w:line="213"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ind w:right="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3"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000" w:type="dxa"/>
            <w:vAlign w:val="bottom"/>
          </w:tcPr>
          <w:p>
            <w:pPr>
              <w:ind w:left="940"/>
              <w:spacing w:after="0" w:line="141" w:lineRule="exact"/>
              <w:rPr>
                <w:sz w:val="20"/>
                <w:szCs w:val="20"/>
                <w:color w:val="auto"/>
              </w:rPr>
            </w:pPr>
            <w:r>
              <w:rPr>
                <w:rFonts w:ascii="MS PGothic" w:cs="MS PGothic" w:eastAsia="MS PGothic" w:hAnsi="MS PGothic"/>
                <w:sz w:val="14"/>
                <w:szCs w:val="14"/>
                <w:color w:val="auto"/>
              </w:rPr>
              <w:t>☑</w:t>
            </w:r>
          </w:p>
        </w:tc>
        <w:tc>
          <w:tcPr>
            <w:tcW w:w="332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Accelerated filer</w:t>
            </w:r>
          </w:p>
        </w:tc>
        <w:tc>
          <w:tcPr>
            <w:tcW w:w="940" w:type="dxa"/>
            <w:vAlign w:val="bottom"/>
          </w:tcPr>
          <w:p>
            <w:pPr>
              <w:ind w:left="8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22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000" w:type="dxa"/>
            <w:vAlign w:val="bottom"/>
          </w:tcPr>
          <w:p>
            <w:pPr>
              <w:ind w:left="940"/>
              <w:spacing w:after="0" w:line="141" w:lineRule="exact"/>
              <w:rPr>
                <w:sz w:val="20"/>
                <w:szCs w:val="20"/>
                <w:color w:val="auto"/>
              </w:rPr>
            </w:pPr>
            <w:r>
              <w:rPr>
                <w:rFonts w:ascii="MS PGothic" w:cs="MS PGothic" w:eastAsia="MS PGothic" w:hAnsi="MS PGothic"/>
                <w:sz w:val="14"/>
                <w:szCs w:val="14"/>
                <w:color w:val="auto"/>
              </w:rPr>
              <w:t>☐</w:t>
            </w:r>
          </w:p>
        </w:tc>
        <w:tc>
          <w:tcPr>
            <w:tcW w:w="332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940" w:type="dxa"/>
            <w:vAlign w:val="bottom"/>
          </w:tcPr>
          <w:p>
            <w:pPr>
              <w:ind w:left="8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222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3320" w:type="dxa"/>
            <w:vAlign w:val="bottom"/>
          </w:tcPr>
          <w:p>
            <w:pPr>
              <w:ind w:left="960"/>
              <w:spacing w:after="0"/>
              <w:rPr>
                <w:sz w:val="20"/>
                <w:szCs w:val="20"/>
                <w:color w:val="auto"/>
              </w:rPr>
            </w:pPr>
            <w:r>
              <w:rPr>
                <w:rFonts w:ascii="Times New Roman" w:cs="Times New Roman" w:eastAsia="Times New Roman" w:hAnsi="Times New Roman"/>
                <w:sz w:val="14"/>
                <w:szCs w:val="14"/>
                <w:color w:val="auto"/>
              </w:rPr>
              <w:t>Emerging growth company</w:t>
            </w:r>
          </w:p>
        </w:tc>
        <w:tc>
          <w:tcPr>
            <w:tcW w:w="940" w:type="dxa"/>
            <w:vAlign w:val="bottom"/>
          </w:tcPr>
          <w:p>
            <w:pPr>
              <w:ind w:left="8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87" w:lineRule="exact"/>
        <w:rPr>
          <w:sz w:val="24"/>
          <w:szCs w:val="24"/>
          <w:color w:val="auto"/>
        </w:rPr>
      </w:pPr>
    </w:p>
    <w:p>
      <w:pPr>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right="120"/>
        <w:spacing w:after="0" w:line="182"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ind w:right="280"/>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by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The aggregate market value of the voting stock held by non-affiliates of the registrant on June 28, 2024, the last business day of the registrant’s most recently completed second fiscal quarter, based on the closing price on that date of $115.12 on the New York Stock Exchange composite tape, was in excess of $511 billion.</w:t>
      </w:r>
    </w:p>
    <w:p>
      <w:pPr>
        <w:spacing w:after="0" w:line="95" w:lineRule="exact"/>
        <w:rPr>
          <w:sz w:val="24"/>
          <w:szCs w:val="24"/>
          <w:color w:val="auto"/>
        </w:rPr>
      </w:pPr>
    </w:p>
    <w:tbl>
      <w:tblPr>
        <w:tblLayout w:type="fixed"/>
        <w:tblInd w:w="460" w:type="dxa"/>
        <w:tblCellMar>
          <w:top w:w="0" w:type="dxa"/>
          <w:left w:w="0" w:type="dxa"/>
          <w:bottom w:w="0" w:type="dxa"/>
          <w:right w:w="0" w:type="dxa"/>
        </w:tblCellMar>
      </w:tblPr>
      <w:tr>
        <w:trPr>
          <w:trHeight w:val="190"/>
        </w:trPr>
        <w:tc>
          <w:tcPr>
            <w:tcW w:w="6720" w:type="dxa"/>
            <w:vAlign w:val="bottom"/>
            <w:gridSpan w:val="2"/>
          </w:tcPr>
          <w:p>
            <w:pPr>
              <w:jc w:val="center"/>
              <w:ind w:right="3120"/>
              <w:spacing w:after="0"/>
              <w:rPr>
                <w:sz w:val="20"/>
                <w:szCs w:val="20"/>
                <w:color w:val="auto"/>
              </w:rPr>
            </w:pPr>
            <w:r>
              <w:rPr>
                <w:rFonts w:ascii="Times New Roman" w:cs="Times New Roman" w:eastAsia="Times New Roman" w:hAnsi="Times New Roman"/>
                <w:sz w:val="14"/>
                <w:szCs w:val="14"/>
                <w:b w:val="1"/>
                <w:bCs w:val="1"/>
                <w:color w:val="auto"/>
              </w:rPr>
              <w:t>Class</w:t>
            </w:r>
          </w:p>
        </w:tc>
        <w:tc>
          <w:tcPr>
            <w:tcW w:w="3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 as of January 31, 2025</w:t>
            </w:r>
          </w:p>
        </w:tc>
      </w:tr>
      <w:tr>
        <w:trPr>
          <w:trHeight w:val="24"/>
        </w:trPr>
        <w:tc>
          <w:tcPr>
            <w:tcW w:w="3620" w:type="dxa"/>
            <w:vAlign w:val="bottom"/>
            <w:tcBorders>
              <w:bottom w:val="single" w:sz="8" w:color="auto"/>
            </w:tcBorders>
          </w:tcPr>
          <w:p>
            <w:pPr>
              <w:spacing w:after="0"/>
              <w:rPr>
                <w:sz w:val="2"/>
                <w:szCs w:val="2"/>
                <w:color w:val="auto"/>
              </w:rPr>
            </w:pPr>
          </w:p>
        </w:tc>
        <w:tc>
          <w:tcPr>
            <w:tcW w:w="3100" w:type="dxa"/>
            <w:vAlign w:val="bottom"/>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184"/>
        </w:trPr>
        <w:tc>
          <w:tcPr>
            <w:tcW w:w="3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without par value</w:t>
            </w:r>
          </w:p>
        </w:tc>
        <w:tc>
          <w:tcPr>
            <w:tcW w:w="3100" w:type="dxa"/>
            <w:vAlign w:val="bottom"/>
          </w:tcPr>
          <w:p>
            <w:pPr>
              <w:spacing w:after="0"/>
              <w:rPr>
                <w:sz w:val="15"/>
                <w:szCs w:val="15"/>
                <w:color w:val="auto"/>
              </w:rPr>
            </w:pPr>
          </w:p>
        </w:tc>
        <w:tc>
          <w:tcPr>
            <w:tcW w:w="3620" w:type="dxa"/>
            <w:vAlign w:val="bottom"/>
          </w:tcPr>
          <w:p>
            <w:pPr>
              <w:jc w:val="right"/>
              <w:ind w:right="1328"/>
              <w:spacing w:after="0"/>
              <w:rPr>
                <w:sz w:val="20"/>
                <w:szCs w:val="20"/>
                <w:color w:val="auto"/>
              </w:rPr>
            </w:pPr>
            <w:r>
              <w:rPr>
                <w:rFonts w:ascii="Times New Roman" w:cs="Times New Roman" w:eastAsia="Times New Roman" w:hAnsi="Times New Roman"/>
                <w:sz w:val="14"/>
                <w:szCs w:val="14"/>
                <w:b w:val="1"/>
                <w:bCs w:val="1"/>
                <w:color w:val="auto"/>
              </w:rPr>
              <w:t>4,339,143,313</w:t>
            </w:r>
          </w:p>
        </w:tc>
      </w:tr>
    </w:tbl>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Documents Incorporated by Reference: Proxy Statement for the 2025 Annual Meeting of Shareholders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286385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 w:name="page2"/>
    <w:bookmarkEnd w:id="1"/>
    <w:p>
      <w:pPr>
        <w:jc w:val="center"/>
        <w:ind w:right="-139"/>
        <w:spacing w:after="0"/>
        <w:rPr>
          <w:sz w:val="20"/>
          <w:szCs w:val="20"/>
          <w:color w:val="auto"/>
        </w:rPr>
      </w:pPr>
      <w:r>
        <w:rPr>
          <w:rFonts w:ascii="Times New Roman" w:cs="Times New Roman" w:eastAsia="Times New Roman" w:hAnsi="Times New Roman"/>
          <w:sz w:val="25"/>
          <w:szCs w:val="25"/>
          <w:b w:val="1"/>
          <w:bCs w:val="1"/>
          <w:color w:val="0C479D"/>
        </w:rPr>
        <w:t>EXXON MOBIL CORPORATION</w:t>
      </w:r>
    </w:p>
    <w:p>
      <w:pPr>
        <w:spacing w:after="0" w:line="4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0C479D"/>
        </w:rPr>
        <w:t>FORM 10-K</w:t>
      </w:r>
    </w:p>
    <w:p>
      <w:pPr>
        <w:spacing w:after="0" w:line="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0C479D"/>
        </w:rPr>
        <w:t>FOR THE FISCAL YEAR ENDED DECEMBER 31, 2024</w:t>
      </w:r>
    </w:p>
    <w:p>
      <w:pPr>
        <w:spacing w:after="0" w:line="22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0C479D"/>
        </w:rPr>
        <w:t>TABLE OF CONTENTS</w:t>
      </w:r>
    </w:p>
    <w:p>
      <w:pPr>
        <w:spacing w:after="0" w:line="29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b w:val="1"/>
          <w:bCs w:val="1"/>
          <w:color w:val="FFFFFF"/>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-148590</wp:posOffset>
            </wp:positionV>
            <wp:extent cx="6155055"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55055" cy="171450"/>
                    </a:xfrm>
                    <a:prstGeom prst="rect">
                      <a:avLst/>
                    </a:prstGeom>
                    <a:noFill/>
                  </pic:spPr>
                </pic:pic>
              </a:graphicData>
            </a:graphic>
          </wp:anchor>
        </w:drawing>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Business</w:t>
            </w:r>
          </w:p>
        </w:tc>
        <w:tc>
          <w:tcPr>
            <w:tcW w:w="18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1</w:t>
            </w:r>
          </w:p>
        </w:tc>
        <w:tc>
          <w:tcPr>
            <w:tcW w:w="780" w:type="dxa"/>
            <w:vAlign w:val="bottom"/>
          </w:tcPr>
          <w:p>
            <w:pPr>
              <w:spacing w:after="0"/>
              <w:rPr>
                <w:sz w:val="17"/>
                <w:szCs w:val="17"/>
                <w:color w:val="auto"/>
              </w:rPr>
            </w:pPr>
          </w:p>
        </w:tc>
      </w:tr>
      <w:tr>
        <w:trPr>
          <w:trHeight w:val="250"/>
        </w:trPr>
        <w:tc>
          <w:tcPr>
            <w:tcW w:w="780" w:type="dxa"/>
            <w:vAlign w:val="bottom"/>
          </w:tcPr>
          <w:p>
            <w:pPr>
              <w:spacing w:after="0"/>
              <w:rPr>
                <w:sz w:val="21"/>
                <w:szCs w:val="21"/>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Risk Factors</w:t>
            </w:r>
          </w:p>
        </w:tc>
        <w:tc>
          <w:tcPr>
            <w:tcW w:w="18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2</w:t>
            </w:r>
          </w:p>
        </w:tc>
        <w:tc>
          <w:tcPr>
            <w:tcW w:w="780" w:type="dxa"/>
            <w:vAlign w:val="bottom"/>
          </w:tcPr>
          <w:p>
            <w:pPr>
              <w:spacing w:after="0"/>
              <w:rPr>
                <w:sz w:val="21"/>
                <w:szCs w:val="21"/>
                <w:color w:val="auto"/>
              </w:rPr>
            </w:pPr>
          </w:p>
        </w:tc>
      </w:tr>
      <w:tr>
        <w:trPr>
          <w:trHeight w:val="250"/>
        </w:trPr>
        <w:tc>
          <w:tcPr>
            <w:tcW w:w="780" w:type="dxa"/>
            <w:vAlign w:val="bottom"/>
          </w:tcPr>
          <w:p>
            <w:pPr>
              <w:spacing w:after="0"/>
              <w:rPr>
                <w:sz w:val="21"/>
                <w:szCs w:val="21"/>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1B.</w:t>
            </w:r>
          </w:p>
        </w:tc>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Unresolved Staff Comments</w:t>
            </w:r>
          </w:p>
        </w:tc>
        <w:tc>
          <w:tcPr>
            <w:tcW w:w="18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w:t>
            </w:r>
          </w:p>
        </w:tc>
        <w:tc>
          <w:tcPr>
            <w:tcW w:w="780" w:type="dxa"/>
            <w:vAlign w:val="bottom"/>
          </w:tcPr>
          <w:p>
            <w:pPr>
              <w:spacing w:after="0"/>
              <w:rPr>
                <w:sz w:val="21"/>
                <w:szCs w:val="21"/>
                <w:color w:val="auto"/>
              </w:rPr>
            </w:pPr>
          </w:p>
        </w:tc>
      </w:tr>
      <w:tr>
        <w:trPr>
          <w:trHeight w:val="250"/>
        </w:trPr>
        <w:tc>
          <w:tcPr>
            <w:tcW w:w="780" w:type="dxa"/>
            <w:vAlign w:val="bottom"/>
          </w:tcPr>
          <w:p>
            <w:pPr>
              <w:spacing w:after="0"/>
              <w:rPr>
                <w:sz w:val="21"/>
                <w:szCs w:val="21"/>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1C.</w:t>
            </w:r>
          </w:p>
        </w:tc>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Cybersecurity</w:t>
            </w:r>
          </w:p>
        </w:tc>
        <w:tc>
          <w:tcPr>
            <w:tcW w:w="18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w:t>
            </w:r>
          </w:p>
        </w:tc>
        <w:tc>
          <w:tcPr>
            <w:tcW w:w="780" w:type="dxa"/>
            <w:vAlign w:val="bottom"/>
          </w:tcPr>
          <w:p>
            <w:pPr>
              <w:spacing w:after="0"/>
              <w:rPr>
                <w:sz w:val="21"/>
                <w:szCs w:val="21"/>
                <w:color w:val="auto"/>
              </w:rPr>
            </w:pPr>
          </w:p>
        </w:tc>
      </w:tr>
      <w:tr>
        <w:trPr>
          <w:trHeight w:val="250"/>
        </w:trPr>
        <w:tc>
          <w:tcPr>
            <w:tcW w:w="780" w:type="dxa"/>
            <w:vAlign w:val="bottom"/>
          </w:tcPr>
          <w:p>
            <w:pPr>
              <w:spacing w:after="0"/>
              <w:rPr>
                <w:sz w:val="21"/>
                <w:szCs w:val="21"/>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Properties</w:t>
            </w:r>
          </w:p>
        </w:tc>
        <w:tc>
          <w:tcPr>
            <w:tcW w:w="18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w:t>
            </w:r>
          </w:p>
        </w:tc>
        <w:tc>
          <w:tcPr>
            <w:tcW w:w="780" w:type="dxa"/>
            <w:vAlign w:val="bottom"/>
          </w:tcPr>
          <w:p>
            <w:pPr>
              <w:spacing w:after="0"/>
              <w:rPr>
                <w:sz w:val="21"/>
                <w:szCs w:val="21"/>
                <w:color w:val="auto"/>
              </w:rPr>
            </w:pPr>
          </w:p>
        </w:tc>
      </w:tr>
      <w:tr>
        <w:trPr>
          <w:trHeight w:val="250"/>
        </w:trPr>
        <w:tc>
          <w:tcPr>
            <w:tcW w:w="780" w:type="dxa"/>
            <w:vAlign w:val="bottom"/>
          </w:tcPr>
          <w:p>
            <w:pPr>
              <w:spacing w:after="0"/>
              <w:rPr>
                <w:sz w:val="21"/>
                <w:szCs w:val="21"/>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Legal Proceedings</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780" w:type="dxa"/>
            <w:vAlign w:val="bottom"/>
          </w:tcPr>
          <w:p>
            <w:pPr>
              <w:spacing w:after="0"/>
              <w:rPr>
                <w:sz w:val="21"/>
                <w:szCs w:val="21"/>
                <w:color w:val="auto"/>
              </w:rPr>
            </w:pPr>
          </w:p>
        </w:tc>
      </w:tr>
      <w:tr>
        <w:trPr>
          <w:trHeight w:val="20"/>
        </w:trPr>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780" w:type="dxa"/>
            <w:vAlign w:val="bottom"/>
          </w:tcPr>
          <w:p>
            <w:pPr>
              <w:spacing w:after="0"/>
              <w:rPr>
                <w:sz w:val="21"/>
                <w:szCs w:val="21"/>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Mine Safety Disclosures</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780" w:type="dxa"/>
            <w:vAlign w:val="bottom"/>
          </w:tcPr>
          <w:p>
            <w:pPr>
              <w:spacing w:after="0"/>
              <w:rPr>
                <w:sz w:val="21"/>
                <w:szCs w:val="21"/>
                <w:color w:val="auto"/>
              </w:rPr>
            </w:pPr>
          </w:p>
        </w:tc>
      </w:tr>
      <w:tr>
        <w:trPr>
          <w:trHeight w:val="20"/>
        </w:trPr>
        <w:tc>
          <w:tcPr>
            <w:tcW w:w="780" w:type="dxa"/>
            <w:vAlign w:val="bottom"/>
          </w:tcPr>
          <w:p>
            <w:pPr>
              <w:spacing w:after="0" w:line="20" w:lineRule="exact"/>
              <w:rPr>
                <w:sz w:val="1"/>
                <w:szCs w:val="1"/>
                <w:color w:val="auto"/>
              </w:rPr>
            </w:pPr>
          </w:p>
        </w:tc>
        <w:tc>
          <w:tcPr>
            <w:tcW w:w="9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780" w:type="dxa"/>
            <w:vAlign w:val="bottom"/>
          </w:tcPr>
          <w:p>
            <w:pPr>
              <w:spacing w:after="0"/>
              <w:rPr>
                <w:sz w:val="21"/>
                <w:szCs w:val="21"/>
                <w:color w:val="auto"/>
              </w:rPr>
            </w:pPr>
          </w:p>
        </w:tc>
        <w:tc>
          <w:tcPr>
            <w:tcW w:w="9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Information about our Executive Officers</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780" w:type="dxa"/>
            <w:vAlign w:val="bottom"/>
          </w:tcPr>
          <w:p>
            <w:pPr>
              <w:spacing w:after="0"/>
              <w:rPr>
                <w:sz w:val="21"/>
                <w:szCs w:val="21"/>
                <w:color w:val="auto"/>
              </w:rPr>
            </w:pPr>
          </w:p>
        </w:tc>
      </w:tr>
      <w:tr>
        <w:trPr>
          <w:trHeight w:val="291"/>
        </w:trPr>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780" w:type="dxa"/>
            <w:vAlign w:val="bottom"/>
          </w:tcPr>
          <w:p>
            <w:pPr>
              <w:spacing w:after="0"/>
              <w:rPr>
                <w:sz w:val="24"/>
                <w:szCs w:val="24"/>
                <w:color w:val="auto"/>
              </w:rPr>
            </w:pPr>
          </w:p>
        </w:tc>
      </w:tr>
      <w:tr>
        <w:trPr>
          <w:trHeight w:val="270"/>
        </w:trPr>
        <w:tc>
          <w:tcPr>
            <w:tcW w:w="780" w:type="dxa"/>
            <w:vAlign w:val="bottom"/>
          </w:tcPr>
          <w:p>
            <w:pPr>
              <w:spacing w:after="0"/>
              <w:rPr>
                <w:sz w:val="23"/>
                <w:szCs w:val="23"/>
                <w:color w:val="auto"/>
              </w:rPr>
            </w:pPr>
          </w:p>
        </w:tc>
        <w:tc>
          <w:tcPr>
            <w:tcW w:w="820" w:type="dxa"/>
            <w:vAlign w:val="bottom"/>
            <w:shd w:val="clear" w:color="auto" w:fill="0C479D"/>
          </w:tcPr>
          <w:p>
            <w:pPr>
              <w:ind w:left="20"/>
              <w:spacing w:after="0"/>
              <w:rPr>
                <w:sz w:val="20"/>
                <w:szCs w:val="20"/>
                <w:color w:val="auto"/>
              </w:rPr>
            </w:pPr>
            <w:r>
              <w:rPr>
                <w:rFonts w:ascii="Times New Roman" w:cs="Times New Roman" w:eastAsia="Times New Roman" w:hAnsi="Times New Roman"/>
                <w:sz w:val="22"/>
                <w:szCs w:val="22"/>
                <w:b w:val="1"/>
                <w:bCs w:val="1"/>
                <w:color w:val="FFFFFF"/>
                <w:w w:val="94"/>
              </w:rPr>
              <w:t>PART II</w:t>
            </w:r>
          </w:p>
        </w:tc>
        <w:tc>
          <w:tcPr>
            <w:tcW w:w="8580" w:type="dxa"/>
            <w:vAlign w:val="bottom"/>
            <w:shd w:val="clear" w:color="auto" w:fill="0C479D"/>
          </w:tcPr>
          <w:p>
            <w:pPr>
              <w:spacing w:after="0"/>
              <w:rPr>
                <w:sz w:val="23"/>
                <w:szCs w:val="23"/>
                <w:color w:val="auto"/>
              </w:rPr>
            </w:pPr>
          </w:p>
        </w:tc>
        <w:tc>
          <w:tcPr>
            <w:tcW w:w="100" w:type="dxa"/>
            <w:vAlign w:val="bottom"/>
            <w:shd w:val="clear" w:color="auto" w:fill="0C479D"/>
          </w:tcPr>
          <w:p>
            <w:pPr>
              <w:spacing w:after="0"/>
              <w:rPr>
                <w:sz w:val="23"/>
                <w:szCs w:val="23"/>
                <w:color w:val="auto"/>
              </w:rPr>
            </w:pPr>
          </w:p>
        </w:tc>
        <w:tc>
          <w:tcPr>
            <w:tcW w:w="80" w:type="dxa"/>
            <w:vAlign w:val="bottom"/>
            <w:shd w:val="clear" w:color="auto" w:fill="0C479D"/>
          </w:tcPr>
          <w:p>
            <w:pPr>
              <w:spacing w:after="0"/>
              <w:rPr>
                <w:sz w:val="23"/>
                <w:szCs w:val="23"/>
                <w:color w:val="auto"/>
              </w:rPr>
            </w:pPr>
          </w:p>
        </w:tc>
        <w:tc>
          <w:tcPr>
            <w:tcW w:w="100" w:type="dxa"/>
            <w:vAlign w:val="bottom"/>
            <w:shd w:val="clear" w:color="auto" w:fill="0C479D"/>
          </w:tcPr>
          <w:p>
            <w:pPr>
              <w:spacing w:after="0"/>
              <w:rPr>
                <w:sz w:val="23"/>
                <w:szCs w:val="23"/>
                <w:color w:val="auto"/>
              </w:rPr>
            </w:pPr>
          </w:p>
        </w:tc>
        <w:tc>
          <w:tcPr>
            <w:tcW w:w="780" w:type="dxa"/>
            <w:vAlign w:val="bottom"/>
            <w:tcBorders>
              <w:left w:val="single" w:sz="8" w:color="0C479D"/>
            </w:tcBorders>
          </w:tcPr>
          <w:p>
            <w:pPr>
              <w:spacing w:after="0"/>
              <w:rPr>
                <w:sz w:val="23"/>
                <w:szCs w:val="23"/>
                <w:color w:val="auto"/>
              </w:rPr>
            </w:pPr>
          </w:p>
        </w:tc>
      </w:tr>
      <w:tr>
        <w:trPr>
          <w:trHeight w:val="499"/>
        </w:trPr>
        <w:tc>
          <w:tcPr>
            <w:tcW w:w="78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 of Equity Securities</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78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780" w:type="dxa"/>
            <w:vAlign w:val="bottom"/>
          </w:tcPr>
          <w:p>
            <w:pPr>
              <w:spacing w:after="0"/>
              <w:rPr>
                <w:sz w:val="21"/>
                <w:szCs w:val="21"/>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w:t>
            </w:r>
          </w:p>
        </w:tc>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780" w:type="dxa"/>
            <w:vAlign w:val="bottom"/>
          </w:tcPr>
          <w:p>
            <w:pPr>
              <w:spacing w:after="0"/>
              <w:rPr>
                <w:sz w:val="21"/>
                <w:szCs w:val="21"/>
                <w:color w:val="auto"/>
              </w:rPr>
            </w:pPr>
          </w:p>
        </w:tc>
      </w:tr>
      <w:tr>
        <w:trPr>
          <w:trHeight w:val="20"/>
        </w:trPr>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780" w:type="dxa"/>
            <w:vAlign w:val="bottom"/>
          </w:tcPr>
          <w:p>
            <w:pPr>
              <w:spacing w:after="0"/>
              <w:rPr>
                <w:sz w:val="21"/>
                <w:szCs w:val="21"/>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7A.</w:t>
            </w:r>
          </w:p>
        </w:tc>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780" w:type="dxa"/>
            <w:vAlign w:val="bottom"/>
          </w:tcPr>
          <w:p>
            <w:pPr>
              <w:spacing w:after="0"/>
              <w:rPr>
                <w:sz w:val="21"/>
                <w:szCs w:val="21"/>
                <w:color w:val="auto"/>
              </w:rPr>
            </w:pPr>
          </w:p>
        </w:tc>
      </w:tr>
      <w:tr>
        <w:trPr>
          <w:trHeight w:val="20"/>
        </w:trPr>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780" w:type="dxa"/>
            <w:vAlign w:val="bottom"/>
          </w:tcPr>
          <w:p>
            <w:pPr>
              <w:spacing w:after="0"/>
              <w:rPr>
                <w:sz w:val="21"/>
                <w:szCs w:val="21"/>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8.</w:t>
            </w:r>
          </w:p>
        </w:tc>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780" w:type="dxa"/>
            <w:vAlign w:val="bottom"/>
          </w:tcPr>
          <w:p>
            <w:pPr>
              <w:spacing w:after="0"/>
              <w:rPr>
                <w:sz w:val="21"/>
                <w:szCs w:val="21"/>
                <w:color w:val="auto"/>
              </w:rPr>
            </w:pPr>
          </w:p>
        </w:tc>
      </w:tr>
      <w:tr>
        <w:trPr>
          <w:trHeight w:val="20"/>
        </w:trPr>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780" w:type="dxa"/>
            <w:vAlign w:val="bottom"/>
          </w:tcPr>
          <w:p>
            <w:pPr>
              <w:spacing w:after="0"/>
              <w:rPr>
                <w:sz w:val="21"/>
                <w:szCs w:val="21"/>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w:t>
            </w:r>
          </w:p>
        </w:tc>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780" w:type="dxa"/>
            <w:vAlign w:val="bottom"/>
          </w:tcPr>
          <w:p>
            <w:pPr>
              <w:spacing w:after="0"/>
              <w:rPr>
                <w:sz w:val="21"/>
                <w:szCs w:val="21"/>
                <w:color w:val="auto"/>
              </w:rPr>
            </w:pPr>
          </w:p>
        </w:tc>
      </w:tr>
      <w:tr>
        <w:trPr>
          <w:trHeight w:val="20"/>
        </w:trPr>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780" w:type="dxa"/>
            <w:vAlign w:val="bottom"/>
          </w:tcPr>
          <w:p>
            <w:pPr>
              <w:spacing w:after="0"/>
              <w:rPr>
                <w:sz w:val="21"/>
                <w:szCs w:val="21"/>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9A.</w:t>
            </w:r>
          </w:p>
        </w:tc>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Controls and Procedures</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780" w:type="dxa"/>
            <w:vAlign w:val="bottom"/>
          </w:tcPr>
          <w:p>
            <w:pPr>
              <w:spacing w:after="0"/>
              <w:rPr>
                <w:sz w:val="21"/>
                <w:szCs w:val="21"/>
                <w:color w:val="auto"/>
              </w:rPr>
            </w:pPr>
          </w:p>
        </w:tc>
      </w:tr>
      <w:tr>
        <w:trPr>
          <w:trHeight w:val="20"/>
        </w:trPr>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780" w:type="dxa"/>
            <w:vAlign w:val="bottom"/>
          </w:tcPr>
          <w:p>
            <w:pPr>
              <w:spacing w:after="0"/>
              <w:rPr>
                <w:sz w:val="21"/>
                <w:szCs w:val="21"/>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9B.</w:t>
            </w:r>
          </w:p>
        </w:tc>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Information</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780" w:type="dxa"/>
            <w:vAlign w:val="bottom"/>
          </w:tcPr>
          <w:p>
            <w:pPr>
              <w:spacing w:after="0"/>
              <w:rPr>
                <w:sz w:val="21"/>
                <w:szCs w:val="21"/>
                <w:color w:val="auto"/>
              </w:rPr>
            </w:pPr>
          </w:p>
        </w:tc>
      </w:tr>
      <w:tr>
        <w:trPr>
          <w:trHeight w:val="20"/>
        </w:trPr>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780" w:type="dxa"/>
            <w:vAlign w:val="bottom"/>
          </w:tcPr>
          <w:p>
            <w:pPr>
              <w:spacing w:after="0"/>
              <w:rPr>
                <w:sz w:val="21"/>
                <w:szCs w:val="21"/>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9C.</w:t>
            </w:r>
          </w:p>
        </w:tc>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780" w:type="dxa"/>
            <w:vAlign w:val="bottom"/>
          </w:tcPr>
          <w:p>
            <w:pPr>
              <w:spacing w:after="0"/>
              <w:rPr>
                <w:sz w:val="21"/>
                <w:szCs w:val="21"/>
                <w:color w:val="auto"/>
              </w:rPr>
            </w:pPr>
          </w:p>
        </w:tc>
      </w:tr>
      <w:tr>
        <w:trPr>
          <w:trHeight w:val="290"/>
        </w:trPr>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780" w:type="dxa"/>
            <w:vAlign w:val="bottom"/>
          </w:tcPr>
          <w:p>
            <w:pPr>
              <w:spacing w:after="0"/>
              <w:rPr>
                <w:sz w:val="24"/>
                <w:szCs w:val="24"/>
                <w:color w:val="auto"/>
              </w:rPr>
            </w:pPr>
          </w:p>
        </w:tc>
      </w:tr>
      <w:tr>
        <w:trPr>
          <w:trHeight w:val="270"/>
        </w:trPr>
        <w:tc>
          <w:tcPr>
            <w:tcW w:w="780" w:type="dxa"/>
            <w:vAlign w:val="bottom"/>
          </w:tcPr>
          <w:p>
            <w:pPr>
              <w:spacing w:after="0"/>
              <w:rPr>
                <w:sz w:val="23"/>
                <w:szCs w:val="23"/>
                <w:color w:val="auto"/>
              </w:rPr>
            </w:pPr>
          </w:p>
        </w:tc>
        <w:tc>
          <w:tcPr>
            <w:tcW w:w="9400" w:type="dxa"/>
            <w:vAlign w:val="bottom"/>
            <w:gridSpan w:val="2"/>
            <w:shd w:val="clear" w:color="auto" w:fill="0C479D"/>
          </w:tcPr>
          <w:p>
            <w:pPr>
              <w:ind w:left="20"/>
              <w:spacing w:after="0"/>
              <w:rPr>
                <w:sz w:val="20"/>
                <w:szCs w:val="20"/>
                <w:color w:val="auto"/>
              </w:rPr>
            </w:pPr>
            <w:r>
              <w:rPr>
                <w:rFonts w:ascii="Times New Roman" w:cs="Times New Roman" w:eastAsia="Times New Roman" w:hAnsi="Times New Roman"/>
                <w:sz w:val="22"/>
                <w:szCs w:val="22"/>
                <w:b w:val="1"/>
                <w:bCs w:val="1"/>
                <w:color w:val="FFFFFF"/>
              </w:rPr>
              <w:t>PART III</w:t>
            </w:r>
          </w:p>
        </w:tc>
        <w:tc>
          <w:tcPr>
            <w:tcW w:w="100" w:type="dxa"/>
            <w:vAlign w:val="bottom"/>
            <w:shd w:val="clear" w:color="auto" w:fill="0C479D"/>
          </w:tcPr>
          <w:p>
            <w:pPr>
              <w:spacing w:after="0"/>
              <w:rPr>
                <w:sz w:val="23"/>
                <w:szCs w:val="23"/>
                <w:color w:val="auto"/>
              </w:rPr>
            </w:pPr>
          </w:p>
        </w:tc>
        <w:tc>
          <w:tcPr>
            <w:tcW w:w="80" w:type="dxa"/>
            <w:vAlign w:val="bottom"/>
            <w:shd w:val="clear" w:color="auto" w:fill="0C479D"/>
          </w:tcPr>
          <w:p>
            <w:pPr>
              <w:spacing w:after="0"/>
              <w:rPr>
                <w:sz w:val="23"/>
                <w:szCs w:val="23"/>
                <w:color w:val="auto"/>
              </w:rPr>
            </w:pPr>
          </w:p>
        </w:tc>
        <w:tc>
          <w:tcPr>
            <w:tcW w:w="100" w:type="dxa"/>
            <w:vAlign w:val="bottom"/>
            <w:shd w:val="clear" w:color="auto" w:fill="0C479D"/>
          </w:tcPr>
          <w:p>
            <w:pPr>
              <w:spacing w:after="0"/>
              <w:rPr>
                <w:sz w:val="23"/>
                <w:szCs w:val="23"/>
                <w:color w:val="auto"/>
              </w:rPr>
            </w:pPr>
          </w:p>
        </w:tc>
        <w:tc>
          <w:tcPr>
            <w:tcW w:w="780" w:type="dxa"/>
            <w:vAlign w:val="bottom"/>
            <w:tcBorders>
              <w:left w:val="single" w:sz="8" w:color="0C479D"/>
            </w:tcBorders>
          </w:tcPr>
          <w:p>
            <w:pPr>
              <w:spacing w:after="0"/>
              <w:rPr>
                <w:sz w:val="23"/>
                <w:szCs w:val="23"/>
                <w:color w:val="auto"/>
              </w:rPr>
            </w:pPr>
          </w:p>
        </w:tc>
      </w:tr>
      <w:tr>
        <w:trPr>
          <w:trHeight w:val="500"/>
        </w:trPr>
        <w:tc>
          <w:tcPr>
            <w:tcW w:w="78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10.</w:t>
            </w:r>
          </w:p>
        </w:tc>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78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780" w:type="dxa"/>
            <w:vAlign w:val="bottom"/>
          </w:tcPr>
          <w:p>
            <w:pPr>
              <w:spacing w:after="0"/>
              <w:rPr>
                <w:sz w:val="21"/>
                <w:szCs w:val="21"/>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11.</w:t>
            </w:r>
          </w:p>
        </w:tc>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Compensation</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29</w:t>
            </w:r>
          </w:p>
        </w:tc>
        <w:tc>
          <w:tcPr>
            <w:tcW w:w="780" w:type="dxa"/>
            <w:vAlign w:val="bottom"/>
          </w:tcPr>
          <w:p>
            <w:pPr>
              <w:spacing w:after="0"/>
              <w:rPr>
                <w:sz w:val="21"/>
                <w:szCs w:val="21"/>
                <w:color w:val="auto"/>
              </w:rPr>
            </w:pPr>
          </w:p>
        </w:tc>
      </w:tr>
      <w:tr>
        <w:trPr>
          <w:trHeight w:val="20"/>
        </w:trPr>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780" w:type="dxa"/>
            <w:vAlign w:val="bottom"/>
          </w:tcPr>
          <w:p>
            <w:pPr>
              <w:spacing w:after="0"/>
              <w:rPr>
                <w:sz w:val="21"/>
                <w:szCs w:val="21"/>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12.</w:t>
            </w:r>
          </w:p>
        </w:tc>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780" w:type="dxa"/>
            <w:vAlign w:val="bottom"/>
          </w:tcPr>
          <w:p>
            <w:pPr>
              <w:spacing w:after="0"/>
              <w:rPr>
                <w:sz w:val="21"/>
                <w:szCs w:val="21"/>
                <w:color w:val="auto"/>
              </w:rPr>
            </w:pPr>
          </w:p>
        </w:tc>
      </w:tr>
      <w:tr>
        <w:trPr>
          <w:trHeight w:val="20"/>
        </w:trPr>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780" w:type="dxa"/>
            <w:vAlign w:val="bottom"/>
          </w:tcPr>
          <w:p>
            <w:pPr>
              <w:spacing w:after="0"/>
              <w:rPr>
                <w:sz w:val="21"/>
                <w:szCs w:val="21"/>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13.</w:t>
            </w:r>
          </w:p>
        </w:tc>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780" w:type="dxa"/>
            <w:vAlign w:val="bottom"/>
          </w:tcPr>
          <w:p>
            <w:pPr>
              <w:spacing w:after="0"/>
              <w:rPr>
                <w:sz w:val="21"/>
                <w:szCs w:val="21"/>
                <w:color w:val="auto"/>
              </w:rPr>
            </w:pPr>
          </w:p>
        </w:tc>
      </w:tr>
      <w:tr>
        <w:trPr>
          <w:trHeight w:val="20"/>
        </w:trPr>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780" w:type="dxa"/>
            <w:vAlign w:val="bottom"/>
          </w:tcPr>
          <w:p>
            <w:pPr>
              <w:spacing w:after="0"/>
              <w:rPr>
                <w:sz w:val="21"/>
                <w:szCs w:val="21"/>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14.</w:t>
            </w:r>
          </w:p>
        </w:tc>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Principal Accountant Fees and Services</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780" w:type="dxa"/>
            <w:vAlign w:val="bottom"/>
          </w:tcPr>
          <w:p>
            <w:pPr>
              <w:spacing w:after="0"/>
              <w:rPr>
                <w:sz w:val="21"/>
                <w:szCs w:val="21"/>
                <w:color w:val="auto"/>
              </w:rPr>
            </w:pPr>
          </w:p>
        </w:tc>
      </w:tr>
      <w:tr>
        <w:trPr>
          <w:trHeight w:val="290"/>
        </w:trPr>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780" w:type="dxa"/>
            <w:vAlign w:val="bottom"/>
          </w:tcPr>
          <w:p>
            <w:pPr>
              <w:spacing w:after="0"/>
              <w:rPr>
                <w:sz w:val="24"/>
                <w:szCs w:val="24"/>
                <w:color w:val="auto"/>
              </w:rPr>
            </w:pPr>
          </w:p>
        </w:tc>
      </w:tr>
      <w:tr>
        <w:trPr>
          <w:trHeight w:val="270"/>
        </w:trPr>
        <w:tc>
          <w:tcPr>
            <w:tcW w:w="780" w:type="dxa"/>
            <w:vAlign w:val="bottom"/>
          </w:tcPr>
          <w:p>
            <w:pPr>
              <w:spacing w:after="0"/>
              <w:rPr>
                <w:sz w:val="23"/>
                <w:szCs w:val="23"/>
                <w:color w:val="auto"/>
              </w:rPr>
            </w:pPr>
          </w:p>
        </w:tc>
        <w:tc>
          <w:tcPr>
            <w:tcW w:w="9400" w:type="dxa"/>
            <w:vAlign w:val="bottom"/>
            <w:gridSpan w:val="2"/>
            <w:shd w:val="clear" w:color="auto" w:fill="0C479D"/>
          </w:tcPr>
          <w:p>
            <w:pPr>
              <w:ind w:left="20"/>
              <w:spacing w:after="0"/>
              <w:rPr>
                <w:sz w:val="20"/>
                <w:szCs w:val="20"/>
                <w:color w:val="auto"/>
              </w:rPr>
            </w:pPr>
            <w:r>
              <w:rPr>
                <w:rFonts w:ascii="Times New Roman" w:cs="Times New Roman" w:eastAsia="Times New Roman" w:hAnsi="Times New Roman"/>
                <w:sz w:val="22"/>
                <w:szCs w:val="22"/>
                <w:b w:val="1"/>
                <w:bCs w:val="1"/>
                <w:color w:val="FFFFFF"/>
              </w:rPr>
              <w:t>PART IV</w:t>
            </w:r>
          </w:p>
        </w:tc>
        <w:tc>
          <w:tcPr>
            <w:tcW w:w="100" w:type="dxa"/>
            <w:vAlign w:val="bottom"/>
            <w:shd w:val="clear" w:color="auto" w:fill="0C479D"/>
          </w:tcPr>
          <w:p>
            <w:pPr>
              <w:spacing w:after="0"/>
              <w:rPr>
                <w:sz w:val="23"/>
                <w:szCs w:val="23"/>
                <w:color w:val="auto"/>
              </w:rPr>
            </w:pPr>
          </w:p>
        </w:tc>
        <w:tc>
          <w:tcPr>
            <w:tcW w:w="80" w:type="dxa"/>
            <w:vAlign w:val="bottom"/>
            <w:shd w:val="clear" w:color="auto" w:fill="0C479D"/>
          </w:tcPr>
          <w:p>
            <w:pPr>
              <w:spacing w:after="0"/>
              <w:rPr>
                <w:sz w:val="23"/>
                <w:szCs w:val="23"/>
                <w:color w:val="auto"/>
              </w:rPr>
            </w:pPr>
          </w:p>
        </w:tc>
        <w:tc>
          <w:tcPr>
            <w:tcW w:w="100" w:type="dxa"/>
            <w:vAlign w:val="bottom"/>
            <w:shd w:val="clear" w:color="auto" w:fill="0C479D"/>
          </w:tcPr>
          <w:p>
            <w:pPr>
              <w:spacing w:after="0"/>
              <w:rPr>
                <w:sz w:val="23"/>
                <w:szCs w:val="23"/>
                <w:color w:val="auto"/>
              </w:rPr>
            </w:pPr>
          </w:p>
        </w:tc>
        <w:tc>
          <w:tcPr>
            <w:tcW w:w="780" w:type="dxa"/>
            <w:vAlign w:val="bottom"/>
            <w:tcBorders>
              <w:left w:val="single" w:sz="8" w:color="0C479D"/>
            </w:tcBorders>
          </w:tcPr>
          <w:p>
            <w:pPr>
              <w:spacing w:after="0"/>
              <w:rPr>
                <w:sz w:val="23"/>
                <w:szCs w:val="23"/>
                <w:color w:val="auto"/>
              </w:rPr>
            </w:pPr>
          </w:p>
        </w:tc>
      </w:tr>
      <w:tr>
        <w:trPr>
          <w:trHeight w:val="499"/>
        </w:trPr>
        <w:tc>
          <w:tcPr>
            <w:tcW w:w="78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15.</w:t>
            </w:r>
          </w:p>
        </w:tc>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and Financial Statement Schedules</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78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780" w:type="dxa"/>
            <w:vAlign w:val="bottom"/>
          </w:tcPr>
          <w:p>
            <w:pPr>
              <w:spacing w:after="0"/>
              <w:rPr>
                <w:sz w:val="21"/>
                <w:szCs w:val="21"/>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16.</w:t>
            </w:r>
          </w:p>
        </w:tc>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10-K Summary</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780" w:type="dxa"/>
            <w:vAlign w:val="bottom"/>
          </w:tcPr>
          <w:p>
            <w:pPr>
              <w:spacing w:after="0"/>
              <w:rPr>
                <w:sz w:val="21"/>
                <w:szCs w:val="21"/>
                <w:color w:val="auto"/>
              </w:rPr>
            </w:pPr>
          </w:p>
        </w:tc>
      </w:tr>
      <w:tr>
        <w:trPr>
          <w:trHeight w:val="20"/>
        </w:trPr>
        <w:tc>
          <w:tcPr>
            <w:tcW w:w="780" w:type="dxa"/>
            <w:vAlign w:val="bottom"/>
          </w:tcPr>
          <w:p>
            <w:pPr>
              <w:spacing w:after="0" w:line="20" w:lineRule="exact"/>
              <w:rPr>
                <w:sz w:val="1"/>
                <w:szCs w:val="1"/>
                <w:color w:val="auto"/>
              </w:rPr>
            </w:pPr>
          </w:p>
        </w:tc>
        <w:tc>
          <w:tcPr>
            <w:tcW w:w="9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520"/>
        </w:trPr>
        <w:tc>
          <w:tcPr>
            <w:tcW w:w="780" w:type="dxa"/>
            <w:vAlign w:val="bottom"/>
          </w:tcPr>
          <w:p>
            <w:pPr>
              <w:spacing w:after="0"/>
              <w:rPr>
                <w:sz w:val="24"/>
                <w:szCs w:val="24"/>
                <w:color w:val="auto"/>
              </w:rPr>
            </w:pPr>
          </w:p>
        </w:tc>
        <w:tc>
          <w:tcPr>
            <w:tcW w:w="9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Financial Section</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31</w:t>
            </w:r>
          </w:p>
        </w:tc>
        <w:tc>
          <w:tcPr>
            <w:tcW w:w="780" w:type="dxa"/>
            <w:vAlign w:val="bottom"/>
          </w:tcPr>
          <w:p>
            <w:pPr>
              <w:spacing w:after="0"/>
              <w:rPr>
                <w:sz w:val="24"/>
                <w:szCs w:val="24"/>
                <w:color w:val="auto"/>
              </w:rPr>
            </w:pPr>
          </w:p>
        </w:tc>
      </w:tr>
      <w:tr>
        <w:trPr>
          <w:trHeight w:val="20"/>
        </w:trPr>
        <w:tc>
          <w:tcPr>
            <w:tcW w:w="780" w:type="dxa"/>
            <w:vAlign w:val="bottom"/>
          </w:tcPr>
          <w:p>
            <w:pPr>
              <w:spacing w:after="0" w:line="20" w:lineRule="exact"/>
              <w:rPr>
                <w:sz w:val="1"/>
                <w:szCs w:val="1"/>
                <w:color w:val="auto"/>
              </w:rPr>
            </w:pPr>
          </w:p>
        </w:tc>
        <w:tc>
          <w:tcPr>
            <w:tcW w:w="9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780" w:type="dxa"/>
            <w:vAlign w:val="bottom"/>
          </w:tcPr>
          <w:p>
            <w:pPr>
              <w:spacing w:after="0"/>
              <w:rPr>
                <w:sz w:val="21"/>
                <w:szCs w:val="21"/>
                <w:color w:val="auto"/>
              </w:rPr>
            </w:pPr>
          </w:p>
        </w:tc>
        <w:tc>
          <w:tcPr>
            <w:tcW w:w="9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Index to Exhibits</w:t>
            </w:r>
          </w:p>
        </w:tc>
        <w:tc>
          <w:tcPr>
            <w:tcW w:w="28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96"/>
              </w:rPr>
              <w:t>135</w:t>
            </w:r>
          </w:p>
        </w:tc>
        <w:tc>
          <w:tcPr>
            <w:tcW w:w="780" w:type="dxa"/>
            <w:vAlign w:val="bottom"/>
          </w:tcPr>
          <w:p>
            <w:pPr>
              <w:spacing w:after="0"/>
              <w:rPr>
                <w:sz w:val="21"/>
                <w:szCs w:val="21"/>
                <w:color w:val="auto"/>
              </w:rPr>
            </w:pPr>
          </w:p>
        </w:tc>
      </w:tr>
      <w:tr>
        <w:trPr>
          <w:trHeight w:val="250"/>
        </w:trPr>
        <w:tc>
          <w:tcPr>
            <w:tcW w:w="780" w:type="dxa"/>
            <w:vAlign w:val="bottom"/>
          </w:tcPr>
          <w:p>
            <w:pPr>
              <w:spacing w:after="0"/>
              <w:rPr>
                <w:sz w:val="21"/>
                <w:szCs w:val="21"/>
                <w:color w:val="auto"/>
              </w:rPr>
            </w:pPr>
          </w:p>
        </w:tc>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Signatures</w:t>
            </w:r>
          </w:p>
        </w:tc>
        <w:tc>
          <w:tcPr>
            <w:tcW w:w="8580" w:type="dxa"/>
            <w:vAlign w:val="bottom"/>
          </w:tcPr>
          <w:p>
            <w:pPr>
              <w:spacing w:after="0"/>
              <w:rPr>
                <w:sz w:val="21"/>
                <w:szCs w:val="21"/>
                <w:color w:val="auto"/>
              </w:rPr>
            </w:pPr>
          </w:p>
        </w:tc>
        <w:tc>
          <w:tcPr>
            <w:tcW w:w="280" w:type="dxa"/>
            <w:vAlign w:val="bottom"/>
            <w:tcBorders>
              <w:bottom w:val="single" w:sz="8" w:color="0000FF"/>
            </w:tcBorders>
            <w:gridSpan w:val="3"/>
          </w:tcPr>
          <w:p>
            <w:pPr>
              <w:jc w:val="right"/>
              <w:spacing w:after="0"/>
              <w:rPr>
                <w:sz w:val="20"/>
                <w:szCs w:val="20"/>
                <w:color w:val="auto"/>
              </w:rPr>
            </w:pPr>
            <w:r>
              <w:rPr>
                <w:rFonts w:ascii="Times New Roman" w:cs="Times New Roman" w:eastAsia="Times New Roman" w:hAnsi="Times New Roman"/>
                <w:sz w:val="18"/>
                <w:szCs w:val="18"/>
                <w:color w:val="0000FF"/>
                <w:w w:val="96"/>
              </w:rPr>
              <w:t>136</w:t>
            </w:r>
          </w:p>
        </w:tc>
        <w:tc>
          <w:tcPr>
            <w:tcW w:w="780" w:type="dxa"/>
            <w:vAlign w:val="bottom"/>
          </w:tcPr>
          <w:p>
            <w:pPr>
              <w:spacing w:after="0"/>
              <w:rPr>
                <w:sz w:val="21"/>
                <w:szCs w:val="21"/>
                <w:color w:val="auto"/>
              </w:rPr>
            </w:pPr>
          </w:p>
        </w:tc>
      </w:tr>
      <w:tr>
        <w:trPr>
          <w:trHeight w:val="291"/>
        </w:trPr>
        <w:tc>
          <w:tcPr>
            <w:tcW w:w="780" w:type="dxa"/>
            <w:vAlign w:val="bottom"/>
          </w:tcPr>
          <w:p>
            <w:pPr>
              <w:spacing w:after="0"/>
              <w:rPr>
                <w:sz w:val="24"/>
                <w:szCs w:val="24"/>
                <w:color w:val="auto"/>
              </w:rPr>
            </w:pPr>
          </w:p>
        </w:tc>
        <w:tc>
          <w:tcPr>
            <w:tcW w:w="9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Exhibits 31 and 32 — Certifications</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195"/>
        </w:trPr>
        <w:tc>
          <w:tcPr>
            <w:tcW w:w="7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5"/>
          <w:szCs w:val="25"/>
          <w:b w:val="1"/>
          <w:bCs w:val="1"/>
          <w:color w:val="0C479D"/>
        </w:rPr>
        <w:t>PART I</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0C479D"/>
        </w:rPr>
        <w:t>ITEM 1.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Exxon Mobil Corporation was incorporated in the State of New Jersey in 1882. Divisions and affiliated companies of ExxonMobil operate or market products in the United States and most other countries of the world. Our principal business involves exploration for, and production of, crude oil and natural gas; manufacture, trade, transport and sale of crude oil, natural gas, petroleum products, petrochemicals, and a wide variety of specialty products; and pursuit of lower-emission and other new business opportunities, including carbon capture and storage, hydrogen, lower-emission fuels, Proxxima</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systems, carbon materials, and lithium. Affiliates of ExxonMobil conduct extensive research programs in support of these businesses.</w:t>
      </w:r>
    </w:p>
    <w:p>
      <w:pPr>
        <w:spacing w:after="0" w:line="7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Exxon Mobil Corporation's divisions and affiliates have many names, including </w:t>
      </w:r>
      <w:r>
        <w:rPr>
          <w:rFonts w:ascii="Times New Roman" w:cs="Times New Roman" w:eastAsia="Times New Roman" w:hAnsi="Times New Roman"/>
          <w:sz w:val="18"/>
          <w:szCs w:val="18"/>
          <w:i w:val="1"/>
          <w:iCs w:val="1"/>
          <w:color w:val="auto"/>
        </w:rPr>
        <w:t>ExxonMobil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Exxon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Esso, Mobil</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XTO</w:t>
      </w:r>
      <w:r>
        <w:rPr>
          <w:rFonts w:ascii="Times New Roman" w:cs="Times New Roman" w:eastAsia="Times New Roman" w:hAnsi="Times New Roman"/>
          <w:sz w:val="18"/>
          <w:szCs w:val="18"/>
          <w:color w:val="auto"/>
        </w:rPr>
        <w:t xml:space="preserve">. For convenience and simplicity, in this report the terms </w:t>
      </w:r>
      <w:r>
        <w:rPr>
          <w:rFonts w:ascii="Times New Roman" w:cs="Times New Roman" w:eastAsia="Times New Roman" w:hAnsi="Times New Roman"/>
          <w:sz w:val="18"/>
          <w:szCs w:val="18"/>
          <w:i w:val="1"/>
          <w:iCs w:val="1"/>
          <w:color w:val="auto"/>
        </w:rPr>
        <w:t>ExxonMobil, Exxon, Esso, Mobil, and XTO</w:t>
      </w:r>
      <w:r>
        <w:rPr>
          <w:rFonts w:ascii="Times New Roman" w:cs="Times New Roman" w:eastAsia="Times New Roman" w:hAnsi="Times New Roman"/>
          <w:sz w:val="18"/>
          <w:szCs w:val="18"/>
          <w:color w:val="auto"/>
        </w:rPr>
        <w:t xml:space="preserve">, as well as terms like </w:t>
      </w:r>
      <w:r>
        <w:rPr>
          <w:rFonts w:ascii="Times New Roman" w:cs="Times New Roman" w:eastAsia="Times New Roman" w:hAnsi="Times New Roman"/>
          <w:sz w:val="18"/>
          <w:szCs w:val="18"/>
          <w:i w:val="1"/>
          <w:iCs w:val="1"/>
          <w:color w:val="auto"/>
        </w:rPr>
        <w:t>Corporation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its</w:t>
      </w:r>
      <w:r>
        <w:rPr>
          <w:rFonts w:ascii="Times New Roman" w:cs="Times New Roman" w:eastAsia="Times New Roman" w:hAnsi="Times New Roman"/>
          <w:sz w:val="18"/>
          <w:szCs w:val="18"/>
          <w:color w:val="auto"/>
        </w:rPr>
        <w:t>, are sometimes used as abbreviated references to specific affiliates or groups of affiliates. The precise meaning depends on the context in question.</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May 3, 2024, the Corporation acquired Pioneer Natural Resources Company (Pioneer), an independent oil and gas exploration and production company. With reference to the acquisition, we issued 545 million shares of ExxonMobil common stock having a fair value of $63 billion on the acquisition date, and assumed debt with a fair value of $5 billion. The acquisition transforms ExxonMobil’s upstream portfolio, creating an industry-leading, high-quality U.S. unconventional inventory position. For additional information, see </w:t>
      </w:r>
      <w:r>
        <w:rPr>
          <w:rFonts w:ascii="Times New Roman" w:cs="Times New Roman" w:eastAsia="Times New Roman" w:hAnsi="Times New Roman"/>
          <w:sz w:val="18"/>
          <w:szCs w:val="18"/>
          <w:color w:val="0000FF"/>
        </w:rPr>
        <w:t>Note 21</w:t>
      </w:r>
      <w:r>
        <w:rPr>
          <w:rFonts w:ascii="Times New Roman" w:cs="Times New Roman" w:eastAsia="Times New Roman" w:hAnsi="Times New Roman"/>
          <w:sz w:val="18"/>
          <w:szCs w:val="18"/>
          <w:color w:val="auto"/>
        </w:rPr>
        <w:t xml:space="preserve"> in the Financial Section of this report.</w:t>
      </w:r>
    </w:p>
    <w:p>
      <w:pPr>
        <w:spacing w:after="0" w:line="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energy and petrochemical industries are highly competitive, both within the industries and also with other industries in supplying the energy, fuel, and chemical needs of industrial and individual consumers. Certain industry participants, including ExxonMobil, are expanding investments in lower-emission energy and emission-reduction services and technologies. The Corporation competes with other firms in the sale or purchase of needed goods and services in many national and international markets and employs all methods of competition which are lawful and appropriate for such purposes.</w:t>
      </w:r>
    </w:p>
    <w:p>
      <w:pPr>
        <w:spacing w:after="0" w:line="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Operating data and industry segment information for the Corporation are contained in the Financial Section of this report under the following: “Management's Discussion and Analysis of Financial Condition and Results of Operations: </w:t>
      </w:r>
      <w:r>
        <w:rPr>
          <w:rFonts w:ascii="Times New Roman" w:cs="Times New Roman" w:eastAsia="Times New Roman" w:hAnsi="Times New Roman"/>
          <w:sz w:val="18"/>
          <w:szCs w:val="18"/>
          <w:color w:val="0000FF"/>
        </w:rPr>
        <w:t>Business Results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0000FF"/>
        </w:rPr>
        <w:t>Note 18</w:t>
      </w:r>
      <w:r>
        <w:rPr>
          <w:rFonts w:ascii="Times New Roman" w:cs="Times New Roman" w:eastAsia="Times New Roman" w:hAnsi="Times New Roman"/>
          <w:sz w:val="18"/>
          <w:szCs w:val="18"/>
          <w:color w:val="auto"/>
        </w:rPr>
        <w:t>. Information on oil and gas reserves is contained in the “</w:t>
      </w:r>
      <w:r>
        <w:rPr>
          <w:rFonts w:ascii="Times New Roman" w:cs="Times New Roman" w:eastAsia="Times New Roman" w:hAnsi="Times New Roman"/>
          <w:sz w:val="18"/>
          <w:szCs w:val="18"/>
          <w:color w:val="0000FF"/>
        </w:rPr>
        <w:t>Oil and Gas Reserves</w:t>
      </w:r>
      <w:r>
        <w:rPr>
          <w:rFonts w:ascii="Times New Roman" w:cs="Times New Roman" w:eastAsia="Times New Roman" w:hAnsi="Times New Roman"/>
          <w:sz w:val="18"/>
          <w:szCs w:val="18"/>
          <w:color w:val="auto"/>
        </w:rPr>
        <w:t>” part of the “Supplemental Information on Oil and Gas Exploration and Production Activities” portion of the Financial Section of this report.</w:t>
      </w:r>
    </w:p>
    <w:p>
      <w:pPr>
        <w:spacing w:after="0" w:line="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ExxonMobil has a long-standing commitment to the development of proprietary technology. We have a wide array of research programs designed to meet the needs identified in each of our businesses. ExxonMobil held over 8 thousand active patents worldwide at the end of 2024. For technology licensed to third parties, revenues totaled approximately $102 million in 2024. Although technology is an important contributor to the overall operations and results of our Company, the profitability of each business segment is not dependent on any individual patent, trade secret, trademark, license, franchise, or concession.</w:t>
      </w:r>
    </w:p>
    <w:p>
      <w:pPr>
        <w:spacing w:after="0" w:line="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ExxonMobil operates in a highly complex, competitive, and changing global energy business environment where decisions and risks play out over time horizons that are often decades in length. This long-term orientation underpins the Corporation's philosophy on talent development.</w:t>
      </w:r>
    </w:p>
    <w:p>
      <w:pPr>
        <w:spacing w:after="0" w:line="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Talent development begins with recruiting exceptional candidates and continues with individually planned experiences and training designed to facilitate broad development and a deep understanding of our business across the business cycle. Our career-oriented approach to talent development results in strong retention and an average length of service of about 30 years for our career employees. Compensation, benefits, and workplace programs support the Corporation's talent management approach, and are designed to attract and retain employees for a career through compensation that is market competitive, long-term oriented, and highly differentiated by individual performance.</w:t>
      </w:r>
    </w:p>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over 60 percent of our global employees from outside the U.S. and 160 nationalities represented across the Company, we encourage and respect diversity of thought, ideas, and perspective from our workforce. We are focused on building an engaged, global workforce; grounded in meritocracy, we strive to have every employee reach their potential over a long-term career by providing unrivaled opportunities for personal and professional growth through impactful work meeting society's essential needs.</w:t>
      </w:r>
    </w:p>
    <w:p>
      <w:pPr>
        <w:spacing w:after="0" w:line="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number of regular employees was 61 thousand, 62 thousand, and 62 thousand at years ended 2024, 2023, and 2022, respectively. Regular employees are defined as active executive, management, professional, technical, administrative, and wage employees who work full time or part time for the Corporation and are covered by the Corporation’s benefit plans and programs.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color w:val="0000FF"/>
        </w:rPr>
        <w:t>Item 1A</w:t>
      </w:r>
      <w:r>
        <w:rPr>
          <w:rFonts w:ascii="Times New Roman" w:cs="Times New Roman" w:eastAsia="Times New Roman" w:hAnsi="Times New Roman"/>
          <w:sz w:val="18"/>
          <w:szCs w:val="18"/>
          <w:color w:val="auto"/>
        </w:rPr>
        <w:t xml:space="preserve"> in this report, compliance with existing and potential future government regulations, including taxes, environmental regulations, and other government regulations and policies that directly or indirectly affect the production and sale of our products, may have material effects on the capital expenditures, earnings, and competitive position of ExxonMobil. For additional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3" w:name="page4"/>
    <w:bookmarkEnd w:id="3"/>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information on the Corporation's worldwide environmental expenditures, see “Management's Discussion and Analysis of Financial Condition and Results of Operations: </w:t>
      </w:r>
      <w:r>
        <w:rPr>
          <w:rFonts w:ascii="Times New Roman" w:cs="Times New Roman" w:eastAsia="Times New Roman" w:hAnsi="Times New Roman"/>
          <w:sz w:val="18"/>
          <w:szCs w:val="18"/>
          <w:color w:val="0000FF"/>
        </w:rPr>
        <w:t>Environmental Matters</w:t>
      </w:r>
      <w:r>
        <w:rPr>
          <w:rFonts w:ascii="Times New Roman" w:cs="Times New Roman" w:eastAsia="Times New Roman" w:hAnsi="Times New Roman"/>
          <w:sz w:val="18"/>
          <w:szCs w:val="18"/>
          <w:color w:val="auto"/>
        </w:rPr>
        <w:t>” in the Financial Section of this report.</w:t>
      </w:r>
    </w:p>
    <w:p>
      <w:pPr>
        <w:spacing w:after="0" w:line="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Information concerning the source and availability of raw materials used in the Corporation’s business, the extent of seasonality in the business, the possibility of renegotiation of profits or termination of contracts at the election of governments, and risks attendant to foreign operations may be found in </w:t>
      </w:r>
      <w:r>
        <w:rPr>
          <w:rFonts w:ascii="Times New Roman" w:cs="Times New Roman" w:eastAsia="Times New Roman" w:hAnsi="Times New Roman"/>
          <w:sz w:val="18"/>
          <w:szCs w:val="18"/>
          <w:color w:val="0000FF"/>
        </w:rPr>
        <w:t xml:space="preserve">Item 1A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Item 2 </w:t>
      </w:r>
      <w:r>
        <w:rPr>
          <w:rFonts w:ascii="Times New Roman" w:cs="Times New Roman" w:eastAsia="Times New Roman" w:hAnsi="Times New Roman"/>
          <w:sz w:val="18"/>
          <w:szCs w:val="18"/>
          <w:color w:val="000000"/>
        </w:rPr>
        <w:t>in this report.</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ExxonMobil maintains a website at exxonmobil.com. Our annual report on Form 10-K, quarterly reports on Form 10-Q, current reports on Form 8-K, and any amendments to those reports filed or furnished pursuant to Section 13(a) of the Securities Exchange Act of 1934 are made available through our website as soon as reasonably practical after we electronically file or furnish the reports to the Securities and Exchange Commission (SEC). Also available on the Corporation’s website are the Company’s Corporate Governance Guidelines, Code of Ethics and Business Conduct, and additional policies as well as the charters of the audit, compensation, and other committees of the Board of Directors. Information on our website is not incorporated into this report.</w:t>
      </w:r>
    </w:p>
    <w:p>
      <w:pPr>
        <w:spacing w:after="0" w:line="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SEC maintains an internet site (http://www.sec.gov) that contains reports, proxy and information statements, and other information regarding issuers that file electronically with the SEC.</w:t>
      </w: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0C479D"/>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ExxonMobil’s financial and operating results are subject to a variety of risks inherent in the global oil, gas, and petrochemical businesses and the pursuit of lower-emission and other new business opportunities. Many of these risk factors are not within the Company’s control and could adversely affect our business, our financial and operating results, or our financial condition. These risk factors include: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C479D"/>
        </w:rPr>
        <w:t>Supply and Demand</w:t>
      </w:r>
    </w:p>
    <w:p>
      <w:pPr>
        <w:spacing w:after="0" w:line="9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oil, gas, and petrochemical businesses are fundamentally commodity businesses. This means ExxonMobil’s operations and earnings may be significantly affected by changes in oil, gas, and petrochemical prices and by changes in margins on refined products. Oil, gas, petrochemical, and product prices and margins in turn depend on local, regional, and global events or conditions that affect supply and demand for the relevant commodity or product. Any material decline in oil or natural gas prices could have a material adverse effect on the Company’s operations, financial condition, and proved reserves, especially in the Upstream segment. On the other hand, a material increase in oil or natural gas prices could have a material adverse effect on the Company’s operations, especially in the Energy Products, Chemical Products, and Specialty Products segments. Our pursuit of lower-emission and other new business opportunities, including carbon capture and storage, hydrogen, lower-emission fuels, Proxxima</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systems, carbon materials, and lithium also depends on the growth and development of markets for those products and services, including implementation of supportive and stable government policies and developments in technology to enable those products and services to be provided on a cost-effective basis at commercial scale. See “Climate Change and the Energy Transition” in this Item 1A.</w:t>
      </w:r>
    </w:p>
    <w:p>
      <w:pPr>
        <w:spacing w:after="0" w:line="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Economic conditions. </w:t>
      </w:r>
      <w:r>
        <w:rPr>
          <w:rFonts w:ascii="Times New Roman" w:cs="Times New Roman" w:eastAsia="Times New Roman" w:hAnsi="Times New Roman"/>
          <w:sz w:val="18"/>
          <w:szCs w:val="18"/>
          <w:color w:val="auto"/>
        </w:rPr>
        <w:t>The demand for energy and petrochemicals is generally linked closely with broad-based economic activities and levels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prosperity. The occurrence of economic downturns, recessions or other periods of low or negative economic growth will typically have a direct adverse impact on our results. Other factors that affect general economic conditions in the world or in a major region, such as changes in population growth rates, periods of civil unrest, government regulation or austerity programs, national or regional trade tariffs, trade sanctions or trade controls, international monetary and currency exchange rate fluctuations, decoupling of economies, disruptions in trade alliances or military alliances, or a broader breakdown in global trade, security or public health issues and responses, can also impact the demand for energy and petrochemicals. Sovereign debt downgrades, defaults, extended government shutdowns, inability to access debt markets due to rating, banking, or legal constraints, liquidity crises, the breakup or restructuring of fiscal, monetary, or political systems such as the European Union, de-dollarization in global trade or the growth or use of alternative common currencies, and other events or conditions that impair the functioning of financial markets and institutions also pose risks to ExxonMobil, including risks to the safety of our financial assets and to the ability of our partners and customers to fulfill their commitments to ExxonMobil. Our future business results, including cash flows and financing needs, may also be affected by the occurrence, severity, pace and rate of recovery of future public health epidemics or pandemics; the responsive actions taken by governments and others; and the resulting effects on regional and global markets and economies.</w:t>
      </w:r>
    </w:p>
    <w:p>
      <w:pPr>
        <w:spacing w:after="0" w:line="6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Other demand-related factors. </w:t>
      </w:r>
      <w:r>
        <w:rPr>
          <w:rFonts w:ascii="Times New Roman" w:cs="Times New Roman" w:eastAsia="Times New Roman" w:hAnsi="Times New Roman"/>
          <w:sz w:val="18"/>
          <w:szCs w:val="18"/>
          <w:color w:val="auto"/>
        </w:rPr>
        <w:t>Other factors that may affect the demand for oil, gas, petrochemicals or our other products, and therefore impact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results, include technological improvements in energy efficiency; seasonal weather patterns; increased competitiveness of, or government policy support for, alternative energy sources or potential substitutes for our products; changes in technology that alter fuel choices, such as technological advances in energy storage or other critical areas that make wind, solar, nuclear or other alternatives more competitive for power generation; changes in consumer preferences for our products, including consumer demand for alternative-fueled or electric transportation or alternatives to plastic products; and broad-based changes in personal income levels. See also “Climate Change and the Energy Transition” below.</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 w:name="page5"/>
    <w:bookmarkEnd w:id="4"/>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Other supply-related factors. </w:t>
      </w:r>
      <w:r>
        <w:rPr>
          <w:rFonts w:ascii="Times New Roman" w:cs="Times New Roman" w:eastAsia="Times New Roman" w:hAnsi="Times New Roman"/>
          <w:sz w:val="18"/>
          <w:szCs w:val="18"/>
          <w:color w:val="auto"/>
        </w:rPr>
        <w:t>Commodity prices and margins also vary depending on a number of factors affecting supply. For example, increased supply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development of new oil and gas supply sources and technologies to enhance recovery from existing sources tends to reduce commodity prices to the extent such supply increases are not offset by commensurate growth in demand. Similarly, increases in industry refining or petrochemical manufacturing capacity relative to demand tend to reduce margins on the affected products. World oil, gas, and petrochemical supply levels can also be affected by factors that reduce available supplies, such as the level of and adherence by participating countries to production quotas established by OPEC or OPEC+ and other agreements among sovereigns; government policies, including actions intended to reduce greenhouse gas emissions, that restrict oil and gas production or increase associated production, reporting or compliance costs; collective actions by non-governmental organizations and financial institutions to withhold funding or support from oil and gas producers; the occurrence of wars or hostile actions, including disruption of land or sea transportation routes; natural disasters; disruptions in competitors’ operations; and logistics constraints or unexpected unavailability of distribution channels that may disrupt supplies. Technological change can also alter the relative costs for competitors to find, produce and refine oil and gas, and to manufacture petrochemicals.</w:t>
      </w:r>
    </w:p>
    <w:p>
      <w:pPr>
        <w:spacing w:after="0" w:line="6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Other market factors. </w:t>
      </w:r>
      <w:r>
        <w:rPr>
          <w:rFonts w:ascii="Times New Roman" w:cs="Times New Roman" w:eastAsia="Times New Roman" w:hAnsi="Times New Roman"/>
          <w:sz w:val="18"/>
          <w:szCs w:val="18"/>
          <w:color w:val="auto"/>
        </w:rPr>
        <w:t>ExxonMobil’s business results are also exposed to potential negative impacts due to changes in interest rates, inflation, currency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exchange rates, changes in usage of the U.S. dollar in global trade, and other local or regional market conditions. In addition to direct potential impacts on our costs and revenues, market factors such as rates of inflation may indirectly impact our results to the extent such factors reduce general rates of economic growth and therefore energy demand, as discussed under “Economic conditions”. Market factors may also result in losses from commodity derivatives and other instruments we use to hedge price exposures or for trading purposes. Additional information regarding the potential future impact of market factors on our businesses is included or incorporated by reference under </w:t>
      </w:r>
      <w:r>
        <w:rPr>
          <w:rFonts w:ascii="Times New Roman" w:cs="Times New Roman" w:eastAsia="Times New Roman" w:hAnsi="Times New Roman"/>
          <w:sz w:val="18"/>
          <w:szCs w:val="18"/>
          <w:color w:val="0000FF"/>
        </w:rPr>
        <w:t>Item 7A</w:t>
      </w:r>
      <w:r>
        <w:rPr>
          <w:rFonts w:ascii="Times New Roman" w:cs="Times New Roman" w:eastAsia="Times New Roman" w:hAnsi="Times New Roman"/>
          <w:sz w:val="18"/>
          <w:szCs w:val="18"/>
          <w:color w:val="auto"/>
        </w:rPr>
        <w:t xml:space="preserve"> in this report.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C479D"/>
        </w:rPr>
        <w:t>Government and Political Factors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ExxonMobil’s results can be adversely affected by political or regulatory developments affecting our businesses or operations.</w:t>
      </w:r>
    </w:p>
    <w:p>
      <w:pPr>
        <w:spacing w:after="0" w:line="1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Access limitations. </w:t>
      </w:r>
      <w:r>
        <w:rPr>
          <w:rFonts w:ascii="Times New Roman" w:cs="Times New Roman" w:eastAsia="Times New Roman" w:hAnsi="Times New Roman"/>
          <w:sz w:val="18"/>
          <w:szCs w:val="18"/>
          <w:color w:val="auto"/>
        </w:rPr>
        <w:t>A number of countries limit access to their oil and gas resources, including by restricting leasing or permitting activities, or may place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resources off-limits from development altogether. Restrictions on production of oil and gas could increase to the extent governments view such measures as a viable approach for pursuing national and global energy and climate policies. Restrictions on foreign investment in the oil and gas sector tend to increase in times of high commodity prices or when national governments may have less need for outside sources of private capital. Many countries also restrict the import or export of certain products based on point of origin and such restrictions may increase during periods of escalating geopolitical or trade tensions.</w:t>
      </w:r>
    </w:p>
    <w:p>
      <w:pPr>
        <w:spacing w:after="0" w:line="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Restrictions on doing business. </w:t>
      </w:r>
      <w:r>
        <w:rPr>
          <w:rFonts w:ascii="Times New Roman" w:cs="Times New Roman" w:eastAsia="Times New Roman" w:hAnsi="Times New Roman"/>
          <w:sz w:val="18"/>
          <w:szCs w:val="18"/>
          <w:color w:val="auto"/>
        </w:rPr>
        <w:t>ExxonMobil is subject to laws and sanctions imposed by the United States and by other jurisdictions where we do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that may prohibit ExxonMobil or its affiliates from doing business in certain countries or with certain counterparties or restrict the kind of business that may be conducted, including acquiring and divesting certain assets or importing or exporting certain materials or products. Such restrictions may provide a competitive advantage to competitors who may not be subject to comparable restrictions.</w:t>
      </w:r>
    </w:p>
    <w:p>
      <w:pPr>
        <w:spacing w:after="0" w:line="4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Lack of legal certainty. </w:t>
      </w:r>
      <w:r>
        <w:rPr>
          <w:rFonts w:ascii="Times New Roman" w:cs="Times New Roman" w:eastAsia="Times New Roman" w:hAnsi="Times New Roman"/>
          <w:sz w:val="18"/>
          <w:szCs w:val="18"/>
          <w:color w:val="auto"/>
        </w:rPr>
        <w:t>Some countries in which we do business lack well-developed legal systems, lack political or governmental stability, have not yet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adopted or may be unable to maintain clear regulatory frameworks, or may have evolving and unharmonized standards that vary or conflict across jurisdictions. Lack of legal certainty exposes us to increased risk of adverse or unpredictable actions by government officials, may reduce our ability to comply timely or cost-effectively with evolving standards or requirements, and also makes it more difficult for us to enforce our contracts. In some cases, these risks can be partially offset by agreements to arbitrate disputes in an international forum, but the adequacy of this remedy may still depend on the local legal system to enforce an award.</w:t>
      </w:r>
    </w:p>
    <w:p>
      <w:pPr>
        <w:spacing w:after="0" w:line="4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Regulatory and litigation risks. </w:t>
      </w:r>
      <w:r>
        <w:rPr>
          <w:rFonts w:ascii="Times New Roman" w:cs="Times New Roman" w:eastAsia="Times New Roman" w:hAnsi="Times New Roman"/>
          <w:sz w:val="18"/>
          <w:szCs w:val="18"/>
          <w:color w:val="auto"/>
        </w:rPr>
        <w:t>Even in countries with well-developed legal systems where ExxonMobil does business, we remain exposed to changes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 or interpretation of settled law, including changes that result from international treaties and accords or changes by local jurisdictions encroaching on national regulatory frameworks or global issues, and changes in policy that could adversely affect our results, such as:</w:t>
      </w:r>
    </w:p>
    <w:p>
      <w:pPr>
        <w:spacing w:after="0" w:line="68" w:lineRule="exact"/>
        <w:rPr>
          <w:sz w:val="20"/>
          <w:szCs w:val="20"/>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or changes in taxes, duties, or government royalty rates, including retroactive claims, punitive taxes on oil, gas and petrochemical operations, windfall profit taxes, or global minimum taxes;</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controls;</w:t>
      </w:r>
    </w:p>
    <w:p>
      <w:pPr>
        <w:spacing w:after="0" w:line="103"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environmental regulations or other laws that penalize us for past or current production of legal and/or permitted products and operations, increase our cost of operation or compliance or reduce or delay available business opportunities, including changes in laws affecting offshore drilling operations, standards to complete decommissioning, water use, production of our products, emissions, hydraulic fracturing, or production or use of new or recycled plastics, as well as laws and regulations affecting trading, carbon capture and storage, hydrogen, lower-emission fuels, Proxxima</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systems, carbon materials, or lithium;</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policy-makers, regulators, or other actors to delay or deny necessary licenses and permits, restrict the availability of oil and gas leases or the transportation or export of our products, reduce or retract government incentives for emissions reductions, or otherwise require changes in the Company's business or strategy that could result in reduced returns;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5" w:name="page6"/>
    <w:bookmarkEnd w:id="5"/>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interpretations that exclude or disfavor our products under government policies or programs intended to support new or developing markets or technologies, or that otherwise are not technology-neutral;</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regulations mandating efficiency standards, emission standards, the use of alternative fuels or uncompetitive fuel components;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regulatory or legal standards as a foreign policy tool;</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unstable policies impacting new or emerging markets;</w:t>
      </w:r>
    </w:p>
    <w:p>
      <w:pPr>
        <w:spacing w:after="0" w:line="10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disclosure regulations that could create competitive disadvantages, require us to incur disproportionate costs, or increase legal risk due to a need to rely on uncertain estimates or extrapolations (such as emissions of third parties) and lack of uniform standards across jurisdictions, or by requiring us to disclose competitively sensitive commercial information or to violate the non-disclosure laws of other countries; and</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actions to cancel contracts, redenominate the official currency, renounce or default on obligations, renegotiate terms unilaterally, or expropriate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remedies available to compensate us for expropriation or other takings may be inadequate.</w:t>
      </w:r>
    </w:p>
    <w:p>
      <w:pPr>
        <w:spacing w:after="0" w:line="1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may be adversely affected by the outcome of litigation or arbitration, especially in countries such as the United States in which very large and unpredictable punitive damage awards may occur; by government enforcement proceedings alleging non-compliance with applicable laws or regulations; or by state and local government actors as well as private plaintiffs acting in parallel that attempt to use the legal system to promote public policy agendas (including seeking to reduce the production and sale of hydrocarbon products through litigation targeting the Company or other industry participants), gain political notoriety, or obtain monetary awards from the Company. The continued adoption of similar legal practices in the European Union or elsewhere would broaden this risk and has begun to be applied to some of our competitors in the European Union.</w:t>
      </w:r>
    </w:p>
    <w:p>
      <w:pPr>
        <w:spacing w:after="0" w:line="6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Security concerns. </w:t>
      </w:r>
      <w:r>
        <w:rPr>
          <w:rFonts w:ascii="Times New Roman" w:cs="Times New Roman" w:eastAsia="Times New Roman" w:hAnsi="Times New Roman"/>
          <w:sz w:val="18"/>
          <w:szCs w:val="18"/>
          <w:color w:val="auto"/>
        </w:rPr>
        <w:t>Successful operation of particular facilities or projects may be disrupted by civil unrest, acts of sabotage, piracy, or terrorism,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cybersecurity attacks, the application of national security laws or policies that result in restricting our ability to do business in a particular jurisdiction, strikes or protests, and other local security concerns. Such concerns may be directed specifically at our company, our industry, or as part of broader movements and may require us to incur greater costs for security or to shut down operations for a period of time.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C479D"/>
        </w:rPr>
        <w:t>Climate Change and the Energy Transition</w:t>
      </w:r>
    </w:p>
    <w:p>
      <w:pPr>
        <w:spacing w:after="0" w:line="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Net-zero scenarios. </w:t>
      </w:r>
      <w:r>
        <w:rPr>
          <w:rFonts w:ascii="Times New Roman" w:cs="Times New Roman" w:eastAsia="Times New Roman" w:hAnsi="Times New Roman"/>
          <w:sz w:val="18"/>
          <w:szCs w:val="18"/>
          <w:color w:val="auto"/>
        </w:rPr>
        <w:t>Driven by concern over the risks of climate change, a number of countries have adopted, or are considering the adoption of, regulatory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frameworks to report on or reduce greenhouse gas emissions, including emissions from the production and use of oil and gas and their products, as well as increase the use of or support for different emission-reduction technologies. These actions are being taken both independently by national and regional governments and within the framework of United Nations Conference of the Parties summits under which many countries of the world have endorsed objectives to reduce the atmospheric concentration of carbon dioxide (CO2) over the coming decades, with an ambition ultimately to achieve “net zero”. Net zero means that emissions of greenhouse gases from human activities would be balanced by actions that remove such gases from the atmosphere. Expectations for transition of the world’s energy system to lower-emission sources, and ultimately net-zero, derive from hypothetical scenarios that reflect many assumptions about the future, including supportive policy and technology advancements, and reflect substantial uncertainties. The Company’s objective to play a leading role in the energy transition, including the Company’s announced ambition ultimately to achieve net zero with respect to Scope 1 and 2 emissions from operations with continued technology development and government policy support where ExxonMobil is the operator, carries risks that the transition, including underlying technologies, government policies, and markets as discussed in more detail below, will not be available or develop at the pace or in the manner expected by current net-zero scenarios. The success of our strategy for the energy transition will also depend on our ability to recognize key signposts of changes in the global energy system on a timely basis, and our corresponding ability to direct investment to the technologies and businesses, at the appropriate stage of development, to best capitalize on our competitive strengths.</w:t>
      </w:r>
    </w:p>
    <w:p>
      <w:pPr>
        <w:spacing w:after="0" w:line="6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Greenhouse gas restrictions. </w:t>
      </w:r>
      <w:r>
        <w:rPr>
          <w:rFonts w:ascii="Times New Roman" w:cs="Times New Roman" w:eastAsia="Times New Roman" w:hAnsi="Times New Roman"/>
          <w:sz w:val="18"/>
          <w:szCs w:val="18"/>
          <w:color w:val="auto"/>
        </w:rPr>
        <w:t>Government actions intended to reduce greenhouse gas emissions include adoption of cap and trade regimes, carbon taxes,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carbon accounting, carbon-based import duties or other trade tariffs, minimum renewable usage requirements, restrictive permitting, increased mileage and other efficiency standards, mandates for sales of electric vehicles, restrictions on sales of gasoline-only vehicles, mandates for use of specific fuels or technologies, and other incentives or mandates designed to support certain technologies for transitioning to lower-emission energy sources. Political and other actors and their agents also increasingly seek to collectively advance climate change objectives indirectly, such as by seeking to reduce the availability or increase the cost of financing and investment in the oil and gas sector. These actions include delaying or blocking needed infrastructure, utilizing shareholder governance mechanisms against companies or their shareholders or financial institutions in an effort to deter investment in oil and gas activities, and taking other actions intended to promote changes in business strategy for oil and gas companies. Depending on how policies are formulated and applied, such policies could negatively affect our investment returns, make our hydrocarbon-based products more expensive or less competitive, lengthen project implementation times, and reduce demand for hydrocarbons, as well as shift hydrocarbon demand toward relatively lower-carbon alternatives. Current and pending greenhouse gas regulations or policies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6" w:name="page7"/>
    <w:bookmarkEnd w:id="6"/>
    <w:p>
      <w:pPr>
        <w:jc w:val="both"/>
        <w:spacing w:after="0" w:line="282" w:lineRule="auto"/>
        <w:rPr>
          <w:sz w:val="20"/>
          <w:szCs w:val="20"/>
          <w:color w:val="auto"/>
        </w:rPr>
      </w:pPr>
      <w:r>
        <w:rPr>
          <w:rFonts w:ascii="Times New Roman" w:cs="Times New Roman" w:eastAsia="Times New Roman" w:hAnsi="Times New Roman"/>
          <w:sz w:val="18"/>
          <w:szCs w:val="18"/>
          <w:color w:val="auto"/>
        </w:rPr>
        <w:t>may also increase our compliance costs, such as for monitoring or sequestering emissions and complying with increased or mandatory disclosure or due diligence requirements and government mandated energy transition plans.</w:t>
      </w:r>
    </w:p>
    <w:p>
      <w:pPr>
        <w:spacing w:after="0" w:line="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Technology and lower-emission solutions. </w:t>
      </w:r>
      <w:r>
        <w:rPr>
          <w:rFonts w:ascii="Times New Roman" w:cs="Times New Roman" w:eastAsia="Times New Roman" w:hAnsi="Times New Roman"/>
          <w:sz w:val="18"/>
          <w:szCs w:val="18"/>
          <w:color w:val="auto"/>
        </w:rPr>
        <w:t>Achieving societal ambitions to reduce greenhouse gas emissions and ultimately achieve net zero will require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technologies and added infrastructure to reduce the cost and increase the scalability of alternative energy sources, as well as technologies such as carbon capture and storage (CCS). CCS technologies, focused initially on capturing and sequestering CO2 emissions from high-carbon intensity industrial activities, can assist in meeting society’s objective to mitigate atmospheric greenhouse gas levels while also helping ensure the availability of the reliable and affordable energy the world requires. ExxonMobil has established a Low Carbon Solutions (LCS) business unit and is continuing efforts in our existing businesses to advance the development and deployment of these technologies and projects, including CCS, hydrogen, lower-emission fuels, and lithium, breakthrough energy efficiency processes, advanced energy-saving materials, and other technologies. The Company’s efforts include both in-house research and development as well as collaborative efforts with leading universities and with commercial partners involved in new energy technologies. Our future results and ability to grow our business, help others meet their emission-reduction goals, and succeed through the energy transition will depend in part on the success of these research and collaboration efforts and on our ability to adapt and apply the strengths of our current business model to providing the energy products of the future in a cost-competitive manner.</w:t>
      </w:r>
    </w:p>
    <w:p>
      <w:pPr>
        <w:spacing w:after="0" w:line="6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Policy and market development. </w:t>
      </w:r>
      <w:r>
        <w:rPr>
          <w:rFonts w:ascii="Times New Roman" w:cs="Times New Roman" w:eastAsia="Times New Roman" w:hAnsi="Times New Roman"/>
          <w:sz w:val="18"/>
          <w:szCs w:val="18"/>
          <w:color w:val="auto"/>
        </w:rPr>
        <w:t>The scale of the world’s energy system means that, in addition to developments in technology as discussed above,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successful energy transition will require appropriate support from governments and private participants throughout the global economy. Our ability to develop and deploy CCS and other new energy technologies at commercial scale, and the growth and future returns of LCS and other emerging businesses in which we invest, will depend in part on the continued development of stable and supportive government policies and markets. Failure or delay of these policies or markets to materialize or be maintained could adversely impact these investments. Policy and other actions that result in restricting the availability of hydrocarbon products without a commensurate reduction in demand may have unpredictable adverse effects, including increased commodity price volatility; periods of significantly higher commodity prices and resulting inflationary pressures; and local or regional energy shortages. Such effects in turn may depress economic growth or lead to rapid or conflicting shifts in policy by different actors, with resulting adverse effects on our businesses. In addition, the existence of supportive policies in any jurisdiction is not a guarantee that those policies will continue in the future. See also the discussion of “Supply and Demand,” “Government and Political Factors,” and “Operational and Other Factors” in this Item 1A.</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C479D"/>
        </w:rPr>
        <w:t>Operational and Other Factors</w:t>
      </w:r>
    </w:p>
    <w:p>
      <w:pPr>
        <w:spacing w:after="0" w:line="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external economic and political factors, our future business results also depend on our ability to successfully manage those factors that are, at least in part, within our control, including our capital allocation into existing and new businesses. The extent to which we manage these factors will impact our performance relative to competition. For projects in which we are not the operator, we depend on the management effectiveness of one or more co-venturers whom we do not control.</w:t>
      </w:r>
    </w:p>
    <w:p>
      <w:pPr>
        <w:spacing w:after="0" w:line="5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Exploration and development program. </w:t>
      </w:r>
      <w:r>
        <w:rPr>
          <w:rFonts w:ascii="Times New Roman" w:cs="Times New Roman" w:eastAsia="Times New Roman" w:hAnsi="Times New Roman"/>
          <w:sz w:val="18"/>
          <w:szCs w:val="18"/>
          <w:color w:val="auto"/>
        </w:rPr>
        <w:t>Our ability to maintain and grow our oil and gas production depends on the success of our exploration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efforts. Among other factors, we must continuously improve our ability to identify the most promising resource prospects and apply our project management expertise to bring discovered resources online as scheduled and within budget.</w:t>
      </w:r>
    </w:p>
    <w:p>
      <w:pPr>
        <w:spacing w:after="0" w:line="3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Project and portfolio management. </w:t>
      </w:r>
      <w:r>
        <w:rPr>
          <w:rFonts w:ascii="Times New Roman" w:cs="Times New Roman" w:eastAsia="Times New Roman" w:hAnsi="Times New Roman"/>
          <w:sz w:val="18"/>
          <w:szCs w:val="18"/>
          <w:color w:val="auto"/>
        </w:rPr>
        <w:t>The long-term success of ExxonMobil’s Upstream and Product Solutions businesses, as well as the future success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LCS and other emerging investments, depends on complex, long-term, capital-intensive projects. These projects in turn require a high degree of project management expertise to maximize efficiency. Specific factors that can affect the performance of major projects include our ability to: negotiate successfully with joint venturers, partners, governments, suppliers, customers, or others; protect and enforce our contractual and legal rights, including with our joint venture partners; model and optimize reservoir performance; develop markets for project outputs, whether through long-term contracts or the development of effective spot markets; qualify for certain incentives available under supportive government policies for emerging markets and technologies; manage changes in operating conditions and costs, including costs of third party equipment or services such as drilling rigs and shipping, supply-chain disruptions, and inflationary cost pressures; prevent, to the extent possible, and respond effectively to unforeseen technical difficulties that could delay project start-up or cause unscheduled project downtime; and influence the performance of project operators where ExxonMobil does not perform that role. In addition to the effective management of individual projects, ExxonMobil’s success, including our ability to mitigate risk and provide attractive returns to shareholders, depends on our ability to successfully manage our overall portfolio, including diversification among types and locations of our projects, products produced, and strategies to acquire or divest assets. We may not be able to acquire or divest assets at a price or on the timeline we contemplate in our strategies. Additionally, we may retain certain liabilities following a divestment and could be held liable for past use or for different liabilities than anticipated, including reversion of decommissioning or other liabilities upon bankruptcy or other default of successors in title.</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 “project” as used in this report can refer to a variety of different activities and does not necessarily have the same meaning as in any government payment transparency reports.</w:t>
      </w:r>
    </w:p>
    <w:p>
      <w:pPr>
        <w:spacing w:after="0" w:line="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Operational efficiency. </w:t>
      </w:r>
      <w:r>
        <w:rPr>
          <w:rFonts w:ascii="Times New Roman" w:cs="Times New Roman" w:eastAsia="Times New Roman" w:hAnsi="Times New Roman"/>
          <w:sz w:val="18"/>
          <w:szCs w:val="18"/>
          <w:color w:val="auto"/>
        </w:rPr>
        <w:t>An important component of ExxonMobil’s competitive performance, especially given the commodity-based nature of many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businesses, is our ability to operate efficiently, including our ability to manage expenses, improve production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7" w:name="page8"/>
    <w:bookmarkEnd w:id="7"/>
    <w:p>
      <w:pPr>
        <w:jc w:val="both"/>
        <w:spacing w:after="0" w:line="261" w:lineRule="auto"/>
        <w:rPr>
          <w:sz w:val="20"/>
          <w:szCs w:val="20"/>
          <w:color w:val="auto"/>
        </w:rPr>
      </w:pPr>
      <w:r>
        <w:rPr>
          <w:rFonts w:ascii="Times New Roman" w:cs="Times New Roman" w:eastAsia="Times New Roman" w:hAnsi="Times New Roman"/>
          <w:sz w:val="18"/>
          <w:szCs w:val="18"/>
          <w:color w:val="auto"/>
        </w:rPr>
        <w:t>yields on an ongoing basis and successfully integrate and achieve the anticipated synergies of acquisitions, including the acquisition of Pioneer. This requires continuous management focus, including technology integration and improvements, cost control, productivity enhancements, harmonizing functions, policies, procedures and processes, regular reappraisal of our asset portfolio, and the recruitment, development, and retention of high caliber employees.</w:t>
      </w:r>
    </w:p>
    <w:p>
      <w:pPr>
        <w:spacing w:after="0" w:line="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Research and development and technological change. </w:t>
      </w:r>
      <w:r>
        <w:rPr>
          <w:rFonts w:ascii="Times New Roman" w:cs="Times New Roman" w:eastAsia="Times New Roman" w:hAnsi="Times New Roman"/>
          <w:sz w:val="18"/>
          <w:szCs w:val="18"/>
          <w:color w:val="auto"/>
        </w:rPr>
        <w:t>To maintain our competitive position, especially in light of the technological nature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businesses, the dynamic and rapidly evolving technological landscape, and the need for continuous efficiency improvement, ExxonMobil’s technology, research, and development organizations must be successful and able to adapt to a changing market, regulatory, and policy environment, including continuous improvement in the efficiency of hydraulic fracturing technology and developing technologies to help reduce greenhouse gas emissions. To remain competitive, we must also continuously adapt and capture the benefits of new and emerging technologies, including successfully applying advances in the ability to process very large amounts of data to our businesses.</w:t>
      </w:r>
    </w:p>
    <w:p>
      <w:pPr>
        <w:spacing w:after="0" w:line="6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Safety, business controls, and environmental risk management. </w:t>
      </w:r>
      <w:r>
        <w:rPr>
          <w:rFonts w:ascii="Times New Roman" w:cs="Times New Roman" w:eastAsia="Times New Roman" w:hAnsi="Times New Roman"/>
          <w:sz w:val="18"/>
          <w:szCs w:val="18"/>
          <w:color w:val="auto"/>
        </w:rPr>
        <w:t>Our results depend on management’s ability to minimize the inherent risks of oil, gas,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petrochemical operations, as well as potential risks related to new energy technologies, to effectively control our business activities, including trading, and to minimize the potential for human error. We apply rigorous management systems and continuous focus on workplace safety and avoiding spills or other adverse environmental events. For example, we work to minimize spills through a combined program of effective operations integrity management, ongoing upgrades, key equipment replacements, and comprehensive inspection and surveillance. Similarly, we are implementing cost-effective new technologies and adopting new operating practices to reduce emissions, not only in response to government requirements but also to address community priorities. We employ a robust and actively evolving enterprise risk management system to identify and manage risk across our businesses. We also maintain a disciplined framework of internal controls and apply a controls management system for monitoring compliance with this framework. Substantial liabilities and other adverse impacts could result if we do not timely identify and mitigate applicable risks, or if our management systems and controls do not function as intended.</w:t>
      </w:r>
    </w:p>
    <w:p>
      <w:pPr>
        <w:spacing w:after="0" w:line="5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Cybersecurity. </w:t>
      </w:r>
      <w:r>
        <w:rPr>
          <w:rFonts w:ascii="Times New Roman" w:cs="Times New Roman" w:eastAsia="Times New Roman" w:hAnsi="Times New Roman"/>
          <w:sz w:val="18"/>
          <w:szCs w:val="18"/>
          <w:color w:val="auto"/>
        </w:rPr>
        <w:t>ExxonMobil is regularly subject to attempted cybersecurity disruptions from a variety of sources including state-sponsored actors. See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0000FF"/>
        </w:rPr>
        <w:t>Item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0000FF"/>
        </w:rPr>
        <w:t xml:space="preserve">1C </w:t>
      </w:r>
      <w:r>
        <w:rPr>
          <w:rFonts w:ascii="Times New Roman" w:cs="Times New Roman" w:eastAsia="Times New Roman" w:hAnsi="Times New Roman"/>
          <w:sz w:val="18"/>
          <w:szCs w:val="18"/>
          <w:color w:val="000000"/>
        </w:rPr>
        <w:t>in this report for information on ExxonMobil’s program for managing cybersecurity risks. If the measures we are taking to protect against cybersecurity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disruptions prove to be insufficient or if our proprietary data is otherwise not protected, ExxonMobil, as well as our customers, employees, or third parties, could be adversely affected. We have limited ability to influence third parties, including our partners, suppliers and service providers (including providers of cloud-hosting services for our data or applications), to implement strong cybersecurity controls and are exposed to potential harm from cybersecurity events that may affect their operations. Cybersecurity disruptions could cause physical harm to people or the environment; damage or destroy assets; compromise business systems; result in proprietary information being altered, lost, or stolen; result in employee, customer, or third-party information being compromised; or otherwise disrupt our business operations. We could incur significant costs to remedy the effects of a major cybersecurity disruption in addition to costs in connection with resulting regulatory actions, litigation, or reputational harm.</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Preparedness. </w:t>
      </w:r>
      <w:r>
        <w:rPr>
          <w:rFonts w:ascii="Times New Roman" w:cs="Times New Roman" w:eastAsia="Times New Roman" w:hAnsi="Times New Roman"/>
          <w:sz w:val="18"/>
          <w:szCs w:val="18"/>
          <w:color w:val="auto"/>
        </w:rPr>
        <w:t>Our operations may be disrupted by severe weather events, natural disasters, human error, and similar events. For example, hurricanes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damage our offshore production facilities or coastal refining and petrochemical plants in vulnerable areas. Our facilities are designed, engineered, constructed, and operated to withstand a variety of extreme climatic and other conditions, with safety factors built in to cover a number of uncertainties, including those associated with wave, wind, and current intensity, marine ice flow patterns, permafrost stability, storm surge magnitude, temperature extremes, extreme rainfall events, and earthquakes. Our consideration of changing weather conditions and inclusion of safety factors in design covers the engineering uncertainties that climate change and other events may potentially introduce. Our ability to mitigate the adverse impacts of these events depends in part upon the effectiveness of our robust facility engineering, our rigorous disaster preparedness and response, and business continuity planning.</w:t>
      </w:r>
    </w:p>
    <w:p>
      <w:pPr>
        <w:spacing w:after="0" w:line="6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Insurance limitations. </w:t>
      </w:r>
      <w:r>
        <w:rPr>
          <w:rFonts w:ascii="Times New Roman" w:cs="Times New Roman" w:eastAsia="Times New Roman" w:hAnsi="Times New Roman"/>
          <w:sz w:val="18"/>
          <w:szCs w:val="18"/>
          <w:color w:val="auto"/>
        </w:rPr>
        <w:t>The ability of the Corporation to insure against many of the risks it faces as described in this Item 1A is limited by the availability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cost of coverage, which may not be economic, as well as the capacity of the applicable insurance markets, which may not be sufficient.</w:t>
      </w:r>
    </w:p>
    <w:p>
      <w:pPr>
        <w:spacing w:after="0" w:line="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Competition. </w:t>
      </w:r>
      <w:r>
        <w:rPr>
          <w:rFonts w:ascii="Times New Roman" w:cs="Times New Roman" w:eastAsia="Times New Roman" w:hAnsi="Times New Roman"/>
          <w:sz w:val="18"/>
          <w:szCs w:val="18"/>
          <w:color w:val="auto"/>
        </w:rPr>
        <w:t>As noted in Item 1 above, the energy and petrochemical industries are highly competitive. We face competition not only from other private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firms, but also from state-owned companies that are increasingly competing for opportunities outside of their home countries and as partners with other private firms. In some cases, these state-owned companies may pursue opportunities in furtherance of strategic objectives of their government owners, with less focus on financial returns than companies owned by private shareholders, such as ExxonMobil. Technology and expertise provided by industry service companies may also enhance the competitiveness of firms that may not have the internal resources and capabilities of ExxonMobil or reduce the need for resource-owning countries to partner with private-sector oil and gas companies in order to monetize national resources. As described in more detail above, our hydrocarbon-based energy products are also subject to growing and, in many cases, government-supported competition from alternative energy sources. In addition, as we enter new markets in pursuit of lower-emission and other new business opportunities, we will need to compete effectively with established competitors in these markets, as well as with new market entrants seeking to capitalize on these opportunities, while successfully navigating changing market conditions or technologies.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8" w:name="page9"/>
    <w:bookmarkEnd w:id="8"/>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Reputation. </w:t>
      </w:r>
      <w:r>
        <w:rPr>
          <w:rFonts w:ascii="Times New Roman" w:cs="Times New Roman" w:eastAsia="Times New Roman" w:hAnsi="Times New Roman"/>
          <w:sz w:val="18"/>
          <w:szCs w:val="18"/>
          <w:color w:val="auto"/>
        </w:rPr>
        <w:t>Our reputation is an important corporate asset. Factors that could have a negative impact on our reputation include an operating incident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significant cybersecurity disruption; changes in consumer views concerning our products; changes in consumer media preferences from traditional mainstream media to decentralized and personalized media; a perception by investors or others that the Corporation is making insufficient progress with respect to our ambition to play a leading role in the energy transition, or that pursuit of this ambition may result in allocation of capital to investments with reduced returns; and other adverse events such as those described in this Item 1A. Negative impacts on our reputation could in turn make it more difficult for us to compete successfully for new opportunities, obtain necessary regulatory approvals, obtain financing, and attract talent, or they could reduce consumer demand for our branded products. ExxonMobil’s reputation may also be harmed by events which negatively affect the image of our industry as a whole.</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Projections, estimates, and descriptions of ExxonMobil’s plans and objectives included or incorporated in Items 1, 1A, 1C, 2, 5, 7, and 7A of this report are forward-looking statements. Actual future results, including project completion dates, production rates, capital expenditures, costs, and business plans could differ materially due to, among other things, the factors discussed above and elsewhere in this report.</w:t>
      </w:r>
    </w:p>
    <w:p>
      <w:pPr>
        <w:spacing w:after="0" w:line="200" w:lineRule="exact"/>
        <w:rPr>
          <w:sz w:val="20"/>
          <w:szCs w:val="20"/>
          <w:color w:val="auto"/>
        </w:rPr>
      </w:pPr>
    </w:p>
    <w:p>
      <w:pPr>
        <w:spacing w:after="0" w:line="3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0C479D"/>
        </w:rPr>
        <w:t>ITEM 1B. UNRESOLVED STAFF 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0C479D"/>
        </w:rPr>
        <w:t>ITEM 1C. CYBERSECURITY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Corporation recognizes the importance of cybersecurity in achieving its business objectives, safeguarding its assets, and managing its daily operations. Accordingly, the Corporation integrates cybersecurity risks into its overall enterprise risk management system. The Audit Committee oversees the Corporation’s risk management approach and structure, which includes an annual review of the Corporation’s cybersecurity program.</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Corporation’s cybersecurity program is managed by the Corporation’s Vice President of Information Technology (IT), with support from cross-functional teams led by ExxonMobil IT and operational technology (OT) cybersecurity operations managers (collectively, Cybersecurity Operations Managers). The Cybersecurity Operations Managers are responsible for the day-to-day management and effective functioning of the cybersecurity program, including the prevention, detection, investigation, and response to cybersecurity threats and incidents. The Cybersecurity Operations Managers collectively have many years of experience in cybersecurity operations.</w:t>
      </w:r>
    </w:p>
    <w:p>
      <w:pPr>
        <w:spacing w:after="0" w:line="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management provides regular reports to the Corporation’s senior management throughout the year, and to the Audit Committee or the Board of Directors, as appropriate, in its annual cybersecurity review. Such reports typically address, among other things, the Corporation’s cybersecurity strategy, initiatives, key security metrics, penetration testing and benchmarking learnings, and business response plans as well as the evolving cybersecurity threat landscape.</w:t>
      </w:r>
    </w:p>
    <w:p>
      <w:pPr>
        <w:spacing w:after="0" w:line="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Corporation’s cybersecurity program includes multi-layered technological capabilities designed to prevent and detect cybersecurity disruptions and leverages industry standard frameworks, including the National Institute of Standards and Technology Cybersecurity Framework. The cybersecurity program incorporates an incident response plan to engage cross-functionally across the Corporation and report cybersecurity incidents to appropriate levels of management, including senior management, and the Audit Committee or Board of Directors, based on potential impact. The Corporation conducts annual cybersecurity awareness training and routinely tests cybersecurity awareness and business preparedness for response and recovery, which are developed based on real-world threats. In addition, the Corporation exchanges threat information with governmental and industry groups and proactively engages independent, third-party cybersecurity experts to test, evaluate, and recommend improvements on the effectiveness and resiliency of its cybersecurity program through penetration testing, breach assessments, regular cybersecurity incident drill testing, threat information sharing, and industry benchmarking. The Corporation takes a risk-based approach with respect to its third-party service providers, tailoring processes according to the nature and sensitivity of the data or systems accessed by such third-party service providers and performing additional risk screenings and procedures, as appropriate.</w:t>
      </w:r>
    </w:p>
    <w:p>
      <w:pPr>
        <w:spacing w:after="0" w:line="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this report, we have not identified any risks from known cybersecurity threats, including as a result of any prior cybersecurity incidents, that have materially affected, or are reasonably likely to materially affect the Corporation, including our business strategy, results of operations, or financial condition.</w:t>
      </w:r>
    </w:p>
    <w:p>
      <w:pPr>
        <w:spacing w:after="0" w:line="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the Corporation believes its cybersecurity program to be appropriate for managing constantly evolving cybersecurity risks, no program can fully protect against all possible adverse events. For additional information on these risks and potential consequences if the measures we are taking prove to be insufficient or if our proprietary data is otherwise not protected, see "</w:t>
      </w:r>
      <w:r>
        <w:rPr>
          <w:rFonts w:ascii="Times New Roman" w:cs="Times New Roman" w:eastAsia="Times New Roman" w:hAnsi="Times New Roman"/>
          <w:sz w:val="18"/>
          <w:szCs w:val="18"/>
          <w:color w:val="0000FF"/>
        </w:rPr>
        <w:t>Item 1A</w:t>
      </w:r>
      <w:r>
        <w:rPr>
          <w:rFonts w:ascii="Times New Roman" w:cs="Times New Roman" w:eastAsia="Times New Roman" w:hAnsi="Times New Roman"/>
          <w:sz w:val="18"/>
          <w:szCs w:val="18"/>
          <w:color w:val="auto"/>
        </w:rPr>
        <w:t>. Risk Factors: Operational and Other Factors -- Cybersecurity” in this report.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9" w:name="page10"/>
    <w:bookmarkEnd w:id="9"/>
    <w:p>
      <w:pPr>
        <w:ind w:left="20"/>
        <w:spacing w:after="0"/>
        <w:rPr>
          <w:sz w:val="20"/>
          <w:szCs w:val="20"/>
          <w:color w:val="auto"/>
        </w:rPr>
      </w:pPr>
      <w:r>
        <w:rPr>
          <w:rFonts w:ascii="Times New Roman" w:cs="Times New Roman" w:eastAsia="Times New Roman" w:hAnsi="Times New Roman"/>
          <w:sz w:val="21"/>
          <w:szCs w:val="21"/>
          <w:b w:val="1"/>
          <w:bCs w:val="1"/>
          <w:color w:val="0C479D"/>
        </w:rPr>
        <w:t>ITEM 2.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479D"/>
        </w:rPr>
        <w:t>Information with regard to oil and gas producing activities follows: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C479D"/>
        </w:rPr>
        <w:t>1. Disclosure of Reserves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479D"/>
        </w:rPr>
        <w:t>A. Summary of Oil and Gas Reserves at Year-End 2024</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table below summarizes the oil-equivalent proved reserves in each geographic area and by product type for consolidated subsidiaries and equity companies. Natural gas is converted to an oil-equivalent basis at six billion cubic feet per one million barrels. The Corporation has reported proved reserves on the basis of the average of the first-day-of-the-month price for each month during the last 12-month period. No major discovery or other favorable or adverse event has occurred since December 31, 2024 that would cause a significant change in the estimated proved reserves as of that date.</w:t>
      </w:r>
    </w:p>
    <w:p>
      <w:pPr>
        <w:spacing w:after="0" w:line="252" w:lineRule="exact"/>
        <w:rPr>
          <w:sz w:val="20"/>
          <w:szCs w:val="20"/>
          <w:color w:val="auto"/>
        </w:rPr>
      </w:pPr>
    </w:p>
    <w:tbl>
      <w:tblPr>
        <w:tblLayout w:type="fixed"/>
        <w:tblInd w:w="800" w:type="dxa"/>
        <w:tblCellMar>
          <w:top w:w="0" w:type="dxa"/>
          <w:left w:w="0" w:type="dxa"/>
          <w:bottom w:w="0" w:type="dxa"/>
          <w:right w:w="0" w:type="dxa"/>
        </w:tblCellMar>
      </w:tblPr>
      <w:tr>
        <w:trPr>
          <w:trHeight w:val="178"/>
        </w:trPr>
        <w:tc>
          <w:tcPr>
            <w:tcW w:w="3060" w:type="dxa"/>
            <w:vAlign w:val="bottom"/>
            <w:vMerge w:val="restart"/>
            <w:shd w:val="clear" w:color="auto" w:fill="0C479D"/>
          </w:tcPr>
          <w:p>
            <w:pPr>
              <w:spacing w:after="0"/>
              <w:rPr>
                <w:sz w:val="20"/>
                <w:szCs w:val="20"/>
                <w:color w:val="auto"/>
              </w:rPr>
            </w:pPr>
            <w:r>
              <w:rPr>
                <w:rFonts w:ascii="Times New Roman" w:cs="Times New Roman" w:eastAsia="Times New Roman" w:hAnsi="Times New Roman"/>
                <w:sz w:val="18"/>
                <w:szCs w:val="18"/>
                <w:b w:val="1"/>
                <w:bCs w:val="1"/>
                <w:color w:val="FFFFFF"/>
              </w:rPr>
              <w:t>Proved Reserves</w:t>
            </w:r>
          </w:p>
        </w:tc>
        <w:tc>
          <w:tcPr>
            <w:tcW w:w="1240" w:type="dxa"/>
            <w:vAlign w:val="bottom"/>
            <w:vMerge w:val="restart"/>
            <w:shd w:val="clear" w:color="auto" w:fill="0C479D"/>
          </w:tcPr>
          <w:p>
            <w:pPr>
              <w:jc w:val="center"/>
              <w:ind w:left="40"/>
              <w:spacing w:after="0"/>
              <w:rPr>
                <w:sz w:val="20"/>
                <w:szCs w:val="20"/>
                <w:color w:val="auto"/>
              </w:rPr>
            </w:pPr>
            <w:r>
              <w:rPr>
                <w:rFonts w:ascii="Times New Roman" w:cs="Times New Roman" w:eastAsia="Times New Roman" w:hAnsi="Times New Roman"/>
                <w:sz w:val="14"/>
                <w:szCs w:val="14"/>
                <w:b w:val="1"/>
                <w:bCs w:val="1"/>
                <w:color w:val="FFFFFF"/>
              </w:rPr>
              <w:t>Crude</w:t>
            </w:r>
          </w:p>
        </w:tc>
        <w:tc>
          <w:tcPr>
            <w:tcW w:w="1080" w:type="dxa"/>
            <w:vAlign w:val="bottom"/>
            <w:vMerge w:val="restart"/>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Natural Gas</w:t>
            </w:r>
          </w:p>
        </w:tc>
        <w:tc>
          <w:tcPr>
            <w:tcW w:w="1060" w:type="dxa"/>
            <w:vAlign w:val="bottom"/>
            <w:vMerge w:val="restart"/>
            <w:shd w:val="clear" w:color="auto" w:fill="0C479D"/>
          </w:tcPr>
          <w:p>
            <w:pPr>
              <w:jc w:val="right"/>
              <w:ind w:right="220"/>
              <w:spacing w:after="0"/>
              <w:rPr>
                <w:sz w:val="20"/>
                <w:szCs w:val="20"/>
                <w:color w:val="auto"/>
              </w:rPr>
            </w:pPr>
            <w:r>
              <w:rPr>
                <w:rFonts w:ascii="Times New Roman" w:cs="Times New Roman" w:eastAsia="Times New Roman" w:hAnsi="Times New Roman"/>
                <w:sz w:val="14"/>
                <w:szCs w:val="14"/>
                <w:b w:val="1"/>
                <w:bCs w:val="1"/>
                <w:color w:val="FFFFFF"/>
              </w:rPr>
              <w:t>Bitumen</w:t>
            </w:r>
          </w:p>
        </w:tc>
        <w:tc>
          <w:tcPr>
            <w:tcW w:w="1040" w:type="dxa"/>
            <w:vAlign w:val="bottom"/>
            <w:vMerge w:val="restart"/>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Synthetic</w:t>
            </w:r>
          </w:p>
        </w:tc>
        <w:tc>
          <w:tcPr>
            <w:tcW w:w="1100" w:type="dxa"/>
            <w:vAlign w:val="bottom"/>
            <w:vMerge w:val="restart"/>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Natural</w:t>
            </w:r>
          </w:p>
        </w:tc>
        <w:tc>
          <w:tcPr>
            <w:tcW w:w="110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Oil-Equivalent</w:t>
            </w:r>
          </w:p>
        </w:tc>
        <w:tc>
          <w:tcPr>
            <w:tcW w:w="0" w:type="dxa"/>
            <w:vAlign w:val="bottom"/>
          </w:tcPr>
          <w:p>
            <w:pPr>
              <w:spacing w:after="0"/>
              <w:rPr>
                <w:sz w:val="1"/>
                <w:szCs w:val="1"/>
                <w:color w:val="auto"/>
              </w:rPr>
            </w:pPr>
          </w:p>
        </w:tc>
      </w:tr>
      <w:tr>
        <w:trPr>
          <w:trHeight w:val="81"/>
        </w:trPr>
        <w:tc>
          <w:tcPr>
            <w:tcW w:w="3060" w:type="dxa"/>
            <w:vAlign w:val="bottom"/>
            <w:vMerge w:val="continue"/>
            <w:shd w:val="clear" w:color="auto" w:fill="0C479D"/>
          </w:tcPr>
          <w:p>
            <w:pPr>
              <w:spacing w:after="0"/>
              <w:rPr>
                <w:sz w:val="7"/>
                <w:szCs w:val="7"/>
                <w:color w:val="auto"/>
              </w:rPr>
            </w:pPr>
          </w:p>
        </w:tc>
        <w:tc>
          <w:tcPr>
            <w:tcW w:w="1240" w:type="dxa"/>
            <w:vAlign w:val="bottom"/>
            <w:vMerge w:val="continue"/>
            <w:shd w:val="clear" w:color="auto" w:fill="0C479D"/>
          </w:tcPr>
          <w:p>
            <w:pPr>
              <w:spacing w:after="0"/>
              <w:rPr>
                <w:sz w:val="7"/>
                <w:szCs w:val="7"/>
                <w:color w:val="auto"/>
              </w:rPr>
            </w:pPr>
          </w:p>
        </w:tc>
        <w:tc>
          <w:tcPr>
            <w:tcW w:w="1080" w:type="dxa"/>
            <w:vAlign w:val="bottom"/>
            <w:vMerge w:val="continue"/>
            <w:shd w:val="clear" w:color="auto" w:fill="0C479D"/>
          </w:tcPr>
          <w:p>
            <w:pPr>
              <w:spacing w:after="0"/>
              <w:rPr>
                <w:sz w:val="7"/>
                <w:szCs w:val="7"/>
                <w:color w:val="auto"/>
              </w:rPr>
            </w:pPr>
          </w:p>
        </w:tc>
        <w:tc>
          <w:tcPr>
            <w:tcW w:w="1060" w:type="dxa"/>
            <w:vAlign w:val="bottom"/>
            <w:vMerge w:val="continue"/>
            <w:shd w:val="clear" w:color="auto" w:fill="0C479D"/>
          </w:tcPr>
          <w:p>
            <w:pPr>
              <w:spacing w:after="0"/>
              <w:rPr>
                <w:sz w:val="7"/>
                <w:szCs w:val="7"/>
                <w:color w:val="auto"/>
              </w:rPr>
            </w:pPr>
          </w:p>
        </w:tc>
        <w:tc>
          <w:tcPr>
            <w:tcW w:w="1040" w:type="dxa"/>
            <w:vAlign w:val="bottom"/>
            <w:vMerge w:val="continue"/>
            <w:shd w:val="clear" w:color="auto" w:fill="0C479D"/>
          </w:tcPr>
          <w:p>
            <w:pPr>
              <w:spacing w:after="0"/>
              <w:rPr>
                <w:sz w:val="7"/>
                <w:szCs w:val="7"/>
                <w:color w:val="auto"/>
              </w:rPr>
            </w:pPr>
          </w:p>
        </w:tc>
        <w:tc>
          <w:tcPr>
            <w:tcW w:w="1100" w:type="dxa"/>
            <w:vAlign w:val="bottom"/>
            <w:vMerge w:val="continue"/>
            <w:shd w:val="clear" w:color="auto" w:fill="0C479D"/>
          </w:tcPr>
          <w:p>
            <w:pPr>
              <w:spacing w:after="0"/>
              <w:rPr>
                <w:sz w:val="7"/>
                <w:szCs w:val="7"/>
                <w:color w:val="auto"/>
              </w:rPr>
            </w:pPr>
          </w:p>
        </w:tc>
        <w:tc>
          <w:tcPr>
            <w:tcW w:w="1100" w:type="dxa"/>
            <w:vAlign w:val="bottom"/>
            <w:vMerge w:val="restart"/>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Total</w:t>
            </w:r>
          </w:p>
        </w:tc>
        <w:tc>
          <w:tcPr>
            <w:tcW w:w="0" w:type="dxa"/>
            <w:vAlign w:val="bottom"/>
          </w:tcPr>
          <w:p>
            <w:pPr>
              <w:spacing w:after="0"/>
              <w:rPr>
                <w:sz w:val="1"/>
                <w:szCs w:val="1"/>
                <w:color w:val="auto"/>
              </w:rPr>
            </w:pPr>
          </w:p>
        </w:tc>
      </w:tr>
      <w:tr>
        <w:trPr>
          <w:trHeight w:val="81"/>
        </w:trPr>
        <w:tc>
          <w:tcPr>
            <w:tcW w:w="3060" w:type="dxa"/>
            <w:vAlign w:val="bottom"/>
            <w:vMerge w:val="continue"/>
            <w:shd w:val="clear" w:color="auto" w:fill="0C479D"/>
          </w:tcPr>
          <w:p>
            <w:pPr>
              <w:spacing w:after="0"/>
              <w:rPr>
                <w:sz w:val="7"/>
                <w:szCs w:val="7"/>
                <w:color w:val="auto"/>
              </w:rPr>
            </w:pPr>
          </w:p>
        </w:tc>
        <w:tc>
          <w:tcPr>
            <w:tcW w:w="1240" w:type="dxa"/>
            <w:vAlign w:val="bottom"/>
            <w:vMerge w:val="restart"/>
            <w:shd w:val="clear" w:color="auto" w:fill="0C479D"/>
          </w:tcPr>
          <w:p>
            <w:pPr>
              <w:jc w:val="center"/>
              <w:ind w:left="40"/>
              <w:spacing w:after="0"/>
              <w:rPr>
                <w:sz w:val="20"/>
                <w:szCs w:val="20"/>
                <w:color w:val="auto"/>
              </w:rPr>
            </w:pPr>
            <w:r>
              <w:rPr>
                <w:rFonts w:ascii="Times New Roman" w:cs="Times New Roman" w:eastAsia="Times New Roman" w:hAnsi="Times New Roman"/>
                <w:sz w:val="14"/>
                <w:szCs w:val="14"/>
                <w:b w:val="1"/>
                <w:bCs w:val="1"/>
                <w:color w:val="FFFFFF"/>
              </w:rPr>
              <w:t>Oil</w:t>
            </w:r>
          </w:p>
        </w:tc>
        <w:tc>
          <w:tcPr>
            <w:tcW w:w="1080" w:type="dxa"/>
            <w:vAlign w:val="bottom"/>
            <w:vMerge w:val="restart"/>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Liquids</w:t>
            </w:r>
          </w:p>
        </w:tc>
        <w:tc>
          <w:tcPr>
            <w:tcW w:w="1060" w:type="dxa"/>
            <w:vAlign w:val="bottom"/>
            <w:vMerge w:val="continue"/>
            <w:shd w:val="clear" w:color="auto" w:fill="0C479D"/>
          </w:tcPr>
          <w:p>
            <w:pPr>
              <w:spacing w:after="0"/>
              <w:rPr>
                <w:sz w:val="7"/>
                <w:szCs w:val="7"/>
                <w:color w:val="auto"/>
              </w:rPr>
            </w:pPr>
          </w:p>
        </w:tc>
        <w:tc>
          <w:tcPr>
            <w:tcW w:w="1040" w:type="dxa"/>
            <w:vAlign w:val="bottom"/>
            <w:vMerge w:val="restart"/>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w w:val="96"/>
              </w:rPr>
              <w:t>Oil</w:t>
            </w:r>
          </w:p>
        </w:tc>
        <w:tc>
          <w:tcPr>
            <w:tcW w:w="1100" w:type="dxa"/>
            <w:vAlign w:val="bottom"/>
            <w:vMerge w:val="restart"/>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Gas</w:t>
            </w:r>
          </w:p>
        </w:tc>
        <w:tc>
          <w:tcPr>
            <w:tcW w:w="1100" w:type="dxa"/>
            <w:vAlign w:val="bottom"/>
            <w:vMerge w:val="continue"/>
            <w:shd w:val="clear" w:color="auto" w:fill="0C479D"/>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3060" w:type="dxa"/>
            <w:vAlign w:val="bottom"/>
            <w:shd w:val="clear" w:color="auto" w:fill="0C479D"/>
          </w:tcPr>
          <w:p>
            <w:pPr>
              <w:spacing w:after="0"/>
              <w:rPr>
                <w:sz w:val="9"/>
                <w:szCs w:val="9"/>
                <w:color w:val="auto"/>
              </w:rPr>
            </w:pPr>
          </w:p>
        </w:tc>
        <w:tc>
          <w:tcPr>
            <w:tcW w:w="1240" w:type="dxa"/>
            <w:vAlign w:val="bottom"/>
            <w:vMerge w:val="continue"/>
            <w:shd w:val="clear" w:color="auto" w:fill="0C479D"/>
          </w:tcPr>
          <w:p>
            <w:pPr>
              <w:spacing w:after="0"/>
              <w:rPr>
                <w:sz w:val="9"/>
                <w:szCs w:val="9"/>
                <w:color w:val="auto"/>
              </w:rPr>
            </w:pPr>
          </w:p>
        </w:tc>
        <w:tc>
          <w:tcPr>
            <w:tcW w:w="1080" w:type="dxa"/>
            <w:vAlign w:val="bottom"/>
            <w:vMerge w:val="continue"/>
            <w:shd w:val="clear" w:color="auto" w:fill="0C479D"/>
          </w:tcPr>
          <w:p>
            <w:pPr>
              <w:spacing w:after="0"/>
              <w:rPr>
                <w:sz w:val="9"/>
                <w:szCs w:val="9"/>
                <w:color w:val="auto"/>
              </w:rPr>
            </w:pPr>
          </w:p>
        </w:tc>
        <w:tc>
          <w:tcPr>
            <w:tcW w:w="1060" w:type="dxa"/>
            <w:vAlign w:val="bottom"/>
            <w:shd w:val="clear" w:color="auto" w:fill="0C479D"/>
          </w:tcPr>
          <w:p>
            <w:pPr>
              <w:spacing w:after="0"/>
              <w:rPr>
                <w:sz w:val="9"/>
                <w:szCs w:val="9"/>
                <w:color w:val="auto"/>
              </w:rPr>
            </w:pPr>
          </w:p>
        </w:tc>
        <w:tc>
          <w:tcPr>
            <w:tcW w:w="1040" w:type="dxa"/>
            <w:vAlign w:val="bottom"/>
            <w:vMerge w:val="continue"/>
            <w:shd w:val="clear" w:color="auto" w:fill="0C479D"/>
          </w:tcPr>
          <w:p>
            <w:pPr>
              <w:spacing w:after="0"/>
              <w:rPr>
                <w:sz w:val="9"/>
                <w:szCs w:val="9"/>
                <w:color w:val="auto"/>
              </w:rPr>
            </w:pPr>
          </w:p>
        </w:tc>
        <w:tc>
          <w:tcPr>
            <w:tcW w:w="1100" w:type="dxa"/>
            <w:vAlign w:val="bottom"/>
            <w:vMerge w:val="continue"/>
            <w:shd w:val="clear" w:color="auto" w:fill="0C479D"/>
          </w:tcPr>
          <w:p>
            <w:pPr>
              <w:spacing w:after="0"/>
              <w:rPr>
                <w:sz w:val="9"/>
                <w:szCs w:val="9"/>
                <w:color w:val="auto"/>
              </w:rPr>
            </w:pPr>
          </w:p>
        </w:tc>
        <w:tc>
          <w:tcPr>
            <w:tcW w:w="1100" w:type="dxa"/>
            <w:vAlign w:val="bottom"/>
            <w:vMerge w:val="restart"/>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All Products</w:t>
            </w:r>
          </w:p>
        </w:tc>
        <w:tc>
          <w:tcPr>
            <w:tcW w:w="0" w:type="dxa"/>
            <w:vAlign w:val="bottom"/>
          </w:tcPr>
          <w:p>
            <w:pPr>
              <w:spacing w:after="0"/>
              <w:rPr>
                <w:sz w:val="1"/>
                <w:szCs w:val="1"/>
                <w:color w:val="auto"/>
              </w:rPr>
            </w:pPr>
          </w:p>
        </w:tc>
      </w:tr>
      <w:tr>
        <w:trPr>
          <w:trHeight w:val="81"/>
        </w:trPr>
        <w:tc>
          <w:tcPr>
            <w:tcW w:w="3060" w:type="dxa"/>
            <w:vAlign w:val="bottom"/>
            <w:shd w:val="clear" w:color="auto" w:fill="0C479D"/>
          </w:tcPr>
          <w:p>
            <w:pPr>
              <w:spacing w:after="0"/>
              <w:rPr>
                <w:sz w:val="7"/>
                <w:szCs w:val="7"/>
                <w:color w:val="auto"/>
              </w:rPr>
            </w:pPr>
          </w:p>
        </w:tc>
        <w:tc>
          <w:tcPr>
            <w:tcW w:w="1240" w:type="dxa"/>
            <w:vAlign w:val="bottom"/>
            <w:shd w:val="clear" w:color="auto" w:fill="0C479D"/>
          </w:tcPr>
          <w:p>
            <w:pPr>
              <w:spacing w:after="0"/>
              <w:rPr>
                <w:sz w:val="7"/>
                <w:szCs w:val="7"/>
                <w:color w:val="auto"/>
              </w:rPr>
            </w:pPr>
          </w:p>
        </w:tc>
        <w:tc>
          <w:tcPr>
            <w:tcW w:w="1080" w:type="dxa"/>
            <w:vAlign w:val="bottom"/>
            <w:shd w:val="clear" w:color="auto" w:fill="0C479D"/>
          </w:tcPr>
          <w:p>
            <w:pPr>
              <w:spacing w:after="0"/>
              <w:rPr>
                <w:sz w:val="7"/>
                <w:szCs w:val="7"/>
                <w:color w:val="auto"/>
              </w:rPr>
            </w:pPr>
          </w:p>
        </w:tc>
        <w:tc>
          <w:tcPr>
            <w:tcW w:w="1060" w:type="dxa"/>
            <w:vAlign w:val="bottom"/>
            <w:shd w:val="clear" w:color="auto" w:fill="0C479D"/>
          </w:tcPr>
          <w:p>
            <w:pPr>
              <w:spacing w:after="0"/>
              <w:rPr>
                <w:sz w:val="7"/>
                <w:szCs w:val="7"/>
                <w:color w:val="auto"/>
              </w:rPr>
            </w:pPr>
          </w:p>
        </w:tc>
        <w:tc>
          <w:tcPr>
            <w:tcW w:w="1040" w:type="dxa"/>
            <w:vAlign w:val="bottom"/>
            <w:shd w:val="clear" w:color="auto" w:fill="0C479D"/>
          </w:tcPr>
          <w:p>
            <w:pPr>
              <w:spacing w:after="0"/>
              <w:rPr>
                <w:sz w:val="7"/>
                <w:szCs w:val="7"/>
                <w:color w:val="auto"/>
              </w:rPr>
            </w:pPr>
          </w:p>
        </w:tc>
        <w:tc>
          <w:tcPr>
            <w:tcW w:w="1100" w:type="dxa"/>
            <w:vAlign w:val="bottom"/>
            <w:shd w:val="clear" w:color="auto" w:fill="0C479D"/>
          </w:tcPr>
          <w:p>
            <w:pPr>
              <w:spacing w:after="0"/>
              <w:rPr>
                <w:sz w:val="7"/>
                <w:szCs w:val="7"/>
                <w:color w:val="auto"/>
              </w:rPr>
            </w:pPr>
          </w:p>
        </w:tc>
        <w:tc>
          <w:tcPr>
            <w:tcW w:w="1100" w:type="dxa"/>
            <w:vAlign w:val="bottom"/>
            <w:vMerge w:val="continue"/>
            <w:shd w:val="clear" w:color="auto" w:fill="0C479D"/>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3060" w:type="dxa"/>
            <w:vAlign w:val="bottom"/>
            <w:tcBorders>
              <w:bottom w:val="single" w:sz="8" w:color="0C479D"/>
            </w:tcBorders>
            <w:shd w:val="clear" w:color="auto" w:fill="0C479D"/>
          </w:tcPr>
          <w:p>
            <w:pPr>
              <w:spacing w:after="0"/>
              <w:rPr>
                <w:sz w:val="20"/>
                <w:szCs w:val="20"/>
                <w:color w:val="auto"/>
              </w:rPr>
            </w:pPr>
          </w:p>
        </w:tc>
        <w:tc>
          <w:tcPr>
            <w:tcW w:w="1240" w:type="dxa"/>
            <w:vAlign w:val="bottom"/>
            <w:tcBorders>
              <w:bottom w:val="single" w:sz="8" w:color="0C479D"/>
            </w:tcBorders>
            <w:shd w:val="clear" w:color="auto" w:fill="0C479D"/>
          </w:tcPr>
          <w:p>
            <w:pPr>
              <w:jc w:val="center"/>
              <w:ind w:left="60"/>
              <w:spacing w:after="0"/>
              <w:rPr>
                <w:sz w:val="20"/>
                <w:szCs w:val="20"/>
                <w:color w:val="auto"/>
              </w:rPr>
            </w:pPr>
            <w:r>
              <w:rPr>
                <w:rFonts w:ascii="Times New Roman" w:cs="Times New Roman" w:eastAsia="Times New Roman" w:hAnsi="Times New Roman"/>
                <w:sz w:val="14"/>
                <w:szCs w:val="14"/>
                <w:i w:val="1"/>
                <w:iCs w:val="1"/>
                <w:color w:val="FFFFFF"/>
              </w:rPr>
              <w:t>(million bbls)</w:t>
            </w:r>
          </w:p>
        </w:tc>
        <w:tc>
          <w:tcPr>
            <w:tcW w:w="1080" w:type="dxa"/>
            <w:vAlign w:val="bottom"/>
            <w:tcBorders>
              <w:bottom w:val="single" w:sz="8" w:color="0C479D"/>
            </w:tcBorders>
            <w:shd w:val="clear" w:color="auto" w:fill="0C479D"/>
          </w:tcPr>
          <w:p>
            <w:pPr>
              <w:jc w:val="center"/>
              <w:spacing w:after="0"/>
              <w:rPr>
                <w:sz w:val="20"/>
                <w:szCs w:val="20"/>
                <w:color w:val="auto"/>
              </w:rPr>
            </w:pPr>
            <w:r>
              <w:rPr>
                <w:rFonts w:ascii="Times New Roman" w:cs="Times New Roman" w:eastAsia="Times New Roman" w:hAnsi="Times New Roman"/>
                <w:sz w:val="14"/>
                <w:szCs w:val="14"/>
                <w:i w:val="1"/>
                <w:iCs w:val="1"/>
                <w:color w:val="FFFFFF"/>
              </w:rPr>
              <w:t>(million bbls)</w:t>
            </w:r>
          </w:p>
        </w:tc>
        <w:tc>
          <w:tcPr>
            <w:tcW w:w="1060" w:type="dxa"/>
            <w:vAlign w:val="bottom"/>
            <w:tcBorders>
              <w:bottom w:val="single" w:sz="8" w:color="0C479D"/>
            </w:tcBorders>
            <w:shd w:val="clear" w:color="auto" w:fill="0C479D"/>
          </w:tcPr>
          <w:p>
            <w:pPr>
              <w:jc w:val="right"/>
              <w:ind w:right="100"/>
              <w:spacing w:after="0"/>
              <w:rPr>
                <w:sz w:val="20"/>
                <w:szCs w:val="20"/>
                <w:color w:val="auto"/>
              </w:rPr>
            </w:pPr>
            <w:r>
              <w:rPr>
                <w:rFonts w:ascii="Times New Roman" w:cs="Times New Roman" w:eastAsia="Times New Roman" w:hAnsi="Times New Roman"/>
                <w:sz w:val="14"/>
                <w:szCs w:val="14"/>
                <w:i w:val="1"/>
                <w:iCs w:val="1"/>
                <w:color w:val="FFFFFF"/>
              </w:rPr>
              <w:t>(million bbls)</w:t>
            </w:r>
          </w:p>
        </w:tc>
        <w:tc>
          <w:tcPr>
            <w:tcW w:w="1040" w:type="dxa"/>
            <w:vAlign w:val="bottom"/>
            <w:tcBorders>
              <w:bottom w:val="single" w:sz="8" w:color="0C479D"/>
            </w:tcBorders>
            <w:shd w:val="clear" w:color="auto" w:fill="0C479D"/>
          </w:tcPr>
          <w:p>
            <w:pPr>
              <w:jc w:val="center"/>
              <w:spacing w:after="0"/>
              <w:rPr>
                <w:sz w:val="20"/>
                <w:szCs w:val="20"/>
                <w:color w:val="auto"/>
              </w:rPr>
            </w:pPr>
            <w:r>
              <w:rPr>
                <w:rFonts w:ascii="Times New Roman" w:cs="Times New Roman" w:eastAsia="Times New Roman" w:hAnsi="Times New Roman"/>
                <w:sz w:val="14"/>
                <w:szCs w:val="14"/>
                <w:i w:val="1"/>
                <w:iCs w:val="1"/>
                <w:color w:val="FFFFFF"/>
              </w:rPr>
              <w:t>(million bbls)</w:t>
            </w:r>
          </w:p>
        </w:tc>
        <w:tc>
          <w:tcPr>
            <w:tcW w:w="1100" w:type="dxa"/>
            <w:vAlign w:val="bottom"/>
            <w:tcBorders>
              <w:bottom w:val="single" w:sz="8" w:color="0C479D"/>
            </w:tcBorders>
            <w:shd w:val="clear" w:color="auto" w:fill="0C479D"/>
          </w:tcPr>
          <w:p>
            <w:pPr>
              <w:jc w:val="center"/>
              <w:spacing w:after="0"/>
              <w:rPr>
                <w:sz w:val="20"/>
                <w:szCs w:val="20"/>
                <w:color w:val="auto"/>
              </w:rPr>
            </w:pPr>
            <w:r>
              <w:rPr>
                <w:rFonts w:ascii="Times New Roman" w:cs="Times New Roman" w:eastAsia="Times New Roman" w:hAnsi="Times New Roman"/>
                <w:sz w:val="14"/>
                <w:szCs w:val="14"/>
                <w:i w:val="1"/>
                <w:iCs w:val="1"/>
                <w:color w:val="FFFFFF"/>
              </w:rPr>
              <w:t>(billion cubic ft)</w:t>
            </w:r>
          </w:p>
        </w:tc>
        <w:tc>
          <w:tcPr>
            <w:tcW w:w="1100" w:type="dxa"/>
            <w:vAlign w:val="bottom"/>
            <w:tcBorders>
              <w:bottom w:val="single" w:sz="8" w:color="0C479D"/>
            </w:tcBorders>
            <w:shd w:val="clear" w:color="auto" w:fill="0C479D"/>
          </w:tcPr>
          <w:p>
            <w:pPr>
              <w:jc w:val="center"/>
              <w:spacing w:after="0"/>
              <w:rPr>
                <w:sz w:val="20"/>
                <w:szCs w:val="20"/>
                <w:color w:val="auto"/>
              </w:rPr>
            </w:pPr>
            <w:r>
              <w:rPr>
                <w:rFonts w:ascii="Times New Roman" w:cs="Times New Roman" w:eastAsia="Times New Roman" w:hAnsi="Times New Roman"/>
                <w:sz w:val="14"/>
                <w:szCs w:val="14"/>
                <w:i w:val="1"/>
                <w:iCs w:val="1"/>
                <w:color w:val="FFFFFF"/>
              </w:rPr>
              <w:t>(million bbls)</w:t>
            </w:r>
          </w:p>
        </w:tc>
        <w:tc>
          <w:tcPr>
            <w:tcW w:w="0" w:type="dxa"/>
            <w:vAlign w:val="bottom"/>
          </w:tcPr>
          <w:p>
            <w:pPr>
              <w:spacing w:after="0"/>
              <w:rPr>
                <w:sz w:val="1"/>
                <w:szCs w:val="1"/>
                <w:color w:val="auto"/>
              </w:rPr>
            </w:pPr>
          </w:p>
        </w:tc>
      </w:tr>
      <w:tr>
        <w:trPr>
          <w:trHeight w:val="264"/>
        </w:trPr>
        <w:tc>
          <w:tcPr>
            <w:tcW w:w="3060" w:type="dxa"/>
            <w:vAlign w:val="bottom"/>
          </w:tcPr>
          <w:p>
            <w:pPr>
              <w:spacing w:after="0"/>
              <w:rPr>
                <w:sz w:val="20"/>
                <w:szCs w:val="20"/>
                <w:color w:val="auto"/>
              </w:rPr>
            </w:pPr>
            <w:r>
              <w:rPr>
                <w:rFonts w:ascii="Times New Roman" w:cs="Times New Roman" w:eastAsia="Times New Roman" w:hAnsi="Times New Roman"/>
                <w:sz w:val="16"/>
                <w:szCs w:val="16"/>
                <w:b w:val="1"/>
                <w:bCs w:val="1"/>
                <w:color w:val="0C479D"/>
              </w:rPr>
              <w:t>Developed</w:t>
            </w:r>
          </w:p>
        </w:tc>
        <w:tc>
          <w:tcPr>
            <w:tcW w:w="1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Subsidiaries</w:t>
            </w: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United States</w:t>
            </w: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1,874</w:t>
            </w: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1,179</w:t>
            </w: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11,671</w:t>
            </w: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4,998</w:t>
            </w: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 xml:space="preserve">Canada/Other Americas </w:t>
            </w:r>
            <w:r>
              <w:rPr>
                <w:rFonts w:ascii="Times New Roman" w:cs="Times New Roman" w:eastAsia="Times New Roman" w:hAnsi="Times New Roman"/>
                <w:sz w:val="9"/>
                <w:szCs w:val="9"/>
                <w:i w:val="1"/>
                <w:iCs w:val="1"/>
                <w:color w:val="auto"/>
              </w:rPr>
              <w:t>(1)</w:t>
            </w: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472</w:t>
            </w: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2,308</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296</w:t>
            </w: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3,020</w:t>
            </w: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Europe</w:t>
            </w: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406</w:t>
            </w: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Africa</w:t>
            </w: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153</w:t>
            </w: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93</w:t>
            </w: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169</w:t>
            </w: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Asia</w:t>
            </w: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1,923</w:t>
            </w: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46</w:t>
            </w: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1,900</w:t>
            </w: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2,286</w:t>
            </w:r>
          </w:p>
        </w:tc>
        <w:tc>
          <w:tcPr>
            <w:tcW w:w="0" w:type="dxa"/>
            <w:vAlign w:val="bottom"/>
          </w:tcPr>
          <w:p>
            <w:pPr>
              <w:spacing w:after="0"/>
              <w:rPr>
                <w:sz w:val="1"/>
                <w:szCs w:val="1"/>
                <w:color w:val="auto"/>
              </w:rPr>
            </w:pPr>
          </w:p>
        </w:tc>
      </w:tr>
      <w:tr>
        <w:trPr>
          <w:trHeight w:val="219"/>
        </w:trPr>
        <w:tc>
          <w:tcPr>
            <w:tcW w:w="3060" w:type="dxa"/>
            <w:vAlign w:val="bottom"/>
            <w:tcBorders>
              <w:bottom w:val="single" w:sz="8" w:color="0C479D"/>
            </w:tcBorders>
          </w:tcPr>
          <w:p>
            <w:pPr>
              <w:ind w:left="120"/>
              <w:spacing w:after="0"/>
              <w:rPr>
                <w:sz w:val="20"/>
                <w:szCs w:val="20"/>
                <w:color w:val="auto"/>
              </w:rPr>
            </w:pPr>
            <w:r>
              <w:rPr>
                <w:rFonts w:ascii="Times New Roman" w:cs="Times New Roman" w:eastAsia="Times New Roman" w:hAnsi="Times New Roman"/>
                <w:sz w:val="16"/>
                <w:szCs w:val="16"/>
                <w:color w:val="auto"/>
              </w:rPr>
              <w:t>Australia/Oceania</w:t>
            </w:r>
          </w:p>
        </w:tc>
        <w:tc>
          <w:tcPr>
            <w:tcW w:w="124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color w:val="auto"/>
              </w:rPr>
              <w:t>33</w:t>
            </w:r>
          </w:p>
        </w:tc>
        <w:tc>
          <w:tcPr>
            <w:tcW w:w="1080" w:type="dxa"/>
            <w:vAlign w:val="bottom"/>
            <w:tcBorders>
              <w:bottom w:val="single" w:sz="8" w:color="0C479D"/>
            </w:tcBorders>
          </w:tcPr>
          <w:p>
            <w:pPr>
              <w:jc w:val="right"/>
              <w:ind w:right="40"/>
              <w:spacing w:after="0"/>
              <w:rPr>
                <w:sz w:val="20"/>
                <w:szCs w:val="20"/>
                <w:color w:val="auto"/>
              </w:rPr>
            </w:pPr>
            <w:r>
              <w:rPr>
                <w:rFonts w:ascii="Times New Roman" w:cs="Times New Roman" w:eastAsia="Times New Roman" w:hAnsi="Times New Roman"/>
                <w:sz w:val="16"/>
                <w:szCs w:val="16"/>
                <w:color w:val="auto"/>
              </w:rPr>
              <w:t>7</w:t>
            </w:r>
          </w:p>
        </w:tc>
        <w:tc>
          <w:tcPr>
            <w:tcW w:w="1060" w:type="dxa"/>
            <w:vAlign w:val="bottom"/>
            <w:tcBorders>
              <w:bottom w:val="single" w:sz="8" w:color="0C479D"/>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color w:val="auto"/>
              </w:rPr>
              <w:t>3,204</w:t>
            </w:r>
          </w:p>
        </w:tc>
        <w:tc>
          <w:tcPr>
            <w:tcW w:w="110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color w:val="auto"/>
              </w:rPr>
              <w:t>574</w:t>
            </w:r>
          </w:p>
        </w:tc>
        <w:tc>
          <w:tcPr>
            <w:tcW w:w="0" w:type="dxa"/>
            <w:vAlign w:val="bottom"/>
          </w:tcPr>
          <w:p>
            <w:pPr>
              <w:spacing w:after="0"/>
              <w:rPr>
                <w:sz w:val="1"/>
                <w:szCs w:val="1"/>
                <w:color w:val="auto"/>
              </w:rPr>
            </w:pPr>
          </w:p>
        </w:tc>
      </w:tr>
      <w:tr>
        <w:trPr>
          <w:trHeight w:val="210"/>
        </w:trPr>
        <w:tc>
          <w:tcPr>
            <w:tcW w:w="306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6"/>
                <w:szCs w:val="16"/>
                <w:color w:val="auto"/>
              </w:rPr>
              <w:t>Total Consolidated</w:t>
            </w:r>
          </w:p>
        </w:tc>
        <w:tc>
          <w:tcPr>
            <w:tcW w:w="124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color w:val="auto"/>
              </w:rPr>
              <w:t>4,458</w:t>
            </w:r>
          </w:p>
        </w:tc>
        <w:tc>
          <w:tcPr>
            <w:tcW w:w="1080" w:type="dxa"/>
            <w:vAlign w:val="bottom"/>
            <w:tcBorders>
              <w:bottom w:val="single" w:sz="8" w:color="0C479D"/>
            </w:tcBorders>
          </w:tcPr>
          <w:p>
            <w:pPr>
              <w:jc w:val="right"/>
              <w:ind w:right="40"/>
              <w:spacing w:after="0"/>
              <w:rPr>
                <w:sz w:val="20"/>
                <w:szCs w:val="20"/>
                <w:color w:val="auto"/>
              </w:rPr>
            </w:pPr>
            <w:r>
              <w:rPr>
                <w:rFonts w:ascii="Times New Roman" w:cs="Times New Roman" w:eastAsia="Times New Roman" w:hAnsi="Times New Roman"/>
                <w:sz w:val="16"/>
                <w:szCs w:val="16"/>
                <w:color w:val="auto"/>
              </w:rPr>
              <w:t>1,233</w:t>
            </w:r>
          </w:p>
        </w:tc>
        <w:tc>
          <w:tcPr>
            <w:tcW w:w="1060" w:type="dxa"/>
            <w:vAlign w:val="bottom"/>
            <w:tcBorders>
              <w:bottom w:val="single" w:sz="8" w:color="0C479D"/>
            </w:tcBorders>
          </w:tcPr>
          <w:p>
            <w:pPr>
              <w:jc w:val="right"/>
              <w:ind w:right="40"/>
              <w:spacing w:after="0"/>
              <w:rPr>
                <w:sz w:val="20"/>
                <w:szCs w:val="20"/>
                <w:color w:val="auto"/>
              </w:rPr>
            </w:pPr>
            <w:r>
              <w:rPr>
                <w:rFonts w:ascii="Times New Roman" w:cs="Times New Roman" w:eastAsia="Times New Roman" w:hAnsi="Times New Roman"/>
                <w:sz w:val="16"/>
                <w:szCs w:val="16"/>
                <w:color w:val="auto"/>
              </w:rPr>
              <w:t>2,308</w:t>
            </w:r>
          </w:p>
        </w:tc>
        <w:tc>
          <w:tcPr>
            <w:tcW w:w="10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10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color w:val="auto"/>
              </w:rPr>
              <w:t>17,570</w:t>
            </w:r>
          </w:p>
        </w:tc>
        <w:tc>
          <w:tcPr>
            <w:tcW w:w="110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color w:val="auto"/>
              </w:rPr>
              <w:t>11,118</w:t>
            </w:r>
          </w:p>
        </w:tc>
        <w:tc>
          <w:tcPr>
            <w:tcW w:w="0" w:type="dxa"/>
            <w:vAlign w:val="bottom"/>
          </w:tcPr>
          <w:p>
            <w:pPr>
              <w:spacing w:after="0"/>
              <w:rPr>
                <w:sz w:val="1"/>
                <w:szCs w:val="1"/>
                <w:color w:val="auto"/>
              </w:rPr>
            </w:pPr>
          </w:p>
        </w:tc>
      </w:tr>
      <w:tr>
        <w:trPr>
          <w:trHeight w:val="355"/>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Equity Companies</w:t>
            </w: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United States</w:t>
            </w: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w:t>
            </w: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47</w:t>
            </w: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Europe</w:t>
            </w: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262</w:t>
            </w: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Africa</w:t>
            </w: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w:t>
            </w: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816</w:t>
            </w: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143</w:t>
            </w:r>
          </w:p>
        </w:tc>
        <w:tc>
          <w:tcPr>
            <w:tcW w:w="0" w:type="dxa"/>
            <w:vAlign w:val="bottom"/>
          </w:tcPr>
          <w:p>
            <w:pPr>
              <w:spacing w:after="0"/>
              <w:rPr>
                <w:sz w:val="1"/>
                <w:szCs w:val="1"/>
                <w:color w:val="auto"/>
              </w:rPr>
            </w:pPr>
          </w:p>
        </w:tc>
      </w:tr>
      <w:tr>
        <w:trPr>
          <w:trHeight w:val="219"/>
        </w:trPr>
        <w:tc>
          <w:tcPr>
            <w:tcW w:w="3060" w:type="dxa"/>
            <w:vAlign w:val="bottom"/>
            <w:tcBorders>
              <w:bottom w:val="single" w:sz="8" w:color="0C479D"/>
            </w:tcBorders>
          </w:tcPr>
          <w:p>
            <w:pPr>
              <w:ind w:left="120"/>
              <w:spacing w:after="0"/>
              <w:rPr>
                <w:sz w:val="20"/>
                <w:szCs w:val="20"/>
                <w:color w:val="auto"/>
              </w:rPr>
            </w:pPr>
            <w:r>
              <w:rPr>
                <w:rFonts w:ascii="Times New Roman" w:cs="Times New Roman" w:eastAsia="Times New Roman" w:hAnsi="Times New Roman"/>
                <w:sz w:val="16"/>
                <w:szCs w:val="16"/>
                <w:color w:val="auto"/>
              </w:rPr>
              <w:t>Asia</w:t>
            </w:r>
          </w:p>
        </w:tc>
        <w:tc>
          <w:tcPr>
            <w:tcW w:w="124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color w:val="auto"/>
              </w:rPr>
              <w:t>452</w:t>
            </w:r>
          </w:p>
        </w:tc>
        <w:tc>
          <w:tcPr>
            <w:tcW w:w="1080" w:type="dxa"/>
            <w:vAlign w:val="bottom"/>
            <w:tcBorders>
              <w:bottom w:val="single" w:sz="8" w:color="0C479D"/>
            </w:tcBorders>
          </w:tcPr>
          <w:p>
            <w:pPr>
              <w:jc w:val="right"/>
              <w:ind w:right="40"/>
              <w:spacing w:after="0"/>
              <w:rPr>
                <w:sz w:val="20"/>
                <w:szCs w:val="20"/>
                <w:color w:val="auto"/>
              </w:rPr>
            </w:pPr>
            <w:r>
              <w:rPr>
                <w:rFonts w:ascii="Times New Roman" w:cs="Times New Roman" w:eastAsia="Times New Roman" w:hAnsi="Times New Roman"/>
                <w:sz w:val="16"/>
                <w:szCs w:val="16"/>
                <w:color w:val="auto"/>
              </w:rPr>
              <w:t>117</w:t>
            </w:r>
          </w:p>
        </w:tc>
        <w:tc>
          <w:tcPr>
            <w:tcW w:w="1060" w:type="dxa"/>
            <w:vAlign w:val="bottom"/>
            <w:tcBorders>
              <w:bottom w:val="single" w:sz="8" w:color="0C479D"/>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color w:val="auto"/>
              </w:rPr>
              <w:t>4,242</w:t>
            </w:r>
          </w:p>
        </w:tc>
        <w:tc>
          <w:tcPr>
            <w:tcW w:w="110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color w:val="auto"/>
              </w:rPr>
              <w:t>1,276</w:t>
            </w:r>
          </w:p>
        </w:tc>
        <w:tc>
          <w:tcPr>
            <w:tcW w:w="0" w:type="dxa"/>
            <w:vAlign w:val="bottom"/>
          </w:tcPr>
          <w:p>
            <w:pPr>
              <w:spacing w:after="0"/>
              <w:rPr>
                <w:sz w:val="1"/>
                <w:szCs w:val="1"/>
                <w:color w:val="auto"/>
              </w:rPr>
            </w:pPr>
          </w:p>
        </w:tc>
      </w:tr>
      <w:tr>
        <w:trPr>
          <w:trHeight w:val="210"/>
        </w:trPr>
        <w:tc>
          <w:tcPr>
            <w:tcW w:w="306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6"/>
                <w:szCs w:val="16"/>
                <w:color w:val="auto"/>
              </w:rPr>
              <w:t>Total Equity Company</w:t>
            </w:r>
          </w:p>
        </w:tc>
        <w:tc>
          <w:tcPr>
            <w:tcW w:w="124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color w:val="auto"/>
              </w:rPr>
              <w:t>467</w:t>
            </w:r>
          </w:p>
        </w:tc>
        <w:tc>
          <w:tcPr>
            <w:tcW w:w="1080" w:type="dxa"/>
            <w:vAlign w:val="bottom"/>
            <w:tcBorders>
              <w:bottom w:val="single" w:sz="8" w:color="0C479D"/>
            </w:tcBorders>
          </w:tcPr>
          <w:p>
            <w:pPr>
              <w:jc w:val="right"/>
              <w:ind w:right="40"/>
              <w:spacing w:after="0"/>
              <w:rPr>
                <w:sz w:val="20"/>
                <w:szCs w:val="20"/>
                <w:color w:val="auto"/>
              </w:rPr>
            </w:pPr>
            <w:r>
              <w:rPr>
                <w:rFonts w:ascii="Times New Roman" w:cs="Times New Roman" w:eastAsia="Times New Roman" w:hAnsi="Times New Roman"/>
                <w:sz w:val="16"/>
                <w:szCs w:val="16"/>
                <w:color w:val="auto"/>
              </w:rPr>
              <w:t>120</w:t>
            </w:r>
          </w:p>
        </w:tc>
        <w:tc>
          <w:tcPr>
            <w:tcW w:w="1060" w:type="dxa"/>
            <w:vAlign w:val="bottom"/>
            <w:tcBorders>
              <w:bottom w:val="single" w:sz="8" w:color="0C479D"/>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color w:val="auto"/>
              </w:rPr>
              <w:t>5,367</w:t>
            </w:r>
          </w:p>
        </w:tc>
        <w:tc>
          <w:tcPr>
            <w:tcW w:w="110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color w:val="auto"/>
              </w:rPr>
              <w:t>1,481</w:t>
            </w:r>
          </w:p>
        </w:tc>
        <w:tc>
          <w:tcPr>
            <w:tcW w:w="0" w:type="dxa"/>
            <w:vAlign w:val="bottom"/>
          </w:tcPr>
          <w:p>
            <w:pPr>
              <w:spacing w:after="0"/>
              <w:rPr>
                <w:sz w:val="1"/>
                <w:szCs w:val="1"/>
                <w:color w:val="auto"/>
              </w:rPr>
            </w:pPr>
          </w:p>
        </w:tc>
      </w:tr>
      <w:tr>
        <w:trPr>
          <w:trHeight w:val="219"/>
        </w:trPr>
        <w:tc>
          <w:tcPr>
            <w:tcW w:w="306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6"/>
                <w:szCs w:val="16"/>
                <w:b w:val="1"/>
                <w:bCs w:val="1"/>
                <w:color w:val="auto"/>
              </w:rPr>
              <w:t>Total Developed</w:t>
            </w:r>
          </w:p>
        </w:tc>
        <w:tc>
          <w:tcPr>
            <w:tcW w:w="124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4,925</w:t>
            </w:r>
          </w:p>
        </w:tc>
        <w:tc>
          <w:tcPr>
            <w:tcW w:w="1080" w:type="dxa"/>
            <w:vAlign w:val="bottom"/>
            <w:tcBorders>
              <w:bottom w:val="single" w:sz="8" w:color="0C479D"/>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1,353</w:t>
            </w:r>
          </w:p>
        </w:tc>
        <w:tc>
          <w:tcPr>
            <w:tcW w:w="1060" w:type="dxa"/>
            <w:vAlign w:val="bottom"/>
            <w:tcBorders>
              <w:bottom w:val="single" w:sz="8" w:color="0C479D"/>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2,308</w:t>
            </w:r>
          </w:p>
        </w:tc>
        <w:tc>
          <w:tcPr>
            <w:tcW w:w="10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190</w:t>
            </w:r>
          </w:p>
        </w:tc>
        <w:tc>
          <w:tcPr>
            <w:tcW w:w="110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22,937</w:t>
            </w:r>
          </w:p>
        </w:tc>
        <w:tc>
          <w:tcPr>
            <w:tcW w:w="110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12,599</w:t>
            </w:r>
          </w:p>
        </w:tc>
        <w:tc>
          <w:tcPr>
            <w:tcW w:w="0" w:type="dxa"/>
            <w:vAlign w:val="bottom"/>
          </w:tcPr>
          <w:p>
            <w:pPr>
              <w:spacing w:after="0"/>
              <w:rPr>
                <w:sz w:val="1"/>
                <w:szCs w:val="1"/>
                <w:color w:val="auto"/>
              </w:rPr>
            </w:pPr>
          </w:p>
        </w:tc>
      </w:tr>
      <w:tr>
        <w:trPr>
          <w:trHeight w:val="358"/>
        </w:trPr>
        <w:tc>
          <w:tcPr>
            <w:tcW w:w="3060" w:type="dxa"/>
            <w:vAlign w:val="bottom"/>
          </w:tcPr>
          <w:p>
            <w:pPr>
              <w:spacing w:after="0"/>
              <w:rPr>
                <w:sz w:val="20"/>
                <w:szCs w:val="20"/>
                <w:color w:val="auto"/>
              </w:rPr>
            </w:pPr>
            <w:r>
              <w:rPr>
                <w:rFonts w:ascii="Times New Roman" w:cs="Times New Roman" w:eastAsia="Times New Roman" w:hAnsi="Times New Roman"/>
                <w:sz w:val="16"/>
                <w:szCs w:val="16"/>
                <w:b w:val="1"/>
                <w:bCs w:val="1"/>
                <w:color w:val="0C479D"/>
              </w:rPr>
              <w:t>Undeveloped</w:t>
            </w: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Subsidiaries</w:t>
            </w: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United States</w:t>
            </w: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1,399</w:t>
            </w: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909</w:t>
            </w: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5,172</w:t>
            </w: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3,170</w:t>
            </w: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 xml:space="preserve">Canada/Other Americas </w:t>
            </w:r>
            <w:r>
              <w:rPr>
                <w:rFonts w:ascii="Times New Roman" w:cs="Times New Roman" w:eastAsia="Times New Roman" w:hAnsi="Times New Roman"/>
                <w:sz w:val="9"/>
                <w:szCs w:val="9"/>
                <w:i w:val="1"/>
                <w:iCs w:val="1"/>
                <w:color w:val="auto"/>
              </w:rPr>
              <w:t>(1)</w:t>
            </w: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646</w:t>
            </w: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121</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245</w:t>
            </w: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914</w:t>
            </w: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Europe</w:t>
            </w: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Africa</w:t>
            </w: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38</w:t>
            </w: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Asia</w:t>
            </w: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1,186</w:t>
            </w: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22</w:t>
            </w: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640</w:t>
            </w: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1,315</w:t>
            </w:r>
          </w:p>
        </w:tc>
        <w:tc>
          <w:tcPr>
            <w:tcW w:w="0" w:type="dxa"/>
            <w:vAlign w:val="bottom"/>
          </w:tcPr>
          <w:p>
            <w:pPr>
              <w:spacing w:after="0"/>
              <w:rPr>
                <w:sz w:val="1"/>
                <w:szCs w:val="1"/>
                <w:color w:val="auto"/>
              </w:rPr>
            </w:pPr>
          </w:p>
        </w:tc>
      </w:tr>
      <w:tr>
        <w:trPr>
          <w:trHeight w:val="219"/>
        </w:trPr>
        <w:tc>
          <w:tcPr>
            <w:tcW w:w="3060" w:type="dxa"/>
            <w:vAlign w:val="bottom"/>
            <w:tcBorders>
              <w:bottom w:val="single" w:sz="8" w:color="0C479D"/>
            </w:tcBorders>
          </w:tcPr>
          <w:p>
            <w:pPr>
              <w:ind w:left="120"/>
              <w:spacing w:after="0"/>
              <w:rPr>
                <w:sz w:val="20"/>
                <w:szCs w:val="20"/>
                <w:color w:val="auto"/>
              </w:rPr>
            </w:pPr>
            <w:r>
              <w:rPr>
                <w:rFonts w:ascii="Times New Roman" w:cs="Times New Roman" w:eastAsia="Times New Roman" w:hAnsi="Times New Roman"/>
                <w:sz w:val="16"/>
                <w:szCs w:val="16"/>
                <w:color w:val="auto"/>
              </w:rPr>
              <w:t>Australia/Oceania</w:t>
            </w:r>
          </w:p>
        </w:tc>
        <w:tc>
          <w:tcPr>
            <w:tcW w:w="124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color w:val="auto"/>
              </w:rPr>
              <w:t>22</w:t>
            </w:r>
          </w:p>
        </w:tc>
        <w:tc>
          <w:tcPr>
            <w:tcW w:w="1080" w:type="dxa"/>
            <w:vAlign w:val="bottom"/>
            <w:tcBorders>
              <w:bottom w:val="single" w:sz="8" w:color="0C479D"/>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0C479D"/>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color w:val="auto"/>
              </w:rPr>
              <w:t>2,275</w:t>
            </w:r>
          </w:p>
        </w:tc>
        <w:tc>
          <w:tcPr>
            <w:tcW w:w="110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color w:val="auto"/>
              </w:rPr>
              <w:t>401</w:t>
            </w:r>
          </w:p>
        </w:tc>
        <w:tc>
          <w:tcPr>
            <w:tcW w:w="0" w:type="dxa"/>
            <w:vAlign w:val="bottom"/>
          </w:tcPr>
          <w:p>
            <w:pPr>
              <w:spacing w:after="0"/>
              <w:rPr>
                <w:sz w:val="1"/>
                <w:szCs w:val="1"/>
                <w:color w:val="auto"/>
              </w:rPr>
            </w:pPr>
          </w:p>
        </w:tc>
      </w:tr>
      <w:tr>
        <w:trPr>
          <w:trHeight w:val="210"/>
        </w:trPr>
        <w:tc>
          <w:tcPr>
            <w:tcW w:w="306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6"/>
                <w:szCs w:val="16"/>
                <w:color w:val="auto"/>
              </w:rPr>
              <w:t>Total Consolidated</w:t>
            </w:r>
          </w:p>
        </w:tc>
        <w:tc>
          <w:tcPr>
            <w:tcW w:w="124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color w:val="auto"/>
              </w:rPr>
              <w:t>3,291</w:t>
            </w:r>
          </w:p>
        </w:tc>
        <w:tc>
          <w:tcPr>
            <w:tcW w:w="1080" w:type="dxa"/>
            <w:vAlign w:val="bottom"/>
            <w:tcBorders>
              <w:bottom w:val="single" w:sz="8" w:color="0C479D"/>
            </w:tcBorders>
          </w:tcPr>
          <w:p>
            <w:pPr>
              <w:jc w:val="right"/>
              <w:ind w:right="40"/>
              <w:spacing w:after="0"/>
              <w:rPr>
                <w:sz w:val="20"/>
                <w:szCs w:val="20"/>
                <w:color w:val="auto"/>
              </w:rPr>
            </w:pPr>
            <w:r>
              <w:rPr>
                <w:rFonts w:ascii="Times New Roman" w:cs="Times New Roman" w:eastAsia="Times New Roman" w:hAnsi="Times New Roman"/>
                <w:sz w:val="16"/>
                <w:szCs w:val="16"/>
                <w:color w:val="auto"/>
              </w:rPr>
              <w:t>931</w:t>
            </w:r>
          </w:p>
        </w:tc>
        <w:tc>
          <w:tcPr>
            <w:tcW w:w="1060" w:type="dxa"/>
            <w:vAlign w:val="bottom"/>
            <w:tcBorders>
              <w:bottom w:val="single" w:sz="8" w:color="0C479D"/>
            </w:tcBorders>
          </w:tcPr>
          <w:p>
            <w:pPr>
              <w:jc w:val="right"/>
              <w:ind w:right="40"/>
              <w:spacing w:after="0"/>
              <w:rPr>
                <w:sz w:val="20"/>
                <w:szCs w:val="20"/>
                <w:color w:val="auto"/>
              </w:rPr>
            </w:pPr>
            <w:r>
              <w:rPr>
                <w:rFonts w:ascii="Times New Roman" w:cs="Times New Roman" w:eastAsia="Times New Roman" w:hAnsi="Times New Roman"/>
                <w:sz w:val="16"/>
                <w:szCs w:val="16"/>
                <w:color w:val="auto"/>
              </w:rPr>
              <w:t>121</w:t>
            </w:r>
          </w:p>
        </w:tc>
        <w:tc>
          <w:tcPr>
            <w:tcW w:w="10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10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color w:val="auto"/>
              </w:rPr>
              <w:t>8,334</w:t>
            </w:r>
          </w:p>
        </w:tc>
        <w:tc>
          <w:tcPr>
            <w:tcW w:w="110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color w:val="auto"/>
              </w:rPr>
              <w:t>5,838</w:t>
            </w:r>
          </w:p>
        </w:tc>
        <w:tc>
          <w:tcPr>
            <w:tcW w:w="0" w:type="dxa"/>
            <w:vAlign w:val="bottom"/>
          </w:tcPr>
          <w:p>
            <w:pPr>
              <w:spacing w:after="0"/>
              <w:rPr>
                <w:sz w:val="1"/>
                <w:szCs w:val="1"/>
                <w:color w:val="auto"/>
              </w:rPr>
            </w:pPr>
          </w:p>
        </w:tc>
      </w:tr>
      <w:tr>
        <w:trPr>
          <w:trHeight w:val="355"/>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Equity Companies</w:t>
            </w: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United States</w:t>
            </w: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Europe</w:t>
            </w: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54</w:t>
            </w: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Africa</w:t>
            </w:r>
          </w:p>
        </w:tc>
        <w:tc>
          <w:tcPr>
            <w:tcW w:w="12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060" w:type="dxa"/>
            <w:vAlign w:val="bottom"/>
            <w:tcBorders>
              <w:bottom w:val="single" w:sz="8" w:color="0C479D"/>
            </w:tcBorders>
          </w:tcPr>
          <w:p>
            <w:pPr>
              <w:ind w:left="120"/>
              <w:spacing w:after="0"/>
              <w:rPr>
                <w:sz w:val="20"/>
                <w:szCs w:val="20"/>
                <w:color w:val="auto"/>
              </w:rPr>
            </w:pPr>
            <w:r>
              <w:rPr>
                <w:rFonts w:ascii="Times New Roman" w:cs="Times New Roman" w:eastAsia="Times New Roman" w:hAnsi="Times New Roman"/>
                <w:sz w:val="16"/>
                <w:szCs w:val="16"/>
                <w:color w:val="auto"/>
              </w:rPr>
              <w:t>Asia</w:t>
            </w:r>
          </w:p>
        </w:tc>
        <w:tc>
          <w:tcPr>
            <w:tcW w:w="124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color w:val="auto"/>
              </w:rPr>
              <w:t>272</w:t>
            </w:r>
          </w:p>
        </w:tc>
        <w:tc>
          <w:tcPr>
            <w:tcW w:w="1080" w:type="dxa"/>
            <w:vAlign w:val="bottom"/>
            <w:tcBorders>
              <w:bottom w:val="single" w:sz="8" w:color="0C479D"/>
            </w:tcBorders>
          </w:tcPr>
          <w:p>
            <w:pPr>
              <w:jc w:val="right"/>
              <w:ind w:right="40"/>
              <w:spacing w:after="0"/>
              <w:rPr>
                <w:sz w:val="20"/>
                <w:szCs w:val="20"/>
                <w:color w:val="auto"/>
              </w:rPr>
            </w:pPr>
            <w:r>
              <w:rPr>
                <w:rFonts w:ascii="Times New Roman" w:cs="Times New Roman" w:eastAsia="Times New Roman" w:hAnsi="Times New Roman"/>
                <w:sz w:val="16"/>
                <w:szCs w:val="16"/>
                <w:color w:val="auto"/>
              </w:rPr>
              <w:t>194</w:t>
            </w:r>
          </w:p>
        </w:tc>
        <w:tc>
          <w:tcPr>
            <w:tcW w:w="1060" w:type="dxa"/>
            <w:vAlign w:val="bottom"/>
            <w:tcBorders>
              <w:bottom w:val="single" w:sz="8" w:color="0C479D"/>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color w:val="auto"/>
              </w:rPr>
              <w:t>6,224</w:t>
            </w:r>
          </w:p>
        </w:tc>
        <w:tc>
          <w:tcPr>
            <w:tcW w:w="110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color w:val="auto"/>
              </w:rPr>
              <w:t>1,503</w:t>
            </w:r>
          </w:p>
        </w:tc>
        <w:tc>
          <w:tcPr>
            <w:tcW w:w="0" w:type="dxa"/>
            <w:vAlign w:val="bottom"/>
          </w:tcPr>
          <w:p>
            <w:pPr>
              <w:spacing w:after="0"/>
              <w:rPr>
                <w:sz w:val="1"/>
                <w:szCs w:val="1"/>
                <w:color w:val="auto"/>
              </w:rPr>
            </w:pPr>
          </w:p>
        </w:tc>
      </w:tr>
      <w:tr>
        <w:trPr>
          <w:trHeight w:val="210"/>
        </w:trPr>
        <w:tc>
          <w:tcPr>
            <w:tcW w:w="306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6"/>
                <w:szCs w:val="16"/>
                <w:color w:val="auto"/>
              </w:rPr>
              <w:t>Total Equity Company</w:t>
            </w:r>
          </w:p>
        </w:tc>
        <w:tc>
          <w:tcPr>
            <w:tcW w:w="124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color w:val="auto"/>
              </w:rPr>
              <w:t>272</w:t>
            </w:r>
          </w:p>
        </w:tc>
        <w:tc>
          <w:tcPr>
            <w:tcW w:w="1080" w:type="dxa"/>
            <w:vAlign w:val="bottom"/>
            <w:tcBorders>
              <w:bottom w:val="single" w:sz="8" w:color="0C479D"/>
            </w:tcBorders>
          </w:tcPr>
          <w:p>
            <w:pPr>
              <w:jc w:val="right"/>
              <w:ind w:right="40"/>
              <w:spacing w:after="0"/>
              <w:rPr>
                <w:sz w:val="20"/>
                <w:szCs w:val="20"/>
                <w:color w:val="auto"/>
              </w:rPr>
            </w:pPr>
            <w:r>
              <w:rPr>
                <w:rFonts w:ascii="Times New Roman" w:cs="Times New Roman" w:eastAsia="Times New Roman" w:hAnsi="Times New Roman"/>
                <w:sz w:val="16"/>
                <w:szCs w:val="16"/>
                <w:color w:val="auto"/>
              </w:rPr>
              <w:t>194</w:t>
            </w:r>
          </w:p>
        </w:tc>
        <w:tc>
          <w:tcPr>
            <w:tcW w:w="1060" w:type="dxa"/>
            <w:vAlign w:val="bottom"/>
            <w:tcBorders>
              <w:bottom w:val="single" w:sz="8" w:color="0C479D"/>
            </w:tcBorders>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color w:val="auto"/>
              </w:rPr>
              <w:t>6,278</w:t>
            </w:r>
          </w:p>
        </w:tc>
        <w:tc>
          <w:tcPr>
            <w:tcW w:w="110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color w:val="auto"/>
              </w:rPr>
              <w:t>1,512</w:t>
            </w:r>
          </w:p>
        </w:tc>
        <w:tc>
          <w:tcPr>
            <w:tcW w:w="0" w:type="dxa"/>
            <w:vAlign w:val="bottom"/>
          </w:tcPr>
          <w:p>
            <w:pPr>
              <w:spacing w:after="0"/>
              <w:rPr>
                <w:sz w:val="1"/>
                <w:szCs w:val="1"/>
                <w:color w:val="auto"/>
              </w:rPr>
            </w:pPr>
          </w:p>
        </w:tc>
      </w:tr>
      <w:tr>
        <w:trPr>
          <w:trHeight w:val="219"/>
        </w:trPr>
        <w:tc>
          <w:tcPr>
            <w:tcW w:w="306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6"/>
                <w:szCs w:val="16"/>
                <w:b w:val="1"/>
                <w:bCs w:val="1"/>
                <w:color w:val="auto"/>
              </w:rPr>
              <w:t>Total Undeveloped</w:t>
            </w:r>
          </w:p>
        </w:tc>
        <w:tc>
          <w:tcPr>
            <w:tcW w:w="124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3,563</w:t>
            </w:r>
          </w:p>
        </w:tc>
        <w:tc>
          <w:tcPr>
            <w:tcW w:w="1080" w:type="dxa"/>
            <w:vAlign w:val="bottom"/>
            <w:tcBorders>
              <w:bottom w:val="single" w:sz="8" w:color="0C479D"/>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1,125</w:t>
            </w:r>
          </w:p>
        </w:tc>
        <w:tc>
          <w:tcPr>
            <w:tcW w:w="1060" w:type="dxa"/>
            <w:vAlign w:val="bottom"/>
            <w:tcBorders>
              <w:bottom w:val="single" w:sz="8" w:color="0C479D"/>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121</w:t>
            </w:r>
          </w:p>
        </w:tc>
        <w:tc>
          <w:tcPr>
            <w:tcW w:w="10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106</w:t>
            </w:r>
          </w:p>
        </w:tc>
        <w:tc>
          <w:tcPr>
            <w:tcW w:w="110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14,612</w:t>
            </w:r>
          </w:p>
        </w:tc>
        <w:tc>
          <w:tcPr>
            <w:tcW w:w="110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7,350</w:t>
            </w:r>
          </w:p>
        </w:tc>
        <w:tc>
          <w:tcPr>
            <w:tcW w:w="0" w:type="dxa"/>
            <w:vAlign w:val="bottom"/>
          </w:tcPr>
          <w:p>
            <w:pPr>
              <w:spacing w:after="0"/>
              <w:rPr>
                <w:sz w:val="1"/>
                <w:szCs w:val="1"/>
                <w:color w:val="auto"/>
              </w:rPr>
            </w:pPr>
          </w:p>
        </w:tc>
      </w:tr>
      <w:tr>
        <w:trPr>
          <w:trHeight w:val="142"/>
        </w:trPr>
        <w:tc>
          <w:tcPr>
            <w:tcW w:w="3060" w:type="dxa"/>
            <w:vAlign w:val="bottom"/>
            <w:tcBorders>
              <w:bottom w:val="single" w:sz="8" w:color="0C479D"/>
            </w:tcBorders>
          </w:tcPr>
          <w:p>
            <w:pPr>
              <w:spacing w:after="0"/>
              <w:rPr>
                <w:sz w:val="12"/>
                <w:szCs w:val="12"/>
                <w:color w:val="auto"/>
              </w:rPr>
            </w:pPr>
          </w:p>
        </w:tc>
        <w:tc>
          <w:tcPr>
            <w:tcW w:w="1240" w:type="dxa"/>
            <w:vAlign w:val="bottom"/>
            <w:tcBorders>
              <w:bottom w:val="single" w:sz="8" w:color="0C479D"/>
            </w:tcBorders>
          </w:tcPr>
          <w:p>
            <w:pPr>
              <w:spacing w:after="0"/>
              <w:rPr>
                <w:sz w:val="12"/>
                <w:szCs w:val="12"/>
                <w:color w:val="auto"/>
              </w:rPr>
            </w:pPr>
          </w:p>
        </w:tc>
        <w:tc>
          <w:tcPr>
            <w:tcW w:w="1080" w:type="dxa"/>
            <w:vAlign w:val="bottom"/>
            <w:tcBorders>
              <w:bottom w:val="single" w:sz="8" w:color="0C479D"/>
            </w:tcBorders>
          </w:tcPr>
          <w:p>
            <w:pPr>
              <w:spacing w:after="0"/>
              <w:rPr>
                <w:sz w:val="12"/>
                <w:szCs w:val="12"/>
                <w:color w:val="auto"/>
              </w:rPr>
            </w:pPr>
          </w:p>
        </w:tc>
        <w:tc>
          <w:tcPr>
            <w:tcW w:w="1060" w:type="dxa"/>
            <w:vAlign w:val="bottom"/>
            <w:tcBorders>
              <w:bottom w:val="single" w:sz="8" w:color="0C479D"/>
            </w:tcBorders>
          </w:tcPr>
          <w:p>
            <w:pPr>
              <w:spacing w:after="0"/>
              <w:rPr>
                <w:sz w:val="12"/>
                <w:szCs w:val="12"/>
                <w:color w:val="auto"/>
              </w:rPr>
            </w:pPr>
          </w:p>
        </w:tc>
        <w:tc>
          <w:tcPr>
            <w:tcW w:w="1040" w:type="dxa"/>
            <w:vAlign w:val="bottom"/>
            <w:tcBorders>
              <w:bottom w:val="single" w:sz="8" w:color="0C479D"/>
            </w:tcBorders>
          </w:tcPr>
          <w:p>
            <w:pPr>
              <w:spacing w:after="0"/>
              <w:rPr>
                <w:sz w:val="12"/>
                <w:szCs w:val="12"/>
                <w:color w:val="auto"/>
              </w:rPr>
            </w:pPr>
          </w:p>
        </w:tc>
        <w:tc>
          <w:tcPr>
            <w:tcW w:w="1100" w:type="dxa"/>
            <w:vAlign w:val="bottom"/>
            <w:tcBorders>
              <w:bottom w:val="single" w:sz="8" w:color="0C479D"/>
            </w:tcBorders>
          </w:tcPr>
          <w:p>
            <w:pPr>
              <w:spacing w:after="0"/>
              <w:rPr>
                <w:sz w:val="12"/>
                <w:szCs w:val="12"/>
                <w:color w:val="auto"/>
              </w:rPr>
            </w:pPr>
          </w:p>
        </w:tc>
        <w:tc>
          <w:tcPr>
            <w:tcW w:w="1100" w:type="dxa"/>
            <w:vAlign w:val="bottom"/>
            <w:tcBorders>
              <w:bottom w:val="single" w:sz="8" w:color="0C479D"/>
            </w:tcBorders>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306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6"/>
                <w:szCs w:val="16"/>
                <w:b w:val="1"/>
                <w:bCs w:val="1"/>
                <w:color w:val="auto"/>
              </w:rPr>
              <w:t>Total Proved Reserves</w:t>
            </w:r>
          </w:p>
        </w:tc>
        <w:tc>
          <w:tcPr>
            <w:tcW w:w="124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8,488</w:t>
            </w:r>
          </w:p>
        </w:tc>
        <w:tc>
          <w:tcPr>
            <w:tcW w:w="1080" w:type="dxa"/>
            <w:vAlign w:val="bottom"/>
            <w:tcBorders>
              <w:bottom w:val="single" w:sz="8" w:color="0C479D"/>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2,478</w:t>
            </w:r>
          </w:p>
        </w:tc>
        <w:tc>
          <w:tcPr>
            <w:tcW w:w="1060" w:type="dxa"/>
            <w:vAlign w:val="bottom"/>
            <w:tcBorders>
              <w:bottom w:val="single" w:sz="8" w:color="0C479D"/>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2,429</w:t>
            </w:r>
          </w:p>
        </w:tc>
        <w:tc>
          <w:tcPr>
            <w:tcW w:w="10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296</w:t>
            </w:r>
          </w:p>
        </w:tc>
        <w:tc>
          <w:tcPr>
            <w:tcW w:w="110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37,549</w:t>
            </w:r>
          </w:p>
        </w:tc>
        <w:tc>
          <w:tcPr>
            <w:tcW w:w="110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19,949</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800" w:right="1140" w:firstLine="2"/>
        <w:spacing w:after="0" w:line="316" w:lineRule="auto"/>
        <w:tabs>
          <w:tab w:leader="none" w:pos="932" w:val="left"/>
        </w:tabs>
        <w:numPr>
          <w:ilvl w:val="0"/>
          <w:numId w:val="5"/>
        </w:numPr>
        <w:rPr>
          <w:rFonts w:ascii="Times New Roman" w:cs="Times New Roman" w:eastAsia="Times New Roman" w:hAnsi="Times New Roman"/>
          <w:sz w:val="16"/>
          <w:szCs w:val="16"/>
          <w:i w:val="1"/>
          <w:iCs w:val="1"/>
          <w:color w:val="auto"/>
          <w:vertAlign w:val="superscript"/>
        </w:rPr>
      </w:pPr>
      <w:r>
        <w:rPr>
          <w:rFonts w:ascii="Times New Roman" w:cs="Times New Roman" w:eastAsia="Times New Roman" w:hAnsi="Times New Roman"/>
          <w:sz w:val="12"/>
          <w:szCs w:val="12"/>
          <w:i w:val="1"/>
          <w:iCs w:val="1"/>
          <w:color w:val="auto"/>
        </w:rPr>
        <w:t>Other Americas includes proved developed reserves of 375 million barrels of crude oil and 176 billion cubic feet of natural gas, as well as proved undeveloped reserves of 633 million barrels of crude oil and 231 billion cubic feet of natural gas.</w:t>
      </w:r>
    </w:p>
    <w:p>
      <w:pPr>
        <w:sectPr>
          <w:pgSz w:w="11900" w:h="16838" w:orient="portrait"/>
          <w:cols w:equalWidth="0" w:num="1">
            <w:col w:w="11240"/>
          </w:cols>
          <w:pgMar w:left="320" w:top="1215" w:right="339" w:bottom="1440" w:gutter="0" w:footer="0" w:header="0"/>
          <w:type w:val="continuous"/>
        </w:sect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type w:val="continuous"/>
        </w:sectPr>
      </w:pPr>
    </w:p>
    <w:bookmarkStart w:id="10" w:name="page11"/>
    <w:bookmarkEnd w:id="10"/>
    <w:p>
      <w:pPr>
        <w:jc w:val="both"/>
        <w:spacing w:after="0" w:line="282" w:lineRule="auto"/>
        <w:rPr>
          <w:sz w:val="20"/>
          <w:szCs w:val="20"/>
          <w:color w:val="auto"/>
        </w:rPr>
      </w:pPr>
      <w:r>
        <w:rPr>
          <w:rFonts w:ascii="Times New Roman" w:cs="Times New Roman" w:eastAsia="Times New Roman" w:hAnsi="Times New Roman"/>
          <w:sz w:val="18"/>
          <w:szCs w:val="18"/>
          <w:color w:val="auto"/>
        </w:rPr>
        <w:t>In the preceding reserves information, consolidated subsidiary and equity company reserves are reported separately. However, the Corporation operates its business with the same view of equity company reserves as it has for reserves from consolidated subsidiaries.</w:t>
      </w:r>
    </w:p>
    <w:p>
      <w:pPr>
        <w:spacing w:after="0" w:line="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Corporation anticipates several projects will come online over the next few years providing additional production capacity. However, actual volumes will vary from year to year due to the timing of individual project start-ups; operational outages; reservoir performance; regulatory changes; the impact of fiscal and commercial terms; asset sales; weather events; price effects on production sharing contracts; changes in the amount and timing of capital investments that may vary depending on the oil and gas price environment; international trade patterns and relations; and other factors described in </w:t>
      </w:r>
      <w:r>
        <w:rPr>
          <w:rFonts w:ascii="Times New Roman" w:cs="Times New Roman" w:eastAsia="Times New Roman" w:hAnsi="Times New Roman"/>
          <w:sz w:val="18"/>
          <w:szCs w:val="18"/>
          <w:color w:val="0000FF"/>
        </w:rPr>
        <w:t>Item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1A</w:t>
      </w:r>
      <w:r>
        <w:rPr>
          <w:rFonts w:ascii="Times New Roman" w:cs="Times New Roman" w:eastAsia="Times New Roman" w:hAnsi="Times New Roman"/>
          <w:sz w:val="18"/>
          <w:szCs w:val="18"/>
          <w:color w:val="000000"/>
        </w:rPr>
        <w:t>.</w:t>
      </w:r>
    </w:p>
    <w:p>
      <w:pPr>
        <w:spacing w:after="0" w:line="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estimation of proved reserves, which is based on the requirement of reasonable certainty, is an ongoing process based on rigorous technical evaluations, commercial and market assessments and detailed analysis of reservoir and well performance. Furthermore, the Corporation only records proved reserves for projects which have received significant funding commitments by management toward the development of the reserves. Although the Corporation is reasonably certain that proved reserves will be produced, the timing and amount recovered can be affected by a number of factors including completion of development projects, reservoir performance, regulatory approvals, government policies, consumer preferences, and significant changes in crude oil and natural gas price levels. In addition, proved reserves could be affected by an extended period of low prices which could reduce the level of the Corporation’s capital spending and also impact our partners’ capacity to fund their share of joint projects.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479D"/>
        </w:rPr>
        <w:t>B. Technologies Used in Establishing Proved Reserves Additions in 2024</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Additions to ExxonMobil’s proved reserves in 2024 were based on estimates generated through the integration of available and appropriate geological, engineering and production data, utilizing well-established technologies that have been demonstrated in the field to yield repeatable and consistent results.</w:t>
      </w:r>
    </w:p>
    <w:p>
      <w:pPr>
        <w:spacing w:after="0" w:line="27"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Data used in these integrated assessments included information obtained directly from the subsurface via wellbores, such as well logs, reservoir core samples, fluid samples, static and dynamic pressure information, production test data, and surveillance and performance information. The data utilized also included subsurface information obtained through indirect measurements, including high-quality 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 and 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 seismic data, calibrated with available well control information. The tools used to interpret the data included seismic processing software, reservoir modeling and simulation software, and data analysis packages.</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some circumstances, where appropriate analog reservoirs were available, reservoir parameters from these analogs were used to increase the quality of and confidence in the reserves estimates.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479D"/>
        </w:rPr>
        <w:t>C. Qualifications of Reserves Technical Oversight Group and Internal Controls over Proved Reserves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ExxonMobil has a dedicated Global Reserves and Resources group that provides technical oversight and is separate from the operating organization. Primary responsibilities of this group include oversight of the reserves estimation process for compliance with Securities and Exchange Commission (SEC) rules and regulations, review of annual changes in reserves estimates, and the reporting of ExxonMobil’s proved reserves. This group also maintains the official company reserves estimates for ExxonMobil’s proved reserves of crude oil, natural gas liquids, bitumen, synthetic oil, and natural gas. In addition, the group provides training to personnel involved in the reserves estimation and reporting process within ExxonMobil and its affiliates. The current Global Reserves and Resources Manager has more than 30 years of experience in reservoir engineering and reserves assessment, has a degree in Engineering, and serves on the Oil and Gas Reserves Committee of the Society of Petroleum Engineers. The group is staffed with individuals that have an average of more than 15 years of technical experience in the petroleum industry, including expertise in the classification and categorization of reserves under SEC guidelines. This group includes individuals who hold degrees in either Engineering or Geology.</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Global Reserves and Resources group maintains a central database containing the official company reserves estimates. Appropriate controls, including limitations on database access and update capabilities, are in place to ensure data integrity within this central database. An annual review of the system’s controls is performed by internal audit. Key components of the reserves estimation process include technical evaluations, commercial and market assessments, analysis of well and field performance, and long-standing approval guidelines. No changes may be made to the reserves estimates in the central database, including additions of any new initial reserves estimates or subsequent revisions, unless these changes have been thoroughly reviewed and evaluated by duly authorized geoscience and engineering professionals within the operating organization. In addition, changes to reserves estimates that exceed certain thresholds require further review and approval by the appropriate level of management within the operating organization before the changes may be made in the central database. Endorsement by the Global Reserves and Resources group for all proved reserves changes is a mandatory component of this review process. After all changes are made, reviews are held with senior management for final endorsement.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b w:val="1"/>
          <w:bCs w:val="1"/>
          <w:color w:val="0C479D"/>
        </w:rPr>
        <w:t>2. Proved Undeveloped Reserves</w:t>
      </w:r>
    </w:p>
    <w:p>
      <w:pPr>
        <w:spacing w:after="0" w:line="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year-end 2024, approximately 7.4 billion oil-equivalent barrels (GOEB) of ExxonMobil’s proved reserves were classified as proved undeveloped. This represents 37 percent of the 19.9 GOEB reported in proved reserves. This compares to 6.3 GOEB of proved undeveloped reserves reported at the end of 2023. During the year, ExxonMobil conducted development activities that resulted in the transfer of approximately 1.1 GOEB from proved undeveloped to proved developed reserves by year-end. The largest transfers were related to development activities in the United States, Guyana, Kazakhstan, and the United Arab Emirates. In 2024, purchases of 0.4 GOEB in the United States and extensions and discoveries of 1.9 GOEB, primarily in the United States and Guyana, resulted in the addition of approximately 2.3 GOEB of proved undeveloped reserves. Also, the Corporation reclassified approximately 0.7 GOEB of proved undeveloped reserves, primarily in the United States, which was offset by upward revision of approximately 0.6 GOEB, primarily in the United Arab Emirates. This results in a net reclassification of approximately 0.1 GOEB of proved reserves which no longer met the SEC definition of proved reserves.</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Overall, investments of $16.4 billion were made by the Corporation during 2024 to progress the development of reported proved undeveloped reserves, including $16.0 billion for oil and gas producing activities, along with additional investments for other non-oil and gas producing activities such as the construction of support infrastructure and other related facilities. These investments represented 75 percent of the $21.8 billion in total reported Upstream capital and exploration expenditures.</w:t>
      </w:r>
    </w:p>
    <w:p>
      <w:pPr>
        <w:spacing w:after="0" w:line="4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One of ExxonMobil’s requirements for reporting proved reserves is that management has made significant funding commitments toward the development of the reserves. ExxonMobil has a disciplined investment strategy and many major fields require long lead-time in order to be developed. Development projects typically take several years from the time of recording proved undeveloped reserves to the start of production and can exceed five years for large and complex projects. Proved undeveloped reserves in Australia, Kazakhstan, and the United Arab Emirates have remained undeveloped for five years or more primarily due to constraints on the capacity of infrastructure, as well as the time required to complete development for very large projects. The Corporation is reasonably certain that these proved reserves will be produced; however, the timing and amount recovered can be affected by a number of factors including completion of development projects, reservoir performance, regulatory approvals, government policies, consumer preferences, the pace of co-venturer/government funding, changes in the amount and timing of capital investments, and significant changes in crude oil and natural gas price levels. Of the proved undeveloped reserves that have been reported for five or more years, over 80 percent are contained in the aforementioned countries. In Australia, proved undeveloped reserves are associated with future compression for the Gorgon Jansz LNG project. In Kazakhstan, the proved undeveloped reserves are related to the remainder of the Tengizchevroil joint venture development that includes a production license in the Tengiz - Korolev field complex. The Tengizchevroil joint venture is producing, and proved undeveloped reserves will continue to move to proved developed as approved development phases progress. In the United Arab Emirates, proved undeveloped reserves are associated with an approved development plan and continued drilling investment for the producing Upper Zakum field.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b w:val="1"/>
          <w:bCs w:val="1"/>
          <w:color w:val="0C479D"/>
        </w:rPr>
        <w:t>3. Oil and Gas Production, Production Prices and Production Costs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479D"/>
        </w:rPr>
        <w:t>A. Oil and Gas Production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production by final product sold and by geographic area for the last three years.</w:t>
      </w:r>
    </w:p>
    <w:p>
      <w:pPr>
        <w:spacing w:after="0" w:line="135" w:lineRule="exact"/>
        <w:rPr>
          <w:sz w:val="20"/>
          <w:szCs w:val="20"/>
          <w:color w:val="auto"/>
        </w:rPr>
      </w:pPr>
    </w:p>
    <w:tbl>
      <w:tblPr>
        <w:tblLayout w:type="fixed"/>
        <w:tblInd w:w="760" w:type="dxa"/>
        <w:tblCellMar>
          <w:top w:w="0" w:type="dxa"/>
          <w:left w:w="0" w:type="dxa"/>
          <w:bottom w:w="0" w:type="dxa"/>
          <w:right w:w="0" w:type="dxa"/>
        </w:tblCellMar>
      </w:tblPr>
      <w:tr>
        <w:trPr>
          <w:trHeight w:val="210"/>
        </w:trPr>
        <w:tc>
          <w:tcPr>
            <w:tcW w:w="4480" w:type="dxa"/>
            <w:vAlign w:val="bottom"/>
            <w:vMerge w:val="restart"/>
            <w:shd w:val="clear" w:color="auto" w:fill="0C479D"/>
          </w:tcPr>
          <w:p>
            <w:pPr>
              <w:ind w:left="20"/>
              <w:spacing w:after="0"/>
              <w:rPr>
                <w:sz w:val="20"/>
                <w:szCs w:val="20"/>
                <w:color w:val="auto"/>
              </w:rPr>
            </w:pPr>
            <w:r>
              <w:rPr>
                <w:rFonts w:ascii="Times New Roman" w:cs="Times New Roman" w:eastAsia="Times New Roman" w:hAnsi="Times New Roman"/>
                <w:sz w:val="14"/>
                <w:szCs w:val="14"/>
                <w:i w:val="1"/>
                <w:iCs w:val="1"/>
                <w:color w:val="FFFFFF"/>
              </w:rPr>
              <w:t>(thousands of barrels daily)</w:t>
            </w:r>
          </w:p>
        </w:tc>
        <w:tc>
          <w:tcPr>
            <w:tcW w:w="180" w:type="dxa"/>
            <w:vAlign w:val="bottom"/>
            <w:shd w:val="clear" w:color="auto" w:fill="0C479D"/>
          </w:tcPr>
          <w:p>
            <w:pPr>
              <w:spacing w:after="0"/>
              <w:rPr>
                <w:sz w:val="18"/>
                <w:szCs w:val="18"/>
                <w:color w:val="auto"/>
              </w:rPr>
            </w:pPr>
          </w:p>
        </w:tc>
        <w:tc>
          <w:tcPr>
            <w:tcW w:w="980" w:type="dxa"/>
            <w:vAlign w:val="bottom"/>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580" w:type="dxa"/>
            <w:vAlign w:val="bottom"/>
            <w:shd w:val="clear" w:color="auto" w:fill="0C479D"/>
          </w:tcPr>
          <w:p>
            <w:pPr>
              <w:spacing w:after="0"/>
              <w:rPr>
                <w:sz w:val="18"/>
                <w:szCs w:val="18"/>
                <w:color w:val="auto"/>
              </w:rPr>
            </w:pPr>
          </w:p>
        </w:tc>
        <w:tc>
          <w:tcPr>
            <w:tcW w:w="1160" w:type="dxa"/>
            <w:vAlign w:val="bottom"/>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700" w:type="dxa"/>
            <w:vAlign w:val="bottom"/>
            <w:shd w:val="clear" w:color="auto" w:fill="0C479D"/>
          </w:tcPr>
          <w:p>
            <w:pPr>
              <w:spacing w:after="0"/>
              <w:rPr>
                <w:sz w:val="18"/>
                <w:szCs w:val="18"/>
                <w:color w:val="auto"/>
              </w:rPr>
            </w:pPr>
          </w:p>
        </w:tc>
        <w:tc>
          <w:tcPr>
            <w:tcW w:w="1060" w:type="dxa"/>
            <w:vAlign w:val="bottom"/>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2022</w:t>
            </w:r>
          </w:p>
        </w:tc>
        <w:tc>
          <w:tcPr>
            <w:tcW w:w="580" w:type="dxa"/>
            <w:vAlign w:val="bottom"/>
            <w:shd w:val="clear" w:color="auto" w:fill="0C479D"/>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4480" w:type="dxa"/>
            <w:vAlign w:val="bottom"/>
            <w:vMerge w:val="continue"/>
            <w:shd w:val="clear" w:color="auto" w:fill="0C479D"/>
          </w:tcPr>
          <w:p>
            <w:pPr>
              <w:spacing w:after="0"/>
              <w:rPr>
                <w:sz w:val="6"/>
                <w:szCs w:val="6"/>
                <w:color w:val="auto"/>
              </w:rPr>
            </w:pPr>
          </w:p>
        </w:tc>
        <w:tc>
          <w:tcPr>
            <w:tcW w:w="180" w:type="dxa"/>
            <w:vAlign w:val="bottom"/>
            <w:shd w:val="clear" w:color="auto" w:fill="0C479D"/>
          </w:tcPr>
          <w:p>
            <w:pPr>
              <w:spacing w:after="0"/>
              <w:rPr>
                <w:sz w:val="6"/>
                <w:szCs w:val="6"/>
                <w:color w:val="auto"/>
              </w:rPr>
            </w:pPr>
          </w:p>
        </w:tc>
        <w:tc>
          <w:tcPr>
            <w:tcW w:w="980" w:type="dxa"/>
            <w:vAlign w:val="bottom"/>
            <w:vMerge w:val="restart"/>
            <w:shd w:val="clear" w:color="auto" w:fill="0C479D"/>
          </w:tcPr>
          <w:p>
            <w:pPr>
              <w:jc w:val="right"/>
              <w:ind w:right="200"/>
              <w:spacing w:after="0"/>
              <w:rPr>
                <w:sz w:val="20"/>
                <w:szCs w:val="20"/>
                <w:color w:val="auto"/>
              </w:rPr>
            </w:pPr>
            <w:r>
              <w:rPr>
                <w:rFonts w:ascii="Times New Roman" w:cs="Times New Roman" w:eastAsia="Times New Roman" w:hAnsi="Times New Roman"/>
                <w:sz w:val="14"/>
                <w:szCs w:val="14"/>
                <w:color w:val="FFFFFF"/>
              </w:rPr>
              <w:t>Crude Oil</w:t>
            </w:r>
          </w:p>
        </w:tc>
        <w:tc>
          <w:tcPr>
            <w:tcW w:w="580" w:type="dxa"/>
            <w:vAlign w:val="bottom"/>
            <w:vMerge w:val="restart"/>
            <w:shd w:val="clear" w:color="auto" w:fill="0C479D"/>
          </w:tcPr>
          <w:p>
            <w:pPr>
              <w:jc w:val="right"/>
              <w:ind w:right="140"/>
              <w:spacing w:after="0"/>
              <w:rPr>
                <w:sz w:val="20"/>
                <w:szCs w:val="20"/>
                <w:color w:val="auto"/>
              </w:rPr>
            </w:pPr>
            <w:r>
              <w:rPr>
                <w:rFonts w:ascii="Times New Roman" w:cs="Times New Roman" w:eastAsia="Times New Roman" w:hAnsi="Times New Roman"/>
                <w:sz w:val="14"/>
                <w:szCs w:val="14"/>
                <w:color w:val="FFFFFF"/>
              </w:rPr>
              <w:t>NGL</w:t>
            </w:r>
          </w:p>
        </w:tc>
        <w:tc>
          <w:tcPr>
            <w:tcW w:w="1160" w:type="dxa"/>
            <w:vAlign w:val="bottom"/>
            <w:vMerge w:val="restart"/>
            <w:shd w:val="clear" w:color="auto" w:fill="0C479D"/>
          </w:tcPr>
          <w:p>
            <w:pPr>
              <w:jc w:val="right"/>
              <w:ind w:right="200"/>
              <w:spacing w:after="0"/>
              <w:rPr>
                <w:sz w:val="20"/>
                <w:szCs w:val="20"/>
                <w:color w:val="auto"/>
              </w:rPr>
            </w:pPr>
            <w:r>
              <w:rPr>
                <w:rFonts w:ascii="Times New Roman" w:cs="Times New Roman" w:eastAsia="Times New Roman" w:hAnsi="Times New Roman"/>
                <w:sz w:val="14"/>
                <w:szCs w:val="14"/>
                <w:color w:val="FFFFFF"/>
              </w:rPr>
              <w:t>Crude Oil</w:t>
            </w:r>
          </w:p>
        </w:tc>
        <w:tc>
          <w:tcPr>
            <w:tcW w:w="700" w:type="dxa"/>
            <w:vAlign w:val="bottom"/>
            <w:vMerge w:val="restart"/>
            <w:shd w:val="clear" w:color="auto" w:fill="0C479D"/>
          </w:tcPr>
          <w:p>
            <w:pPr>
              <w:jc w:val="right"/>
              <w:ind w:right="260"/>
              <w:spacing w:after="0"/>
              <w:rPr>
                <w:sz w:val="20"/>
                <w:szCs w:val="20"/>
                <w:color w:val="auto"/>
              </w:rPr>
            </w:pPr>
            <w:r>
              <w:rPr>
                <w:rFonts w:ascii="Times New Roman" w:cs="Times New Roman" w:eastAsia="Times New Roman" w:hAnsi="Times New Roman"/>
                <w:sz w:val="14"/>
                <w:szCs w:val="14"/>
                <w:color w:val="FFFFFF"/>
              </w:rPr>
              <w:t>NGL</w:t>
            </w:r>
          </w:p>
        </w:tc>
        <w:tc>
          <w:tcPr>
            <w:tcW w:w="1060" w:type="dxa"/>
            <w:vAlign w:val="bottom"/>
            <w:vMerge w:val="restart"/>
            <w:shd w:val="clear" w:color="auto" w:fill="0C479D"/>
          </w:tcPr>
          <w:p>
            <w:pPr>
              <w:jc w:val="right"/>
              <w:ind w:right="220"/>
              <w:spacing w:after="0"/>
              <w:rPr>
                <w:sz w:val="20"/>
                <w:szCs w:val="20"/>
                <w:color w:val="auto"/>
              </w:rPr>
            </w:pPr>
            <w:r>
              <w:rPr>
                <w:rFonts w:ascii="Times New Roman" w:cs="Times New Roman" w:eastAsia="Times New Roman" w:hAnsi="Times New Roman"/>
                <w:sz w:val="14"/>
                <w:szCs w:val="14"/>
                <w:color w:val="FFFFFF"/>
              </w:rPr>
              <w:t>Crude Oil</w:t>
            </w:r>
          </w:p>
        </w:tc>
        <w:tc>
          <w:tcPr>
            <w:tcW w:w="580" w:type="dxa"/>
            <w:vAlign w:val="bottom"/>
            <w:vMerge w:val="restart"/>
            <w:shd w:val="clear" w:color="auto" w:fill="0C479D"/>
          </w:tcPr>
          <w:p>
            <w:pPr>
              <w:jc w:val="right"/>
              <w:ind w:right="140"/>
              <w:spacing w:after="0"/>
              <w:rPr>
                <w:sz w:val="20"/>
                <w:szCs w:val="20"/>
                <w:color w:val="auto"/>
              </w:rPr>
            </w:pPr>
            <w:r>
              <w:rPr>
                <w:rFonts w:ascii="Times New Roman" w:cs="Times New Roman" w:eastAsia="Times New Roman" w:hAnsi="Times New Roman"/>
                <w:sz w:val="14"/>
                <w:szCs w:val="14"/>
                <w:color w:val="FFFFFF"/>
              </w:rPr>
              <w:t>NGL</w:t>
            </w:r>
          </w:p>
        </w:tc>
        <w:tc>
          <w:tcPr>
            <w:tcW w:w="0" w:type="dxa"/>
            <w:vAlign w:val="bottom"/>
          </w:tcPr>
          <w:p>
            <w:pPr>
              <w:spacing w:after="0"/>
              <w:rPr>
                <w:sz w:val="1"/>
                <w:szCs w:val="1"/>
                <w:color w:val="auto"/>
              </w:rPr>
            </w:pPr>
          </w:p>
        </w:tc>
      </w:tr>
      <w:tr>
        <w:trPr>
          <w:trHeight w:val="125"/>
        </w:trPr>
        <w:tc>
          <w:tcPr>
            <w:tcW w:w="4480" w:type="dxa"/>
            <w:vAlign w:val="bottom"/>
            <w:tcBorders>
              <w:bottom w:val="single" w:sz="8" w:color="0C479D"/>
            </w:tcBorders>
            <w:shd w:val="clear" w:color="auto" w:fill="0C479D"/>
          </w:tcPr>
          <w:p>
            <w:pPr>
              <w:spacing w:after="0"/>
              <w:rPr>
                <w:sz w:val="10"/>
                <w:szCs w:val="10"/>
                <w:color w:val="auto"/>
              </w:rPr>
            </w:pPr>
          </w:p>
        </w:tc>
        <w:tc>
          <w:tcPr>
            <w:tcW w:w="180" w:type="dxa"/>
            <w:vAlign w:val="bottom"/>
            <w:tcBorders>
              <w:bottom w:val="single" w:sz="8" w:color="0C479D"/>
            </w:tcBorders>
            <w:shd w:val="clear" w:color="auto" w:fill="0C479D"/>
          </w:tcPr>
          <w:p>
            <w:pPr>
              <w:spacing w:after="0"/>
              <w:rPr>
                <w:sz w:val="10"/>
                <w:szCs w:val="10"/>
                <w:color w:val="auto"/>
              </w:rPr>
            </w:pPr>
          </w:p>
        </w:tc>
        <w:tc>
          <w:tcPr>
            <w:tcW w:w="980" w:type="dxa"/>
            <w:vAlign w:val="bottom"/>
            <w:tcBorders>
              <w:bottom w:val="single" w:sz="8" w:color="0C479D"/>
            </w:tcBorders>
            <w:vMerge w:val="continue"/>
            <w:shd w:val="clear" w:color="auto" w:fill="0C479D"/>
          </w:tcPr>
          <w:p>
            <w:pPr>
              <w:spacing w:after="0"/>
              <w:rPr>
                <w:sz w:val="10"/>
                <w:szCs w:val="10"/>
                <w:color w:val="auto"/>
              </w:rPr>
            </w:pPr>
          </w:p>
        </w:tc>
        <w:tc>
          <w:tcPr>
            <w:tcW w:w="580" w:type="dxa"/>
            <w:vAlign w:val="bottom"/>
            <w:tcBorders>
              <w:bottom w:val="single" w:sz="8" w:color="0C479D"/>
            </w:tcBorders>
            <w:vMerge w:val="continue"/>
            <w:shd w:val="clear" w:color="auto" w:fill="0C479D"/>
          </w:tcPr>
          <w:p>
            <w:pPr>
              <w:spacing w:after="0"/>
              <w:rPr>
                <w:sz w:val="10"/>
                <w:szCs w:val="10"/>
                <w:color w:val="auto"/>
              </w:rPr>
            </w:pPr>
          </w:p>
        </w:tc>
        <w:tc>
          <w:tcPr>
            <w:tcW w:w="1160" w:type="dxa"/>
            <w:vAlign w:val="bottom"/>
            <w:tcBorders>
              <w:bottom w:val="single" w:sz="8" w:color="0C479D"/>
            </w:tcBorders>
            <w:vMerge w:val="continue"/>
            <w:shd w:val="clear" w:color="auto" w:fill="0C479D"/>
          </w:tcPr>
          <w:p>
            <w:pPr>
              <w:spacing w:after="0"/>
              <w:rPr>
                <w:sz w:val="10"/>
                <w:szCs w:val="10"/>
                <w:color w:val="auto"/>
              </w:rPr>
            </w:pPr>
          </w:p>
        </w:tc>
        <w:tc>
          <w:tcPr>
            <w:tcW w:w="700" w:type="dxa"/>
            <w:vAlign w:val="bottom"/>
            <w:tcBorders>
              <w:bottom w:val="single" w:sz="8" w:color="0C479D"/>
            </w:tcBorders>
            <w:vMerge w:val="continue"/>
            <w:shd w:val="clear" w:color="auto" w:fill="0C479D"/>
          </w:tcPr>
          <w:p>
            <w:pPr>
              <w:spacing w:after="0"/>
              <w:rPr>
                <w:sz w:val="10"/>
                <w:szCs w:val="10"/>
                <w:color w:val="auto"/>
              </w:rPr>
            </w:pPr>
          </w:p>
        </w:tc>
        <w:tc>
          <w:tcPr>
            <w:tcW w:w="1060" w:type="dxa"/>
            <w:vAlign w:val="bottom"/>
            <w:tcBorders>
              <w:bottom w:val="single" w:sz="8" w:color="0C479D"/>
            </w:tcBorders>
            <w:vMerge w:val="continue"/>
            <w:shd w:val="clear" w:color="auto" w:fill="0C479D"/>
          </w:tcPr>
          <w:p>
            <w:pPr>
              <w:spacing w:after="0"/>
              <w:rPr>
                <w:sz w:val="10"/>
                <w:szCs w:val="10"/>
                <w:color w:val="auto"/>
              </w:rPr>
            </w:pPr>
          </w:p>
        </w:tc>
        <w:tc>
          <w:tcPr>
            <w:tcW w:w="580" w:type="dxa"/>
            <w:vAlign w:val="bottom"/>
            <w:tcBorders>
              <w:bottom w:val="single" w:sz="8" w:color="0C479D"/>
            </w:tcBorders>
            <w:vMerge w:val="continue"/>
            <w:shd w:val="clear" w:color="auto" w:fill="0C479D"/>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0C479D"/>
              </w:rPr>
              <w:t>Crude oil and natural gas liquids production</w:t>
            </w:r>
          </w:p>
        </w:tc>
        <w:tc>
          <w:tcPr>
            <w:tcW w:w="180" w:type="dxa"/>
            <w:vAlign w:val="bottom"/>
          </w:tcPr>
          <w:p>
            <w:pPr>
              <w:spacing w:after="0"/>
              <w:rPr>
                <w:sz w:val="18"/>
                <w:szCs w:val="18"/>
                <w:color w:val="auto"/>
              </w:rPr>
            </w:pPr>
          </w:p>
        </w:tc>
        <w:tc>
          <w:tcPr>
            <w:tcW w:w="980" w:type="dxa"/>
            <w:vAlign w:val="bottom"/>
            <w:shd w:val="clear" w:color="auto" w:fill="F0F0F0"/>
          </w:tcPr>
          <w:p>
            <w:pPr>
              <w:spacing w:after="0"/>
              <w:rPr>
                <w:sz w:val="18"/>
                <w:szCs w:val="18"/>
                <w:color w:val="auto"/>
              </w:rPr>
            </w:pPr>
          </w:p>
        </w:tc>
        <w:tc>
          <w:tcPr>
            <w:tcW w:w="580" w:type="dxa"/>
            <w:vAlign w:val="bottom"/>
            <w:shd w:val="clear" w:color="auto" w:fill="F0F0F0"/>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Consolidated Subsidiaries</w:t>
            </w:r>
          </w:p>
        </w:tc>
        <w:tc>
          <w:tcPr>
            <w:tcW w:w="180" w:type="dxa"/>
            <w:vAlign w:val="bottom"/>
          </w:tcPr>
          <w:p>
            <w:pPr>
              <w:spacing w:after="0"/>
              <w:rPr>
                <w:sz w:val="18"/>
                <w:szCs w:val="18"/>
                <w:color w:val="auto"/>
              </w:rPr>
            </w:pPr>
          </w:p>
        </w:tc>
        <w:tc>
          <w:tcPr>
            <w:tcW w:w="980" w:type="dxa"/>
            <w:vAlign w:val="bottom"/>
            <w:shd w:val="clear" w:color="auto" w:fill="F0F0F0"/>
          </w:tcPr>
          <w:p>
            <w:pPr>
              <w:spacing w:after="0"/>
              <w:rPr>
                <w:sz w:val="18"/>
                <w:szCs w:val="18"/>
                <w:color w:val="auto"/>
              </w:rPr>
            </w:pPr>
          </w:p>
        </w:tc>
        <w:tc>
          <w:tcPr>
            <w:tcW w:w="580" w:type="dxa"/>
            <w:vAlign w:val="bottom"/>
            <w:shd w:val="clear" w:color="auto" w:fill="F0F0F0"/>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United States</w:t>
            </w:r>
          </w:p>
        </w:tc>
        <w:tc>
          <w:tcPr>
            <w:tcW w:w="180" w:type="dxa"/>
            <w:vAlign w:val="bottom"/>
          </w:tcPr>
          <w:p>
            <w:pPr>
              <w:spacing w:after="0"/>
              <w:rPr>
                <w:sz w:val="18"/>
                <w:szCs w:val="18"/>
                <w:color w:val="auto"/>
              </w:rPr>
            </w:pPr>
          </w:p>
        </w:tc>
        <w:tc>
          <w:tcPr>
            <w:tcW w:w="980" w:type="dxa"/>
            <w:vAlign w:val="bottom"/>
            <w:shd w:val="clear" w:color="auto" w:fill="F0F0F0"/>
          </w:tcPr>
          <w:p>
            <w:pPr>
              <w:jc w:val="right"/>
              <w:ind w:right="160"/>
              <w:spacing w:after="0"/>
              <w:rPr>
                <w:sz w:val="20"/>
                <w:szCs w:val="20"/>
                <w:color w:val="auto"/>
              </w:rPr>
            </w:pPr>
            <w:r>
              <w:rPr>
                <w:rFonts w:ascii="Times New Roman" w:cs="Times New Roman" w:eastAsia="Times New Roman" w:hAnsi="Times New Roman"/>
                <w:sz w:val="16"/>
                <w:szCs w:val="16"/>
                <w:color w:val="auto"/>
              </w:rPr>
              <w:t>862</w:t>
            </w:r>
          </w:p>
        </w:tc>
        <w:tc>
          <w:tcPr>
            <w:tcW w:w="5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1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556</w:t>
            </w:r>
          </w:p>
        </w:tc>
        <w:tc>
          <w:tcPr>
            <w:tcW w:w="7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238</w:t>
            </w:r>
          </w:p>
        </w:tc>
        <w:tc>
          <w:tcPr>
            <w:tcW w:w="10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523</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 xml:space="preserve">Canada/Other Americas </w:t>
            </w:r>
            <w:r>
              <w:rPr>
                <w:rFonts w:ascii="Times New Roman" w:cs="Times New Roman" w:eastAsia="Times New Roman" w:hAnsi="Times New Roman"/>
                <w:sz w:val="9"/>
                <w:szCs w:val="9"/>
                <w:i w:val="1"/>
                <w:iCs w:val="1"/>
                <w:color w:val="auto"/>
              </w:rPr>
              <w:t>(1)</w:t>
            </w:r>
          </w:p>
        </w:tc>
        <w:tc>
          <w:tcPr>
            <w:tcW w:w="180" w:type="dxa"/>
            <w:vAlign w:val="bottom"/>
          </w:tcPr>
          <w:p>
            <w:pPr>
              <w:spacing w:after="0"/>
              <w:rPr>
                <w:sz w:val="18"/>
                <w:szCs w:val="18"/>
                <w:color w:val="auto"/>
              </w:rPr>
            </w:pPr>
          </w:p>
        </w:tc>
        <w:tc>
          <w:tcPr>
            <w:tcW w:w="980" w:type="dxa"/>
            <w:vAlign w:val="bottom"/>
            <w:shd w:val="clear" w:color="auto" w:fill="F0F0F0"/>
          </w:tcPr>
          <w:p>
            <w:pPr>
              <w:jc w:val="right"/>
              <w:ind w:right="160"/>
              <w:spacing w:after="0"/>
              <w:rPr>
                <w:sz w:val="20"/>
                <w:szCs w:val="20"/>
                <w:color w:val="auto"/>
              </w:rPr>
            </w:pPr>
            <w:r>
              <w:rPr>
                <w:rFonts w:ascii="Times New Roman" w:cs="Times New Roman" w:eastAsia="Times New Roman" w:hAnsi="Times New Roman"/>
                <w:sz w:val="16"/>
                <w:szCs w:val="16"/>
                <w:color w:val="auto"/>
              </w:rPr>
              <w:t>346</w:t>
            </w:r>
          </w:p>
        </w:tc>
        <w:tc>
          <w:tcPr>
            <w:tcW w:w="5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1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240</w:t>
            </w:r>
          </w:p>
        </w:tc>
        <w:tc>
          <w:tcPr>
            <w:tcW w:w="7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w:t>
            </w:r>
          </w:p>
        </w:tc>
        <w:tc>
          <w:tcPr>
            <w:tcW w:w="10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196</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Europe</w:t>
            </w:r>
          </w:p>
        </w:tc>
        <w:tc>
          <w:tcPr>
            <w:tcW w:w="180" w:type="dxa"/>
            <w:vAlign w:val="bottom"/>
          </w:tcPr>
          <w:p>
            <w:pPr>
              <w:spacing w:after="0"/>
              <w:rPr>
                <w:sz w:val="18"/>
                <w:szCs w:val="18"/>
                <w:color w:val="auto"/>
              </w:rPr>
            </w:pPr>
          </w:p>
        </w:tc>
        <w:tc>
          <w:tcPr>
            <w:tcW w:w="980" w:type="dxa"/>
            <w:vAlign w:val="bottom"/>
            <w:shd w:val="clear" w:color="auto" w:fill="F0F0F0"/>
          </w:tcPr>
          <w:p>
            <w:pPr>
              <w:jc w:val="right"/>
              <w:ind w:right="160"/>
              <w:spacing w:after="0"/>
              <w:rPr>
                <w:sz w:val="20"/>
                <w:szCs w:val="20"/>
                <w:color w:val="auto"/>
              </w:rPr>
            </w:pPr>
            <w:r>
              <w:rPr>
                <w:rFonts w:ascii="Times New Roman" w:cs="Times New Roman" w:eastAsia="Times New Roman" w:hAnsi="Times New Roman"/>
                <w:sz w:val="16"/>
                <w:szCs w:val="16"/>
                <w:color w:val="auto"/>
              </w:rPr>
              <w:t>2</w:t>
            </w:r>
          </w:p>
        </w:tc>
        <w:tc>
          <w:tcPr>
            <w:tcW w:w="5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2</w:t>
            </w:r>
          </w:p>
        </w:tc>
        <w:tc>
          <w:tcPr>
            <w:tcW w:w="7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2</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Africa</w:t>
            </w:r>
          </w:p>
        </w:tc>
        <w:tc>
          <w:tcPr>
            <w:tcW w:w="180" w:type="dxa"/>
            <w:vAlign w:val="bottom"/>
          </w:tcPr>
          <w:p>
            <w:pPr>
              <w:spacing w:after="0"/>
              <w:rPr>
                <w:sz w:val="18"/>
                <w:szCs w:val="18"/>
                <w:color w:val="auto"/>
              </w:rPr>
            </w:pPr>
          </w:p>
        </w:tc>
        <w:tc>
          <w:tcPr>
            <w:tcW w:w="980" w:type="dxa"/>
            <w:vAlign w:val="bottom"/>
            <w:shd w:val="clear" w:color="auto" w:fill="F0F0F0"/>
          </w:tcPr>
          <w:p>
            <w:pPr>
              <w:jc w:val="right"/>
              <w:ind w:right="160"/>
              <w:spacing w:after="0"/>
              <w:rPr>
                <w:sz w:val="20"/>
                <w:szCs w:val="20"/>
                <w:color w:val="auto"/>
              </w:rPr>
            </w:pPr>
            <w:r>
              <w:rPr>
                <w:rFonts w:ascii="Times New Roman" w:cs="Times New Roman" w:eastAsia="Times New Roman" w:hAnsi="Times New Roman"/>
                <w:sz w:val="16"/>
                <w:szCs w:val="16"/>
                <w:color w:val="auto"/>
              </w:rPr>
              <w:t>206</w:t>
            </w:r>
          </w:p>
        </w:tc>
        <w:tc>
          <w:tcPr>
            <w:tcW w:w="5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1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216</w:t>
            </w:r>
          </w:p>
        </w:tc>
        <w:tc>
          <w:tcPr>
            <w:tcW w:w="7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w:t>
            </w:r>
          </w:p>
        </w:tc>
        <w:tc>
          <w:tcPr>
            <w:tcW w:w="10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233</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Asia</w:t>
            </w:r>
          </w:p>
        </w:tc>
        <w:tc>
          <w:tcPr>
            <w:tcW w:w="180" w:type="dxa"/>
            <w:vAlign w:val="bottom"/>
          </w:tcPr>
          <w:p>
            <w:pPr>
              <w:spacing w:after="0"/>
              <w:rPr>
                <w:sz w:val="18"/>
                <w:szCs w:val="18"/>
                <w:color w:val="auto"/>
              </w:rPr>
            </w:pPr>
          </w:p>
        </w:tc>
        <w:tc>
          <w:tcPr>
            <w:tcW w:w="980" w:type="dxa"/>
            <w:vAlign w:val="bottom"/>
            <w:shd w:val="clear" w:color="auto" w:fill="F0F0F0"/>
          </w:tcPr>
          <w:p>
            <w:pPr>
              <w:jc w:val="right"/>
              <w:ind w:right="160"/>
              <w:spacing w:after="0"/>
              <w:rPr>
                <w:sz w:val="20"/>
                <w:szCs w:val="20"/>
                <w:color w:val="auto"/>
              </w:rPr>
            </w:pPr>
            <w:r>
              <w:rPr>
                <w:rFonts w:ascii="Times New Roman" w:cs="Times New Roman" w:eastAsia="Times New Roman" w:hAnsi="Times New Roman"/>
                <w:sz w:val="16"/>
                <w:szCs w:val="16"/>
                <w:color w:val="auto"/>
              </w:rPr>
              <w:t>422</w:t>
            </w:r>
          </w:p>
        </w:tc>
        <w:tc>
          <w:tcPr>
            <w:tcW w:w="5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1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417</w:t>
            </w:r>
          </w:p>
        </w:tc>
        <w:tc>
          <w:tcPr>
            <w:tcW w:w="7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28</w:t>
            </w:r>
          </w:p>
        </w:tc>
        <w:tc>
          <w:tcPr>
            <w:tcW w:w="10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407</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9"/>
        </w:trPr>
        <w:tc>
          <w:tcPr>
            <w:tcW w:w="4480" w:type="dxa"/>
            <w:vAlign w:val="bottom"/>
            <w:tcBorders>
              <w:bottom w:val="single" w:sz="8" w:color="0C479D"/>
            </w:tcBorders>
          </w:tcPr>
          <w:p>
            <w:pPr>
              <w:ind w:left="120"/>
              <w:spacing w:after="0"/>
              <w:rPr>
                <w:sz w:val="20"/>
                <w:szCs w:val="20"/>
                <w:color w:val="auto"/>
              </w:rPr>
            </w:pPr>
            <w:r>
              <w:rPr>
                <w:rFonts w:ascii="Times New Roman" w:cs="Times New Roman" w:eastAsia="Times New Roman" w:hAnsi="Times New Roman"/>
                <w:sz w:val="16"/>
                <w:szCs w:val="16"/>
                <w:color w:val="auto"/>
              </w:rPr>
              <w:t>Australia/Oceania</w:t>
            </w:r>
          </w:p>
        </w:tc>
        <w:tc>
          <w:tcPr>
            <w:tcW w:w="180" w:type="dxa"/>
            <w:vAlign w:val="bottom"/>
            <w:tcBorders>
              <w:bottom w:val="single" w:sz="8" w:color="0C479D"/>
            </w:tcBorders>
          </w:tcPr>
          <w:p>
            <w:pPr>
              <w:spacing w:after="0"/>
              <w:rPr>
                <w:sz w:val="19"/>
                <w:szCs w:val="19"/>
                <w:color w:val="auto"/>
              </w:rPr>
            </w:pPr>
          </w:p>
        </w:tc>
        <w:tc>
          <w:tcPr>
            <w:tcW w:w="980" w:type="dxa"/>
            <w:vAlign w:val="bottom"/>
            <w:tcBorders>
              <w:bottom w:val="single" w:sz="8" w:color="0C479D"/>
            </w:tcBorders>
            <w:shd w:val="clear" w:color="auto" w:fill="F0F0F0"/>
          </w:tcPr>
          <w:p>
            <w:pPr>
              <w:jc w:val="right"/>
              <w:ind w:right="160"/>
              <w:spacing w:after="0"/>
              <w:rPr>
                <w:sz w:val="20"/>
                <w:szCs w:val="20"/>
                <w:color w:val="auto"/>
              </w:rPr>
            </w:pPr>
            <w:r>
              <w:rPr>
                <w:rFonts w:ascii="Times New Roman" w:cs="Times New Roman" w:eastAsia="Times New Roman" w:hAnsi="Times New Roman"/>
                <w:sz w:val="16"/>
                <w:szCs w:val="16"/>
                <w:color w:val="auto"/>
              </w:rPr>
              <w:t>20</w:t>
            </w:r>
          </w:p>
        </w:tc>
        <w:tc>
          <w:tcPr>
            <w:tcW w:w="58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160" w:type="dxa"/>
            <w:vAlign w:val="bottom"/>
            <w:tcBorders>
              <w:bottom w:val="single" w:sz="8" w:color="0C479D"/>
            </w:tcBorders>
          </w:tcPr>
          <w:p>
            <w:pPr>
              <w:jc w:val="right"/>
              <w:ind w:right="160"/>
              <w:spacing w:after="0"/>
              <w:rPr>
                <w:sz w:val="20"/>
                <w:szCs w:val="20"/>
                <w:color w:val="auto"/>
              </w:rPr>
            </w:pPr>
            <w:r>
              <w:rPr>
                <w:rFonts w:ascii="Times New Roman" w:cs="Times New Roman" w:eastAsia="Times New Roman" w:hAnsi="Times New Roman"/>
                <w:sz w:val="16"/>
                <w:szCs w:val="16"/>
                <w:color w:val="auto"/>
              </w:rPr>
              <w:t>24</w:t>
            </w:r>
          </w:p>
        </w:tc>
        <w:tc>
          <w:tcPr>
            <w:tcW w:w="700" w:type="dxa"/>
            <w:vAlign w:val="bottom"/>
            <w:tcBorders>
              <w:bottom w:val="single" w:sz="8" w:color="0C479D"/>
            </w:tcBorders>
          </w:tcPr>
          <w:p>
            <w:pPr>
              <w:jc w:val="right"/>
              <w:ind w:right="120"/>
              <w:spacing w:after="0"/>
              <w:rPr>
                <w:sz w:val="20"/>
                <w:szCs w:val="20"/>
                <w:color w:val="auto"/>
              </w:rPr>
            </w:pPr>
            <w:r>
              <w:rPr>
                <w:rFonts w:ascii="Times New Roman" w:cs="Times New Roman" w:eastAsia="Times New Roman" w:hAnsi="Times New Roman"/>
                <w:sz w:val="16"/>
                <w:szCs w:val="16"/>
                <w:color w:val="auto"/>
              </w:rPr>
              <w:t>12</w:t>
            </w:r>
          </w:p>
        </w:tc>
        <w:tc>
          <w:tcPr>
            <w:tcW w:w="1060" w:type="dxa"/>
            <w:vAlign w:val="bottom"/>
            <w:tcBorders>
              <w:bottom w:val="single" w:sz="8" w:color="0C479D"/>
            </w:tcBorders>
          </w:tcPr>
          <w:p>
            <w:pPr>
              <w:jc w:val="right"/>
              <w:ind w:right="160"/>
              <w:spacing w:after="0"/>
              <w:rPr>
                <w:sz w:val="20"/>
                <w:szCs w:val="20"/>
                <w:color w:val="auto"/>
              </w:rPr>
            </w:pPr>
            <w:r>
              <w:rPr>
                <w:rFonts w:ascii="Times New Roman" w:cs="Times New Roman" w:eastAsia="Times New Roman" w:hAnsi="Times New Roman"/>
                <w:sz w:val="16"/>
                <w:szCs w:val="16"/>
                <w:color w:val="auto"/>
              </w:rPr>
              <w:t>27</w:t>
            </w:r>
          </w:p>
        </w:tc>
        <w:tc>
          <w:tcPr>
            <w:tcW w:w="5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0"/>
        </w:trPr>
        <w:tc>
          <w:tcPr>
            <w:tcW w:w="448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color w:val="auto"/>
              </w:rPr>
              <w:t>Total Consolidated Subsidiaries</w:t>
            </w:r>
          </w:p>
        </w:tc>
        <w:tc>
          <w:tcPr>
            <w:tcW w:w="180" w:type="dxa"/>
            <w:vAlign w:val="bottom"/>
            <w:tcBorders>
              <w:bottom w:val="single" w:sz="8" w:color="0C479D"/>
            </w:tcBorders>
          </w:tcPr>
          <w:p>
            <w:pPr>
              <w:spacing w:after="0"/>
              <w:rPr>
                <w:sz w:val="18"/>
                <w:szCs w:val="18"/>
                <w:color w:val="auto"/>
              </w:rPr>
            </w:pPr>
          </w:p>
        </w:tc>
        <w:tc>
          <w:tcPr>
            <w:tcW w:w="980" w:type="dxa"/>
            <w:vAlign w:val="bottom"/>
            <w:tcBorders>
              <w:bottom w:val="single" w:sz="8" w:color="0C479D"/>
            </w:tcBorders>
            <w:shd w:val="clear" w:color="auto" w:fill="F0F0F0"/>
          </w:tcPr>
          <w:p>
            <w:pPr>
              <w:jc w:val="right"/>
              <w:ind w:right="160"/>
              <w:spacing w:after="0"/>
              <w:rPr>
                <w:sz w:val="20"/>
                <w:szCs w:val="20"/>
                <w:color w:val="auto"/>
              </w:rPr>
            </w:pPr>
            <w:r>
              <w:rPr>
                <w:rFonts w:ascii="Times New Roman" w:cs="Times New Roman" w:eastAsia="Times New Roman" w:hAnsi="Times New Roman"/>
                <w:sz w:val="16"/>
                <w:szCs w:val="16"/>
                <w:color w:val="auto"/>
              </w:rPr>
              <w:t>1,858</w:t>
            </w:r>
          </w:p>
        </w:tc>
        <w:tc>
          <w:tcPr>
            <w:tcW w:w="58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1160" w:type="dxa"/>
            <w:vAlign w:val="bottom"/>
            <w:tcBorders>
              <w:bottom w:val="single" w:sz="8" w:color="0C479D"/>
            </w:tcBorders>
          </w:tcPr>
          <w:p>
            <w:pPr>
              <w:jc w:val="right"/>
              <w:ind w:right="160"/>
              <w:spacing w:after="0"/>
              <w:rPr>
                <w:sz w:val="20"/>
                <w:szCs w:val="20"/>
                <w:color w:val="auto"/>
              </w:rPr>
            </w:pPr>
            <w:r>
              <w:rPr>
                <w:rFonts w:ascii="Times New Roman" w:cs="Times New Roman" w:eastAsia="Times New Roman" w:hAnsi="Times New Roman"/>
                <w:sz w:val="16"/>
                <w:szCs w:val="16"/>
                <w:color w:val="auto"/>
              </w:rPr>
              <w:t>1,455</w:t>
            </w:r>
          </w:p>
        </w:tc>
        <w:tc>
          <w:tcPr>
            <w:tcW w:w="700" w:type="dxa"/>
            <w:vAlign w:val="bottom"/>
            <w:tcBorders>
              <w:bottom w:val="single" w:sz="8" w:color="0C479D"/>
            </w:tcBorders>
          </w:tcPr>
          <w:p>
            <w:pPr>
              <w:jc w:val="right"/>
              <w:ind w:right="120"/>
              <w:spacing w:after="0"/>
              <w:rPr>
                <w:sz w:val="20"/>
                <w:szCs w:val="20"/>
                <w:color w:val="auto"/>
              </w:rPr>
            </w:pPr>
            <w:r>
              <w:rPr>
                <w:rFonts w:ascii="Times New Roman" w:cs="Times New Roman" w:eastAsia="Times New Roman" w:hAnsi="Times New Roman"/>
                <w:sz w:val="16"/>
                <w:szCs w:val="16"/>
                <w:color w:val="auto"/>
              </w:rPr>
              <w:t>284</w:t>
            </w:r>
          </w:p>
        </w:tc>
        <w:tc>
          <w:tcPr>
            <w:tcW w:w="1060" w:type="dxa"/>
            <w:vAlign w:val="bottom"/>
            <w:tcBorders>
              <w:bottom w:val="single" w:sz="8" w:color="0C479D"/>
            </w:tcBorders>
          </w:tcPr>
          <w:p>
            <w:pPr>
              <w:jc w:val="right"/>
              <w:ind w:right="160"/>
              <w:spacing w:after="0"/>
              <w:rPr>
                <w:sz w:val="20"/>
                <w:szCs w:val="20"/>
                <w:color w:val="auto"/>
              </w:rPr>
            </w:pPr>
            <w:r>
              <w:rPr>
                <w:rFonts w:ascii="Times New Roman" w:cs="Times New Roman" w:eastAsia="Times New Roman" w:hAnsi="Times New Roman"/>
                <w:sz w:val="16"/>
                <w:szCs w:val="16"/>
                <w:color w:val="auto"/>
              </w:rPr>
              <w:t>1,388</w:t>
            </w:r>
          </w:p>
        </w:tc>
        <w:tc>
          <w:tcPr>
            <w:tcW w:w="5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0" w:type="dxa"/>
            <w:vAlign w:val="bottom"/>
          </w:tcPr>
          <w:p>
            <w:pPr>
              <w:spacing w:after="0"/>
              <w:rPr>
                <w:sz w:val="1"/>
                <w:szCs w:val="1"/>
                <w:color w:val="auto"/>
              </w:rPr>
            </w:pPr>
          </w:p>
        </w:tc>
      </w:tr>
      <w:tr>
        <w:trPr>
          <w:trHeight w:val="355"/>
        </w:trPr>
        <w:tc>
          <w:tcPr>
            <w:tcW w:w="44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Equity Companies</w:t>
            </w:r>
          </w:p>
        </w:tc>
        <w:tc>
          <w:tcPr>
            <w:tcW w:w="180" w:type="dxa"/>
            <w:vAlign w:val="bottom"/>
          </w:tcPr>
          <w:p>
            <w:pPr>
              <w:spacing w:after="0"/>
              <w:rPr>
                <w:sz w:val="24"/>
                <w:szCs w:val="24"/>
                <w:color w:val="auto"/>
              </w:rPr>
            </w:pPr>
          </w:p>
        </w:tc>
        <w:tc>
          <w:tcPr>
            <w:tcW w:w="980" w:type="dxa"/>
            <w:vAlign w:val="bottom"/>
            <w:shd w:val="clear" w:color="auto" w:fill="F0F0F0"/>
          </w:tcPr>
          <w:p>
            <w:pPr>
              <w:spacing w:after="0"/>
              <w:rPr>
                <w:sz w:val="24"/>
                <w:szCs w:val="24"/>
                <w:color w:val="auto"/>
              </w:rPr>
            </w:pPr>
          </w:p>
        </w:tc>
        <w:tc>
          <w:tcPr>
            <w:tcW w:w="580" w:type="dxa"/>
            <w:vAlign w:val="bottom"/>
            <w:shd w:val="clear" w:color="auto" w:fill="F0F0F0"/>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United States</w:t>
            </w:r>
          </w:p>
        </w:tc>
        <w:tc>
          <w:tcPr>
            <w:tcW w:w="180" w:type="dxa"/>
            <w:vAlign w:val="bottom"/>
          </w:tcPr>
          <w:p>
            <w:pPr>
              <w:spacing w:after="0"/>
              <w:rPr>
                <w:sz w:val="18"/>
                <w:szCs w:val="18"/>
                <w:color w:val="auto"/>
              </w:rPr>
            </w:pPr>
          </w:p>
        </w:tc>
        <w:tc>
          <w:tcPr>
            <w:tcW w:w="980" w:type="dxa"/>
            <w:vAlign w:val="bottom"/>
            <w:shd w:val="clear" w:color="auto" w:fill="F0F0F0"/>
          </w:tcPr>
          <w:p>
            <w:pPr>
              <w:jc w:val="right"/>
              <w:ind w:right="160"/>
              <w:spacing w:after="0"/>
              <w:rPr>
                <w:sz w:val="20"/>
                <w:szCs w:val="20"/>
                <w:color w:val="auto"/>
              </w:rPr>
            </w:pPr>
            <w:r>
              <w:rPr>
                <w:rFonts w:ascii="Times New Roman" w:cs="Times New Roman" w:eastAsia="Times New Roman" w:hAnsi="Times New Roman"/>
                <w:sz w:val="16"/>
                <w:szCs w:val="16"/>
                <w:color w:val="auto"/>
              </w:rPr>
              <w:t>2</w:t>
            </w:r>
          </w:p>
        </w:tc>
        <w:tc>
          <w:tcPr>
            <w:tcW w:w="5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1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8</w:t>
            </w:r>
          </w:p>
        </w:tc>
        <w:tc>
          <w:tcPr>
            <w:tcW w:w="7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10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41</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Europe</w:t>
            </w:r>
          </w:p>
        </w:tc>
        <w:tc>
          <w:tcPr>
            <w:tcW w:w="180" w:type="dxa"/>
            <w:vAlign w:val="bottom"/>
          </w:tcPr>
          <w:p>
            <w:pPr>
              <w:spacing w:after="0"/>
              <w:rPr>
                <w:sz w:val="18"/>
                <w:szCs w:val="18"/>
                <w:color w:val="auto"/>
              </w:rPr>
            </w:pPr>
          </w:p>
        </w:tc>
        <w:tc>
          <w:tcPr>
            <w:tcW w:w="980" w:type="dxa"/>
            <w:vAlign w:val="bottom"/>
            <w:shd w:val="clear" w:color="auto" w:fill="F0F0F0"/>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5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2</w:t>
            </w:r>
          </w:p>
        </w:tc>
        <w:tc>
          <w:tcPr>
            <w:tcW w:w="7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2</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Africa</w:t>
            </w:r>
          </w:p>
        </w:tc>
        <w:tc>
          <w:tcPr>
            <w:tcW w:w="180" w:type="dxa"/>
            <w:vAlign w:val="bottom"/>
          </w:tcPr>
          <w:p>
            <w:pPr>
              <w:spacing w:after="0"/>
              <w:rPr>
                <w:sz w:val="18"/>
                <w:szCs w:val="18"/>
                <w:color w:val="auto"/>
              </w:rPr>
            </w:pPr>
          </w:p>
        </w:tc>
        <w:tc>
          <w:tcPr>
            <w:tcW w:w="980" w:type="dxa"/>
            <w:vAlign w:val="bottom"/>
            <w:shd w:val="clear" w:color="auto" w:fill="F0F0F0"/>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5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7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4480" w:type="dxa"/>
            <w:vAlign w:val="bottom"/>
            <w:tcBorders>
              <w:bottom w:val="single" w:sz="8" w:color="0C479D"/>
            </w:tcBorders>
          </w:tcPr>
          <w:p>
            <w:pPr>
              <w:ind w:left="120"/>
              <w:spacing w:after="0"/>
              <w:rPr>
                <w:sz w:val="20"/>
                <w:szCs w:val="20"/>
                <w:color w:val="auto"/>
              </w:rPr>
            </w:pPr>
            <w:r>
              <w:rPr>
                <w:rFonts w:ascii="Times New Roman" w:cs="Times New Roman" w:eastAsia="Times New Roman" w:hAnsi="Times New Roman"/>
                <w:sz w:val="16"/>
                <w:szCs w:val="16"/>
                <w:color w:val="auto"/>
              </w:rPr>
              <w:t>Asia</w:t>
            </w:r>
          </w:p>
        </w:tc>
        <w:tc>
          <w:tcPr>
            <w:tcW w:w="180" w:type="dxa"/>
            <w:vAlign w:val="bottom"/>
            <w:tcBorders>
              <w:bottom w:val="single" w:sz="8" w:color="0C479D"/>
            </w:tcBorders>
          </w:tcPr>
          <w:p>
            <w:pPr>
              <w:spacing w:after="0"/>
              <w:rPr>
                <w:sz w:val="19"/>
                <w:szCs w:val="19"/>
                <w:color w:val="auto"/>
              </w:rPr>
            </w:pPr>
          </w:p>
        </w:tc>
        <w:tc>
          <w:tcPr>
            <w:tcW w:w="980" w:type="dxa"/>
            <w:vAlign w:val="bottom"/>
            <w:tcBorders>
              <w:bottom w:val="single" w:sz="8" w:color="0C479D"/>
            </w:tcBorders>
            <w:shd w:val="clear" w:color="auto" w:fill="F0F0F0"/>
          </w:tcPr>
          <w:p>
            <w:pPr>
              <w:jc w:val="right"/>
              <w:ind w:right="160"/>
              <w:spacing w:after="0"/>
              <w:rPr>
                <w:sz w:val="20"/>
                <w:szCs w:val="20"/>
                <w:color w:val="auto"/>
              </w:rPr>
            </w:pPr>
            <w:r>
              <w:rPr>
                <w:rFonts w:ascii="Times New Roman" w:cs="Times New Roman" w:eastAsia="Times New Roman" w:hAnsi="Times New Roman"/>
                <w:sz w:val="16"/>
                <w:szCs w:val="16"/>
                <w:color w:val="auto"/>
              </w:rPr>
              <w:t>206</w:t>
            </w:r>
          </w:p>
        </w:tc>
        <w:tc>
          <w:tcPr>
            <w:tcW w:w="58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160" w:type="dxa"/>
            <w:vAlign w:val="bottom"/>
            <w:tcBorders>
              <w:bottom w:val="single" w:sz="8" w:color="0C479D"/>
            </w:tcBorders>
          </w:tcPr>
          <w:p>
            <w:pPr>
              <w:jc w:val="right"/>
              <w:ind w:right="160"/>
              <w:spacing w:after="0"/>
              <w:rPr>
                <w:sz w:val="20"/>
                <w:szCs w:val="20"/>
                <w:color w:val="auto"/>
              </w:rPr>
            </w:pPr>
            <w:r>
              <w:rPr>
                <w:rFonts w:ascii="Times New Roman" w:cs="Times New Roman" w:eastAsia="Times New Roman" w:hAnsi="Times New Roman"/>
                <w:sz w:val="16"/>
                <w:szCs w:val="16"/>
                <w:color w:val="auto"/>
              </w:rPr>
              <w:t>216</w:t>
            </w:r>
          </w:p>
        </w:tc>
        <w:tc>
          <w:tcPr>
            <w:tcW w:w="700" w:type="dxa"/>
            <w:vAlign w:val="bottom"/>
            <w:tcBorders>
              <w:bottom w:val="single" w:sz="8" w:color="0C479D"/>
            </w:tcBorders>
          </w:tcPr>
          <w:p>
            <w:pPr>
              <w:jc w:val="right"/>
              <w:ind w:right="120"/>
              <w:spacing w:after="0"/>
              <w:rPr>
                <w:sz w:val="20"/>
                <w:szCs w:val="20"/>
                <w:color w:val="auto"/>
              </w:rPr>
            </w:pPr>
            <w:r>
              <w:rPr>
                <w:rFonts w:ascii="Times New Roman" w:cs="Times New Roman" w:eastAsia="Times New Roman" w:hAnsi="Times New Roman"/>
                <w:sz w:val="16"/>
                <w:szCs w:val="16"/>
                <w:color w:val="auto"/>
              </w:rPr>
              <w:t>60</w:t>
            </w:r>
          </w:p>
        </w:tc>
        <w:tc>
          <w:tcPr>
            <w:tcW w:w="1060" w:type="dxa"/>
            <w:vAlign w:val="bottom"/>
            <w:tcBorders>
              <w:bottom w:val="single" w:sz="8" w:color="0C479D"/>
            </w:tcBorders>
          </w:tcPr>
          <w:p>
            <w:pPr>
              <w:jc w:val="right"/>
              <w:ind w:right="160"/>
              <w:spacing w:after="0"/>
              <w:rPr>
                <w:sz w:val="20"/>
                <w:szCs w:val="20"/>
                <w:color w:val="auto"/>
              </w:rPr>
            </w:pPr>
            <w:r>
              <w:rPr>
                <w:rFonts w:ascii="Times New Roman" w:cs="Times New Roman" w:eastAsia="Times New Roman" w:hAnsi="Times New Roman"/>
                <w:sz w:val="16"/>
                <w:szCs w:val="16"/>
                <w:color w:val="auto"/>
              </w:rPr>
              <w:t>216</w:t>
            </w:r>
          </w:p>
        </w:tc>
        <w:tc>
          <w:tcPr>
            <w:tcW w:w="5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10"/>
        </w:trPr>
        <w:tc>
          <w:tcPr>
            <w:tcW w:w="448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color w:val="auto"/>
              </w:rPr>
              <w:t>Total Equity Companies</w:t>
            </w:r>
          </w:p>
        </w:tc>
        <w:tc>
          <w:tcPr>
            <w:tcW w:w="180" w:type="dxa"/>
            <w:vAlign w:val="bottom"/>
            <w:tcBorders>
              <w:bottom w:val="single" w:sz="8" w:color="0C479D"/>
            </w:tcBorders>
          </w:tcPr>
          <w:p>
            <w:pPr>
              <w:spacing w:after="0"/>
              <w:rPr>
                <w:sz w:val="18"/>
                <w:szCs w:val="18"/>
                <w:color w:val="auto"/>
              </w:rPr>
            </w:pPr>
          </w:p>
        </w:tc>
        <w:tc>
          <w:tcPr>
            <w:tcW w:w="980" w:type="dxa"/>
            <w:vAlign w:val="bottom"/>
            <w:tcBorders>
              <w:bottom w:val="single" w:sz="8" w:color="0C479D"/>
            </w:tcBorders>
            <w:shd w:val="clear" w:color="auto" w:fill="F0F0F0"/>
          </w:tcPr>
          <w:p>
            <w:pPr>
              <w:jc w:val="right"/>
              <w:ind w:right="160"/>
              <w:spacing w:after="0"/>
              <w:rPr>
                <w:sz w:val="20"/>
                <w:szCs w:val="20"/>
                <w:color w:val="auto"/>
              </w:rPr>
            </w:pPr>
            <w:r>
              <w:rPr>
                <w:rFonts w:ascii="Times New Roman" w:cs="Times New Roman" w:eastAsia="Times New Roman" w:hAnsi="Times New Roman"/>
                <w:sz w:val="16"/>
                <w:szCs w:val="16"/>
                <w:color w:val="auto"/>
              </w:rPr>
              <w:t>210</w:t>
            </w:r>
          </w:p>
        </w:tc>
        <w:tc>
          <w:tcPr>
            <w:tcW w:w="58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160" w:type="dxa"/>
            <w:vAlign w:val="bottom"/>
            <w:tcBorders>
              <w:bottom w:val="single" w:sz="8" w:color="0C479D"/>
            </w:tcBorders>
          </w:tcPr>
          <w:p>
            <w:pPr>
              <w:jc w:val="right"/>
              <w:ind w:right="160"/>
              <w:spacing w:after="0"/>
              <w:rPr>
                <w:sz w:val="20"/>
                <w:szCs w:val="20"/>
                <w:color w:val="auto"/>
              </w:rPr>
            </w:pPr>
            <w:r>
              <w:rPr>
                <w:rFonts w:ascii="Times New Roman" w:cs="Times New Roman" w:eastAsia="Times New Roman" w:hAnsi="Times New Roman"/>
                <w:sz w:val="16"/>
                <w:szCs w:val="16"/>
                <w:color w:val="auto"/>
              </w:rPr>
              <w:t>227</w:t>
            </w:r>
          </w:p>
        </w:tc>
        <w:tc>
          <w:tcPr>
            <w:tcW w:w="700" w:type="dxa"/>
            <w:vAlign w:val="bottom"/>
            <w:tcBorders>
              <w:bottom w:val="single" w:sz="8" w:color="0C479D"/>
            </w:tcBorders>
          </w:tcPr>
          <w:p>
            <w:pPr>
              <w:jc w:val="right"/>
              <w:ind w:right="120"/>
              <w:spacing w:after="0"/>
              <w:rPr>
                <w:sz w:val="20"/>
                <w:szCs w:val="20"/>
                <w:color w:val="auto"/>
              </w:rPr>
            </w:pPr>
            <w:r>
              <w:rPr>
                <w:rFonts w:ascii="Times New Roman" w:cs="Times New Roman" w:eastAsia="Times New Roman" w:hAnsi="Times New Roman"/>
                <w:sz w:val="16"/>
                <w:szCs w:val="16"/>
                <w:color w:val="auto"/>
              </w:rPr>
              <w:t>61</w:t>
            </w:r>
          </w:p>
        </w:tc>
        <w:tc>
          <w:tcPr>
            <w:tcW w:w="1060" w:type="dxa"/>
            <w:vAlign w:val="bottom"/>
            <w:tcBorders>
              <w:bottom w:val="single" w:sz="8" w:color="0C479D"/>
            </w:tcBorders>
          </w:tcPr>
          <w:p>
            <w:pPr>
              <w:jc w:val="right"/>
              <w:ind w:right="160"/>
              <w:spacing w:after="0"/>
              <w:rPr>
                <w:sz w:val="20"/>
                <w:szCs w:val="20"/>
                <w:color w:val="auto"/>
              </w:rPr>
            </w:pPr>
            <w:r>
              <w:rPr>
                <w:rFonts w:ascii="Times New Roman" w:cs="Times New Roman" w:eastAsia="Times New Roman" w:hAnsi="Times New Roman"/>
                <w:sz w:val="16"/>
                <w:szCs w:val="16"/>
                <w:color w:val="auto"/>
              </w:rPr>
              <w:t>259</w:t>
            </w:r>
          </w:p>
        </w:tc>
        <w:tc>
          <w:tcPr>
            <w:tcW w:w="5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19"/>
        </w:trPr>
        <w:tc>
          <w:tcPr>
            <w:tcW w:w="448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crude oil and natural gas liquids production</w:t>
            </w:r>
          </w:p>
        </w:tc>
        <w:tc>
          <w:tcPr>
            <w:tcW w:w="180" w:type="dxa"/>
            <w:vAlign w:val="bottom"/>
            <w:tcBorders>
              <w:bottom w:val="single" w:sz="8" w:color="0C479D"/>
            </w:tcBorders>
          </w:tcPr>
          <w:p>
            <w:pPr>
              <w:spacing w:after="0"/>
              <w:rPr>
                <w:sz w:val="19"/>
                <w:szCs w:val="19"/>
                <w:color w:val="auto"/>
              </w:rPr>
            </w:pPr>
          </w:p>
        </w:tc>
        <w:tc>
          <w:tcPr>
            <w:tcW w:w="980" w:type="dxa"/>
            <w:vAlign w:val="bottom"/>
            <w:tcBorders>
              <w:bottom w:val="single" w:sz="8" w:color="0C479D"/>
            </w:tcBorders>
            <w:shd w:val="clear" w:color="auto" w:fill="F0F0F0"/>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2,068</w:t>
            </w:r>
          </w:p>
        </w:tc>
        <w:tc>
          <w:tcPr>
            <w:tcW w:w="58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483</w:t>
            </w:r>
          </w:p>
        </w:tc>
        <w:tc>
          <w:tcPr>
            <w:tcW w:w="1160" w:type="dxa"/>
            <w:vAlign w:val="bottom"/>
            <w:tcBorders>
              <w:bottom w:val="single" w:sz="8" w:color="0C479D"/>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1,682</w:t>
            </w:r>
          </w:p>
        </w:tc>
        <w:tc>
          <w:tcPr>
            <w:tcW w:w="700" w:type="dxa"/>
            <w:vAlign w:val="bottom"/>
            <w:tcBorders>
              <w:bottom w:val="single" w:sz="8" w:color="0C479D"/>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345</w:t>
            </w:r>
          </w:p>
        </w:tc>
        <w:tc>
          <w:tcPr>
            <w:tcW w:w="1060" w:type="dxa"/>
            <w:vAlign w:val="bottom"/>
            <w:tcBorders>
              <w:bottom w:val="single" w:sz="8" w:color="0C479D"/>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1,647</w:t>
            </w:r>
          </w:p>
        </w:tc>
        <w:tc>
          <w:tcPr>
            <w:tcW w:w="5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317</w:t>
            </w:r>
          </w:p>
        </w:tc>
        <w:tc>
          <w:tcPr>
            <w:tcW w:w="0" w:type="dxa"/>
            <w:vAlign w:val="bottom"/>
          </w:tcPr>
          <w:p>
            <w:pPr>
              <w:spacing w:after="0"/>
              <w:rPr>
                <w:sz w:val="1"/>
                <w:szCs w:val="1"/>
                <w:color w:val="auto"/>
              </w:rPr>
            </w:pPr>
          </w:p>
        </w:tc>
      </w:tr>
      <w:tr>
        <w:trPr>
          <w:trHeight w:val="359"/>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0C479D"/>
              </w:rPr>
              <w:t>Bitumen production</w:t>
            </w:r>
          </w:p>
        </w:tc>
        <w:tc>
          <w:tcPr>
            <w:tcW w:w="180" w:type="dxa"/>
            <w:vAlign w:val="bottom"/>
          </w:tcPr>
          <w:p>
            <w:pPr>
              <w:spacing w:after="0"/>
              <w:rPr>
                <w:sz w:val="24"/>
                <w:szCs w:val="24"/>
                <w:color w:val="auto"/>
              </w:rPr>
            </w:pPr>
          </w:p>
        </w:tc>
        <w:tc>
          <w:tcPr>
            <w:tcW w:w="980" w:type="dxa"/>
            <w:vAlign w:val="bottom"/>
            <w:shd w:val="clear" w:color="auto" w:fill="F0F0F0"/>
          </w:tcPr>
          <w:p>
            <w:pPr>
              <w:spacing w:after="0"/>
              <w:rPr>
                <w:sz w:val="24"/>
                <w:szCs w:val="24"/>
                <w:color w:val="auto"/>
              </w:rPr>
            </w:pPr>
          </w:p>
        </w:tc>
        <w:tc>
          <w:tcPr>
            <w:tcW w:w="580" w:type="dxa"/>
            <w:vAlign w:val="bottom"/>
            <w:shd w:val="clear" w:color="auto" w:fill="F0F0F0"/>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Consolidated Subsidiaries</w:t>
            </w:r>
          </w:p>
        </w:tc>
        <w:tc>
          <w:tcPr>
            <w:tcW w:w="180" w:type="dxa"/>
            <w:vAlign w:val="bottom"/>
          </w:tcPr>
          <w:p>
            <w:pPr>
              <w:spacing w:after="0"/>
              <w:rPr>
                <w:sz w:val="18"/>
                <w:szCs w:val="18"/>
                <w:color w:val="auto"/>
              </w:rPr>
            </w:pPr>
          </w:p>
        </w:tc>
        <w:tc>
          <w:tcPr>
            <w:tcW w:w="980" w:type="dxa"/>
            <w:vAlign w:val="bottom"/>
            <w:shd w:val="clear" w:color="auto" w:fill="F0F0F0"/>
          </w:tcPr>
          <w:p>
            <w:pPr>
              <w:spacing w:after="0"/>
              <w:rPr>
                <w:sz w:val="18"/>
                <w:szCs w:val="18"/>
                <w:color w:val="auto"/>
              </w:rPr>
            </w:pPr>
          </w:p>
        </w:tc>
        <w:tc>
          <w:tcPr>
            <w:tcW w:w="580" w:type="dxa"/>
            <w:vAlign w:val="bottom"/>
            <w:shd w:val="clear" w:color="auto" w:fill="F0F0F0"/>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Canada/Other Americas</w:t>
            </w:r>
          </w:p>
        </w:tc>
        <w:tc>
          <w:tcPr>
            <w:tcW w:w="180" w:type="dxa"/>
            <w:vAlign w:val="bottom"/>
          </w:tcPr>
          <w:p>
            <w:pPr>
              <w:spacing w:after="0"/>
              <w:rPr>
                <w:sz w:val="18"/>
                <w:szCs w:val="18"/>
                <w:color w:val="auto"/>
              </w:rPr>
            </w:pPr>
          </w:p>
        </w:tc>
        <w:tc>
          <w:tcPr>
            <w:tcW w:w="980" w:type="dxa"/>
            <w:vAlign w:val="bottom"/>
            <w:shd w:val="clear" w:color="auto" w:fill="F0F0F0"/>
          </w:tcPr>
          <w:p>
            <w:pPr>
              <w:jc w:val="right"/>
              <w:ind w:right="160"/>
              <w:spacing w:after="0"/>
              <w:rPr>
                <w:sz w:val="20"/>
                <w:szCs w:val="20"/>
                <w:color w:val="auto"/>
              </w:rPr>
            </w:pPr>
            <w:r>
              <w:rPr>
                <w:rFonts w:ascii="Times New Roman" w:cs="Times New Roman" w:eastAsia="Times New Roman" w:hAnsi="Times New Roman"/>
                <w:sz w:val="16"/>
                <w:szCs w:val="16"/>
                <w:color w:val="auto"/>
              </w:rPr>
              <w:t>374</w:t>
            </w:r>
          </w:p>
        </w:tc>
        <w:tc>
          <w:tcPr>
            <w:tcW w:w="580" w:type="dxa"/>
            <w:vAlign w:val="bottom"/>
            <w:shd w:val="clear" w:color="auto" w:fill="F0F0F0"/>
          </w:tcPr>
          <w:p>
            <w:pPr>
              <w:spacing w:after="0"/>
              <w:rPr>
                <w:sz w:val="18"/>
                <w:szCs w:val="18"/>
                <w:color w:val="auto"/>
              </w:rPr>
            </w:pPr>
          </w:p>
        </w:tc>
        <w:tc>
          <w:tcPr>
            <w:tcW w:w="11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355</w:t>
            </w:r>
          </w:p>
        </w:tc>
        <w:tc>
          <w:tcPr>
            <w:tcW w:w="700" w:type="dxa"/>
            <w:vAlign w:val="bottom"/>
          </w:tcPr>
          <w:p>
            <w:pPr>
              <w:spacing w:after="0"/>
              <w:rPr>
                <w:sz w:val="18"/>
                <w:szCs w:val="18"/>
                <w:color w:val="auto"/>
              </w:rPr>
            </w:pPr>
          </w:p>
        </w:tc>
        <w:tc>
          <w:tcPr>
            <w:tcW w:w="10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327</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0C479D"/>
              </w:rPr>
              <w:t>Synthetic oil production</w:t>
            </w:r>
          </w:p>
        </w:tc>
        <w:tc>
          <w:tcPr>
            <w:tcW w:w="180" w:type="dxa"/>
            <w:vAlign w:val="bottom"/>
          </w:tcPr>
          <w:p>
            <w:pPr>
              <w:spacing w:after="0"/>
              <w:rPr>
                <w:sz w:val="24"/>
                <w:szCs w:val="24"/>
                <w:color w:val="auto"/>
              </w:rPr>
            </w:pPr>
          </w:p>
        </w:tc>
        <w:tc>
          <w:tcPr>
            <w:tcW w:w="980" w:type="dxa"/>
            <w:vAlign w:val="bottom"/>
            <w:shd w:val="clear" w:color="auto" w:fill="F0F0F0"/>
          </w:tcPr>
          <w:p>
            <w:pPr>
              <w:spacing w:after="0"/>
              <w:rPr>
                <w:sz w:val="24"/>
                <w:szCs w:val="24"/>
                <w:color w:val="auto"/>
              </w:rPr>
            </w:pPr>
          </w:p>
        </w:tc>
        <w:tc>
          <w:tcPr>
            <w:tcW w:w="580" w:type="dxa"/>
            <w:vAlign w:val="bottom"/>
            <w:shd w:val="clear" w:color="auto" w:fill="F0F0F0"/>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Consolidated Subsidiaries</w:t>
            </w:r>
          </w:p>
        </w:tc>
        <w:tc>
          <w:tcPr>
            <w:tcW w:w="180" w:type="dxa"/>
            <w:vAlign w:val="bottom"/>
          </w:tcPr>
          <w:p>
            <w:pPr>
              <w:spacing w:after="0"/>
              <w:rPr>
                <w:sz w:val="18"/>
                <w:szCs w:val="18"/>
                <w:color w:val="auto"/>
              </w:rPr>
            </w:pPr>
          </w:p>
        </w:tc>
        <w:tc>
          <w:tcPr>
            <w:tcW w:w="980" w:type="dxa"/>
            <w:vAlign w:val="bottom"/>
            <w:shd w:val="clear" w:color="auto" w:fill="F0F0F0"/>
          </w:tcPr>
          <w:p>
            <w:pPr>
              <w:spacing w:after="0"/>
              <w:rPr>
                <w:sz w:val="18"/>
                <w:szCs w:val="18"/>
                <w:color w:val="auto"/>
              </w:rPr>
            </w:pPr>
          </w:p>
        </w:tc>
        <w:tc>
          <w:tcPr>
            <w:tcW w:w="580" w:type="dxa"/>
            <w:vAlign w:val="bottom"/>
            <w:shd w:val="clear" w:color="auto" w:fill="F0F0F0"/>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Canada/Other Americas</w:t>
            </w:r>
          </w:p>
        </w:tc>
        <w:tc>
          <w:tcPr>
            <w:tcW w:w="180" w:type="dxa"/>
            <w:vAlign w:val="bottom"/>
          </w:tcPr>
          <w:p>
            <w:pPr>
              <w:spacing w:after="0"/>
              <w:rPr>
                <w:sz w:val="18"/>
                <w:szCs w:val="18"/>
                <w:color w:val="auto"/>
              </w:rPr>
            </w:pPr>
          </w:p>
        </w:tc>
        <w:tc>
          <w:tcPr>
            <w:tcW w:w="980" w:type="dxa"/>
            <w:vAlign w:val="bottom"/>
            <w:shd w:val="clear" w:color="auto" w:fill="F0F0F0"/>
          </w:tcPr>
          <w:p>
            <w:pPr>
              <w:jc w:val="right"/>
              <w:ind w:right="160"/>
              <w:spacing w:after="0"/>
              <w:rPr>
                <w:sz w:val="20"/>
                <w:szCs w:val="20"/>
                <w:color w:val="auto"/>
              </w:rPr>
            </w:pPr>
            <w:r>
              <w:rPr>
                <w:rFonts w:ascii="Times New Roman" w:cs="Times New Roman" w:eastAsia="Times New Roman" w:hAnsi="Times New Roman"/>
                <w:sz w:val="16"/>
                <w:szCs w:val="16"/>
                <w:color w:val="auto"/>
              </w:rPr>
              <w:t>62</w:t>
            </w:r>
          </w:p>
        </w:tc>
        <w:tc>
          <w:tcPr>
            <w:tcW w:w="580" w:type="dxa"/>
            <w:vAlign w:val="bottom"/>
            <w:shd w:val="clear" w:color="auto" w:fill="F0F0F0"/>
          </w:tcPr>
          <w:p>
            <w:pPr>
              <w:spacing w:after="0"/>
              <w:rPr>
                <w:sz w:val="18"/>
                <w:szCs w:val="18"/>
                <w:color w:val="auto"/>
              </w:rPr>
            </w:pPr>
          </w:p>
        </w:tc>
        <w:tc>
          <w:tcPr>
            <w:tcW w:w="11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67</w:t>
            </w:r>
          </w:p>
        </w:tc>
        <w:tc>
          <w:tcPr>
            <w:tcW w:w="700" w:type="dxa"/>
            <w:vAlign w:val="bottom"/>
          </w:tcPr>
          <w:p>
            <w:pPr>
              <w:spacing w:after="0"/>
              <w:rPr>
                <w:sz w:val="18"/>
                <w:szCs w:val="18"/>
                <w:color w:val="auto"/>
              </w:rPr>
            </w:pPr>
          </w:p>
        </w:tc>
        <w:tc>
          <w:tcPr>
            <w:tcW w:w="10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63</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4480" w:type="dxa"/>
            <w:vAlign w:val="bottom"/>
            <w:tcBorders>
              <w:bottom w:val="single" w:sz="8" w:color="0C479D"/>
            </w:tcBorders>
          </w:tcPr>
          <w:p>
            <w:pPr>
              <w:spacing w:after="0"/>
              <w:rPr>
                <w:sz w:val="14"/>
                <w:szCs w:val="14"/>
                <w:color w:val="auto"/>
              </w:rPr>
            </w:pPr>
          </w:p>
        </w:tc>
        <w:tc>
          <w:tcPr>
            <w:tcW w:w="180" w:type="dxa"/>
            <w:vAlign w:val="bottom"/>
            <w:tcBorders>
              <w:bottom w:val="single" w:sz="8" w:color="0C479D"/>
            </w:tcBorders>
          </w:tcPr>
          <w:p>
            <w:pPr>
              <w:spacing w:after="0"/>
              <w:rPr>
                <w:sz w:val="14"/>
                <w:szCs w:val="14"/>
                <w:color w:val="auto"/>
              </w:rPr>
            </w:pPr>
          </w:p>
        </w:tc>
        <w:tc>
          <w:tcPr>
            <w:tcW w:w="980" w:type="dxa"/>
            <w:vAlign w:val="bottom"/>
            <w:tcBorders>
              <w:bottom w:val="single" w:sz="8" w:color="0C479D"/>
            </w:tcBorders>
            <w:shd w:val="clear" w:color="auto" w:fill="F0F0F0"/>
          </w:tcPr>
          <w:p>
            <w:pPr>
              <w:spacing w:after="0"/>
              <w:rPr>
                <w:sz w:val="14"/>
                <w:szCs w:val="14"/>
                <w:color w:val="auto"/>
              </w:rPr>
            </w:pPr>
          </w:p>
        </w:tc>
        <w:tc>
          <w:tcPr>
            <w:tcW w:w="580" w:type="dxa"/>
            <w:vAlign w:val="bottom"/>
            <w:tcBorders>
              <w:bottom w:val="single" w:sz="8" w:color="0C479D"/>
            </w:tcBorders>
            <w:shd w:val="clear" w:color="auto" w:fill="F0F0F0"/>
          </w:tcPr>
          <w:p>
            <w:pPr>
              <w:spacing w:after="0"/>
              <w:rPr>
                <w:sz w:val="14"/>
                <w:szCs w:val="14"/>
                <w:color w:val="auto"/>
              </w:rPr>
            </w:pPr>
          </w:p>
        </w:tc>
        <w:tc>
          <w:tcPr>
            <w:tcW w:w="1160" w:type="dxa"/>
            <w:vAlign w:val="bottom"/>
            <w:tcBorders>
              <w:bottom w:val="single" w:sz="8" w:color="0C479D"/>
            </w:tcBorders>
          </w:tcPr>
          <w:p>
            <w:pPr>
              <w:spacing w:after="0"/>
              <w:rPr>
                <w:sz w:val="14"/>
                <w:szCs w:val="14"/>
                <w:color w:val="auto"/>
              </w:rPr>
            </w:pPr>
          </w:p>
        </w:tc>
        <w:tc>
          <w:tcPr>
            <w:tcW w:w="700" w:type="dxa"/>
            <w:vAlign w:val="bottom"/>
            <w:tcBorders>
              <w:bottom w:val="single" w:sz="8" w:color="0C479D"/>
            </w:tcBorders>
          </w:tcPr>
          <w:p>
            <w:pPr>
              <w:spacing w:after="0"/>
              <w:rPr>
                <w:sz w:val="14"/>
                <w:szCs w:val="14"/>
                <w:color w:val="auto"/>
              </w:rPr>
            </w:pPr>
          </w:p>
        </w:tc>
        <w:tc>
          <w:tcPr>
            <w:tcW w:w="1060" w:type="dxa"/>
            <w:vAlign w:val="bottom"/>
            <w:tcBorders>
              <w:bottom w:val="single" w:sz="8" w:color="0C479D"/>
            </w:tcBorders>
          </w:tcPr>
          <w:p>
            <w:pPr>
              <w:spacing w:after="0"/>
              <w:rPr>
                <w:sz w:val="14"/>
                <w:szCs w:val="14"/>
                <w:color w:val="auto"/>
              </w:rPr>
            </w:pPr>
          </w:p>
        </w:tc>
        <w:tc>
          <w:tcPr>
            <w:tcW w:w="580" w:type="dxa"/>
            <w:vAlign w:val="bottom"/>
            <w:tcBorders>
              <w:bottom w:val="single" w:sz="8" w:color="0C479D"/>
            </w:tcBorders>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48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liquids production</w:t>
            </w:r>
          </w:p>
        </w:tc>
        <w:tc>
          <w:tcPr>
            <w:tcW w:w="180" w:type="dxa"/>
            <w:vAlign w:val="bottom"/>
            <w:tcBorders>
              <w:bottom w:val="single" w:sz="8" w:color="0C479D"/>
            </w:tcBorders>
          </w:tcPr>
          <w:p>
            <w:pPr>
              <w:spacing w:after="0"/>
              <w:rPr>
                <w:sz w:val="18"/>
                <w:szCs w:val="18"/>
                <w:color w:val="auto"/>
              </w:rPr>
            </w:pPr>
          </w:p>
        </w:tc>
        <w:tc>
          <w:tcPr>
            <w:tcW w:w="980" w:type="dxa"/>
            <w:vAlign w:val="bottom"/>
            <w:tcBorders>
              <w:bottom w:val="single" w:sz="8" w:color="0C479D"/>
            </w:tcBorders>
            <w:shd w:val="clear" w:color="auto" w:fill="F0F0F0"/>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2,987</w:t>
            </w:r>
          </w:p>
        </w:tc>
        <w:tc>
          <w:tcPr>
            <w:tcW w:w="580" w:type="dxa"/>
            <w:vAlign w:val="bottom"/>
            <w:tcBorders>
              <w:bottom w:val="single" w:sz="8" w:color="0C479D"/>
            </w:tcBorders>
            <w:shd w:val="clear" w:color="auto" w:fill="F0F0F0"/>
          </w:tcPr>
          <w:p>
            <w:pPr>
              <w:spacing w:after="0"/>
              <w:rPr>
                <w:sz w:val="18"/>
                <w:szCs w:val="18"/>
                <w:color w:val="auto"/>
              </w:rPr>
            </w:pPr>
          </w:p>
        </w:tc>
        <w:tc>
          <w:tcPr>
            <w:tcW w:w="1160" w:type="dxa"/>
            <w:vAlign w:val="bottom"/>
            <w:tcBorders>
              <w:bottom w:val="single" w:sz="8" w:color="0C479D"/>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2,449</w:t>
            </w:r>
          </w:p>
        </w:tc>
        <w:tc>
          <w:tcPr>
            <w:tcW w:w="700" w:type="dxa"/>
            <w:vAlign w:val="bottom"/>
            <w:tcBorders>
              <w:bottom w:val="single" w:sz="8" w:color="0C479D"/>
            </w:tcBorders>
          </w:tcPr>
          <w:p>
            <w:pPr>
              <w:spacing w:after="0"/>
              <w:rPr>
                <w:sz w:val="18"/>
                <w:szCs w:val="18"/>
                <w:color w:val="auto"/>
              </w:rPr>
            </w:pPr>
          </w:p>
        </w:tc>
        <w:tc>
          <w:tcPr>
            <w:tcW w:w="1060" w:type="dxa"/>
            <w:vAlign w:val="bottom"/>
            <w:tcBorders>
              <w:bottom w:val="single" w:sz="8" w:color="0C479D"/>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2,354</w:t>
            </w:r>
          </w:p>
        </w:tc>
        <w:tc>
          <w:tcPr>
            <w:tcW w:w="580" w:type="dxa"/>
            <w:vAlign w:val="bottom"/>
            <w:tcBorders>
              <w:bottom w:val="single" w:sz="8" w:color="0C479D"/>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shd w:val="clear" w:color="auto" w:fill="F0F0F0"/>
          </w:tcPr>
          <w:p>
            <w:pPr>
              <w:spacing w:after="0"/>
              <w:rPr>
                <w:sz w:val="12"/>
                <w:szCs w:val="12"/>
                <w:color w:val="auto"/>
              </w:rPr>
            </w:pPr>
          </w:p>
        </w:tc>
        <w:tc>
          <w:tcPr>
            <w:tcW w:w="580" w:type="dxa"/>
            <w:vAlign w:val="bottom"/>
            <w:shd w:val="clear" w:color="auto" w:fill="F0F0F0"/>
          </w:tcPr>
          <w:p>
            <w:pPr>
              <w:spacing w:after="0"/>
              <w:rPr>
                <w:sz w:val="12"/>
                <w:szCs w:val="12"/>
                <w:color w:val="auto"/>
              </w:rPr>
            </w:pPr>
          </w:p>
        </w:tc>
        <w:tc>
          <w:tcPr>
            <w:tcW w:w="1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480" w:type="dxa"/>
            <w:vAlign w:val="bottom"/>
            <w:tcBorders>
              <w:bottom w:val="single" w:sz="8" w:color="0C479D"/>
            </w:tcBorders>
            <w:shd w:val="clear" w:color="auto" w:fill="0C479D"/>
          </w:tcPr>
          <w:p>
            <w:pPr>
              <w:ind w:left="20"/>
              <w:spacing w:after="0"/>
              <w:rPr>
                <w:sz w:val="20"/>
                <w:szCs w:val="20"/>
                <w:color w:val="auto"/>
              </w:rPr>
            </w:pPr>
            <w:r>
              <w:rPr>
                <w:rFonts w:ascii="Times New Roman" w:cs="Times New Roman" w:eastAsia="Times New Roman" w:hAnsi="Times New Roman"/>
                <w:sz w:val="14"/>
                <w:szCs w:val="14"/>
                <w:i w:val="1"/>
                <w:iCs w:val="1"/>
                <w:color w:val="FFFFFF"/>
              </w:rPr>
              <w:t>(millions of cubic feet daily)</w:t>
            </w:r>
          </w:p>
        </w:tc>
        <w:tc>
          <w:tcPr>
            <w:tcW w:w="180" w:type="dxa"/>
            <w:vAlign w:val="bottom"/>
            <w:tcBorders>
              <w:bottom w:val="single" w:sz="8" w:color="0C479D"/>
            </w:tcBorders>
            <w:shd w:val="clear" w:color="auto" w:fill="0C479D"/>
          </w:tcPr>
          <w:p>
            <w:pPr>
              <w:spacing w:after="0"/>
              <w:rPr>
                <w:sz w:val="17"/>
                <w:szCs w:val="17"/>
                <w:color w:val="auto"/>
              </w:rPr>
            </w:pPr>
          </w:p>
        </w:tc>
        <w:tc>
          <w:tcPr>
            <w:tcW w:w="980" w:type="dxa"/>
            <w:vAlign w:val="bottom"/>
            <w:tcBorders>
              <w:bottom w:val="single" w:sz="8" w:color="0C479D"/>
            </w:tcBorders>
            <w:shd w:val="clear" w:color="auto" w:fill="0C479D"/>
          </w:tcPr>
          <w:p>
            <w:pPr>
              <w:spacing w:after="0"/>
              <w:rPr>
                <w:sz w:val="17"/>
                <w:szCs w:val="17"/>
                <w:color w:val="auto"/>
              </w:rPr>
            </w:pPr>
          </w:p>
        </w:tc>
        <w:tc>
          <w:tcPr>
            <w:tcW w:w="580" w:type="dxa"/>
            <w:vAlign w:val="bottom"/>
            <w:tcBorders>
              <w:bottom w:val="single" w:sz="8" w:color="0C479D"/>
            </w:tcBorders>
            <w:shd w:val="clear" w:color="auto" w:fill="0C479D"/>
          </w:tcPr>
          <w:p>
            <w:pPr>
              <w:spacing w:after="0"/>
              <w:rPr>
                <w:sz w:val="17"/>
                <w:szCs w:val="17"/>
                <w:color w:val="auto"/>
              </w:rPr>
            </w:pPr>
          </w:p>
        </w:tc>
        <w:tc>
          <w:tcPr>
            <w:tcW w:w="1160" w:type="dxa"/>
            <w:vAlign w:val="bottom"/>
            <w:tcBorders>
              <w:bottom w:val="single" w:sz="8" w:color="0C479D"/>
            </w:tcBorders>
            <w:shd w:val="clear" w:color="auto" w:fill="0C479D"/>
          </w:tcPr>
          <w:p>
            <w:pPr>
              <w:spacing w:after="0"/>
              <w:rPr>
                <w:sz w:val="17"/>
                <w:szCs w:val="17"/>
                <w:color w:val="auto"/>
              </w:rPr>
            </w:pPr>
          </w:p>
        </w:tc>
        <w:tc>
          <w:tcPr>
            <w:tcW w:w="700" w:type="dxa"/>
            <w:vAlign w:val="bottom"/>
            <w:tcBorders>
              <w:bottom w:val="single" w:sz="8" w:color="0C479D"/>
            </w:tcBorders>
            <w:shd w:val="clear" w:color="auto" w:fill="0C479D"/>
          </w:tcPr>
          <w:p>
            <w:pPr>
              <w:spacing w:after="0"/>
              <w:rPr>
                <w:sz w:val="17"/>
                <w:szCs w:val="17"/>
                <w:color w:val="auto"/>
              </w:rPr>
            </w:pPr>
          </w:p>
        </w:tc>
        <w:tc>
          <w:tcPr>
            <w:tcW w:w="1060" w:type="dxa"/>
            <w:vAlign w:val="bottom"/>
            <w:tcBorders>
              <w:bottom w:val="single" w:sz="8" w:color="0C479D"/>
            </w:tcBorders>
            <w:shd w:val="clear" w:color="auto" w:fill="0C479D"/>
          </w:tcPr>
          <w:p>
            <w:pPr>
              <w:spacing w:after="0"/>
              <w:rPr>
                <w:sz w:val="17"/>
                <w:szCs w:val="17"/>
                <w:color w:val="auto"/>
              </w:rPr>
            </w:pPr>
          </w:p>
        </w:tc>
        <w:tc>
          <w:tcPr>
            <w:tcW w:w="580" w:type="dxa"/>
            <w:vAlign w:val="bottom"/>
            <w:tcBorders>
              <w:bottom w:val="single" w:sz="8" w:color="0C479D"/>
            </w:tcBorders>
            <w:shd w:val="clear" w:color="auto" w:fill="0C479D"/>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0C479D"/>
              </w:rPr>
              <w:t>Natural gas production available for sale</w:t>
            </w:r>
          </w:p>
        </w:tc>
        <w:tc>
          <w:tcPr>
            <w:tcW w:w="180" w:type="dxa"/>
            <w:vAlign w:val="bottom"/>
          </w:tcPr>
          <w:p>
            <w:pPr>
              <w:spacing w:after="0"/>
              <w:rPr>
                <w:sz w:val="18"/>
                <w:szCs w:val="18"/>
                <w:color w:val="auto"/>
              </w:rPr>
            </w:pPr>
          </w:p>
        </w:tc>
        <w:tc>
          <w:tcPr>
            <w:tcW w:w="980" w:type="dxa"/>
            <w:vAlign w:val="bottom"/>
            <w:shd w:val="clear" w:color="auto" w:fill="F0F0F0"/>
          </w:tcPr>
          <w:p>
            <w:pPr>
              <w:spacing w:after="0"/>
              <w:rPr>
                <w:sz w:val="18"/>
                <w:szCs w:val="18"/>
                <w:color w:val="auto"/>
              </w:rPr>
            </w:pPr>
          </w:p>
        </w:tc>
        <w:tc>
          <w:tcPr>
            <w:tcW w:w="580" w:type="dxa"/>
            <w:vAlign w:val="bottom"/>
            <w:shd w:val="clear" w:color="auto" w:fill="F0F0F0"/>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Subsidiaries</w:t>
            </w:r>
          </w:p>
        </w:tc>
        <w:tc>
          <w:tcPr>
            <w:tcW w:w="180" w:type="dxa"/>
            <w:vAlign w:val="bottom"/>
          </w:tcPr>
          <w:p>
            <w:pPr>
              <w:spacing w:after="0"/>
              <w:rPr>
                <w:sz w:val="18"/>
                <w:szCs w:val="18"/>
                <w:color w:val="auto"/>
              </w:rPr>
            </w:pPr>
          </w:p>
        </w:tc>
        <w:tc>
          <w:tcPr>
            <w:tcW w:w="980" w:type="dxa"/>
            <w:vAlign w:val="bottom"/>
            <w:shd w:val="clear" w:color="auto" w:fill="F0F0F0"/>
          </w:tcPr>
          <w:p>
            <w:pPr>
              <w:spacing w:after="0"/>
              <w:rPr>
                <w:sz w:val="18"/>
                <w:szCs w:val="18"/>
                <w:color w:val="auto"/>
              </w:rPr>
            </w:pPr>
          </w:p>
        </w:tc>
        <w:tc>
          <w:tcPr>
            <w:tcW w:w="580" w:type="dxa"/>
            <w:vAlign w:val="bottom"/>
            <w:shd w:val="clear" w:color="auto" w:fill="F0F0F0"/>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United States</w:t>
            </w:r>
          </w:p>
        </w:tc>
        <w:tc>
          <w:tcPr>
            <w:tcW w:w="180" w:type="dxa"/>
            <w:vAlign w:val="bottom"/>
          </w:tcPr>
          <w:p>
            <w:pPr>
              <w:spacing w:after="0"/>
              <w:rPr>
                <w:sz w:val="18"/>
                <w:szCs w:val="18"/>
                <w:color w:val="auto"/>
              </w:rPr>
            </w:pPr>
          </w:p>
        </w:tc>
        <w:tc>
          <w:tcPr>
            <w:tcW w:w="980" w:type="dxa"/>
            <w:vAlign w:val="bottom"/>
            <w:shd w:val="clear" w:color="auto" w:fill="F0F0F0"/>
          </w:tcPr>
          <w:p>
            <w:pPr>
              <w:jc w:val="right"/>
              <w:ind w:right="160"/>
              <w:spacing w:after="0"/>
              <w:rPr>
                <w:sz w:val="20"/>
                <w:szCs w:val="20"/>
                <w:color w:val="auto"/>
              </w:rPr>
            </w:pPr>
            <w:r>
              <w:rPr>
                <w:rFonts w:ascii="Times New Roman" w:cs="Times New Roman" w:eastAsia="Times New Roman" w:hAnsi="Times New Roman"/>
                <w:sz w:val="16"/>
                <w:szCs w:val="16"/>
                <w:color w:val="auto"/>
              </w:rPr>
              <w:t>2,869</w:t>
            </w:r>
          </w:p>
        </w:tc>
        <w:tc>
          <w:tcPr>
            <w:tcW w:w="580" w:type="dxa"/>
            <w:vAlign w:val="bottom"/>
            <w:shd w:val="clear" w:color="auto" w:fill="F0F0F0"/>
          </w:tcPr>
          <w:p>
            <w:pPr>
              <w:spacing w:after="0"/>
              <w:rPr>
                <w:sz w:val="18"/>
                <w:szCs w:val="18"/>
                <w:color w:val="auto"/>
              </w:rPr>
            </w:pPr>
          </w:p>
        </w:tc>
        <w:tc>
          <w:tcPr>
            <w:tcW w:w="11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2,292</w:t>
            </w:r>
          </w:p>
        </w:tc>
        <w:tc>
          <w:tcPr>
            <w:tcW w:w="700" w:type="dxa"/>
            <w:vAlign w:val="bottom"/>
          </w:tcPr>
          <w:p>
            <w:pPr>
              <w:spacing w:after="0"/>
              <w:rPr>
                <w:sz w:val="18"/>
                <w:szCs w:val="18"/>
                <w:color w:val="auto"/>
              </w:rPr>
            </w:pPr>
          </w:p>
        </w:tc>
        <w:tc>
          <w:tcPr>
            <w:tcW w:w="10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2,531</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 xml:space="preserve">Canada/Other Americas </w:t>
            </w:r>
            <w:r>
              <w:rPr>
                <w:rFonts w:ascii="Times New Roman" w:cs="Times New Roman" w:eastAsia="Times New Roman" w:hAnsi="Times New Roman"/>
                <w:sz w:val="9"/>
                <w:szCs w:val="9"/>
                <w:i w:val="1"/>
                <w:iCs w:val="1"/>
                <w:color w:val="auto"/>
              </w:rPr>
              <w:t>(1)</w:t>
            </w:r>
          </w:p>
        </w:tc>
        <w:tc>
          <w:tcPr>
            <w:tcW w:w="180" w:type="dxa"/>
            <w:vAlign w:val="bottom"/>
          </w:tcPr>
          <w:p>
            <w:pPr>
              <w:spacing w:after="0"/>
              <w:rPr>
                <w:sz w:val="18"/>
                <w:szCs w:val="18"/>
                <w:color w:val="auto"/>
              </w:rPr>
            </w:pPr>
          </w:p>
        </w:tc>
        <w:tc>
          <w:tcPr>
            <w:tcW w:w="980" w:type="dxa"/>
            <w:vAlign w:val="bottom"/>
            <w:shd w:val="clear" w:color="auto" w:fill="F0F0F0"/>
          </w:tcPr>
          <w:p>
            <w:pPr>
              <w:jc w:val="right"/>
              <w:ind w:right="160"/>
              <w:spacing w:after="0"/>
              <w:rPr>
                <w:sz w:val="20"/>
                <w:szCs w:val="20"/>
                <w:color w:val="auto"/>
              </w:rPr>
            </w:pPr>
            <w:r>
              <w:rPr>
                <w:rFonts w:ascii="Times New Roman" w:cs="Times New Roman" w:eastAsia="Times New Roman" w:hAnsi="Times New Roman"/>
                <w:sz w:val="16"/>
                <w:szCs w:val="16"/>
                <w:color w:val="auto"/>
              </w:rPr>
              <w:t>101</w:t>
            </w:r>
          </w:p>
        </w:tc>
        <w:tc>
          <w:tcPr>
            <w:tcW w:w="580" w:type="dxa"/>
            <w:vAlign w:val="bottom"/>
            <w:shd w:val="clear" w:color="auto" w:fill="F0F0F0"/>
          </w:tcPr>
          <w:p>
            <w:pPr>
              <w:spacing w:after="0"/>
              <w:rPr>
                <w:sz w:val="18"/>
                <w:szCs w:val="18"/>
                <w:color w:val="auto"/>
              </w:rPr>
            </w:pPr>
          </w:p>
        </w:tc>
        <w:tc>
          <w:tcPr>
            <w:tcW w:w="11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96</w:t>
            </w:r>
          </w:p>
        </w:tc>
        <w:tc>
          <w:tcPr>
            <w:tcW w:w="700" w:type="dxa"/>
            <w:vAlign w:val="bottom"/>
          </w:tcPr>
          <w:p>
            <w:pPr>
              <w:spacing w:after="0"/>
              <w:rPr>
                <w:sz w:val="18"/>
                <w:szCs w:val="18"/>
                <w:color w:val="auto"/>
              </w:rPr>
            </w:pPr>
          </w:p>
        </w:tc>
        <w:tc>
          <w:tcPr>
            <w:tcW w:w="10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148</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Europe</w:t>
            </w:r>
          </w:p>
        </w:tc>
        <w:tc>
          <w:tcPr>
            <w:tcW w:w="180" w:type="dxa"/>
            <w:vAlign w:val="bottom"/>
          </w:tcPr>
          <w:p>
            <w:pPr>
              <w:spacing w:after="0"/>
              <w:rPr>
                <w:sz w:val="18"/>
                <w:szCs w:val="18"/>
                <w:color w:val="auto"/>
              </w:rPr>
            </w:pPr>
          </w:p>
        </w:tc>
        <w:tc>
          <w:tcPr>
            <w:tcW w:w="980" w:type="dxa"/>
            <w:vAlign w:val="bottom"/>
            <w:shd w:val="clear" w:color="auto" w:fill="F0F0F0"/>
          </w:tcPr>
          <w:p>
            <w:pPr>
              <w:jc w:val="right"/>
              <w:ind w:right="160"/>
              <w:spacing w:after="0"/>
              <w:rPr>
                <w:sz w:val="20"/>
                <w:szCs w:val="20"/>
                <w:color w:val="auto"/>
              </w:rPr>
            </w:pPr>
            <w:r>
              <w:rPr>
                <w:rFonts w:ascii="Times New Roman" w:cs="Times New Roman" w:eastAsia="Times New Roman" w:hAnsi="Times New Roman"/>
                <w:sz w:val="16"/>
                <w:szCs w:val="16"/>
                <w:color w:val="auto"/>
              </w:rPr>
              <w:t>252</w:t>
            </w:r>
          </w:p>
        </w:tc>
        <w:tc>
          <w:tcPr>
            <w:tcW w:w="580" w:type="dxa"/>
            <w:vAlign w:val="bottom"/>
            <w:shd w:val="clear" w:color="auto" w:fill="F0F0F0"/>
          </w:tcPr>
          <w:p>
            <w:pPr>
              <w:spacing w:after="0"/>
              <w:rPr>
                <w:sz w:val="18"/>
                <w:szCs w:val="18"/>
                <w:color w:val="auto"/>
              </w:rPr>
            </w:pPr>
          </w:p>
        </w:tc>
        <w:tc>
          <w:tcPr>
            <w:tcW w:w="11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266</w:t>
            </w:r>
          </w:p>
        </w:tc>
        <w:tc>
          <w:tcPr>
            <w:tcW w:w="700" w:type="dxa"/>
            <w:vAlign w:val="bottom"/>
          </w:tcPr>
          <w:p>
            <w:pPr>
              <w:spacing w:after="0"/>
              <w:rPr>
                <w:sz w:val="18"/>
                <w:szCs w:val="18"/>
                <w:color w:val="auto"/>
              </w:rPr>
            </w:pPr>
          </w:p>
        </w:tc>
        <w:tc>
          <w:tcPr>
            <w:tcW w:w="10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306</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Africa</w:t>
            </w:r>
          </w:p>
        </w:tc>
        <w:tc>
          <w:tcPr>
            <w:tcW w:w="180" w:type="dxa"/>
            <w:vAlign w:val="bottom"/>
          </w:tcPr>
          <w:p>
            <w:pPr>
              <w:spacing w:after="0"/>
              <w:rPr>
                <w:sz w:val="18"/>
                <w:szCs w:val="18"/>
                <w:color w:val="auto"/>
              </w:rPr>
            </w:pPr>
          </w:p>
        </w:tc>
        <w:tc>
          <w:tcPr>
            <w:tcW w:w="980" w:type="dxa"/>
            <w:vAlign w:val="bottom"/>
            <w:shd w:val="clear" w:color="auto" w:fill="F0F0F0"/>
          </w:tcPr>
          <w:p>
            <w:pPr>
              <w:jc w:val="right"/>
              <w:ind w:right="160"/>
              <w:spacing w:after="0"/>
              <w:rPr>
                <w:sz w:val="20"/>
                <w:szCs w:val="20"/>
                <w:color w:val="auto"/>
              </w:rPr>
            </w:pPr>
            <w:r>
              <w:rPr>
                <w:rFonts w:ascii="Times New Roman" w:cs="Times New Roman" w:eastAsia="Times New Roman" w:hAnsi="Times New Roman"/>
                <w:sz w:val="16"/>
                <w:szCs w:val="16"/>
                <w:color w:val="auto"/>
              </w:rPr>
              <w:t>45</w:t>
            </w:r>
          </w:p>
        </w:tc>
        <w:tc>
          <w:tcPr>
            <w:tcW w:w="580" w:type="dxa"/>
            <w:vAlign w:val="bottom"/>
            <w:shd w:val="clear" w:color="auto" w:fill="F0F0F0"/>
          </w:tcPr>
          <w:p>
            <w:pPr>
              <w:spacing w:after="0"/>
              <w:rPr>
                <w:sz w:val="18"/>
                <w:szCs w:val="18"/>
                <w:color w:val="auto"/>
              </w:rPr>
            </w:pPr>
          </w:p>
        </w:tc>
        <w:tc>
          <w:tcPr>
            <w:tcW w:w="11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35</w:t>
            </w:r>
          </w:p>
        </w:tc>
        <w:tc>
          <w:tcPr>
            <w:tcW w:w="700" w:type="dxa"/>
            <w:vAlign w:val="bottom"/>
          </w:tcPr>
          <w:p>
            <w:pPr>
              <w:spacing w:after="0"/>
              <w:rPr>
                <w:sz w:val="18"/>
                <w:szCs w:val="18"/>
                <w:color w:val="auto"/>
              </w:rPr>
            </w:pPr>
          </w:p>
        </w:tc>
        <w:tc>
          <w:tcPr>
            <w:tcW w:w="10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64</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Asia</w:t>
            </w:r>
          </w:p>
        </w:tc>
        <w:tc>
          <w:tcPr>
            <w:tcW w:w="180" w:type="dxa"/>
            <w:vAlign w:val="bottom"/>
          </w:tcPr>
          <w:p>
            <w:pPr>
              <w:spacing w:after="0"/>
              <w:rPr>
                <w:sz w:val="18"/>
                <w:szCs w:val="18"/>
                <w:color w:val="auto"/>
              </w:rPr>
            </w:pPr>
          </w:p>
        </w:tc>
        <w:tc>
          <w:tcPr>
            <w:tcW w:w="980" w:type="dxa"/>
            <w:vAlign w:val="bottom"/>
            <w:shd w:val="clear" w:color="auto" w:fill="F0F0F0"/>
          </w:tcPr>
          <w:p>
            <w:pPr>
              <w:jc w:val="right"/>
              <w:ind w:right="160"/>
              <w:spacing w:after="0"/>
              <w:rPr>
                <w:sz w:val="20"/>
                <w:szCs w:val="20"/>
                <w:color w:val="auto"/>
              </w:rPr>
            </w:pPr>
            <w:r>
              <w:rPr>
                <w:rFonts w:ascii="Times New Roman" w:cs="Times New Roman" w:eastAsia="Times New Roman" w:hAnsi="Times New Roman"/>
                <w:sz w:val="16"/>
                <w:szCs w:val="16"/>
                <w:color w:val="auto"/>
              </w:rPr>
              <w:t>907</w:t>
            </w:r>
          </w:p>
        </w:tc>
        <w:tc>
          <w:tcPr>
            <w:tcW w:w="580" w:type="dxa"/>
            <w:vAlign w:val="bottom"/>
            <w:shd w:val="clear" w:color="auto" w:fill="F0F0F0"/>
          </w:tcPr>
          <w:p>
            <w:pPr>
              <w:spacing w:after="0"/>
              <w:rPr>
                <w:sz w:val="18"/>
                <w:szCs w:val="18"/>
                <w:color w:val="auto"/>
              </w:rPr>
            </w:pPr>
          </w:p>
        </w:tc>
        <w:tc>
          <w:tcPr>
            <w:tcW w:w="11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915</w:t>
            </w:r>
          </w:p>
        </w:tc>
        <w:tc>
          <w:tcPr>
            <w:tcW w:w="700" w:type="dxa"/>
            <w:vAlign w:val="bottom"/>
          </w:tcPr>
          <w:p>
            <w:pPr>
              <w:spacing w:after="0"/>
              <w:rPr>
                <w:sz w:val="18"/>
                <w:szCs w:val="18"/>
                <w:color w:val="auto"/>
              </w:rPr>
            </w:pPr>
          </w:p>
        </w:tc>
        <w:tc>
          <w:tcPr>
            <w:tcW w:w="10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779</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80" w:type="dxa"/>
            <w:vAlign w:val="bottom"/>
            <w:tcBorders>
              <w:bottom w:val="single" w:sz="8" w:color="0C479D"/>
            </w:tcBorders>
          </w:tcPr>
          <w:p>
            <w:pPr>
              <w:ind w:left="120"/>
              <w:spacing w:after="0"/>
              <w:rPr>
                <w:sz w:val="20"/>
                <w:szCs w:val="20"/>
                <w:color w:val="auto"/>
              </w:rPr>
            </w:pPr>
            <w:r>
              <w:rPr>
                <w:rFonts w:ascii="Times New Roman" w:cs="Times New Roman" w:eastAsia="Times New Roman" w:hAnsi="Times New Roman"/>
                <w:sz w:val="16"/>
                <w:szCs w:val="16"/>
                <w:color w:val="auto"/>
              </w:rPr>
              <w:t>Australia/Oceania</w:t>
            </w:r>
          </w:p>
        </w:tc>
        <w:tc>
          <w:tcPr>
            <w:tcW w:w="180" w:type="dxa"/>
            <w:vAlign w:val="bottom"/>
            <w:tcBorders>
              <w:bottom w:val="single" w:sz="8" w:color="0C479D"/>
            </w:tcBorders>
          </w:tcPr>
          <w:p>
            <w:pPr>
              <w:spacing w:after="0"/>
              <w:rPr>
                <w:sz w:val="19"/>
                <w:szCs w:val="19"/>
                <w:color w:val="auto"/>
              </w:rPr>
            </w:pPr>
          </w:p>
        </w:tc>
        <w:tc>
          <w:tcPr>
            <w:tcW w:w="980" w:type="dxa"/>
            <w:vAlign w:val="bottom"/>
            <w:tcBorders>
              <w:bottom w:val="single" w:sz="8" w:color="0C479D"/>
            </w:tcBorders>
            <w:shd w:val="clear" w:color="auto" w:fill="F0F0F0"/>
          </w:tcPr>
          <w:p>
            <w:pPr>
              <w:jc w:val="right"/>
              <w:ind w:right="160"/>
              <w:spacing w:after="0"/>
              <w:rPr>
                <w:sz w:val="20"/>
                <w:szCs w:val="20"/>
                <w:color w:val="auto"/>
              </w:rPr>
            </w:pPr>
            <w:r>
              <w:rPr>
                <w:rFonts w:ascii="Times New Roman" w:cs="Times New Roman" w:eastAsia="Times New Roman" w:hAnsi="Times New Roman"/>
                <w:sz w:val="16"/>
                <w:szCs w:val="16"/>
                <w:color w:val="auto"/>
              </w:rPr>
              <w:t>1,264</w:t>
            </w:r>
          </w:p>
        </w:tc>
        <w:tc>
          <w:tcPr>
            <w:tcW w:w="580" w:type="dxa"/>
            <w:vAlign w:val="bottom"/>
            <w:tcBorders>
              <w:bottom w:val="single" w:sz="8" w:color="0C479D"/>
            </w:tcBorders>
            <w:shd w:val="clear" w:color="auto" w:fill="F0F0F0"/>
          </w:tcPr>
          <w:p>
            <w:pPr>
              <w:spacing w:after="0"/>
              <w:rPr>
                <w:sz w:val="19"/>
                <w:szCs w:val="19"/>
                <w:color w:val="auto"/>
              </w:rPr>
            </w:pPr>
          </w:p>
        </w:tc>
        <w:tc>
          <w:tcPr>
            <w:tcW w:w="1160" w:type="dxa"/>
            <w:vAlign w:val="bottom"/>
            <w:tcBorders>
              <w:bottom w:val="single" w:sz="8" w:color="0C479D"/>
            </w:tcBorders>
          </w:tcPr>
          <w:p>
            <w:pPr>
              <w:jc w:val="right"/>
              <w:ind w:right="160"/>
              <w:spacing w:after="0"/>
              <w:rPr>
                <w:sz w:val="20"/>
                <w:szCs w:val="20"/>
                <w:color w:val="auto"/>
              </w:rPr>
            </w:pPr>
            <w:r>
              <w:rPr>
                <w:rFonts w:ascii="Times New Roman" w:cs="Times New Roman" w:eastAsia="Times New Roman" w:hAnsi="Times New Roman"/>
                <w:sz w:val="16"/>
                <w:szCs w:val="16"/>
                <w:color w:val="auto"/>
              </w:rPr>
              <w:t>1,298</w:t>
            </w:r>
          </w:p>
        </w:tc>
        <w:tc>
          <w:tcPr>
            <w:tcW w:w="700" w:type="dxa"/>
            <w:vAlign w:val="bottom"/>
            <w:tcBorders>
              <w:bottom w:val="single" w:sz="8" w:color="0C479D"/>
            </w:tcBorders>
          </w:tcPr>
          <w:p>
            <w:pPr>
              <w:spacing w:after="0"/>
              <w:rPr>
                <w:sz w:val="19"/>
                <w:szCs w:val="19"/>
                <w:color w:val="auto"/>
              </w:rPr>
            </w:pPr>
          </w:p>
        </w:tc>
        <w:tc>
          <w:tcPr>
            <w:tcW w:w="1060" w:type="dxa"/>
            <w:vAlign w:val="bottom"/>
            <w:tcBorders>
              <w:bottom w:val="single" w:sz="8" w:color="0C479D"/>
            </w:tcBorders>
          </w:tcPr>
          <w:p>
            <w:pPr>
              <w:jc w:val="right"/>
              <w:ind w:right="160"/>
              <w:spacing w:after="0"/>
              <w:rPr>
                <w:sz w:val="20"/>
                <w:szCs w:val="20"/>
                <w:color w:val="auto"/>
              </w:rPr>
            </w:pPr>
            <w:r>
              <w:rPr>
                <w:rFonts w:ascii="Times New Roman" w:cs="Times New Roman" w:eastAsia="Times New Roman" w:hAnsi="Times New Roman"/>
                <w:sz w:val="16"/>
                <w:szCs w:val="16"/>
                <w:color w:val="auto"/>
              </w:rPr>
              <w:t>1,440</w:t>
            </w:r>
          </w:p>
        </w:tc>
        <w:tc>
          <w:tcPr>
            <w:tcW w:w="580" w:type="dxa"/>
            <w:vAlign w:val="bottom"/>
            <w:tcBorders>
              <w:bottom w:val="single" w:sz="8" w:color="0C479D"/>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8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color w:val="auto"/>
              </w:rPr>
              <w:t>Total Consolidated Subsidiaries</w:t>
            </w:r>
          </w:p>
        </w:tc>
        <w:tc>
          <w:tcPr>
            <w:tcW w:w="180" w:type="dxa"/>
            <w:vAlign w:val="bottom"/>
            <w:tcBorders>
              <w:bottom w:val="single" w:sz="8" w:color="0C479D"/>
            </w:tcBorders>
          </w:tcPr>
          <w:p>
            <w:pPr>
              <w:spacing w:after="0"/>
              <w:rPr>
                <w:sz w:val="18"/>
                <w:szCs w:val="18"/>
                <w:color w:val="auto"/>
              </w:rPr>
            </w:pPr>
          </w:p>
        </w:tc>
        <w:tc>
          <w:tcPr>
            <w:tcW w:w="980" w:type="dxa"/>
            <w:vAlign w:val="bottom"/>
            <w:tcBorders>
              <w:bottom w:val="single" w:sz="8" w:color="0C479D"/>
            </w:tcBorders>
            <w:shd w:val="clear" w:color="auto" w:fill="F0F0F0"/>
          </w:tcPr>
          <w:p>
            <w:pPr>
              <w:jc w:val="right"/>
              <w:ind w:right="160"/>
              <w:spacing w:after="0"/>
              <w:rPr>
                <w:sz w:val="20"/>
                <w:szCs w:val="20"/>
                <w:color w:val="auto"/>
              </w:rPr>
            </w:pPr>
            <w:r>
              <w:rPr>
                <w:rFonts w:ascii="Times New Roman" w:cs="Times New Roman" w:eastAsia="Times New Roman" w:hAnsi="Times New Roman"/>
                <w:sz w:val="16"/>
                <w:szCs w:val="16"/>
                <w:color w:val="auto"/>
              </w:rPr>
              <w:t>5,438</w:t>
            </w:r>
          </w:p>
        </w:tc>
        <w:tc>
          <w:tcPr>
            <w:tcW w:w="580" w:type="dxa"/>
            <w:vAlign w:val="bottom"/>
            <w:tcBorders>
              <w:bottom w:val="single" w:sz="8" w:color="0C479D"/>
            </w:tcBorders>
            <w:shd w:val="clear" w:color="auto" w:fill="F0F0F0"/>
          </w:tcPr>
          <w:p>
            <w:pPr>
              <w:spacing w:after="0"/>
              <w:rPr>
                <w:sz w:val="18"/>
                <w:szCs w:val="18"/>
                <w:color w:val="auto"/>
              </w:rPr>
            </w:pPr>
          </w:p>
        </w:tc>
        <w:tc>
          <w:tcPr>
            <w:tcW w:w="1160" w:type="dxa"/>
            <w:vAlign w:val="bottom"/>
            <w:tcBorders>
              <w:bottom w:val="single" w:sz="8" w:color="0C479D"/>
            </w:tcBorders>
          </w:tcPr>
          <w:p>
            <w:pPr>
              <w:jc w:val="right"/>
              <w:ind w:right="160"/>
              <w:spacing w:after="0"/>
              <w:rPr>
                <w:sz w:val="20"/>
                <w:szCs w:val="20"/>
                <w:color w:val="auto"/>
              </w:rPr>
            </w:pPr>
            <w:r>
              <w:rPr>
                <w:rFonts w:ascii="Times New Roman" w:cs="Times New Roman" w:eastAsia="Times New Roman" w:hAnsi="Times New Roman"/>
                <w:sz w:val="16"/>
                <w:szCs w:val="16"/>
                <w:color w:val="auto"/>
              </w:rPr>
              <w:t>4,902</w:t>
            </w:r>
          </w:p>
        </w:tc>
        <w:tc>
          <w:tcPr>
            <w:tcW w:w="700" w:type="dxa"/>
            <w:vAlign w:val="bottom"/>
            <w:tcBorders>
              <w:bottom w:val="single" w:sz="8" w:color="0C479D"/>
            </w:tcBorders>
          </w:tcPr>
          <w:p>
            <w:pPr>
              <w:spacing w:after="0"/>
              <w:rPr>
                <w:sz w:val="18"/>
                <w:szCs w:val="18"/>
                <w:color w:val="auto"/>
              </w:rPr>
            </w:pPr>
          </w:p>
        </w:tc>
        <w:tc>
          <w:tcPr>
            <w:tcW w:w="1060" w:type="dxa"/>
            <w:vAlign w:val="bottom"/>
            <w:tcBorders>
              <w:bottom w:val="single" w:sz="8" w:color="0C479D"/>
            </w:tcBorders>
          </w:tcPr>
          <w:p>
            <w:pPr>
              <w:jc w:val="right"/>
              <w:ind w:right="160"/>
              <w:spacing w:after="0"/>
              <w:rPr>
                <w:sz w:val="20"/>
                <w:szCs w:val="20"/>
                <w:color w:val="auto"/>
              </w:rPr>
            </w:pPr>
            <w:r>
              <w:rPr>
                <w:rFonts w:ascii="Times New Roman" w:cs="Times New Roman" w:eastAsia="Times New Roman" w:hAnsi="Times New Roman"/>
                <w:sz w:val="16"/>
                <w:szCs w:val="16"/>
                <w:color w:val="auto"/>
              </w:rPr>
              <w:t>5,268</w:t>
            </w:r>
          </w:p>
        </w:tc>
        <w:tc>
          <w:tcPr>
            <w:tcW w:w="580" w:type="dxa"/>
            <w:vAlign w:val="bottom"/>
            <w:tcBorders>
              <w:bottom w:val="single" w:sz="8" w:color="0C479D"/>
            </w:tcBorders>
          </w:tcPr>
          <w:p>
            <w:pPr>
              <w:spacing w:after="0"/>
              <w:rPr>
                <w:sz w:val="18"/>
                <w:szCs w:val="18"/>
                <w:color w:val="auto"/>
              </w:rPr>
            </w:pPr>
          </w:p>
        </w:tc>
        <w:tc>
          <w:tcPr>
            <w:tcW w:w="0" w:type="dxa"/>
            <w:vAlign w:val="bottom"/>
          </w:tcPr>
          <w:p>
            <w:pPr>
              <w:spacing w:after="0"/>
              <w:rPr>
                <w:sz w:val="1"/>
                <w:szCs w:val="1"/>
                <w:color w:val="auto"/>
              </w:rPr>
            </w:pPr>
          </w:p>
        </w:tc>
      </w:tr>
      <w:tr>
        <w:trPr>
          <w:trHeight w:val="355"/>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Equity Companies</w:t>
            </w:r>
          </w:p>
        </w:tc>
        <w:tc>
          <w:tcPr>
            <w:tcW w:w="180" w:type="dxa"/>
            <w:vAlign w:val="bottom"/>
          </w:tcPr>
          <w:p>
            <w:pPr>
              <w:spacing w:after="0"/>
              <w:rPr>
                <w:sz w:val="24"/>
                <w:szCs w:val="24"/>
                <w:color w:val="auto"/>
              </w:rPr>
            </w:pPr>
          </w:p>
        </w:tc>
        <w:tc>
          <w:tcPr>
            <w:tcW w:w="980" w:type="dxa"/>
            <w:vAlign w:val="bottom"/>
            <w:shd w:val="clear" w:color="auto" w:fill="F0F0F0"/>
          </w:tcPr>
          <w:p>
            <w:pPr>
              <w:spacing w:after="0"/>
              <w:rPr>
                <w:sz w:val="24"/>
                <w:szCs w:val="24"/>
                <w:color w:val="auto"/>
              </w:rPr>
            </w:pPr>
          </w:p>
        </w:tc>
        <w:tc>
          <w:tcPr>
            <w:tcW w:w="580" w:type="dxa"/>
            <w:vAlign w:val="bottom"/>
            <w:shd w:val="clear" w:color="auto" w:fill="F0F0F0"/>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United States</w:t>
            </w:r>
          </w:p>
        </w:tc>
        <w:tc>
          <w:tcPr>
            <w:tcW w:w="180" w:type="dxa"/>
            <w:vAlign w:val="bottom"/>
          </w:tcPr>
          <w:p>
            <w:pPr>
              <w:spacing w:after="0"/>
              <w:rPr>
                <w:sz w:val="18"/>
                <w:szCs w:val="18"/>
                <w:color w:val="auto"/>
              </w:rPr>
            </w:pPr>
          </w:p>
        </w:tc>
        <w:tc>
          <w:tcPr>
            <w:tcW w:w="980" w:type="dxa"/>
            <w:vAlign w:val="bottom"/>
            <w:shd w:val="clear" w:color="auto" w:fill="F0F0F0"/>
          </w:tcPr>
          <w:p>
            <w:pPr>
              <w:jc w:val="right"/>
              <w:ind w:right="160"/>
              <w:spacing w:after="0"/>
              <w:rPr>
                <w:sz w:val="20"/>
                <w:szCs w:val="20"/>
                <w:color w:val="auto"/>
              </w:rPr>
            </w:pPr>
            <w:r>
              <w:rPr>
                <w:rFonts w:ascii="Times New Roman" w:cs="Times New Roman" w:eastAsia="Times New Roman" w:hAnsi="Times New Roman"/>
                <w:sz w:val="16"/>
                <w:szCs w:val="16"/>
                <w:color w:val="auto"/>
              </w:rPr>
              <w:t>18</w:t>
            </w:r>
          </w:p>
        </w:tc>
        <w:tc>
          <w:tcPr>
            <w:tcW w:w="580" w:type="dxa"/>
            <w:vAlign w:val="bottom"/>
            <w:shd w:val="clear" w:color="auto" w:fill="F0F0F0"/>
          </w:tcPr>
          <w:p>
            <w:pPr>
              <w:spacing w:after="0"/>
              <w:rPr>
                <w:sz w:val="18"/>
                <w:szCs w:val="18"/>
                <w:color w:val="auto"/>
              </w:rPr>
            </w:pPr>
          </w:p>
        </w:tc>
        <w:tc>
          <w:tcPr>
            <w:tcW w:w="11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19</w:t>
            </w:r>
          </w:p>
        </w:tc>
        <w:tc>
          <w:tcPr>
            <w:tcW w:w="700" w:type="dxa"/>
            <w:vAlign w:val="bottom"/>
          </w:tcPr>
          <w:p>
            <w:pPr>
              <w:spacing w:after="0"/>
              <w:rPr>
                <w:sz w:val="18"/>
                <w:szCs w:val="18"/>
                <w:color w:val="auto"/>
              </w:rPr>
            </w:pPr>
          </w:p>
        </w:tc>
        <w:tc>
          <w:tcPr>
            <w:tcW w:w="10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20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Europe</w:t>
            </w:r>
          </w:p>
        </w:tc>
        <w:tc>
          <w:tcPr>
            <w:tcW w:w="180" w:type="dxa"/>
            <w:vAlign w:val="bottom"/>
          </w:tcPr>
          <w:p>
            <w:pPr>
              <w:spacing w:after="0"/>
              <w:rPr>
                <w:sz w:val="18"/>
                <w:szCs w:val="18"/>
                <w:color w:val="auto"/>
              </w:rPr>
            </w:pPr>
          </w:p>
        </w:tc>
        <w:tc>
          <w:tcPr>
            <w:tcW w:w="980" w:type="dxa"/>
            <w:vAlign w:val="bottom"/>
            <w:shd w:val="clear" w:color="auto" w:fill="F0F0F0"/>
          </w:tcPr>
          <w:p>
            <w:pPr>
              <w:jc w:val="right"/>
              <w:ind w:right="160"/>
              <w:spacing w:after="0"/>
              <w:rPr>
                <w:sz w:val="20"/>
                <w:szCs w:val="20"/>
                <w:color w:val="auto"/>
              </w:rPr>
            </w:pPr>
            <w:r>
              <w:rPr>
                <w:rFonts w:ascii="Times New Roman" w:cs="Times New Roman" w:eastAsia="Times New Roman" w:hAnsi="Times New Roman"/>
                <w:sz w:val="16"/>
                <w:szCs w:val="16"/>
                <w:color w:val="auto"/>
              </w:rPr>
              <w:t>100</w:t>
            </w:r>
          </w:p>
        </w:tc>
        <w:tc>
          <w:tcPr>
            <w:tcW w:w="580" w:type="dxa"/>
            <w:vAlign w:val="bottom"/>
            <w:shd w:val="clear" w:color="auto" w:fill="F0F0F0"/>
          </w:tcPr>
          <w:p>
            <w:pPr>
              <w:spacing w:after="0"/>
              <w:rPr>
                <w:sz w:val="18"/>
                <w:szCs w:val="18"/>
                <w:color w:val="auto"/>
              </w:rPr>
            </w:pPr>
          </w:p>
        </w:tc>
        <w:tc>
          <w:tcPr>
            <w:tcW w:w="11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148</w:t>
            </w:r>
          </w:p>
        </w:tc>
        <w:tc>
          <w:tcPr>
            <w:tcW w:w="700" w:type="dxa"/>
            <w:vAlign w:val="bottom"/>
          </w:tcPr>
          <w:p>
            <w:pPr>
              <w:spacing w:after="0"/>
              <w:rPr>
                <w:sz w:val="18"/>
                <w:szCs w:val="18"/>
                <w:color w:val="auto"/>
              </w:rPr>
            </w:pPr>
          </w:p>
        </w:tc>
        <w:tc>
          <w:tcPr>
            <w:tcW w:w="10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361</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Africa</w:t>
            </w:r>
          </w:p>
        </w:tc>
        <w:tc>
          <w:tcPr>
            <w:tcW w:w="180" w:type="dxa"/>
            <w:vAlign w:val="bottom"/>
          </w:tcPr>
          <w:p>
            <w:pPr>
              <w:spacing w:after="0"/>
              <w:rPr>
                <w:sz w:val="18"/>
                <w:szCs w:val="18"/>
                <w:color w:val="auto"/>
              </w:rPr>
            </w:pPr>
          </w:p>
        </w:tc>
        <w:tc>
          <w:tcPr>
            <w:tcW w:w="980" w:type="dxa"/>
            <w:vAlign w:val="bottom"/>
            <w:shd w:val="clear" w:color="auto" w:fill="F0F0F0"/>
          </w:tcPr>
          <w:p>
            <w:pPr>
              <w:jc w:val="right"/>
              <w:ind w:right="160"/>
              <w:spacing w:after="0"/>
              <w:rPr>
                <w:sz w:val="20"/>
                <w:szCs w:val="20"/>
                <w:color w:val="auto"/>
              </w:rPr>
            </w:pPr>
            <w:r>
              <w:rPr>
                <w:rFonts w:ascii="Times New Roman" w:cs="Times New Roman" w:eastAsia="Times New Roman" w:hAnsi="Times New Roman"/>
                <w:sz w:val="16"/>
                <w:szCs w:val="16"/>
                <w:color w:val="auto"/>
              </w:rPr>
              <w:t>107</w:t>
            </w:r>
          </w:p>
        </w:tc>
        <w:tc>
          <w:tcPr>
            <w:tcW w:w="580" w:type="dxa"/>
            <w:vAlign w:val="bottom"/>
            <w:shd w:val="clear" w:color="auto" w:fill="F0F0F0"/>
          </w:tcPr>
          <w:p>
            <w:pPr>
              <w:spacing w:after="0"/>
              <w:rPr>
                <w:sz w:val="18"/>
                <w:szCs w:val="18"/>
                <w:color w:val="auto"/>
              </w:rPr>
            </w:pPr>
          </w:p>
        </w:tc>
        <w:tc>
          <w:tcPr>
            <w:tcW w:w="11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90</w:t>
            </w:r>
          </w:p>
        </w:tc>
        <w:tc>
          <w:tcPr>
            <w:tcW w:w="700" w:type="dxa"/>
            <w:vAlign w:val="bottom"/>
          </w:tcPr>
          <w:p>
            <w:pPr>
              <w:spacing w:after="0"/>
              <w:rPr>
                <w:sz w:val="18"/>
                <w:szCs w:val="18"/>
                <w:color w:val="auto"/>
              </w:rPr>
            </w:pPr>
          </w:p>
        </w:tc>
        <w:tc>
          <w:tcPr>
            <w:tcW w:w="10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7</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80" w:type="dxa"/>
            <w:vAlign w:val="bottom"/>
            <w:tcBorders>
              <w:bottom w:val="single" w:sz="8" w:color="0C479D"/>
            </w:tcBorders>
          </w:tcPr>
          <w:p>
            <w:pPr>
              <w:ind w:left="120"/>
              <w:spacing w:after="0"/>
              <w:rPr>
                <w:sz w:val="20"/>
                <w:szCs w:val="20"/>
                <w:color w:val="auto"/>
              </w:rPr>
            </w:pPr>
            <w:r>
              <w:rPr>
                <w:rFonts w:ascii="Times New Roman" w:cs="Times New Roman" w:eastAsia="Times New Roman" w:hAnsi="Times New Roman"/>
                <w:sz w:val="16"/>
                <w:szCs w:val="16"/>
                <w:color w:val="auto"/>
              </w:rPr>
              <w:t>Asia</w:t>
            </w:r>
          </w:p>
        </w:tc>
        <w:tc>
          <w:tcPr>
            <w:tcW w:w="180" w:type="dxa"/>
            <w:vAlign w:val="bottom"/>
            <w:tcBorders>
              <w:bottom w:val="single" w:sz="8" w:color="0C479D"/>
            </w:tcBorders>
          </w:tcPr>
          <w:p>
            <w:pPr>
              <w:spacing w:after="0"/>
              <w:rPr>
                <w:sz w:val="19"/>
                <w:szCs w:val="19"/>
                <w:color w:val="auto"/>
              </w:rPr>
            </w:pPr>
          </w:p>
        </w:tc>
        <w:tc>
          <w:tcPr>
            <w:tcW w:w="980" w:type="dxa"/>
            <w:vAlign w:val="bottom"/>
            <w:tcBorders>
              <w:bottom w:val="single" w:sz="8" w:color="0C479D"/>
            </w:tcBorders>
            <w:shd w:val="clear" w:color="auto" w:fill="F0F0F0"/>
          </w:tcPr>
          <w:p>
            <w:pPr>
              <w:jc w:val="right"/>
              <w:ind w:right="160"/>
              <w:spacing w:after="0"/>
              <w:rPr>
                <w:sz w:val="20"/>
                <w:szCs w:val="20"/>
                <w:color w:val="auto"/>
              </w:rPr>
            </w:pPr>
            <w:r>
              <w:rPr>
                <w:rFonts w:ascii="Times New Roman" w:cs="Times New Roman" w:eastAsia="Times New Roman" w:hAnsi="Times New Roman"/>
                <w:sz w:val="16"/>
                <w:szCs w:val="16"/>
                <w:color w:val="auto"/>
              </w:rPr>
              <w:t>2,415</w:t>
            </w:r>
          </w:p>
        </w:tc>
        <w:tc>
          <w:tcPr>
            <w:tcW w:w="580" w:type="dxa"/>
            <w:vAlign w:val="bottom"/>
            <w:tcBorders>
              <w:bottom w:val="single" w:sz="8" w:color="0C479D"/>
            </w:tcBorders>
            <w:shd w:val="clear" w:color="auto" w:fill="F0F0F0"/>
          </w:tcPr>
          <w:p>
            <w:pPr>
              <w:spacing w:after="0"/>
              <w:rPr>
                <w:sz w:val="19"/>
                <w:szCs w:val="19"/>
                <w:color w:val="auto"/>
              </w:rPr>
            </w:pPr>
          </w:p>
        </w:tc>
        <w:tc>
          <w:tcPr>
            <w:tcW w:w="1160" w:type="dxa"/>
            <w:vAlign w:val="bottom"/>
            <w:tcBorders>
              <w:bottom w:val="single" w:sz="8" w:color="0C479D"/>
            </w:tcBorders>
          </w:tcPr>
          <w:p>
            <w:pPr>
              <w:jc w:val="right"/>
              <w:ind w:right="160"/>
              <w:spacing w:after="0"/>
              <w:rPr>
                <w:sz w:val="20"/>
                <w:szCs w:val="20"/>
                <w:color w:val="auto"/>
              </w:rPr>
            </w:pPr>
            <w:r>
              <w:rPr>
                <w:rFonts w:ascii="Times New Roman" w:cs="Times New Roman" w:eastAsia="Times New Roman" w:hAnsi="Times New Roman"/>
                <w:sz w:val="16"/>
                <w:szCs w:val="16"/>
                <w:color w:val="auto"/>
              </w:rPr>
              <w:t>2,575</w:t>
            </w:r>
          </w:p>
        </w:tc>
        <w:tc>
          <w:tcPr>
            <w:tcW w:w="700" w:type="dxa"/>
            <w:vAlign w:val="bottom"/>
            <w:tcBorders>
              <w:bottom w:val="single" w:sz="8" w:color="0C479D"/>
            </w:tcBorders>
          </w:tcPr>
          <w:p>
            <w:pPr>
              <w:spacing w:after="0"/>
              <w:rPr>
                <w:sz w:val="19"/>
                <w:szCs w:val="19"/>
                <w:color w:val="auto"/>
              </w:rPr>
            </w:pPr>
          </w:p>
        </w:tc>
        <w:tc>
          <w:tcPr>
            <w:tcW w:w="1060" w:type="dxa"/>
            <w:vAlign w:val="bottom"/>
            <w:tcBorders>
              <w:bottom w:val="single" w:sz="8" w:color="0C479D"/>
            </w:tcBorders>
          </w:tcPr>
          <w:p>
            <w:pPr>
              <w:jc w:val="right"/>
              <w:ind w:right="160"/>
              <w:spacing w:after="0"/>
              <w:rPr>
                <w:sz w:val="20"/>
                <w:szCs w:val="20"/>
                <w:color w:val="auto"/>
              </w:rPr>
            </w:pPr>
            <w:r>
              <w:rPr>
                <w:rFonts w:ascii="Times New Roman" w:cs="Times New Roman" w:eastAsia="Times New Roman" w:hAnsi="Times New Roman"/>
                <w:sz w:val="16"/>
                <w:szCs w:val="16"/>
                <w:color w:val="auto"/>
              </w:rPr>
              <w:t>2,639</w:t>
            </w:r>
          </w:p>
        </w:tc>
        <w:tc>
          <w:tcPr>
            <w:tcW w:w="580" w:type="dxa"/>
            <w:vAlign w:val="bottom"/>
            <w:tcBorders>
              <w:bottom w:val="single" w:sz="8" w:color="0C479D"/>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8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color w:val="auto"/>
              </w:rPr>
              <w:t>Total Equity Companies</w:t>
            </w:r>
          </w:p>
        </w:tc>
        <w:tc>
          <w:tcPr>
            <w:tcW w:w="180" w:type="dxa"/>
            <w:vAlign w:val="bottom"/>
            <w:tcBorders>
              <w:bottom w:val="single" w:sz="8" w:color="0C479D"/>
            </w:tcBorders>
          </w:tcPr>
          <w:p>
            <w:pPr>
              <w:spacing w:after="0"/>
              <w:rPr>
                <w:sz w:val="18"/>
                <w:szCs w:val="18"/>
                <w:color w:val="auto"/>
              </w:rPr>
            </w:pPr>
          </w:p>
        </w:tc>
        <w:tc>
          <w:tcPr>
            <w:tcW w:w="980" w:type="dxa"/>
            <w:vAlign w:val="bottom"/>
            <w:tcBorders>
              <w:bottom w:val="single" w:sz="8" w:color="0C479D"/>
            </w:tcBorders>
            <w:shd w:val="clear" w:color="auto" w:fill="F0F0F0"/>
          </w:tcPr>
          <w:p>
            <w:pPr>
              <w:jc w:val="right"/>
              <w:ind w:right="160"/>
              <w:spacing w:after="0"/>
              <w:rPr>
                <w:sz w:val="20"/>
                <w:szCs w:val="20"/>
                <w:color w:val="auto"/>
              </w:rPr>
            </w:pPr>
            <w:r>
              <w:rPr>
                <w:rFonts w:ascii="Times New Roman" w:cs="Times New Roman" w:eastAsia="Times New Roman" w:hAnsi="Times New Roman"/>
                <w:sz w:val="16"/>
                <w:szCs w:val="16"/>
                <w:color w:val="auto"/>
              </w:rPr>
              <w:t>2,640</w:t>
            </w:r>
          </w:p>
        </w:tc>
        <w:tc>
          <w:tcPr>
            <w:tcW w:w="580" w:type="dxa"/>
            <w:vAlign w:val="bottom"/>
            <w:tcBorders>
              <w:bottom w:val="single" w:sz="8" w:color="0C479D"/>
            </w:tcBorders>
            <w:shd w:val="clear" w:color="auto" w:fill="F0F0F0"/>
          </w:tcPr>
          <w:p>
            <w:pPr>
              <w:spacing w:after="0"/>
              <w:rPr>
                <w:sz w:val="18"/>
                <w:szCs w:val="18"/>
                <w:color w:val="auto"/>
              </w:rPr>
            </w:pPr>
          </w:p>
        </w:tc>
        <w:tc>
          <w:tcPr>
            <w:tcW w:w="1160" w:type="dxa"/>
            <w:vAlign w:val="bottom"/>
            <w:tcBorders>
              <w:bottom w:val="single" w:sz="8" w:color="0C479D"/>
            </w:tcBorders>
          </w:tcPr>
          <w:p>
            <w:pPr>
              <w:jc w:val="right"/>
              <w:ind w:right="160"/>
              <w:spacing w:after="0"/>
              <w:rPr>
                <w:sz w:val="20"/>
                <w:szCs w:val="20"/>
                <w:color w:val="auto"/>
              </w:rPr>
            </w:pPr>
            <w:r>
              <w:rPr>
                <w:rFonts w:ascii="Times New Roman" w:cs="Times New Roman" w:eastAsia="Times New Roman" w:hAnsi="Times New Roman"/>
                <w:sz w:val="16"/>
                <w:szCs w:val="16"/>
                <w:color w:val="auto"/>
              </w:rPr>
              <w:t>2,832</w:t>
            </w:r>
          </w:p>
        </w:tc>
        <w:tc>
          <w:tcPr>
            <w:tcW w:w="700" w:type="dxa"/>
            <w:vAlign w:val="bottom"/>
            <w:tcBorders>
              <w:bottom w:val="single" w:sz="8" w:color="0C479D"/>
            </w:tcBorders>
          </w:tcPr>
          <w:p>
            <w:pPr>
              <w:spacing w:after="0"/>
              <w:rPr>
                <w:sz w:val="18"/>
                <w:szCs w:val="18"/>
                <w:color w:val="auto"/>
              </w:rPr>
            </w:pPr>
          </w:p>
        </w:tc>
        <w:tc>
          <w:tcPr>
            <w:tcW w:w="1060" w:type="dxa"/>
            <w:vAlign w:val="bottom"/>
            <w:tcBorders>
              <w:bottom w:val="single" w:sz="8" w:color="0C479D"/>
            </w:tcBorders>
          </w:tcPr>
          <w:p>
            <w:pPr>
              <w:jc w:val="right"/>
              <w:ind w:right="160"/>
              <w:spacing w:after="0"/>
              <w:rPr>
                <w:sz w:val="20"/>
                <w:szCs w:val="20"/>
                <w:color w:val="auto"/>
              </w:rPr>
            </w:pPr>
            <w:r>
              <w:rPr>
                <w:rFonts w:ascii="Times New Roman" w:cs="Times New Roman" w:eastAsia="Times New Roman" w:hAnsi="Times New Roman"/>
                <w:sz w:val="16"/>
                <w:szCs w:val="16"/>
                <w:color w:val="auto"/>
              </w:rPr>
              <w:t>3,027</w:t>
            </w:r>
          </w:p>
        </w:tc>
        <w:tc>
          <w:tcPr>
            <w:tcW w:w="580" w:type="dxa"/>
            <w:vAlign w:val="bottom"/>
            <w:tcBorders>
              <w:bottom w:val="single" w:sz="8" w:color="0C479D"/>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8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natural gas production available for sale</w:t>
            </w:r>
          </w:p>
        </w:tc>
        <w:tc>
          <w:tcPr>
            <w:tcW w:w="180" w:type="dxa"/>
            <w:vAlign w:val="bottom"/>
            <w:tcBorders>
              <w:bottom w:val="single" w:sz="8" w:color="0C479D"/>
            </w:tcBorders>
          </w:tcPr>
          <w:p>
            <w:pPr>
              <w:spacing w:after="0"/>
              <w:rPr>
                <w:sz w:val="19"/>
                <w:szCs w:val="19"/>
                <w:color w:val="auto"/>
              </w:rPr>
            </w:pPr>
          </w:p>
        </w:tc>
        <w:tc>
          <w:tcPr>
            <w:tcW w:w="980" w:type="dxa"/>
            <w:vAlign w:val="bottom"/>
            <w:tcBorders>
              <w:bottom w:val="single" w:sz="8" w:color="0C479D"/>
            </w:tcBorders>
            <w:shd w:val="clear" w:color="auto" w:fill="F0F0F0"/>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8,078</w:t>
            </w:r>
          </w:p>
        </w:tc>
        <w:tc>
          <w:tcPr>
            <w:tcW w:w="580" w:type="dxa"/>
            <w:vAlign w:val="bottom"/>
            <w:tcBorders>
              <w:bottom w:val="single" w:sz="8" w:color="0C479D"/>
            </w:tcBorders>
            <w:shd w:val="clear" w:color="auto" w:fill="F0F0F0"/>
          </w:tcPr>
          <w:p>
            <w:pPr>
              <w:spacing w:after="0"/>
              <w:rPr>
                <w:sz w:val="19"/>
                <w:szCs w:val="19"/>
                <w:color w:val="auto"/>
              </w:rPr>
            </w:pPr>
          </w:p>
        </w:tc>
        <w:tc>
          <w:tcPr>
            <w:tcW w:w="1160" w:type="dxa"/>
            <w:vAlign w:val="bottom"/>
            <w:tcBorders>
              <w:bottom w:val="single" w:sz="8" w:color="0C479D"/>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7,734</w:t>
            </w:r>
          </w:p>
        </w:tc>
        <w:tc>
          <w:tcPr>
            <w:tcW w:w="700" w:type="dxa"/>
            <w:vAlign w:val="bottom"/>
            <w:tcBorders>
              <w:bottom w:val="single" w:sz="8" w:color="0C479D"/>
            </w:tcBorders>
          </w:tcPr>
          <w:p>
            <w:pPr>
              <w:spacing w:after="0"/>
              <w:rPr>
                <w:sz w:val="19"/>
                <w:szCs w:val="19"/>
                <w:color w:val="auto"/>
              </w:rPr>
            </w:pPr>
          </w:p>
        </w:tc>
        <w:tc>
          <w:tcPr>
            <w:tcW w:w="1060" w:type="dxa"/>
            <w:vAlign w:val="bottom"/>
            <w:tcBorders>
              <w:bottom w:val="single" w:sz="8" w:color="0C479D"/>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8,295</w:t>
            </w:r>
          </w:p>
        </w:tc>
        <w:tc>
          <w:tcPr>
            <w:tcW w:w="580" w:type="dxa"/>
            <w:vAlign w:val="bottom"/>
            <w:tcBorders>
              <w:bottom w:val="single" w:sz="8" w:color="0C479D"/>
            </w:tcBorders>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shd w:val="clear" w:color="auto" w:fill="F0F0F0"/>
          </w:tcPr>
          <w:p>
            <w:pPr>
              <w:spacing w:after="0"/>
              <w:rPr>
                <w:sz w:val="12"/>
                <w:szCs w:val="12"/>
                <w:color w:val="auto"/>
              </w:rPr>
            </w:pPr>
          </w:p>
        </w:tc>
        <w:tc>
          <w:tcPr>
            <w:tcW w:w="580" w:type="dxa"/>
            <w:vAlign w:val="bottom"/>
            <w:shd w:val="clear" w:color="auto" w:fill="F0F0F0"/>
          </w:tcPr>
          <w:p>
            <w:pPr>
              <w:spacing w:after="0"/>
              <w:rPr>
                <w:sz w:val="12"/>
                <w:szCs w:val="12"/>
                <w:color w:val="auto"/>
              </w:rPr>
            </w:pPr>
          </w:p>
        </w:tc>
        <w:tc>
          <w:tcPr>
            <w:tcW w:w="1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480" w:type="dxa"/>
            <w:vAlign w:val="bottom"/>
            <w:tcBorders>
              <w:bottom w:val="single" w:sz="8" w:color="0C479D"/>
            </w:tcBorders>
            <w:shd w:val="clear" w:color="auto" w:fill="0C479D"/>
          </w:tcPr>
          <w:p>
            <w:pPr>
              <w:ind w:left="20"/>
              <w:spacing w:after="0"/>
              <w:rPr>
                <w:sz w:val="20"/>
                <w:szCs w:val="20"/>
                <w:color w:val="auto"/>
              </w:rPr>
            </w:pPr>
            <w:r>
              <w:rPr>
                <w:rFonts w:ascii="Times New Roman" w:cs="Times New Roman" w:eastAsia="Times New Roman" w:hAnsi="Times New Roman"/>
                <w:sz w:val="14"/>
                <w:szCs w:val="14"/>
                <w:i w:val="1"/>
                <w:iCs w:val="1"/>
                <w:color w:val="FFFFFF"/>
              </w:rPr>
              <w:t>(thousands of oil-equivalent barrels daily)</w:t>
            </w:r>
          </w:p>
        </w:tc>
        <w:tc>
          <w:tcPr>
            <w:tcW w:w="180" w:type="dxa"/>
            <w:vAlign w:val="bottom"/>
            <w:tcBorders>
              <w:bottom w:val="single" w:sz="8" w:color="0C479D"/>
            </w:tcBorders>
            <w:shd w:val="clear" w:color="auto" w:fill="0C479D"/>
          </w:tcPr>
          <w:p>
            <w:pPr>
              <w:spacing w:after="0"/>
              <w:rPr>
                <w:sz w:val="17"/>
                <w:szCs w:val="17"/>
                <w:color w:val="auto"/>
              </w:rPr>
            </w:pPr>
          </w:p>
        </w:tc>
        <w:tc>
          <w:tcPr>
            <w:tcW w:w="980" w:type="dxa"/>
            <w:vAlign w:val="bottom"/>
            <w:tcBorders>
              <w:bottom w:val="single" w:sz="8" w:color="0C479D"/>
            </w:tcBorders>
            <w:shd w:val="clear" w:color="auto" w:fill="0C479D"/>
          </w:tcPr>
          <w:p>
            <w:pPr>
              <w:spacing w:after="0"/>
              <w:rPr>
                <w:sz w:val="17"/>
                <w:szCs w:val="17"/>
                <w:color w:val="auto"/>
              </w:rPr>
            </w:pPr>
          </w:p>
        </w:tc>
        <w:tc>
          <w:tcPr>
            <w:tcW w:w="580" w:type="dxa"/>
            <w:vAlign w:val="bottom"/>
            <w:tcBorders>
              <w:bottom w:val="single" w:sz="8" w:color="0C479D"/>
            </w:tcBorders>
            <w:shd w:val="clear" w:color="auto" w:fill="0C479D"/>
          </w:tcPr>
          <w:p>
            <w:pPr>
              <w:spacing w:after="0"/>
              <w:rPr>
                <w:sz w:val="17"/>
                <w:szCs w:val="17"/>
                <w:color w:val="auto"/>
              </w:rPr>
            </w:pPr>
          </w:p>
        </w:tc>
        <w:tc>
          <w:tcPr>
            <w:tcW w:w="1160" w:type="dxa"/>
            <w:vAlign w:val="bottom"/>
            <w:tcBorders>
              <w:bottom w:val="single" w:sz="8" w:color="0C479D"/>
            </w:tcBorders>
            <w:shd w:val="clear" w:color="auto" w:fill="0C479D"/>
          </w:tcPr>
          <w:p>
            <w:pPr>
              <w:spacing w:after="0"/>
              <w:rPr>
                <w:sz w:val="17"/>
                <w:szCs w:val="17"/>
                <w:color w:val="auto"/>
              </w:rPr>
            </w:pPr>
          </w:p>
        </w:tc>
        <w:tc>
          <w:tcPr>
            <w:tcW w:w="700" w:type="dxa"/>
            <w:vAlign w:val="bottom"/>
            <w:tcBorders>
              <w:bottom w:val="single" w:sz="8" w:color="0C479D"/>
            </w:tcBorders>
            <w:shd w:val="clear" w:color="auto" w:fill="0C479D"/>
          </w:tcPr>
          <w:p>
            <w:pPr>
              <w:spacing w:after="0"/>
              <w:rPr>
                <w:sz w:val="17"/>
                <w:szCs w:val="17"/>
                <w:color w:val="auto"/>
              </w:rPr>
            </w:pPr>
          </w:p>
        </w:tc>
        <w:tc>
          <w:tcPr>
            <w:tcW w:w="1060" w:type="dxa"/>
            <w:vAlign w:val="bottom"/>
            <w:tcBorders>
              <w:bottom w:val="single" w:sz="8" w:color="0C479D"/>
            </w:tcBorders>
            <w:shd w:val="clear" w:color="auto" w:fill="0C479D"/>
          </w:tcPr>
          <w:p>
            <w:pPr>
              <w:spacing w:after="0"/>
              <w:rPr>
                <w:sz w:val="17"/>
                <w:szCs w:val="17"/>
                <w:color w:val="auto"/>
              </w:rPr>
            </w:pPr>
          </w:p>
        </w:tc>
        <w:tc>
          <w:tcPr>
            <w:tcW w:w="580" w:type="dxa"/>
            <w:vAlign w:val="bottom"/>
            <w:tcBorders>
              <w:bottom w:val="single" w:sz="8" w:color="0C479D"/>
            </w:tcBorders>
            <w:shd w:val="clear" w:color="auto" w:fill="0C479D"/>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48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Oil-equivalent production</w:t>
            </w:r>
          </w:p>
        </w:tc>
        <w:tc>
          <w:tcPr>
            <w:tcW w:w="180" w:type="dxa"/>
            <w:vAlign w:val="bottom"/>
            <w:tcBorders>
              <w:bottom w:val="single" w:sz="8" w:color="0C479D"/>
            </w:tcBorders>
          </w:tcPr>
          <w:p>
            <w:pPr>
              <w:spacing w:after="0"/>
              <w:rPr>
                <w:sz w:val="19"/>
                <w:szCs w:val="19"/>
                <w:color w:val="auto"/>
              </w:rPr>
            </w:pPr>
          </w:p>
        </w:tc>
        <w:tc>
          <w:tcPr>
            <w:tcW w:w="980" w:type="dxa"/>
            <w:vAlign w:val="bottom"/>
            <w:tcBorders>
              <w:bottom w:val="single" w:sz="8" w:color="0C479D"/>
            </w:tcBorders>
            <w:shd w:val="clear" w:color="auto" w:fill="F0F0F0"/>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4,333</w:t>
            </w:r>
          </w:p>
        </w:tc>
        <w:tc>
          <w:tcPr>
            <w:tcW w:w="580" w:type="dxa"/>
            <w:vAlign w:val="bottom"/>
            <w:tcBorders>
              <w:bottom w:val="single" w:sz="8" w:color="0C479D"/>
            </w:tcBorders>
            <w:shd w:val="clear" w:color="auto" w:fill="F0F0F0"/>
          </w:tcPr>
          <w:p>
            <w:pPr>
              <w:spacing w:after="0"/>
              <w:rPr>
                <w:sz w:val="19"/>
                <w:szCs w:val="19"/>
                <w:color w:val="auto"/>
              </w:rPr>
            </w:pPr>
          </w:p>
        </w:tc>
        <w:tc>
          <w:tcPr>
            <w:tcW w:w="1160" w:type="dxa"/>
            <w:vAlign w:val="bottom"/>
            <w:tcBorders>
              <w:bottom w:val="single" w:sz="8" w:color="0C479D"/>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3,738</w:t>
            </w:r>
          </w:p>
        </w:tc>
        <w:tc>
          <w:tcPr>
            <w:tcW w:w="700" w:type="dxa"/>
            <w:vAlign w:val="bottom"/>
            <w:tcBorders>
              <w:bottom w:val="single" w:sz="8" w:color="0C479D"/>
            </w:tcBorders>
          </w:tcPr>
          <w:p>
            <w:pPr>
              <w:spacing w:after="0"/>
              <w:rPr>
                <w:sz w:val="19"/>
                <w:szCs w:val="19"/>
                <w:color w:val="auto"/>
              </w:rPr>
            </w:pPr>
          </w:p>
        </w:tc>
        <w:tc>
          <w:tcPr>
            <w:tcW w:w="1060" w:type="dxa"/>
            <w:vAlign w:val="bottom"/>
            <w:tcBorders>
              <w:bottom w:val="single" w:sz="8" w:color="0C479D"/>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3,737</w:t>
            </w:r>
          </w:p>
        </w:tc>
        <w:tc>
          <w:tcPr>
            <w:tcW w:w="580" w:type="dxa"/>
            <w:vAlign w:val="bottom"/>
            <w:tcBorders>
              <w:bottom w:val="single" w:sz="8" w:color="0C479D"/>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780" w:right="240" w:firstLine="2"/>
        <w:spacing w:after="0" w:line="305" w:lineRule="auto"/>
        <w:tabs>
          <w:tab w:leader="none" w:pos="912" w:val="left"/>
        </w:tabs>
        <w:numPr>
          <w:ilvl w:val="0"/>
          <w:numId w:val="6"/>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Other Americas includes crude oil production for 2024, 2023, and 2022 of 285 thousand, 178 thousand, and 120 thousand barrels daily, respectively; and natural gas production available for sale for 2024, 2023, and 2022 of 76 million, 67 million, and 45 million cubic feet daily, respectively.</w:t>
      </w:r>
    </w:p>
    <w:p>
      <w:pPr>
        <w:sectPr>
          <w:pgSz w:w="11900" w:h="16838" w:orient="portrait"/>
          <w:cols w:equalWidth="0" w:num="1">
            <w:col w:w="10480"/>
          </w:cols>
          <w:pgMar w:left="320" w:top="1161" w:right="109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320" w:top="1161" w:right="109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0C479D"/>
        </w:rPr>
        <w:t>B. Production Prices and Production Costs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average production prices and average production costs by geographic area and by product type for the last three years.</w:t>
      </w:r>
    </w:p>
    <w:p>
      <w:pPr>
        <w:spacing w:after="0" w:line="149" w:lineRule="exact"/>
        <w:rPr>
          <w:sz w:val="20"/>
          <w:szCs w:val="20"/>
          <w:color w:val="auto"/>
        </w:rPr>
      </w:pPr>
    </w:p>
    <w:tbl>
      <w:tblPr>
        <w:tblLayout w:type="fixed"/>
        <w:tblInd w:w="780" w:type="dxa"/>
        <w:tblCellMar>
          <w:top w:w="0" w:type="dxa"/>
          <w:left w:w="0" w:type="dxa"/>
          <w:bottom w:w="0" w:type="dxa"/>
          <w:right w:w="0" w:type="dxa"/>
        </w:tblCellMar>
      </w:tblPr>
      <w:tr>
        <w:trPr>
          <w:trHeight w:val="191"/>
        </w:trPr>
        <w:tc>
          <w:tcPr>
            <w:tcW w:w="3840" w:type="dxa"/>
            <w:vAlign w:val="bottom"/>
            <w:shd w:val="clear" w:color="auto" w:fill="0C479D"/>
          </w:tcPr>
          <w:p>
            <w:pPr>
              <w:spacing w:after="0"/>
              <w:rPr>
                <w:sz w:val="16"/>
                <w:szCs w:val="16"/>
                <w:color w:val="auto"/>
              </w:rPr>
            </w:pPr>
          </w:p>
        </w:tc>
        <w:tc>
          <w:tcPr>
            <w:tcW w:w="740" w:type="dxa"/>
            <w:vAlign w:val="bottom"/>
            <w:vMerge w:val="restart"/>
            <w:shd w:val="clear" w:color="auto" w:fill="0C479D"/>
          </w:tcPr>
          <w:p>
            <w:pPr>
              <w:jc w:val="right"/>
              <w:ind w:right="139"/>
              <w:spacing w:after="0"/>
              <w:rPr>
                <w:sz w:val="20"/>
                <w:szCs w:val="20"/>
                <w:color w:val="auto"/>
              </w:rPr>
            </w:pPr>
            <w:r>
              <w:rPr>
                <w:rFonts w:ascii="Times New Roman" w:cs="Times New Roman" w:eastAsia="Times New Roman" w:hAnsi="Times New Roman"/>
                <w:sz w:val="14"/>
                <w:szCs w:val="14"/>
                <w:b w:val="1"/>
                <w:bCs w:val="1"/>
                <w:color w:val="FFFFFF"/>
              </w:rPr>
              <w:t>United</w:t>
            </w:r>
          </w:p>
        </w:tc>
        <w:tc>
          <w:tcPr>
            <w:tcW w:w="94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Canada/</w:t>
            </w:r>
          </w:p>
        </w:tc>
        <w:tc>
          <w:tcPr>
            <w:tcW w:w="840" w:type="dxa"/>
            <w:vAlign w:val="bottom"/>
            <w:shd w:val="clear" w:color="auto" w:fill="0C479D"/>
          </w:tcPr>
          <w:p>
            <w:pPr>
              <w:spacing w:after="0"/>
              <w:rPr>
                <w:sz w:val="16"/>
                <w:szCs w:val="16"/>
                <w:color w:val="auto"/>
              </w:rPr>
            </w:pPr>
          </w:p>
        </w:tc>
        <w:tc>
          <w:tcPr>
            <w:tcW w:w="880" w:type="dxa"/>
            <w:vAlign w:val="bottom"/>
            <w:shd w:val="clear" w:color="auto" w:fill="0C479D"/>
          </w:tcPr>
          <w:p>
            <w:pPr>
              <w:spacing w:after="0"/>
              <w:rPr>
                <w:sz w:val="16"/>
                <w:szCs w:val="16"/>
                <w:color w:val="auto"/>
              </w:rPr>
            </w:pPr>
          </w:p>
        </w:tc>
        <w:tc>
          <w:tcPr>
            <w:tcW w:w="780" w:type="dxa"/>
            <w:vAlign w:val="bottom"/>
            <w:shd w:val="clear" w:color="auto" w:fill="0C479D"/>
          </w:tcPr>
          <w:p>
            <w:pPr>
              <w:spacing w:after="0"/>
              <w:rPr>
                <w:sz w:val="16"/>
                <w:szCs w:val="16"/>
                <w:color w:val="auto"/>
              </w:rPr>
            </w:pPr>
          </w:p>
        </w:tc>
        <w:tc>
          <w:tcPr>
            <w:tcW w:w="980" w:type="dxa"/>
            <w:vAlign w:val="bottom"/>
            <w:vMerge w:val="restart"/>
            <w:shd w:val="clear" w:color="auto" w:fill="0C479D"/>
          </w:tcPr>
          <w:p>
            <w:pPr>
              <w:jc w:val="right"/>
              <w:ind w:right="139"/>
              <w:spacing w:after="0"/>
              <w:rPr>
                <w:sz w:val="20"/>
                <w:szCs w:val="20"/>
                <w:color w:val="auto"/>
              </w:rPr>
            </w:pPr>
            <w:r>
              <w:rPr>
                <w:rFonts w:ascii="Times New Roman" w:cs="Times New Roman" w:eastAsia="Times New Roman" w:hAnsi="Times New Roman"/>
                <w:sz w:val="14"/>
                <w:szCs w:val="14"/>
                <w:b w:val="1"/>
                <w:bCs w:val="1"/>
                <w:color w:val="FFFFFF"/>
              </w:rPr>
              <w:t>Australia/</w:t>
            </w:r>
          </w:p>
        </w:tc>
        <w:tc>
          <w:tcPr>
            <w:tcW w:w="700" w:type="dxa"/>
            <w:vAlign w:val="bottom"/>
            <w:shd w:val="clear" w:color="auto" w:fill="0C479D"/>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3840" w:type="dxa"/>
            <w:vAlign w:val="bottom"/>
            <w:vMerge w:val="restart"/>
            <w:shd w:val="clear" w:color="auto" w:fill="0C479D"/>
          </w:tcPr>
          <w:p>
            <w:pPr>
              <w:spacing w:after="0"/>
              <w:rPr>
                <w:sz w:val="20"/>
                <w:szCs w:val="20"/>
                <w:color w:val="auto"/>
              </w:rPr>
            </w:pPr>
            <w:r>
              <w:rPr>
                <w:rFonts w:ascii="Times New Roman" w:cs="Times New Roman" w:eastAsia="Times New Roman" w:hAnsi="Times New Roman"/>
                <w:sz w:val="14"/>
                <w:szCs w:val="14"/>
                <w:i w:val="1"/>
                <w:iCs w:val="1"/>
                <w:color w:val="FFFFFF"/>
              </w:rPr>
              <w:t>(dollars per unit)</w:t>
            </w:r>
          </w:p>
        </w:tc>
        <w:tc>
          <w:tcPr>
            <w:tcW w:w="740" w:type="dxa"/>
            <w:vAlign w:val="bottom"/>
            <w:vMerge w:val="continue"/>
            <w:shd w:val="clear" w:color="auto" w:fill="0C479D"/>
          </w:tcPr>
          <w:p>
            <w:pPr>
              <w:spacing w:after="0"/>
              <w:rPr>
                <w:sz w:val="7"/>
                <w:szCs w:val="7"/>
                <w:color w:val="auto"/>
              </w:rPr>
            </w:pPr>
          </w:p>
        </w:tc>
        <w:tc>
          <w:tcPr>
            <w:tcW w:w="940" w:type="dxa"/>
            <w:vAlign w:val="bottom"/>
            <w:vMerge w:val="restart"/>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Other</w:t>
            </w:r>
          </w:p>
        </w:tc>
        <w:tc>
          <w:tcPr>
            <w:tcW w:w="840" w:type="dxa"/>
            <w:vAlign w:val="bottom"/>
            <w:vMerge w:val="restart"/>
            <w:shd w:val="clear" w:color="auto" w:fill="0C479D"/>
          </w:tcPr>
          <w:p>
            <w:pPr>
              <w:jc w:val="right"/>
              <w:ind w:right="139"/>
              <w:spacing w:after="0"/>
              <w:rPr>
                <w:sz w:val="20"/>
                <w:szCs w:val="20"/>
                <w:color w:val="auto"/>
              </w:rPr>
            </w:pPr>
            <w:r>
              <w:rPr>
                <w:rFonts w:ascii="Times New Roman" w:cs="Times New Roman" w:eastAsia="Times New Roman" w:hAnsi="Times New Roman"/>
                <w:sz w:val="14"/>
                <w:szCs w:val="14"/>
                <w:b w:val="1"/>
                <w:bCs w:val="1"/>
                <w:color w:val="FFFFFF"/>
              </w:rPr>
              <w:t>Europe</w:t>
            </w:r>
          </w:p>
        </w:tc>
        <w:tc>
          <w:tcPr>
            <w:tcW w:w="880" w:type="dxa"/>
            <w:vAlign w:val="bottom"/>
            <w:vMerge w:val="restart"/>
            <w:shd w:val="clear" w:color="auto" w:fill="0C479D"/>
          </w:tcPr>
          <w:p>
            <w:pPr>
              <w:jc w:val="right"/>
              <w:ind w:right="219"/>
              <w:spacing w:after="0"/>
              <w:rPr>
                <w:sz w:val="20"/>
                <w:szCs w:val="20"/>
                <w:color w:val="auto"/>
              </w:rPr>
            </w:pPr>
            <w:r>
              <w:rPr>
                <w:rFonts w:ascii="Times New Roman" w:cs="Times New Roman" w:eastAsia="Times New Roman" w:hAnsi="Times New Roman"/>
                <w:sz w:val="14"/>
                <w:szCs w:val="14"/>
                <w:b w:val="1"/>
                <w:bCs w:val="1"/>
                <w:color w:val="FFFFFF"/>
              </w:rPr>
              <w:t>Africa</w:t>
            </w:r>
          </w:p>
        </w:tc>
        <w:tc>
          <w:tcPr>
            <w:tcW w:w="780" w:type="dxa"/>
            <w:vAlign w:val="bottom"/>
            <w:vMerge w:val="restart"/>
            <w:shd w:val="clear" w:color="auto" w:fill="0C479D"/>
          </w:tcPr>
          <w:p>
            <w:pPr>
              <w:jc w:val="right"/>
              <w:ind w:right="219"/>
              <w:spacing w:after="0"/>
              <w:rPr>
                <w:sz w:val="20"/>
                <w:szCs w:val="20"/>
                <w:color w:val="auto"/>
              </w:rPr>
            </w:pPr>
            <w:r>
              <w:rPr>
                <w:rFonts w:ascii="Times New Roman" w:cs="Times New Roman" w:eastAsia="Times New Roman" w:hAnsi="Times New Roman"/>
                <w:sz w:val="14"/>
                <w:szCs w:val="14"/>
                <w:b w:val="1"/>
                <w:bCs w:val="1"/>
                <w:color w:val="FFFFFF"/>
              </w:rPr>
              <w:t>Asia</w:t>
            </w:r>
          </w:p>
        </w:tc>
        <w:tc>
          <w:tcPr>
            <w:tcW w:w="980" w:type="dxa"/>
            <w:vAlign w:val="bottom"/>
            <w:vMerge w:val="continue"/>
            <w:shd w:val="clear" w:color="auto" w:fill="0C479D"/>
          </w:tcPr>
          <w:p>
            <w:pPr>
              <w:spacing w:after="0"/>
              <w:rPr>
                <w:sz w:val="7"/>
                <w:szCs w:val="7"/>
                <w:color w:val="auto"/>
              </w:rPr>
            </w:pPr>
          </w:p>
        </w:tc>
        <w:tc>
          <w:tcPr>
            <w:tcW w:w="700" w:type="dxa"/>
            <w:vAlign w:val="bottom"/>
            <w:vMerge w:val="restart"/>
            <w:shd w:val="clear" w:color="auto" w:fill="0C479D"/>
          </w:tcPr>
          <w:p>
            <w:pPr>
              <w:jc w:val="right"/>
              <w:ind w:right="119"/>
              <w:spacing w:after="0"/>
              <w:rPr>
                <w:sz w:val="20"/>
                <w:szCs w:val="20"/>
                <w:color w:val="auto"/>
              </w:rPr>
            </w:pPr>
            <w:r>
              <w:rPr>
                <w:rFonts w:ascii="Times New Roman" w:cs="Times New Roman" w:eastAsia="Times New Roman" w:hAnsi="Times New Roman"/>
                <w:sz w:val="14"/>
                <w:szCs w:val="14"/>
                <w:b w:val="1"/>
                <w:bCs w:val="1"/>
                <w:color w:val="FFFFFF"/>
              </w:rPr>
              <w:t>Total</w:t>
            </w:r>
          </w:p>
        </w:tc>
        <w:tc>
          <w:tcPr>
            <w:tcW w:w="0" w:type="dxa"/>
            <w:vAlign w:val="bottom"/>
          </w:tcPr>
          <w:p>
            <w:pPr>
              <w:spacing w:after="0"/>
              <w:rPr>
                <w:sz w:val="1"/>
                <w:szCs w:val="1"/>
                <w:color w:val="auto"/>
              </w:rPr>
            </w:pPr>
          </w:p>
        </w:tc>
      </w:tr>
      <w:tr>
        <w:trPr>
          <w:trHeight w:val="95"/>
        </w:trPr>
        <w:tc>
          <w:tcPr>
            <w:tcW w:w="3840" w:type="dxa"/>
            <w:vAlign w:val="bottom"/>
            <w:vMerge w:val="continue"/>
            <w:shd w:val="clear" w:color="auto" w:fill="0C479D"/>
          </w:tcPr>
          <w:p>
            <w:pPr>
              <w:spacing w:after="0"/>
              <w:rPr>
                <w:sz w:val="8"/>
                <w:szCs w:val="8"/>
                <w:color w:val="auto"/>
              </w:rPr>
            </w:pPr>
          </w:p>
        </w:tc>
        <w:tc>
          <w:tcPr>
            <w:tcW w:w="740" w:type="dxa"/>
            <w:vAlign w:val="bottom"/>
            <w:vMerge w:val="restart"/>
            <w:shd w:val="clear" w:color="auto" w:fill="0C479D"/>
          </w:tcPr>
          <w:p>
            <w:pPr>
              <w:jc w:val="right"/>
              <w:ind w:right="159"/>
              <w:spacing w:after="0"/>
              <w:rPr>
                <w:sz w:val="20"/>
                <w:szCs w:val="20"/>
                <w:color w:val="auto"/>
              </w:rPr>
            </w:pPr>
            <w:r>
              <w:rPr>
                <w:rFonts w:ascii="Times New Roman" w:cs="Times New Roman" w:eastAsia="Times New Roman" w:hAnsi="Times New Roman"/>
                <w:sz w:val="14"/>
                <w:szCs w:val="14"/>
                <w:b w:val="1"/>
                <w:bCs w:val="1"/>
                <w:color w:val="FFFFFF"/>
              </w:rPr>
              <w:t>States</w:t>
            </w:r>
          </w:p>
        </w:tc>
        <w:tc>
          <w:tcPr>
            <w:tcW w:w="940" w:type="dxa"/>
            <w:vAlign w:val="bottom"/>
            <w:vMerge w:val="continue"/>
            <w:shd w:val="clear" w:color="auto" w:fill="0C479D"/>
          </w:tcPr>
          <w:p>
            <w:pPr>
              <w:spacing w:after="0"/>
              <w:rPr>
                <w:sz w:val="8"/>
                <w:szCs w:val="8"/>
                <w:color w:val="auto"/>
              </w:rPr>
            </w:pPr>
          </w:p>
        </w:tc>
        <w:tc>
          <w:tcPr>
            <w:tcW w:w="840" w:type="dxa"/>
            <w:vAlign w:val="bottom"/>
            <w:vMerge w:val="continue"/>
            <w:shd w:val="clear" w:color="auto" w:fill="0C479D"/>
          </w:tcPr>
          <w:p>
            <w:pPr>
              <w:spacing w:after="0"/>
              <w:rPr>
                <w:sz w:val="8"/>
                <w:szCs w:val="8"/>
                <w:color w:val="auto"/>
              </w:rPr>
            </w:pPr>
          </w:p>
        </w:tc>
        <w:tc>
          <w:tcPr>
            <w:tcW w:w="880" w:type="dxa"/>
            <w:vAlign w:val="bottom"/>
            <w:vMerge w:val="continue"/>
            <w:shd w:val="clear" w:color="auto" w:fill="0C479D"/>
          </w:tcPr>
          <w:p>
            <w:pPr>
              <w:spacing w:after="0"/>
              <w:rPr>
                <w:sz w:val="8"/>
                <w:szCs w:val="8"/>
                <w:color w:val="auto"/>
              </w:rPr>
            </w:pPr>
          </w:p>
        </w:tc>
        <w:tc>
          <w:tcPr>
            <w:tcW w:w="780" w:type="dxa"/>
            <w:vAlign w:val="bottom"/>
            <w:vMerge w:val="continue"/>
            <w:shd w:val="clear" w:color="auto" w:fill="0C479D"/>
          </w:tcPr>
          <w:p>
            <w:pPr>
              <w:spacing w:after="0"/>
              <w:rPr>
                <w:sz w:val="8"/>
                <w:szCs w:val="8"/>
                <w:color w:val="auto"/>
              </w:rPr>
            </w:pPr>
          </w:p>
        </w:tc>
        <w:tc>
          <w:tcPr>
            <w:tcW w:w="980" w:type="dxa"/>
            <w:vAlign w:val="bottom"/>
            <w:vMerge w:val="restart"/>
            <w:shd w:val="clear" w:color="auto" w:fill="0C479D"/>
          </w:tcPr>
          <w:p>
            <w:pPr>
              <w:jc w:val="right"/>
              <w:ind w:right="199"/>
              <w:spacing w:after="0"/>
              <w:rPr>
                <w:sz w:val="20"/>
                <w:szCs w:val="20"/>
                <w:color w:val="auto"/>
              </w:rPr>
            </w:pPr>
            <w:r>
              <w:rPr>
                <w:rFonts w:ascii="Times New Roman" w:cs="Times New Roman" w:eastAsia="Times New Roman" w:hAnsi="Times New Roman"/>
                <w:sz w:val="14"/>
                <w:szCs w:val="14"/>
                <w:b w:val="1"/>
                <w:bCs w:val="1"/>
                <w:color w:val="FFFFFF"/>
              </w:rPr>
              <w:t>Oceania</w:t>
            </w:r>
          </w:p>
        </w:tc>
        <w:tc>
          <w:tcPr>
            <w:tcW w:w="700" w:type="dxa"/>
            <w:vAlign w:val="bottom"/>
            <w:vMerge w:val="continue"/>
            <w:shd w:val="clear" w:color="auto" w:fill="0C479D"/>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3840" w:type="dxa"/>
            <w:vAlign w:val="bottom"/>
            <w:shd w:val="clear" w:color="auto" w:fill="0C479D"/>
          </w:tcPr>
          <w:p>
            <w:pPr>
              <w:spacing w:after="0"/>
              <w:rPr>
                <w:sz w:val="8"/>
                <w:szCs w:val="8"/>
                <w:color w:val="auto"/>
              </w:rPr>
            </w:pPr>
          </w:p>
        </w:tc>
        <w:tc>
          <w:tcPr>
            <w:tcW w:w="740" w:type="dxa"/>
            <w:vAlign w:val="bottom"/>
            <w:vMerge w:val="continue"/>
            <w:shd w:val="clear" w:color="auto" w:fill="0C479D"/>
          </w:tcPr>
          <w:p>
            <w:pPr>
              <w:spacing w:after="0"/>
              <w:rPr>
                <w:sz w:val="8"/>
                <w:szCs w:val="8"/>
                <w:color w:val="auto"/>
              </w:rPr>
            </w:pPr>
          </w:p>
        </w:tc>
        <w:tc>
          <w:tcPr>
            <w:tcW w:w="940" w:type="dxa"/>
            <w:vAlign w:val="bottom"/>
            <w:vMerge w:val="restart"/>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Americas</w:t>
            </w:r>
          </w:p>
        </w:tc>
        <w:tc>
          <w:tcPr>
            <w:tcW w:w="840" w:type="dxa"/>
            <w:vAlign w:val="bottom"/>
            <w:shd w:val="clear" w:color="auto" w:fill="0C479D"/>
          </w:tcPr>
          <w:p>
            <w:pPr>
              <w:spacing w:after="0"/>
              <w:rPr>
                <w:sz w:val="8"/>
                <w:szCs w:val="8"/>
                <w:color w:val="auto"/>
              </w:rPr>
            </w:pPr>
          </w:p>
        </w:tc>
        <w:tc>
          <w:tcPr>
            <w:tcW w:w="880" w:type="dxa"/>
            <w:vAlign w:val="bottom"/>
            <w:shd w:val="clear" w:color="auto" w:fill="0C479D"/>
          </w:tcPr>
          <w:p>
            <w:pPr>
              <w:spacing w:after="0"/>
              <w:rPr>
                <w:sz w:val="8"/>
                <w:szCs w:val="8"/>
                <w:color w:val="auto"/>
              </w:rPr>
            </w:pPr>
          </w:p>
        </w:tc>
        <w:tc>
          <w:tcPr>
            <w:tcW w:w="780" w:type="dxa"/>
            <w:vAlign w:val="bottom"/>
            <w:shd w:val="clear" w:color="auto" w:fill="0C479D"/>
          </w:tcPr>
          <w:p>
            <w:pPr>
              <w:spacing w:after="0"/>
              <w:rPr>
                <w:sz w:val="8"/>
                <w:szCs w:val="8"/>
                <w:color w:val="auto"/>
              </w:rPr>
            </w:pPr>
          </w:p>
        </w:tc>
        <w:tc>
          <w:tcPr>
            <w:tcW w:w="980" w:type="dxa"/>
            <w:vAlign w:val="bottom"/>
            <w:vMerge w:val="continue"/>
            <w:shd w:val="clear" w:color="auto" w:fill="0C479D"/>
          </w:tcPr>
          <w:p>
            <w:pPr>
              <w:spacing w:after="0"/>
              <w:rPr>
                <w:sz w:val="8"/>
                <w:szCs w:val="8"/>
                <w:color w:val="auto"/>
              </w:rPr>
            </w:pPr>
          </w:p>
        </w:tc>
        <w:tc>
          <w:tcPr>
            <w:tcW w:w="700" w:type="dxa"/>
            <w:vAlign w:val="bottom"/>
            <w:shd w:val="clear" w:color="auto" w:fill="0C479D"/>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3840" w:type="dxa"/>
            <w:vAlign w:val="bottom"/>
            <w:shd w:val="clear" w:color="auto" w:fill="0C479D"/>
          </w:tcPr>
          <w:p>
            <w:pPr>
              <w:spacing w:after="0"/>
              <w:rPr>
                <w:sz w:val="8"/>
                <w:szCs w:val="8"/>
                <w:color w:val="auto"/>
              </w:rPr>
            </w:pPr>
          </w:p>
        </w:tc>
        <w:tc>
          <w:tcPr>
            <w:tcW w:w="740" w:type="dxa"/>
            <w:vAlign w:val="bottom"/>
            <w:shd w:val="clear" w:color="auto" w:fill="0C479D"/>
          </w:tcPr>
          <w:p>
            <w:pPr>
              <w:spacing w:after="0"/>
              <w:rPr>
                <w:sz w:val="8"/>
                <w:szCs w:val="8"/>
                <w:color w:val="auto"/>
              </w:rPr>
            </w:pPr>
          </w:p>
        </w:tc>
        <w:tc>
          <w:tcPr>
            <w:tcW w:w="940" w:type="dxa"/>
            <w:vAlign w:val="bottom"/>
            <w:vMerge w:val="continue"/>
            <w:shd w:val="clear" w:color="auto" w:fill="0C479D"/>
          </w:tcPr>
          <w:p>
            <w:pPr>
              <w:spacing w:after="0"/>
              <w:rPr>
                <w:sz w:val="8"/>
                <w:szCs w:val="8"/>
                <w:color w:val="auto"/>
              </w:rPr>
            </w:pPr>
          </w:p>
        </w:tc>
        <w:tc>
          <w:tcPr>
            <w:tcW w:w="840" w:type="dxa"/>
            <w:vAlign w:val="bottom"/>
            <w:shd w:val="clear" w:color="auto" w:fill="0C479D"/>
          </w:tcPr>
          <w:p>
            <w:pPr>
              <w:spacing w:after="0"/>
              <w:rPr>
                <w:sz w:val="8"/>
                <w:szCs w:val="8"/>
                <w:color w:val="auto"/>
              </w:rPr>
            </w:pPr>
          </w:p>
        </w:tc>
        <w:tc>
          <w:tcPr>
            <w:tcW w:w="880" w:type="dxa"/>
            <w:vAlign w:val="bottom"/>
            <w:shd w:val="clear" w:color="auto" w:fill="0C479D"/>
          </w:tcPr>
          <w:p>
            <w:pPr>
              <w:spacing w:after="0"/>
              <w:rPr>
                <w:sz w:val="8"/>
                <w:szCs w:val="8"/>
                <w:color w:val="auto"/>
              </w:rPr>
            </w:pPr>
          </w:p>
        </w:tc>
        <w:tc>
          <w:tcPr>
            <w:tcW w:w="780" w:type="dxa"/>
            <w:vAlign w:val="bottom"/>
            <w:shd w:val="clear" w:color="auto" w:fill="0C479D"/>
          </w:tcPr>
          <w:p>
            <w:pPr>
              <w:spacing w:after="0"/>
              <w:rPr>
                <w:sz w:val="8"/>
                <w:szCs w:val="8"/>
                <w:color w:val="auto"/>
              </w:rPr>
            </w:pPr>
          </w:p>
        </w:tc>
        <w:tc>
          <w:tcPr>
            <w:tcW w:w="980" w:type="dxa"/>
            <w:vAlign w:val="bottom"/>
            <w:shd w:val="clear" w:color="auto" w:fill="0C479D"/>
          </w:tcPr>
          <w:p>
            <w:pPr>
              <w:spacing w:after="0"/>
              <w:rPr>
                <w:sz w:val="8"/>
                <w:szCs w:val="8"/>
                <w:color w:val="auto"/>
              </w:rPr>
            </w:pPr>
          </w:p>
        </w:tc>
        <w:tc>
          <w:tcPr>
            <w:tcW w:w="700" w:type="dxa"/>
            <w:vAlign w:val="bottom"/>
            <w:shd w:val="clear" w:color="auto" w:fill="0C479D"/>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3840" w:type="dxa"/>
            <w:vAlign w:val="bottom"/>
            <w:shd w:val="clear" w:color="auto" w:fill="0C479D"/>
          </w:tcPr>
          <w:p>
            <w:pPr>
              <w:spacing w:after="0"/>
              <w:rPr>
                <w:sz w:val="6"/>
                <w:szCs w:val="6"/>
                <w:color w:val="auto"/>
              </w:rPr>
            </w:pPr>
          </w:p>
        </w:tc>
        <w:tc>
          <w:tcPr>
            <w:tcW w:w="740" w:type="dxa"/>
            <w:vAlign w:val="bottom"/>
            <w:shd w:val="clear" w:color="auto" w:fill="0C479D"/>
          </w:tcPr>
          <w:p>
            <w:pPr>
              <w:spacing w:after="0"/>
              <w:rPr>
                <w:sz w:val="6"/>
                <w:szCs w:val="6"/>
                <w:color w:val="auto"/>
              </w:rPr>
            </w:pPr>
          </w:p>
        </w:tc>
        <w:tc>
          <w:tcPr>
            <w:tcW w:w="940" w:type="dxa"/>
            <w:vAlign w:val="bottom"/>
            <w:shd w:val="clear" w:color="auto" w:fill="0C479D"/>
          </w:tcPr>
          <w:p>
            <w:pPr>
              <w:spacing w:after="0"/>
              <w:rPr>
                <w:sz w:val="6"/>
                <w:szCs w:val="6"/>
                <w:color w:val="auto"/>
              </w:rPr>
            </w:pPr>
          </w:p>
        </w:tc>
        <w:tc>
          <w:tcPr>
            <w:tcW w:w="840" w:type="dxa"/>
            <w:vAlign w:val="bottom"/>
            <w:shd w:val="clear" w:color="auto" w:fill="0C479D"/>
          </w:tcPr>
          <w:p>
            <w:pPr>
              <w:spacing w:after="0"/>
              <w:rPr>
                <w:sz w:val="6"/>
                <w:szCs w:val="6"/>
                <w:color w:val="auto"/>
              </w:rPr>
            </w:pPr>
          </w:p>
        </w:tc>
        <w:tc>
          <w:tcPr>
            <w:tcW w:w="880" w:type="dxa"/>
            <w:vAlign w:val="bottom"/>
            <w:shd w:val="clear" w:color="auto" w:fill="0C479D"/>
          </w:tcPr>
          <w:p>
            <w:pPr>
              <w:spacing w:after="0"/>
              <w:rPr>
                <w:sz w:val="6"/>
                <w:szCs w:val="6"/>
                <w:color w:val="auto"/>
              </w:rPr>
            </w:pPr>
          </w:p>
        </w:tc>
        <w:tc>
          <w:tcPr>
            <w:tcW w:w="780" w:type="dxa"/>
            <w:vAlign w:val="bottom"/>
            <w:shd w:val="clear" w:color="auto" w:fill="0C479D"/>
          </w:tcPr>
          <w:p>
            <w:pPr>
              <w:spacing w:after="0"/>
              <w:rPr>
                <w:sz w:val="6"/>
                <w:szCs w:val="6"/>
                <w:color w:val="auto"/>
              </w:rPr>
            </w:pPr>
          </w:p>
        </w:tc>
        <w:tc>
          <w:tcPr>
            <w:tcW w:w="980" w:type="dxa"/>
            <w:vAlign w:val="bottom"/>
            <w:shd w:val="clear" w:color="auto" w:fill="0C479D"/>
          </w:tcPr>
          <w:p>
            <w:pPr>
              <w:spacing w:after="0"/>
              <w:rPr>
                <w:sz w:val="6"/>
                <w:szCs w:val="6"/>
                <w:color w:val="auto"/>
              </w:rPr>
            </w:pPr>
          </w:p>
        </w:tc>
        <w:tc>
          <w:tcPr>
            <w:tcW w:w="700" w:type="dxa"/>
            <w:vAlign w:val="bottom"/>
            <w:shd w:val="clear" w:color="auto" w:fill="0C479D"/>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3840" w:type="dxa"/>
            <w:vAlign w:val="bottom"/>
          </w:tcPr>
          <w:p>
            <w:pPr>
              <w:spacing w:after="0"/>
              <w:rPr>
                <w:sz w:val="20"/>
                <w:szCs w:val="20"/>
                <w:color w:val="auto"/>
              </w:rPr>
            </w:pPr>
            <w:r>
              <w:rPr>
                <w:rFonts w:ascii="Times New Roman" w:cs="Times New Roman" w:eastAsia="Times New Roman" w:hAnsi="Times New Roman"/>
                <w:sz w:val="16"/>
                <w:szCs w:val="16"/>
                <w:b w:val="1"/>
                <w:bCs w:val="1"/>
                <w:color w:val="0C479D"/>
              </w:rPr>
              <w:t>2024</w:t>
            </w: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Consolidated Subsidiaries</w:t>
            </w: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Average production prices</w:t>
            </w: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Crude oil, per barrel</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73.36</w:t>
            </w: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79.47</w:t>
            </w: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74.07</w:t>
            </w: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81.29</w:t>
            </w: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78.40</w:t>
            </w: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79.83</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76.57</w:t>
            </w: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NGL, per barrel</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23.08</w:t>
            </w: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30.43</w:t>
            </w: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63.29</w:t>
            </w: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50.51</w:t>
            </w: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32.34</w:t>
            </w: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38.74</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24.32</w:t>
            </w: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Natural gas, per thousand cubic feet</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0.37</w:t>
            </w: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1.72</w:t>
            </w: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10.56</w:t>
            </w: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2.25</w:t>
            </w: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2.55</w:t>
            </w: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8.47</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Bitumen, per barrel</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54.02</w:t>
            </w: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54.02</w:t>
            </w: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Synthetic oil, per barrel</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74.16</w:t>
            </w: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74.16</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Average production costs, per oil-equivalent barrel - total</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10.89</w:t>
            </w: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16.20</w:t>
            </w: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25.18</w:t>
            </w: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21.85</w:t>
            </w: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5.31</w:t>
            </w: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6.92</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Average production costs, per barrel - bitumen</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21.16</w:t>
            </w: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21.16</w:t>
            </w:r>
          </w:p>
        </w:tc>
        <w:tc>
          <w:tcPr>
            <w:tcW w:w="0" w:type="dxa"/>
            <w:vAlign w:val="bottom"/>
          </w:tcPr>
          <w:p>
            <w:pPr>
              <w:spacing w:after="0"/>
              <w:rPr>
                <w:sz w:val="1"/>
                <w:szCs w:val="1"/>
                <w:color w:val="auto"/>
              </w:rPr>
            </w:pPr>
          </w:p>
        </w:tc>
      </w:tr>
      <w:tr>
        <w:trPr>
          <w:trHeight w:val="219"/>
        </w:trPr>
        <w:tc>
          <w:tcPr>
            <w:tcW w:w="384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6"/>
                <w:szCs w:val="16"/>
                <w:color w:val="auto"/>
              </w:rPr>
              <w:t>Average production costs, per barrel - synthetic oil</w:t>
            </w:r>
          </w:p>
        </w:tc>
        <w:tc>
          <w:tcPr>
            <w:tcW w:w="740" w:type="dxa"/>
            <w:vAlign w:val="bottom"/>
            <w:tcBorders>
              <w:bottom w:val="single" w:sz="8" w:color="0C479D"/>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0C479D"/>
            </w:tcBorders>
          </w:tcPr>
          <w:p>
            <w:pPr>
              <w:jc w:val="right"/>
              <w:ind w:right="80"/>
              <w:spacing w:after="0"/>
              <w:rPr>
                <w:sz w:val="20"/>
                <w:szCs w:val="20"/>
                <w:color w:val="auto"/>
              </w:rPr>
            </w:pPr>
            <w:r>
              <w:rPr>
                <w:rFonts w:ascii="Times New Roman" w:cs="Times New Roman" w:eastAsia="Times New Roman" w:hAnsi="Times New Roman"/>
                <w:sz w:val="16"/>
                <w:szCs w:val="16"/>
                <w:color w:val="auto"/>
              </w:rPr>
              <w:t>44.44</w:t>
            </w:r>
          </w:p>
        </w:tc>
        <w:tc>
          <w:tcPr>
            <w:tcW w:w="840" w:type="dxa"/>
            <w:vAlign w:val="bottom"/>
            <w:tcBorders>
              <w:bottom w:val="single" w:sz="8" w:color="0C479D"/>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0C479D"/>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0C479D"/>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0C479D"/>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44.44</w:t>
            </w:r>
          </w:p>
        </w:tc>
        <w:tc>
          <w:tcPr>
            <w:tcW w:w="0" w:type="dxa"/>
            <w:vAlign w:val="bottom"/>
          </w:tcPr>
          <w:p>
            <w:pPr>
              <w:spacing w:after="0"/>
              <w:rPr>
                <w:sz w:val="1"/>
                <w:szCs w:val="1"/>
                <w:color w:val="auto"/>
              </w:rPr>
            </w:pPr>
          </w:p>
        </w:tc>
      </w:tr>
      <w:tr>
        <w:trPr>
          <w:trHeight w:val="247"/>
        </w:trPr>
        <w:tc>
          <w:tcPr>
            <w:tcW w:w="3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Equity Companies</w:t>
            </w: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Average production prices</w:t>
            </w: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Crude oil, per barrel</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73.91</w:t>
            </w: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76.34</w:t>
            </w: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73.99</w:t>
            </w: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73.17</w:t>
            </w: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73.21</w:t>
            </w: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NGL, per barrel</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19.94</w:t>
            </w: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47.63</w:t>
            </w: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47.19</w:t>
            </w: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Natural gas, per thousand cubic feet</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1.59</w:t>
            </w: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9.19</w:t>
            </w: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4.10</w:t>
            </w: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7.52</w:t>
            </w: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0" w:type="dxa"/>
            <w:vAlign w:val="bottom"/>
          </w:tcPr>
          <w:p>
            <w:pPr>
              <w:spacing w:after="0"/>
              <w:rPr>
                <w:sz w:val="1"/>
                <w:szCs w:val="1"/>
                <w:color w:val="auto"/>
              </w:rPr>
            </w:pPr>
          </w:p>
        </w:tc>
      </w:tr>
      <w:tr>
        <w:trPr>
          <w:trHeight w:val="219"/>
        </w:trPr>
        <w:tc>
          <w:tcPr>
            <w:tcW w:w="384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6"/>
                <w:szCs w:val="16"/>
                <w:color w:val="auto"/>
              </w:rPr>
              <w:t>Average production costs, per oil-equivalent barrel - total</w:t>
            </w:r>
          </w:p>
        </w:tc>
        <w:tc>
          <w:tcPr>
            <w:tcW w:w="740" w:type="dxa"/>
            <w:vAlign w:val="bottom"/>
            <w:tcBorders>
              <w:bottom w:val="single" w:sz="8" w:color="0C479D"/>
            </w:tcBorders>
          </w:tcPr>
          <w:p>
            <w:pPr>
              <w:jc w:val="right"/>
              <w:ind w:right="59"/>
              <w:spacing w:after="0"/>
              <w:rPr>
                <w:sz w:val="20"/>
                <w:szCs w:val="20"/>
                <w:color w:val="auto"/>
              </w:rPr>
            </w:pPr>
            <w:r>
              <w:rPr>
                <w:rFonts w:ascii="Times New Roman" w:cs="Times New Roman" w:eastAsia="Times New Roman" w:hAnsi="Times New Roman"/>
                <w:sz w:val="16"/>
                <w:szCs w:val="16"/>
                <w:color w:val="auto"/>
              </w:rPr>
              <w:t>26.41</w:t>
            </w:r>
          </w:p>
        </w:tc>
        <w:tc>
          <w:tcPr>
            <w:tcW w:w="940" w:type="dxa"/>
            <w:vAlign w:val="bottom"/>
            <w:tcBorders>
              <w:bottom w:val="single" w:sz="8" w:color="0C479D"/>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0C479D"/>
            </w:tcBorders>
          </w:tcPr>
          <w:p>
            <w:pPr>
              <w:jc w:val="right"/>
              <w:ind w:right="99"/>
              <w:spacing w:after="0"/>
              <w:rPr>
                <w:sz w:val="20"/>
                <w:szCs w:val="20"/>
                <w:color w:val="auto"/>
              </w:rPr>
            </w:pPr>
            <w:r>
              <w:rPr>
                <w:rFonts w:ascii="Times New Roman" w:cs="Times New Roman" w:eastAsia="Times New Roman" w:hAnsi="Times New Roman"/>
                <w:sz w:val="16"/>
                <w:szCs w:val="16"/>
                <w:color w:val="auto"/>
              </w:rPr>
              <w:t>63.76</w:t>
            </w:r>
          </w:p>
        </w:tc>
        <w:tc>
          <w:tcPr>
            <w:tcW w:w="880" w:type="dxa"/>
            <w:vAlign w:val="bottom"/>
            <w:tcBorders>
              <w:bottom w:val="single" w:sz="8" w:color="0C479D"/>
            </w:tcBorders>
          </w:tcPr>
          <w:p>
            <w:pPr>
              <w:jc w:val="right"/>
              <w:ind w:right="139"/>
              <w:spacing w:after="0"/>
              <w:rPr>
                <w:sz w:val="20"/>
                <w:szCs w:val="20"/>
                <w:color w:val="auto"/>
              </w:rPr>
            </w:pPr>
            <w:r>
              <w:rPr>
                <w:rFonts w:ascii="Times New Roman" w:cs="Times New Roman" w:eastAsia="Times New Roman" w:hAnsi="Times New Roman"/>
                <w:sz w:val="16"/>
                <w:szCs w:val="16"/>
                <w:color w:val="auto"/>
              </w:rPr>
              <w:t>7.27</w:t>
            </w:r>
          </w:p>
        </w:tc>
        <w:tc>
          <w:tcPr>
            <w:tcW w:w="780" w:type="dxa"/>
            <w:vAlign w:val="bottom"/>
            <w:tcBorders>
              <w:bottom w:val="single" w:sz="8" w:color="0C479D"/>
            </w:tcBorders>
          </w:tcPr>
          <w:p>
            <w:pPr>
              <w:jc w:val="right"/>
              <w:ind w:right="79"/>
              <w:spacing w:after="0"/>
              <w:rPr>
                <w:sz w:val="20"/>
                <w:szCs w:val="20"/>
                <w:color w:val="auto"/>
              </w:rPr>
            </w:pPr>
            <w:r>
              <w:rPr>
                <w:rFonts w:ascii="Times New Roman" w:cs="Times New Roman" w:eastAsia="Times New Roman" w:hAnsi="Times New Roman"/>
                <w:sz w:val="16"/>
                <w:szCs w:val="16"/>
                <w:color w:val="auto"/>
              </w:rPr>
              <w:t>2.70</w:t>
            </w:r>
          </w:p>
        </w:tc>
        <w:tc>
          <w:tcPr>
            <w:tcW w:w="980" w:type="dxa"/>
            <w:vAlign w:val="bottom"/>
            <w:tcBorders>
              <w:bottom w:val="single" w:sz="8" w:color="0C479D"/>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0" w:type="dxa"/>
            <w:vAlign w:val="bottom"/>
          </w:tcPr>
          <w:p>
            <w:pPr>
              <w:spacing w:after="0"/>
              <w:rPr>
                <w:sz w:val="1"/>
                <w:szCs w:val="1"/>
                <w:color w:val="auto"/>
              </w:rPr>
            </w:pPr>
          </w:p>
        </w:tc>
      </w:tr>
      <w:tr>
        <w:trPr>
          <w:trHeight w:val="247"/>
        </w:trPr>
        <w:tc>
          <w:tcPr>
            <w:tcW w:w="3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Average production prices</w:t>
            </w: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Crude oil, per barrel</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73.36</w:t>
            </w: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79.47</w:t>
            </w: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75.06</w:t>
            </w: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81.25</w:t>
            </w: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76.69</w:t>
            </w: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79.83</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76.23</w:t>
            </w: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NGL, per barrel</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23.07</w:t>
            </w: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30.43</w:t>
            </w: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63.29</w:t>
            </w: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50.51</w:t>
            </w: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43.01</w:t>
            </w: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38.74</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27.16</w:t>
            </w: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Natural gas, per thousand cubic feet</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0.37</w:t>
            </w: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1.72</w:t>
            </w: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10.17</w:t>
            </w: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3.55</w:t>
            </w: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6.17</w:t>
            </w: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8.47</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Bitumen, per barrel</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54.02</w:t>
            </w: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54.02</w:t>
            </w: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Synthetic oil, per barrel</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74.16</w:t>
            </w: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74.16</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Average production costs, per oil-equivalent barrel - total</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10.94</w:t>
            </w: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16.20</w:t>
            </w: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36.41</w:t>
            </w: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20.68</w:t>
            </w: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3.93</w:t>
            </w: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6.92</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Average production costs, per barrel - bitumen</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21.16</w:t>
            </w: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21.16</w:t>
            </w:r>
          </w:p>
        </w:tc>
        <w:tc>
          <w:tcPr>
            <w:tcW w:w="0" w:type="dxa"/>
            <w:vAlign w:val="bottom"/>
          </w:tcPr>
          <w:p>
            <w:pPr>
              <w:spacing w:after="0"/>
              <w:rPr>
                <w:sz w:val="1"/>
                <w:szCs w:val="1"/>
                <w:color w:val="auto"/>
              </w:rPr>
            </w:pPr>
          </w:p>
        </w:tc>
      </w:tr>
      <w:tr>
        <w:trPr>
          <w:trHeight w:val="229"/>
        </w:trPr>
        <w:tc>
          <w:tcPr>
            <w:tcW w:w="384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6"/>
                <w:szCs w:val="16"/>
                <w:color w:val="auto"/>
              </w:rPr>
              <w:t>Average production costs, per barrel - synthetic oil</w:t>
            </w:r>
          </w:p>
        </w:tc>
        <w:tc>
          <w:tcPr>
            <w:tcW w:w="740" w:type="dxa"/>
            <w:vAlign w:val="bottom"/>
            <w:tcBorders>
              <w:bottom w:val="single" w:sz="8" w:color="0C479D"/>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0C479D"/>
            </w:tcBorders>
          </w:tcPr>
          <w:p>
            <w:pPr>
              <w:jc w:val="right"/>
              <w:ind w:right="80"/>
              <w:spacing w:after="0"/>
              <w:rPr>
                <w:sz w:val="20"/>
                <w:szCs w:val="20"/>
                <w:color w:val="auto"/>
              </w:rPr>
            </w:pPr>
            <w:r>
              <w:rPr>
                <w:rFonts w:ascii="Times New Roman" w:cs="Times New Roman" w:eastAsia="Times New Roman" w:hAnsi="Times New Roman"/>
                <w:sz w:val="16"/>
                <w:szCs w:val="16"/>
                <w:color w:val="auto"/>
              </w:rPr>
              <w:t>44.44</w:t>
            </w:r>
          </w:p>
        </w:tc>
        <w:tc>
          <w:tcPr>
            <w:tcW w:w="840" w:type="dxa"/>
            <w:vAlign w:val="bottom"/>
            <w:tcBorders>
              <w:bottom w:val="single" w:sz="8" w:color="0C479D"/>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0C479D"/>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0C479D"/>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0C479D"/>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44.44</w:t>
            </w:r>
          </w:p>
        </w:tc>
        <w:tc>
          <w:tcPr>
            <w:tcW w:w="0" w:type="dxa"/>
            <w:vAlign w:val="bottom"/>
          </w:tcPr>
          <w:p>
            <w:pPr>
              <w:spacing w:after="0"/>
              <w:rPr>
                <w:sz w:val="1"/>
                <w:szCs w:val="1"/>
                <w:color w:val="auto"/>
              </w:rPr>
            </w:pPr>
          </w:p>
        </w:tc>
      </w:tr>
      <w:tr>
        <w:trPr>
          <w:trHeight w:val="399"/>
        </w:trPr>
        <w:tc>
          <w:tcPr>
            <w:tcW w:w="3840" w:type="dxa"/>
            <w:vAlign w:val="bottom"/>
          </w:tcPr>
          <w:p>
            <w:pPr>
              <w:spacing w:after="0"/>
              <w:rPr>
                <w:sz w:val="20"/>
                <w:szCs w:val="20"/>
                <w:color w:val="auto"/>
              </w:rPr>
            </w:pPr>
            <w:r>
              <w:rPr>
                <w:rFonts w:ascii="Times New Roman" w:cs="Times New Roman" w:eastAsia="Times New Roman" w:hAnsi="Times New Roman"/>
                <w:sz w:val="16"/>
                <w:szCs w:val="16"/>
                <w:b w:val="1"/>
                <w:bCs w:val="1"/>
                <w:color w:val="0C479D"/>
              </w:rPr>
              <w:t>2023</w:t>
            </w: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Consolidated Subsidiaries</w:t>
            </w: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Average production prices</w:t>
            </w: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Crude oil, per barrel</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75.45</w:t>
            </w: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80.51</w:t>
            </w: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71.99</w:t>
            </w: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82.70</w:t>
            </w: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79.50</w:t>
            </w: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70.26</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78.43</w:t>
            </w: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NGL, per barrel</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23.88</w:t>
            </w: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24.44</w:t>
            </w: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64.10</w:t>
            </w: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44.72</w:t>
            </w: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29.81</w:t>
            </w: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34.35</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25.12</w:t>
            </w: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Natural gas, per thousand cubic feet</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1.16</w:t>
            </w: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2.57</w:t>
            </w: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13.64</w:t>
            </w: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2.04</w:t>
            </w: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2.40</w:t>
            </w: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9.31</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Bitumen, per barrel</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49.64</w:t>
            </w: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49.64</w:t>
            </w: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Synthetic oil, per barrel</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77.56</w:t>
            </w: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77.56</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Average production costs, per oil-equivalent barrel - total</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9.70</w:t>
            </w: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19.94</w:t>
            </w: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36.37</w:t>
            </w: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20.70</w:t>
            </w: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5.26</w:t>
            </w: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5.55</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12.05</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Average production costs, per barrel - bitumen</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23.80</w:t>
            </w: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23.80</w:t>
            </w:r>
          </w:p>
        </w:tc>
        <w:tc>
          <w:tcPr>
            <w:tcW w:w="0" w:type="dxa"/>
            <w:vAlign w:val="bottom"/>
          </w:tcPr>
          <w:p>
            <w:pPr>
              <w:spacing w:after="0"/>
              <w:rPr>
                <w:sz w:val="1"/>
                <w:szCs w:val="1"/>
                <w:color w:val="auto"/>
              </w:rPr>
            </w:pPr>
          </w:p>
        </w:tc>
      </w:tr>
      <w:tr>
        <w:trPr>
          <w:trHeight w:val="219"/>
        </w:trPr>
        <w:tc>
          <w:tcPr>
            <w:tcW w:w="384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6"/>
                <w:szCs w:val="16"/>
                <w:color w:val="auto"/>
              </w:rPr>
              <w:t>Average production costs, per barrel - synthetic oil</w:t>
            </w:r>
          </w:p>
        </w:tc>
        <w:tc>
          <w:tcPr>
            <w:tcW w:w="740" w:type="dxa"/>
            <w:vAlign w:val="bottom"/>
            <w:tcBorders>
              <w:bottom w:val="single" w:sz="8" w:color="0C479D"/>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0C479D"/>
            </w:tcBorders>
          </w:tcPr>
          <w:p>
            <w:pPr>
              <w:jc w:val="right"/>
              <w:ind w:right="80"/>
              <w:spacing w:after="0"/>
              <w:rPr>
                <w:sz w:val="20"/>
                <w:szCs w:val="20"/>
                <w:color w:val="auto"/>
              </w:rPr>
            </w:pPr>
            <w:r>
              <w:rPr>
                <w:rFonts w:ascii="Times New Roman" w:cs="Times New Roman" w:eastAsia="Times New Roman" w:hAnsi="Times New Roman"/>
                <w:sz w:val="16"/>
                <w:szCs w:val="16"/>
                <w:color w:val="auto"/>
              </w:rPr>
              <w:t>45.91</w:t>
            </w:r>
          </w:p>
        </w:tc>
        <w:tc>
          <w:tcPr>
            <w:tcW w:w="840" w:type="dxa"/>
            <w:vAlign w:val="bottom"/>
            <w:tcBorders>
              <w:bottom w:val="single" w:sz="8" w:color="0C479D"/>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0C479D"/>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0C479D"/>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0C479D"/>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45.91</w:t>
            </w:r>
          </w:p>
        </w:tc>
        <w:tc>
          <w:tcPr>
            <w:tcW w:w="0" w:type="dxa"/>
            <w:vAlign w:val="bottom"/>
          </w:tcPr>
          <w:p>
            <w:pPr>
              <w:spacing w:after="0"/>
              <w:rPr>
                <w:sz w:val="1"/>
                <w:szCs w:val="1"/>
                <w:color w:val="auto"/>
              </w:rPr>
            </w:pPr>
          </w:p>
        </w:tc>
      </w:tr>
      <w:tr>
        <w:trPr>
          <w:trHeight w:val="247"/>
        </w:trPr>
        <w:tc>
          <w:tcPr>
            <w:tcW w:w="3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Equity Companies</w:t>
            </w: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Average production prices</w:t>
            </w: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Crude oil, per barrel</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75.48</w:t>
            </w: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77.82</w:t>
            </w: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71.92</w:t>
            </w: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74.59</w:t>
            </w: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74.63</w:t>
            </w: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NGL, per barrel</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19.13</w:t>
            </w: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45.64</w:t>
            </w: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45.19</w:t>
            </w: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Natural gas, per thousand cubic feet</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5.25</w:t>
            </w: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22.22</w:t>
            </w: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5.89</w:t>
            </w: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8.54</w:t>
            </w: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w:t>
            </w:r>
          </w:p>
        </w:tc>
        <w:tc>
          <w:tcPr>
            <w:tcW w:w="0" w:type="dxa"/>
            <w:vAlign w:val="bottom"/>
          </w:tcPr>
          <w:p>
            <w:pPr>
              <w:spacing w:after="0"/>
              <w:rPr>
                <w:sz w:val="1"/>
                <w:szCs w:val="1"/>
                <w:color w:val="auto"/>
              </w:rPr>
            </w:pPr>
          </w:p>
        </w:tc>
      </w:tr>
      <w:tr>
        <w:trPr>
          <w:trHeight w:val="219"/>
        </w:trPr>
        <w:tc>
          <w:tcPr>
            <w:tcW w:w="384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6"/>
                <w:szCs w:val="16"/>
                <w:color w:val="auto"/>
              </w:rPr>
              <w:t>Average production costs, per oil-equivalent barrel - total</w:t>
            </w:r>
          </w:p>
        </w:tc>
        <w:tc>
          <w:tcPr>
            <w:tcW w:w="740" w:type="dxa"/>
            <w:vAlign w:val="bottom"/>
            <w:tcBorders>
              <w:bottom w:val="single" w:sz="8" w:color="0C479D"/>
            </w:tcBorders>
          </w:tcPr>
          <w:p>
            <w:pPr>
              <w:jc w:val="right"/>
              <w:ind w:right="59"/>
              <w:spacing w:after="0"/>
              <w:rPr>
                <w:sz w:val="20"/>
                <w:szCs w:val="20"/>
                <w:color w:val="auto"/>
              </w:rPr>
            </w:pPr>
            <w:r>
              <w:rPr>
                <w:rFonts w:ascii="Times New Roman" w:cs="Times New Roman" w:eastAsia="Times New Roman" w:hAnsi="Times New Roman"/>
                <w:sz w:val="16"/>
                <w:szCs w:val="16"/>
                <w:color w:val="auto"/>
              </w:rPr>
              <w:t>53.49</w:t>
            </w:r>
          </w:p>
        </w:tc>
        <w:tc>
          <w:tcPr>
            <w:tcW w:w="940" w:type="dxa"/>
            <w:vAlign w:val="bottom"/>
            <w:tcBorders>
              <w:bottom w:val="single" w:sz="8" w:color="0C479D"/>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0C479D"/>
            </w:tcBorders>
          </w:tcPr>
          <w:p>
            <w:pPr>
              <w:jc w:val="right"/>
              <w:ind w:right="99"/>
              <w:spacing w:after="0"/>
              <w:rPr>
                <w:sz w:val="20"/>
                <w:szCs w:val="20"/>
                <w:color w:val="auto"/>
              </w:rPr>
            </w:pPr>
            <w:r>
              <w:rPr>
                <w:rFonts w:ascii="Times New Roman" w:cs="Times New Roman" w:eastAsia="Times New Roman" w:hAnsi="Times New Roman"/>
                <w:sz w:val="16"/>
                <w:szCs w:val="16"/>
                <w:color w:val="auto"/>
              </w:rPr>
              <w:t>43.99</w:t>
            </w:r>
          </w:p>
        </w:tc>
        <w:tc>
          <w:tcPr>
            <w:tcW w:w="880" w:type="dxa"/>
            <w:vAlign w:val="bottom"/>
            <w:tcBorders>
              <w:bottom w:val="single" w:sz="8" w:color="0C479D"/>
            </w:tcBorders>
          </w:tcPr>
          <w:p>
            <w:pPr>
              <w:jc w:val="right"/>
              <w:ind w:right="139"/>
              <w:spacing w:after="0"/>
              <w:rPr>
                <w:sz w:val="20"/>
                <w:szCs w:val="20"/>
                <w:color w:val="auto"/>
              </w:rPr>
            </w:pPr>
            <w:r>
              <w:rPr>
                <w:rFonts w:ascii="Times New Roman" w:cs="Times New Roman" w:eastAsia="Times New Roman" w:hAnsi="Times New Roman"/>
                <w:sz w:val="16"/>
                <w:szCs w:val="16"/>
                <w:color w:val="auto"/>
              </w:rPr>
              <w:t>6.74</w:t>
            </w:r>
          </w:p>
        </w:tc>
        <w:tc>
          <w:tcPr>
            <w:tcW w:w="780" w:type="dxa"/>
            <w:vAlign w:val="bottom"/>
            <w:tcBorders>
              <w:bottom w:val="single" w:sz="8" w:color="0C479D"/>
            </w:tcBorders>
          </w:tcPr>
          <w:p>
            <w:pPr>
              <w:jc w:val="right"/>
              <w:ind w:right="79"/>
              <w:spacing w:after="0"/>
              <w:rPr>
                <w:sz w:val="20"/>
                <w:szCs w:val="20"/>
                <w:color w:val="auto"/>
              </w:rPr>
            </w:pPr>
            <w:r>
              <w:rPr>
                <w:rFonts w:ascii="Times New Roman" w:cs="Times New Roman" w:eastAsia="Times New Roman" w:hAnsi="Times New Roman"/>
                <w:sz w:val="16"/>
                <w:szCs w:val="16"/>
                <w:color w:val="auto"/>
              </w:rPr>
              <w:t>2.77</w:t>
            </w:r>
          </w:p>
        </w:tc>
        <w:tc>
          <w:tcPr>
            <w:tcW w:w="980" w:type="dxa"/>
            <w:vAlign w:val="bottom"/>
            <w:tcBorders>
              <w:bottom w:val="single" w:sz="8" w:color="0C479D"/>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0" w:type="dxa"/>
            <w:vAlign w:val="bottom"/>
          </w:tcPr>
          <w:p>
            <w:pPr>
              <w:spacing w:after="0"/>
              <w:rPr>
                <w:sz w:val="1"/>
                <w:szCs w:val="1"/>
                <w:color w:val="auto"/>
              </w:rPr>
            </w:pPr>
          </w:p>
        </w:tc>
      </w:tr>
      <w:tr>
        <w:trPr>
          <w:trHeight w:val="247"/>
        </w:trPr>
        <w:tc>
          <w:tcPr>
            <w:tcW w:w="38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Average production prices</w:t>
            </w: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Crude oil, per barrel</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75.45</w:t>
            </w: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80.51</w:t>
            </w: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74.13</w:t>
            </w: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82.66</w:t>
            </w: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77.83</w:t>
            </w: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70.26</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77.92</w:t>
            </w: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NGL, per barrel</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23.86</w:t>
            </w: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24.44</w:t>
            </w: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64.10</w:t>
            </w: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44.72</w:t>
            </w: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40.59</w:t>
            </w: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34.35</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28.66</w:t>
            </w: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Natural gas, per thousand cubic feet</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1.19</w:t>
            </w: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2.57</w:t>
            </w: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16.71</w:t>
            </w: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4.81</w:t>
            </w: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6.93</w:t>
            </w: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9.31</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Bitumen, per barrel</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49.64</w:t>
            </w: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49.64</w:t>
            </w: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Synthetic oil, per barrel</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77.56</w:t>
            </w: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77.56</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Average production costs, per oil-equivalent barrel - total</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10.15</w:t>
            </w: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19.94</w:t>
            </w: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39.09</w:t>
            </w: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19.79</w:t>
            </w: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3.91</w:t>
            </w: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5.55</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10.63</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6"/>
                <w:szCs w:val="16"/>
                <w:color w:val="auto"/>
              </w:rPr>
              <w:t>Average production costs, per barrel - bitumen</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23.80</w:t>
            </w: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23.80</w:t>
            </w:r>
          </w:p>
        </w:tc>
        <w:tc>
          <w:tcPr>
            <w:tcW w:w="0" w:type="dxa"/>
            <w:vAlign w:val="bottom"/>
          </w:tcPr>
          <w:p>
            <w:pPr>
              <w:spacing w:after="0"/>
              <w:rPr>
                <w:sz w:val="1"/>
                <w:szCs w:val="1"/>
                <w:color w:val="auto"/>
              </w:rPr>
            </w:pPr>
          </w:p>
        </w:tc>
      </w:tr>
      <w:tr>
        <w:trPr>
          <w:trHeight w:val="229"/>
        </w:trPr>
        <w:tc>
          <w:tcPr>
            <w:tcW w:w="384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6"/>
                <w:szCs w:val="16"/>
                <w:color w:val="auto"/>
              </w:rPr>
              <w:t>Average production costs, per barrel - synthetic oil</w:t>
            </w:r>
          </w:p>
        </w:tc>
        <w:tc>
          <w:tcPr>
            <w:tcW w:w="740" w:type="dxa"/>
            <w:vAlign w:val="bottom"/>
            <w:tcBorders>
              <w:bottom w:val="single" w:sz="8" w:color="0C479D"/>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0C479D"/>
            </w:tcBorders>
          </w:tcPr>
          <w:p>
            <w:pPr>
              <w:jc w:val="right"/>
              <w:ind w:right="80"/>
              <w:spacing w:after="0"/>
              <w:rPr>
                <w:sz w:val="20"/>
                <w:szCs w:val="20"/>
                <w:color w:val="auto"/>
              </w:rPr>
            </w:pPr>
            <w:r>
              <w:rPr>
                <w:rFonts w:ascii="Times New Roman" w:cs="Times New Roman" w:eastAsia="Times New Roman" w:hAnsi="Times New Roman"/>
                <w:sz w:val="16"/>
                <w:szCs w:val="16"/>
                <w:color w:val="auto"/>
              </w:rPr>
              <w:t>45.91</w:t>
            </w:r>
          </w:p>
        </w:tc>
        <w:tc>
          <w:tcPr>
            <w:tcW w:w="840" w:type="dxa"/>
            <w:vAlign w:val="bottom"/>
            <w:tcBorders>
              <w:bottom w:val="single" w:sz="8" w:color="0C479D"/>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0C479D"/>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0C479D"/>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0C479D"/>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45.91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700"/>
          </w:cols>
          <w:pgMar w:left="320" w:top="995" w:right="879" w:bottom="1149" w:gutter="0" w:footer="0" w:header="0"/>
        </w:sectPr>
      </w:pPr>
    </w:p>
    <w:p>
      <w:pPr>
        <w:spacing w:after="0" w:line="295"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995" w:right="879" w:bottom="1149" w:gutter="0" w:footer="0" w:header="0"/>
          <w:type w:val="continuous"/>
        </w:sectPr>
      </w:pPr>
    </w:p>
    <w:bookmarkStart w:id="14" w:name="page15"/>
    <w:bookmarkEnd w:id="14"/>
    <w:tbl>
      <w:tblPr>
        <w:tblLayout w:type="fixed"/>
        <w:tblInd w:w="780" w:type="dxa"/>
        <w:tblCellMar>
          <w:top w:w="0" w:type="dxa"/>
          <w:left w:w="0" w:type="dxa"/>
          <w:bottom w:w="0" w:type="dxa"/>
          <w:right w:w="0" w:type="dxa"/>
        </w:tblCellMar>
      </w:tblPr>
      <w:tr>
        <w:trPr>
          <w:trHeight w:val="164"/>
        </w:trPr>
        <w:tc>
          <w:tcPr>
            <w:tcW w:w="3840" w:type="dxa"/>
            <w:vAlign w:val="bottom"/>
            <w:vMerge w:val="restart"/>
            <w:shd w:val="clear" w:color="auto" w:fill="0C479D"/>
          </w:tcPr>
          <w:p>
            <w:pPr>
              <w:ind w:left="20"/>
              <w:spacing w:after="0"/>
              <w:rPr>
                <w:sz w:val="20"/>
                <w:szCs w:val="20"/>
                <w:color w:val="auto"/>
              </w:rPr>
            </w:pPr>
            <w:r>
              <w:rPr>
                <w:rFonts w:ascii="Times New Roman" w:cs="Times New Roman" w:eastAsia="Times New Roman" w:hAnsi="Times New Roman"/>
                <w:sz w:val="14"/>
                <w:szCs w:val="14"/>
                <w:i w:val="1"/>
                <w:iCs w:val="1"/>
                <w:color w:val="FFFFFF"/>
              </w:rPr>
              <w:t>(dollars per unit)</w:t>
            </w:r>
          </w:p>
        </w:tc>
        <w:tc>
          <w:tcPr>
            <w:tcW w:w="720" w:type="dxa"/>
            <w:vAlign w:val="bottom"/>
            <w:vMerge w:val="restart"/>
            <w:shd w:val="clear" w:color="auto" w:fill="0C479D"/>
          </w:tcPr>
          <w:p>
            <w:pPr>
              <w:jc w:val="right"/>
              <w:ind w:right="140"/>
              <w:spacing w:after="0"/>
              <w:rPr>
                <w:sz w:val="20"/>
                <w:szCs w:val="20"/>
                <w:color w:val="auto"/>
              </w:rPr>
            </w:pPr>
            <w:r>
              <w:rPr>
                <w:rFonts w:ascii="Times New Roman" w:cs="Times New Roman" w:eastAsia="Times New Roman" w:hAnsi="Times New Roman"/>
                <w:sz w:val="14"/>
                <w:szCs w:val="14"/>
                <w:b w:val="1"/>
                <w:bCs w:val="1"/>
                <w:color w:val="FFFFFF"/>
              </w:rPr>
              <w:t>United</w:t>
            </w:r>
          </w:p>
        </w:tc>
        <w:tc>
          <w:tcPr>
            <w:tcW w:w="94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Canada/</w:t>
            </w:r>
          </w:p>
        </w:tc>
        <w:tc>
          <w:tcPr>
            <w:tcW w:w="860" w:type="dxa"/>
            <w:vAlign w:val="bottom"/>
            <w:vMerge w:val="restart"/>
            <w:shd w:val="clear" w:color="auto" w:fill="0C479D"/>
          </w:tcPr>
          <w:p>
            <w:pPr>
              <w:jc w:val="right"/>
              <w:ind w:right="159"/>
              <w:spacing w:after="0"/>
              <w:rPr>
                <w:sz w:val="20"/>
                <w:szCs w:val="20"/>
                <w:color w:val="auto"/>
              </w:rPr>
            </w:pPr>
            <w:r>
              <w:rPr>
                <w:rFonts w:ascii="Times New Roman" w:cs="Times New Roman" w:eastAsia="Times New Roman" w:hAnsi="Times New Roman"/>
                <w:sz w:val="14"/>
                <w:szCs w:val="14"/>
                <w:b w:val="1"/>
                <w:bCs w:val="1"/>
                <w:color w:val="FFFFFF"/>
              </w:rPr>
              <w:t>Europe</w:t>
            </w:r>
          </w:p>
        </w:tc>
        <w:tc>
          <w:tcPr>
            <w:tcW w:w="860" w:type="dxa"/>
            <w:vAlign w:val="bottom"/>
            <w:vMerge w:val="restart"/>
            <w:shd w:val="clear" w:color="auto" w:fill="0C479D"/>
          </w:tcPr>
          <w:p>
            <w:pPr>
              <w:jc w:val="right"/>
              <w:ind w:right="219"/>
              <w:spacing w:after="0"/>
              <w:rPr>
                <w:sz w:val="20"/>
                <w:szCs w:val="20"/>
                <w:color w:val="auto"/>
              </w:rPr>
            </w:pPr>
            <w:r>
              <w:rPr>
                <w:rFonts w:ascii="Times New Roman" w:cs="Times New Roman" w:eastAsia="Times New Roman" w:hAnsi="Times New Roman"/>
                <w:sz w:val="14"/>
                <w:szCs w:val="14"/>
                <w:b w:val="1"/>
                <w:bCs w:val="1"/>
                <w:color w:val="FFFFFF"/>
              </w:rPr>
              <w:t>Africa</w:t>
            </w:r>
          </w:p>
        </w:tc>
        <w:tc>
          <w:tcPr>
            <w:tcW w:w="780" w:type="dxa"/>
            <w:vAlign w:val="bottom"/>
            <w:vMerge w:val="restart"/>
            <w:shd w:val="clear" w:color="auto" w:fill="0C479D"/>
          </w:tcPr>
          <w:p>
            <w:pPr>
              <w:jc w:val="right"/>
              <w:ind w:right="219"/>
              <w:spacing w:after="0"/>
              <w:rPr>
                <w:sz w:val="20"/>
                <w:szCs w:val="20"/>
                <w:color w:val="auto"/>
              </w:rPr>
            </w:pPr>
            <w:r>
              <w:rPr>
                <w:rFonts w:ascii="Times New Roman" w:cs="Times New Roman" w:eastAsia="Times New Roman" w:hAnsi="Times New Roman"/>
                <w:sz w:val="14"/>
                <w:szCs w:val="14"/>
                <w:b w:val="1"/>
                <w:bCs w:val="1"/>
                <w:color w:val="FFFFFF"/>
              </w:rPr>
              <w:t>Asia</w:t>
            </w:r>
          </w:p>
        </w:tc>
        <w:tc>
          <w:tcPr>
            <w:tcW w:w="980" w:type="dxa"/>
            <w:vAlign w:val="bottom"/>
            <w:vMerge w:val="restart"/>
            <w:shd w:val="clear" w:color="auto" w:fill="0C479D"/>
          </w:tcPr>
          <w:p>
            <w:pPr>
              <w:jc w:val="right"/>
              <w:ind w:right="140"/>
              <w:spacing w:after="0"/>
              <w:rPr>
                <w:sz w:val="20"/>
                <w:szCs w:val="20"/>
                <w:color w:val="auto"/>
              </w:rPr>
            </w:pPr>
            <w:r>
              <w:rPr>
                <w:rFonts w:ascii="Times New Roman" w:cs="Times New Roman" w:eastAsia="Times New Roman" w:hAnsi="Times New Roman"/>
                <w:sz w:val="14"/>
                <w:szCs w:val="14"/>
                <w:b w:val="1"/>
                <w:bCs w:val="1"/>
                <w:color w:val="FFFFFF"/>
              </w:rPr>
              <w:t>Australia/</w:t>
            </w:r>
          </w:p>
        </w:tc>
        <w:tc>
          <w:tcPr>
            <w:tcW w:w="720" w:type="dxa"/>
            <w:vAlign w:val="bottom"/>
            <w:vMerge w:val="restart"/>
            <w:shd w:val="clear" w:color="auto" w:fill="0C479D"/>
          </w:tcPr>
          <w:p>
            <w:pPr>
              <w:jc w:val="right"/>
              <w:ind w:right="119"/>
              <w:spacing w:after="0"/>
              <w:rPr>
                <w:sz w:val="20"/>
                <w:szCs w:val="20"/>
                <w:color w:val="auto"/>
              </w:rPr>
            </w:pPr>
            <w:r>
              <w:rPr>
                <w:rFonts w:ascii="Times New Roman" w:cs="Times New Roman" w:eastAsia="Times New Roman" w:hAnsi="Times New Roman"/>
                <w:sz w:val="14"/>
                <w:szCs w:val="14"/>
                <w:b w:val="1"/>
                <w:bCs w:val="1"/>
                <w:color w:val="FFFFFF"/>
              </w:rPr>
              <w:t>Total</w:t>
            </w:r>
          </w:p>
        </w:tc>
        <w:tc>
          <w:tcPr>
            <w:tcW w:w="0" w:type="dxa"/>
            <w:vAlign w:val="bottom"/>
          </w:tcPr>
          <w:p>
            <w:pPr>
              <w:spacing w:after="0"/>
              <w:rPr>
                <w:sz w:val="1"/>
                <w:szCs w:val="1"/>
                <w:color w:val="auto"/>
              </w:rPr>
            </w:pPr>
          </w:p>
        </w:tc>
      </w:tr>
      <w:tr>
        <w:trPr>
          <w:trHeight w:val="68"/>
        </w:trPr>
        <w:tc>
          <w:tcPr>
            <w:tcW w:w="3840" w:type="dxa"/>
            <w:vAlign w:val="bottom"/>
            <w:vMerge w:val="continue"/>
            <w:shd w:val="clear" w:color="auto" w:fill="0C479D"/>
          </w:tcPr>
          <w:p>
            <w:pPr>
              <w:spacing w:after="0"/>
              <w:rPr>
                <w:sz w:val="5"/>
                <w:szCs w:val="5"/>
                <w:color w:val="auto"/>
              </w:rPr>
            </w:pPr>
          </w:p>
        </w:tc>
        <w:tc>
          <w:tcPr>
            <w:tcW w:w="720" w:type="dxa"/>
            <w:vAlign w:val="bottom"/>
            <w:vMerge w:val="continue"/>
            <w:shd w:val="clear" w:color="auto" w:fill="0C479D"/>
          </w:tcPr>
          <w:p>
            <w:pPr>
              <w:spacing w:after="0"/>
              <w:rPr>
                <w:sz w:val="5"/>
                <w:szCs w:val="5"/>
                <w:color w:val="auto"/>
              </w:rPr>
            </w:pPr>
          </w:p>
        </w:tc>
        <w:tc>
          <w:tcPr>
            <w:tcW w:w="940" w:type="dxa"/>
            <w:vAlign w:val="bottom"/>
            <w:vMerge w:val="restart"/>
            <w:shd w:val="clear" w:color="auto" w:fill="0C479D"/>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FFFFFF"/>
              </w:rPr>
              <w:t>Other</w:t>
            </w:r>
          </w:p>
        </w:tc>
        <w:tc>
          <w:tcPr>
            <w:tcW w:w="860" w:type="dxa"/>
            <w:vAlign w:val="bottom"/>
            <w:vMerge w:val="continue"/>
            <w:shd w:val="clear" w:color="auto" w:fill="0C479D"/>
          </w:tcPr>
          <w:p>
            <w:pPr>
              <w:spacing w:after="0"/>
              <w:rPr>
                <w:sz w:val="5"/>
                <w:szCs w:val="5"/>
                <w:color w:val="auto"/>
              </w:rPr>
            </w:pPr>
          </w:p>
        </w:tc>
        <w:tc>
          <w:tcPr>
            <w:tcW w:w="860" w:type="dxa"/>
            <w:vAlign w:val="bottom"/>
            <w:vMerge w:val="continue"/>
            <w:shd w:val="clear" w:color="auto" w:fill="0C479D"/>
          </w:tcPr>
          <w:p>
            <w:pPr>
              <w:spacing w:after="0"/>
              <w:rPr>
                <w:sz w:val="5"/>
                <w:szCs w:val="5"/>
                <w:color w:val="auto"/>
              </w:rPr>
            </w:pPr>
          </w:p>
        </w:tc>
        <w:tc>
          <w:tcPr>
            <w:tcW w:w="780" w:type="dxa"/>
            <w:vAlign w:val="bottom"/>
            <w:vMerge w:val="continue"/>
            <w:shd w:val="clear" w:color="auto" w:fill="0C479D"/>
          </w:tcPr>
          <w:p>
            <w:pPr>
              <w:spacing w:after="0"/>
              <w:rPr>
                <w:sz w:val="5"/>
                <w:szCs w:val="5"/>
                <w:color w:val="auto"/>
              </w:rPr>
            </w:pPr>
          </w:p>
        </w:tc>
        <w:tc>
          <w:tcPr>
            <w:tcW w:w="980" w:type="dxa"/>
            <w:vAlign w:val="bottom"/>
            <w:vMerge w:val="continue"/>
            <w:shd w:val="clear" w:color="auto" w:fill="0C479D"/>
          </w:tcPr>
          <w:p>
            <w:pPr>
              <w:spacing w:after="0"/>
              <w:rPr>
                <w:sz w:val="5"/>
                <w:szCs w:val="5"/>
                <w:color w:val="auto"/>
              </w:rPr>
            </w:pPr>
          </w:p>
        </w:tc>
        <w:tc>
          <w:tcPr>
            <w:tcW w:w="720" w:type="dxa"/>
            <w:vAlign w:val="bottom"/>
            <w:vMerge w:val="continue"/>
            <w:shd w:val="clear" w:color="auto" w:fill="0C479D"/>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840" w:type="dxa"/>
            <w:vAlign w:val="bottom"/>
            <w:vMerge w:val="continue"/>
            <w:shd w:val="clear" w:color="auto" w:fill="0C479D"/>
          </w:tcPr>
          <w:p>
            <w:pPr>
              <w:spacing w:after="0"/>
              <w:rPr>
                <w:sz w:val="7"/>
                <w:szCs w:val="7"/>
                <w:color w:val="auto"/>
              </w:rPr>
            </w:pPr>
          </w:p>
        </w:tc>
        <w:tc>
          <w:tcPr>
            <w:tcW w:w="720" w:type="dxa"/>
            <w:vAlign w:val="bottom"/>
            <w:vMerge w:val="restart"/>
            <w:shd w:val="clear" w:color="auto" w:fill="0C479D"/>
          </w:tcPr>
          <w:p>
            <w:pPr>
              <w:jc w:val="right"/>
              <w:ind w:right="160"/>
              <w:spacing w:after="0"/>
              <w:rPr>
                <w:sz w:val="20"/>
                <w:szCs w:val="20"/>
                <w:color w:val="auto"/>
              </w:rPr>
            </w:pPr>
            <w:r>
              <w:rPr>
                <w:rFonts w:ascii="Times New Roman" w:cs="Times New Roman" w:eastAsia="Times New Roman" w:hAnsi="Times New Roman"/>
                <w:sz w:val="14"/>
                <w:szCs w:val="14"/>
                <w:b w:val="1"/>
                <w:bCs w:val="1"/>
                <w:color w:val="FFFFFF"/>
              </w:rPr>
              <w:t>States</w:t>
            </w:r>
          </w:p>
        </w:tc>
        <w:tc>
          <w:tcPr>
            <w:tcW w:w="940" w:type="dxa"/>
            <w:vAlign w:val="bottom"/>
            <w:vMerge w:val="continue"/>
            <w:shd w:val="clear" w:color="auto" w:fill="0C479D"/>
          </w:tcPr>
          <w:p>
            <w:pPr>
              <w:spacing w:after="0"/>
              <w:rPr>
                <w:sz w:val="7"/>
                <w:szCs w:val="7"/>
                <w:color w:val="auto"/>
              </w:rPr>
            </w:pPr>
          </w:p>
        </w:tc>
        <w:tc>
          <w:tcPr>
            <w:tcW w:w="860" w:type="dxa"/>
            <w:vAlign w:val="bottom"/>
            <w:vMerge w:val="continue"/>
            <w:shd w:val="clear" w:color="auto" w:fill="0C479D"/>
          </w:tcPr>
          <w:p>
            <w:pPr>
              <w:spacing w:after="0"/>
              <w:rPr>
                <w:sz w:val="7"/>
                <w:szCs w:val="7"/>
                <w:color w:val="auto"/>
              </w:rPr>
            </w:pPr>
          </w:p>
        </w:tc>
        <w:tc>
          <w:tcPr>
            <w:tcW w:w="860" w:type="dxa"/>
            <w:vAlign w:val="bottom"/>
            <w:vMerge w:val="continue"/>
            <w:shd w:val="clear" w:color="auto" w:fill="0C479D"/>
          </w:tcPr>
          <w:p>
            <w:pPr>
              <w:spacing w:after="0"/>
              <w:rPr>
                <w:sz w:val="7"/>
                <w:szCs w:val="7"/>
                <w:color w:val="auto"/>
              </w:rPr>
            </w:pPr>
          </w:p>
        </w:tc>
        <w:tc>
          <w:tcPr>
            <w:tcW w:w="780" w:type="dxa"/>
            <w:vAlign w:val="bottom"/>
            <w:vMerge w:val="continue"/>
            <w:shd w:val="clear" w:color="auto" w:fill="0C479D"/>
          </w:tcPr>
          <w:p>
            <w:pPr>
              <w:spacing w:after="0"/>
              <w:rPr>
                <w:sz w:val="7"/>
                <w:szCs w:val="7"/>
                <w:color w:val="auto"/>
              </w:rPr>
            </w:pPr>
          </w:p>
        </w:tc>
        <w:tc>
          <w:tcPr>
            <w:tcW w:w="980" w:type="dxa"/>
            <w:vAlign w:val="bottom"/>
            <w:vMerge w:val="restart"/>
            <w:shd w:val="clear" w:color="auto" w:fill="0C479D"/>
          </w:tcPr>
          <w:p>
            <w:pPr>
              <w:jc w:val="right"/>
              <w:ind w:right="200"/>
              <w:spacing w:after="0"/>
              <w:rPr>
                <w:sz w:val="20"/>
                <w:szCs w:val="20"/>
                <w:color w:val="auto"/>
              </w:rPr>
            </w:pPr>
            <w:r>
              <w:rPr>
                <w:rFonts w:ascii="Times New Roman" w:cs="Times New Roman" w:eastAsia="Times New Roman" w:hAnsi="Times New Roman"/>
                <w:sz w:val="14"/>
                <w:szCs w:val="14"/>
                <w:b w:val="1"/>
                <w:bCs w:val="1"/>
                <w:color w:val="FFFFFF"/>
              </w:rPr>
              <w:t>Oceania</w:t>
            </w:r>
          </w:p>
        </w:tc>
        <w:tc>
          <w:tcPr>
            <w:tcW w:w="720" w:type="dxa"/>
            <w:vAlign w:val="bottom"/>
            <w:vMerge w:val="continue"/>
            <w:shd w:val="clear" w:color="auto" w:fill="0C479D"/>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3840" w:type="dxa"/>
            <w:vAlign w:val="bottom"/>
            <w:shd w:val="clear" w:color="auto" w:fill="0C479D"/>
          </w:tcPr>
          <w:p>
            <w:pPr>
              <w:spacing w:after="0"/>
              <w:rPr>
                <w:sz w:val="9"/>
                <w:szCs w:val="9"/>
                <w:color w:val="auto"/>
              </w:rPr>
            </w:pPr>
          </w:p>
        </w:tc>
        <w:tc>
          <w:tcPr>
            <w:tcW w:w="720" w:type="dxa"/>
            <w:vAlign w:val="bottom"/>
            <w:vMerge w:val="continue"/>
            <w:shd w:val="clear" w:color="auto" w:fill="0C479D"/>
          </w:tcPr>
          <w:p>
            <w:pPr>
              <w:spacing w:after="0"/>
              <w:rPr>
                <w:sz w:val="9"/>
                <w:szCs w:val="9"/>
                <w:color w:val="auto"/>
              </w:rPr>
            </w:pPr>
          </w:p>
        </w:tc>
        <w:tc>
          <w:tcPr>
            <w:tcW w:w="940" w:type="dxa"/>
            <w:vAlign w:val="bottom"/>
            <w:vMerge w:val="restart"/>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Americas</w:t>
            </w:r>
          </w:p>
        </w:tc>
        <w:tc>
          <w:tcPr>
            <w:tcW w:w="860" w:type="dxa"/>
            <w:vAlign w:val="bottom"/>
            <w:shd w:val="clear" w:color="auto" w:fill="0C479D"/>
          </w:tcPr>
          <w:p>
            <w:pPr>
              <w:spacing w:after="0"/>
              <w:rPr>
                <w:sz w:val="9"/>
                <w:szCs w:val="9"/>
                <w:color w:val="auto"/>
              </w:rPr>
            </w:pPr>
          </w:p>
        </w:tc>
        <w:tc>
          <w:tcPr>
            <w:tcW w:w="860" w:type="dxa"/>
            <w:vAlign w:val="bottom"/>
            <w:shd w:val="clear" w:color="auto" w:fill="0C479D"/>
          </w:tcPr>
          <w:p>
            <w:pPr>
              <w:spacing w:after="0"/>
              <w:rPr>
                <w:sz w:val="9"/>
                <w:szCs w:val="9"/>
                <w:color w:val="auto"/>
              </w:rPr>
            </w:pPr>
          </w:p>
        </w:tc>
        <w:tc>
          <w:tcPr>
            <w:tcW w:w="780" w:type="dxa"/>
            <w:vAlign w:val="bottom"/>
            <w:shd w:val="clear" w:color="auto" w:fill="0C479D"/>
          </w:tcPr>
          <w:p>
            <w:pPr>
              <w:spacing w:after="0"/>
              <w:rPr>
                <w:sz w:val="9"/>
                <w:szCs w:val="9"/>
                <w:color w:val="auto"/>
              </w:rPr>
            </w:pPr>
          </w:p>
        </w:tc>
        <w:tc>
          <w:tcPr>
            <w:tcW w:w="980" w:type="dxa"/>
            <w:vAlign w:val="bottom"/>
            <w:vMerge w:val="continue"/>
            <w:shd w:val="clear" w:color="auto" w:fill="0C479D"/>
          </w:tcPr>
          <w:p>
            <w:pPr>
              <w:spacing w:after="0"/>
              <w:rPr>
                <w:sz w:val="9"/>
                <w:szCs w:val="9"/>
                <w:color w:val="auto"/>
              </w:rPr>
            </w:pPr>
          </w:p>
        </w:tc>
        <w:tc>
          <w:tcPr>
            <w:tcW w:w="720" w:type="dxa"/>
            <w:vAlign w:val="bottom"/>
            <w:shd w:val="clear" w:color="auto" w:fill="0C479D"/>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3840" w:type="dxa"/>
            <w:vAlign w:val="bottom"/>
            <w:tcBorders>
              <w:bottom w:val="single" w:sz="8" w:color="0C479D"/>
            </w:tcBorders>
            <w:shd w:val="clear" w:color="auto" w:fill="0C479D"/>
          </w:tcPr>
          <w:p>
            <w:pPr>
              <w:spacing w:after="0"/>
              <w:rPr>
                <w:sz w:val="8"/>
                <w:szCs w:val="8"/>
                <w:color w:val="auto"/>
              </w:rPr>
            </w:pPr>
          </w:p>
        </w:tc>
        <w:tc>
          <w:tcPr>
            <w:tcW w:w="720" w:type="dxa"/>
            <w:vAlign w:val="bottom"/>
            <w:tcBorders>
              <w:bottom w:val="single" w:sz="8" w:color="0C479D"/>
            </w:tcBorders>
            <w:shd w:val="clear" w:color="auto" w:fill="0C479D"/>
          </w:tcPr>
          <w:p>
            <w:pPr>
              <w:spacing w:after="0"/>
              <w:rPr>
                <w:sz w:val="8"/>
                <w:szCs w:val="8"/>
                <w:color w:val="auto"/>
              </w:rPr>
            </w:pPr>
          </w:p>
        </w:tc>
        <w:tc>
          <w:tcPr>
            <w:tcW w:w="940" w:type="dxa"/>
            <w:vAlign w:val="bottom"/>
            <w:tcBorders>
              <w:bottom w:val="single" w:sz="8" w:color="0C479D"/>
            </w:tcBorders>
            <w:vMerge w:val="continue"/>
            <w:shd w:val="clear" w:color="auto" w:fill="0C479D"/>
          </w:tcPr>
          <w:p>
            <w:pPr>
              <w:spacing w:after="0"/>
              <w:rPr>
                <w:sz w:val="8"/>
                <w:szCs w:val="8"/>
                <w:color w:val="auto"/>
              </w:rPr>
            </w:pPr>
          </w:p>
        </w:tc>
        <w:tc>
          <w:tcPr>
            <w:tcW w:w="860" w:type="dxa"/>
            <w:vAlign w:val="bottom"/>
            <w:tcBorders>
              <w:bottom w:val="single" w:sz="8" w:color="0C479D"/>
            </w:tcBorders>
            <w:shd w:val="clear" w:color="auto" w:fill="0C479D"/>
          </w:tcPr>
          <w:p>
            <w:pPr>
              <w:spacing w:after="0"/>
              <w:rPr>
                <w:sz w:val="8"/>
                <w:szCs w:val="8"/>
                <w:color w:val="auto"/>
              </w:rPr>
            </w:pPr>
          </w:p>
        </w:tc>
        <w:tc>
          <w:tcPr>
            <w:tcW w:w="860" w:type="dxa"/>
            <w:vAlign w:val="bottom"/>
            <w:tcBorders>
              <w:bottom w:val="single" w:sz="8" w:color="0C479D"/>
            </w:tcBorders>
            <w:shd w:val="clear" w:color="auto" w:fill="0C479D"/>
          </w:tcPr>
          <w:p>
            <w:pPr>
              <w:spacing w:after="0"/>
              <w:rPr>
                <w:sz w:val="8"/>
                <w:szCs w:val="8"/>
                <w:color w:val="auto"/>
              </w:rPr>
            </w:pPr>
          </w:p>
        </w:tc>
        <w:tc>
          <w:tcPr>
            <w:tcW w:w="780" w:type="dxa"/>
            <w:vAlign w:val="bottom"/>
            <w:tcBorders>
              <w:bottom w:val="single" w:sz="8" w:color="0C479D"/>
            </w:tcBorders>
            <w:shd w:val="clear" w:color="auto" w:fill="0C479D"/>
          </w:tcPr>
          <w:p>
            <w:pPr>
              <w:spacing w:after="0"/>
              <w:rPr>
                <w:sz w:val="8"/>
                <w:szCs w:val="8"/>
                <w:color w:val="auto"/>
              </w:rPr>
            </w:pPr>
          </w:p>
        </w:tc>
        <w:tc>
          <w:tcPr>
            <w:tcW w:w="980" w:type="dxa"/>
            <w:vAlign w:val="bottom"/>
            <w:tcBorders>
              <w:bottom w:val="single" w:sz="8" w:color="0C479D"/>
            </w:tcBorders>
            <w:shd w:val="clear" w:color="auto" w:fill="0C479D"/>
          </w:tcPr>
          <w:p>
            <w:pPr>
              <w:spacing w:after="0"/>
              <w:rPr>
                <w:sz w:val="8"/>
                <w:szCs w:val="8"/>
                <w:color w:val="auto"/>
              </w:rPr>
            </w:pPr>
          </w:p>
        </w:tc>
        <w:tc>
          <w:tcPr>
            <w:tcW w:w="720" w:type="dxa"/>
            <w:vAlign w:val="bottom"/>
            <w:tcBorders>
              <w:bottom w:val="single" w:sz="8" w:color="0C479D"/>
            </w:tcBorders>
            <w:shd w:val="clear" w:color="auto" w:fill="0C479D"/>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0C479D"/>
              </w:rPr>
              <w:t>2022</w:t>
            </w: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Subsidiaries</w:t>
            </w: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production prices</w:t>
            </w: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Crude oil, per barrel</w:t>
            </w:r>
          </w:p>
        </w:tc>
        <w:tc>
          <w:tcPr>
            <w:tcW w:w="7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93.60</w:t>
            </w: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97.05</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91.32</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103.45</w:t>
            </w: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94.94</w:t>
            </w: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94.43</w:t>
            </w: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96.16</w:t>
            </w:r>
          </w:p>
        </w:tc>
        <w:tc>
          <w:tcPr>
            <w:tcW w:w="0" w:type="dxa"/>
            <w:vAlign w:val="bottom"/>
          </w:tcPr>
          <w:p>
            <w:pPr>
              <w:spacing w:after="0"/>
              <w:rPr>
                <w:sz w:val="1"/>
                <w:szCs w:val="1"/>
                <w:color w:val="auto"/>
              </w:rPr>
            </w:pPr>
          </w:p>
        </w:tc>
      </w:tr>
      <w:tr>
        <w:trPr>
          <w:trHeight w:val="216"/>
        </w:trPr>
        <w:tc>
          <w:tcPr>
            <w:tcW w:w="3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NGL, per barrel</w:t>
            </w:r>
          </w:p>
        </w:tc>
        <w:tc>
          <w:tcPr>
            <w:tcW w:w="7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38.54</w:t>
            </w: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45.22</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71.43</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57.83</w:t>
            </w: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35.77</w:t>
            </w: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46.91</w:t>
            </w: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39.37</w:t>
            </w:r>
          </w:p>
        </w:tc>
        <w:tc>
          <w:tcPr>
            <w:tcW w:w="0" w:type="dxa"/>
            <w:vAlign w:val="bottom"/>
          </w:tcPr>
          <w:p>
            <w:pPr>
              <w:spacing w:after="0"/>
              <w:rPr>
                <w:sz w:val="1"/>
                <w:szCs w:val="1"/>
                <w:color w:val="auto"/>
              </w:rPr>
            </w:pPr>
          </w:p>
        </w:tc>
      </w:tr>
      <w:tr>
        <w:trPr>
          <w:trHeight w:val="216"/>
        </w:trPr>
        <w:tc>
          <w:tcPr>
            <w:tcW w:w="3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Natural gas, per thousand cubic feet</w:t>
            </w:r>
          </w:p>
        </w:tc>
        <w:tc>
          <w:tcPr>
            <w:tcW w:w="7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5.37</w:t>
            </w: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4.40</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21.17</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2.57</w:t>
            </w: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2.60</w:t>
            </w: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11.47</w:t>
            </w: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7.48</w:t>
            </w:r>
          </w:p>
        </w:tc>
        <w:tc>
          <w:tcPr>
            <w:tcW w:w="0" w:type="dxa"/>
            <w:vAlign w:val="bottom"/>
          </w:tcPr>
          <w:p>
            <w:pPr>
              <w:spacing w:after="0"/>
              <w:rPr>
                <w:sz w:val="1"/>
                <w:szCs w:val="1"/>
                <w:color w:val="auto"/>
              </w:rPr>
            </w:pPr>
          </w:p>
        </w:tc>
      </w:tr>
      <w:tr>
        <w:trPr>
          <w:trHeight w:val="216"/>
        </w:trPr>
        <w:tc>
          <w:tcPr>
            <w:tcW w:w="3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Bitumen, per barrel</w:t>
            </w:r>
          </w:p>
        </w:tc>
        <w:tc>
          <w:tcPr>
            <w:tcW w:w="7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64.12</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64.12</w:t>
            </w:r>
          </w:p>
        </w:tc>
        <w:tc>
          <w:tcPr>
            <w:tcW w:w="0" w:type="dxa"/>
            <w:vAlign w:val="bottom"/>
          </w:tcPr>
          <w:p>
            <w:pPr>
              <w:spacing w:after="0"/>
              <w:rPr>
                <w:sz w:val="1"/>
                <w:szCs w:val="1"/>
                <w:color w:val="auto"/>
              </w:rPr>
            </w:pPr>
          </w:p>
        </w:tc>
      </w:tr>
      <w:tr>
        <w:trPr>
          <w:trHeight w:val="216"/>
        </w:trPr>
        <w:tc>
          <w:tcPr>
            <w:tcW w:w="3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Synthetic oil, per barrel</w:t>
            </w:r>
          </w:p>
        </w:tc>
        <w:tc>
          <w:tcPr>
            <w:tcW w:w="7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96.08</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96.08</w:t>
            </w:r>
          </w:p>
        </w:tc>
        <w:tc>
          <w:tcPr>
            <w:tcW w:w="0" w:type="dxa"/>
            <w:vAlign w:val="bottom"/>
          </w:tcPr>
          <w:p>
            <w:pPr>
              <w:spacing w:after="0"/>
              <w:rPr>
                <w:sz w:val="1"/>
                <w:szCs w:val="1"/>
                <w:color w:val="auto"/>
              </w:rPr>
            </w:pPr>
          </w:p>
        </w:tc>
      </w:tr>
      <w:tr>
        <w:trPr>
          <w:trHeight w:val="216"/>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production costs, per oil-equivalent barrel - total</w:t>
            </w:r>
          </w:p>
        </w:tc>
        <w:tc>
          <w:tcPr>
            <w:tcW w:w="7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9.40</w:t>
            </w: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24.63</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23.77</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21.68</w:t>
            </w: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7.31</w:t>
            </w: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4.97</w:t>
            </w: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13.09</w:t>
            </w:r>
          </w:p>
        </w:tc>
        <w:tc>
          <w:tcPr>
            <w:tcW w:w="0" w:type="dxa"/>
            <w:vAlign w:val="bottom"/>
          </w:tcPr>
          <w:p>
            <w:pPr>
              <w:spacing w:after="0"/>
              <w:rPr>
                <w:sz w:val="1"/>
                <w:szCs w:val="1"/>
                <w:color w:val="auto"/>
              </w:rPr>
            </w:pPr>
          </w:p>
        </w:tc>
      </w:tr>
      <w:tr>
        <w:trPr>
          <w:trHeight w:val="216"/>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production costs, per barrel - bitumen</w:t>
            </w:r>
          </w:p>
        </w:tc>
        <w:tc>
          <w:tcPr>
            <w:tcW w:w="7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29.90</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29.90</w:t>
            </w:r>
          </w:p>
        </w:tc>
        <w:tc>
          <w:tcPr>
            <w:tcW w:w="0" w:type="dxa"/>
            <w:vAlign w:val="bottom"/>
          </w:tcPr>
          <w:p>
            <w:pPr>
              <w:spacing w:after="0"/>
              <w:rPr>
                <w:sz w:val="1"/>
                <w:szCs w:val="1"/>
                <w:color w:val="auto"/>
              </w:rPr>
            </w:pPr>
          </w:p>
        </w:tc>
      </w:tr>
      <w:tr>
        <w:trPr>
          <w:trHeight w:val="219"/>
        </w:trPr>
        <w:tc>
          <w:tcPr>
            <w:tcW w:w="384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color w:val="auto"/>
              </w:rPr>
              <w:t>Average production costs, per barrel - synthetic oil</w:t>
            </w:r>
          </w:p>
        </w:tc>
        <w:tc>
          <w:tcPr>
            <w:tcW w:w="720" w:type="dxa"/>
            <w:vAlign w:val="bottom"/>
            <w:tcBorders>
              <w:bottom w:val="single" w:sz="8" w:color="0C479D"/>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0C479D"/>
            </w:tcBorders>
          </w:tcPr>
          <w:p>
            <w:pPr>
              <w:jc w:val="right"/>
              <w:ind w:right="80"/>
              <w:spacing w:after="0"/>
              <w:rPr>
                <w:sz w:val="20"/>
                <w:szCs w:val="20"/>
                <w:color w:val="auto"/>
              </w:rPr>
            </w:pPr>
            <w:r>
              <w:rPr>
                <w:rFonts w:ascii="Times New Roman" w:cs="Times New Roman" w:eastAsia="Times New Roman" w:hAnsi="Times New Roman"/>
                <w:sz w:val="16"/>
                <w:szCs w:val="16"/>
                <w:color w:val="auto"/>
              </w:rPr>
              <w:t>51.52</w:t>
            </w:r>
          </w:p>
        </w:tc>
        <w:tc>
          <w:tcPr>
            <w:tcW w:w="860" w:type="dxa"/>
            <w:vAlign w:val="bottom"/>
            <w:tcBorders>
              <w:bottom w:val="single" w:sz="8" w:color="0C479D"/>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0C479D"/>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0C479D"/>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0C479D"/>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0C479D"/>
            </w:tcBorders>
          </w:tcPr>
          <w:p>
            <w:pPr>
              <w:jc w:val="right"/>
              <w:ind w:right="19"/>
              <w:spacing w:after="0"/>
              <w:rPr>
                <w:sz w:val="20"/>
                <w:szCs w:val="20"/>
                <w:color w:val="auto"/>
              </w:rPr>
            </w:pPr>
            <w:r>
              <w:rPr>
                <w:rFonts w:ascii="Times New Roman" w:cs="Times New Roman" w:eastAsia="Times New Roman" w:hAnsi="Times New Roman"/>
                <w:sz w:val="16"/>
                <w:szCs w:val="16"/>
                <w:color w:val="auto"/>
              </w:rPr>
              <w:t>51.52</w:t>
            </w:r>
          </w:p>
        </w:tc>
        <w:tc>
          <w:tcPr>
            <w:tcW w:w="0" w:type="dxa"/>
            <w:vAlign w:val="bottom"/>
          </w:tcPr>
          <w:p>
            <w:pPr>
              <w:spacing w:after="0"/>
              <w:rPr>
                <w:sz w:val="1"/>
                <w:szCs w:val="1"/>
                <w:color w:val="auto"/>
              </w:rPr>
            </w:pPr>
          </w:p>
        </w:tc>
      </w:tr>
      <w:tr>
        <w:trPr>
          <w:trHeight w:val="247"/>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Equity Companies</w:t>
            </w: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production prices</w:t>
            </w: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Crude oil, per barrel</w:t>
            </w:r>
          </w:p>
        </w:tc>
        <w:tc>
          <w:tcPr>
            <w:tcW w:w="7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94.58</w:t>
            </w: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90.91</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60.00</w:t>
            </w: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94.32</w:t>
            </w: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94.32</w:t>
            </w:r>
          </w:p>
        </w:tc>
        <w:tc>
          <w:tcPr>
            <w:tcW w:w="0" w:type="dxa"/>
            <w:vAlign w:val="bottom"/>
          </w:tcPr>
          <w:p>
            <w:pPr>
              <w:spacing w:after="0"/>
              <w:rPr>
                <w:sz w:val="1"/>
                <w:szCs w:val="1"/>
                <w:color w:val="auto"/>
              </w:rPr>
            </w:pPr>
          </w:p>
        </w:tc>
      </w:tr>
      <w:tr>
        <w:trPr>
          <w:trHeight w:val="216"/>
        </w:trPr>
        <w:tc>
          <w:tcPr>
            <w:tcW w:w="3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NGL, per barrel</w:t>
            </w:r>
          </w:p>
        </w:tc>
        <w:tc>
          <w:tcPr>
            <w:tcW w:w="7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39.53</w:t>
            </w: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59.52</w:t>
            </w: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59.05</w:t>
            </w:r>
          </w:p>
        </w:tc>
        <w:tc>
          <w:tcPr>
            <w:tcW w:w="0" w:type="dxa"/>
            <w:vAlign w:val="bottom"/>
          </w:tcPr>
          <w:p>
            <w:pPr>
              <w:spacing w:after="0"/>
              <w:rPr>
                <w:sz w:val="1"/>
                <w:szCs w:val="1"/>
                <w:color w:val="auto"/>
              </w:rPr>
            </w:pPr>
          </w:p>
        </w:tc>
      </w:tr>
      <w:tr>
        <w:trPr>
          <w:trHeight w:val="216"/>
        </w:trPr>
        <w:tc>
          <w:tcPr>
            <w:tcW w:w="3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Natural gas, per thousand cubic feet</w:t>
            </w:r>
          </w:p>
        </w:tc>
        <w:tc>
          <w:tcPr>
            <w:tcW w:w="7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5.49</w:t>
            </w: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21.10</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2.72</w:t>
            </w: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13.08</w:t>
            </w: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13.97</w:t>
            </w:r>
          </w:p>
        </w:tc>
        <w:tc>
          <w:tcPr>
            <w:tcW w:w="0" w:type="dxa"/>
            <w:vAlign w:val="bottom"/>
          </w:tcPr>
          <w:p>
            <w:pPr>
              <w:spacing w:after="0"/>
              <w:rPr>
                <w:sz w:val="1"/>
                <w:szCs w:val="1"/>
                <w:color w:val="auto"/>
              </w:rPr>
            </w:pPr>
          </w:p>
        </w:tc>
      </w:tr>
      <w:tr>
        <w:trPr>
          <w:trHeight w:val="219"/>
        </w:trPr>
        <w:tc>
          <w:tcPr>
            <w:tcW w:w="384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color w:val="auto"/>
              </w:rPr>
              <w:t>Average production costs, per oil-equivalent barrel - total</w:t>
            </w:r>
          </w:p>
        </w:tc>
        <w:tc>
          <w:tcPr>
            <w:tcW w:w="720" w:type="dxa"/>
            <w:vAlign w:val="bottom"/>
            <w:tcBorders>
              <w:bottom w:val="single" w:sz="8" w:color="0C479D"/>
            </w:tcBorders>
          </w:tcPr>
          <w:p>
            <w:pPr>
              <w:jc w:val="right"/>
              <w:ind w:right="60"/>
              <w:spacing w:after="0"/>
              <w:rPr>
                <w:sz w:val="20"/>
                <w:szCs w:val="20"/>
                <w:color w:val="auto"/>
              </w:rPr>
            </w:pPr>
            <w:r>
              <w:rPr>
                <w:rFonts w:ascii="Times New Roman" w:cs="Times New Roman" w:eastAsia="Times New Roman" w:hAnsi="Times New Roman"/>
                <w:sz w:val="16"/>
                <w:szCs w:val="16"/>
                <w:color w:val="auto"/>
              </w:rPr>
              <w:t>40.42</w:t>
            </w:r>
          </w:p>
        </w:tc>
        <w:tc>
          <w:tcPr>
            <w:tcW w:w="940" w:type="dxa"/>
            <w:vAlign w:val="bottom"/>
            <w:tcBorders>
              <w:bottom w:val="single" w:sz="8" w:color="0C479D"/>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0C479D"/>
            </w:tcBorders>
          </w:tcPr>
          <w:p>
            <w:pPr>
              <w:jc w:val="right"/>
              <w:ind w:right="119"/>
              <w:spacing w:after="0"/>
              <w:rPr>
                <w:sz w:val="20"/>
                <w:szCs w:val="20"/>
                <w:color w:val="auto"/>
              </w:rPr>
            </w:pPr>
            <w:r>
              <w:rPr>
                <w:rFonts w:ascii="Times New Roman" w:cs="Times New Roman" w:eastAsia="Times New Roman" w:hAnsi="Times New Roman"/>
                <w:sz w:val="16"/>
                <w:szCs w:val="16"/>
                <w:color w:val="auto"/>
              </w:rPr>
              <w:t>26.86</w:t>
            </w:r>
          </w:p>
        </w:tc>
        <w:tc>
          <w:tcPr>
            <w:tcW w:w="860" w:type="dxa"/>
            <w:vAlign w:val="bottom"/>
            <w:tcBorders>
              <w:bottom w:val="single" w:sz="8" w:color="0C479D"/>
            </w:tcBorders>
          </w:tcPr>
          <w:p>
            <w:pPr>
              <w:jc w:val="right"/>
              <w:ind w:right="119"/>
              <w:spacing w:after="0"/>
              <w:rPr>
                <w:sz w:val="20"/>
                <w:szCs w:val="20"/>
                <w:color w:val="auto"/>
              </w:rPr>
            </w:pPr>
            <w:r>
              <w:rPr>
                <w:rFonts w:ascii="Times New Roman" w:cs="Times New Roman" w:eastAsia="Times New Roman" w:hAnsi="Times New Roman"/>
                <w:sz w:val="16"/>
                <w:szCs w:val="16"/>
                <w:color w:val="auto"/>
              </w:rPr>
              <w:t>42.24</w:t>
            </w:r>
          </w:p>
        </w:tc>
        <w:tc>
          <w:tcPr>
            <w:tcW w:w="780" w:type="dxa"/>
            <w:vAlign w:val="bottom"/>
            <w:tcBorders>
              <w:bottom w:val="single" w:sz="8" w:color="0C479D"/>
            </w:tcBorders>
          </w:tcPr>
          <w:p>
            <w:pPr>
              <w:jc w:val="right"/>
              <w:ind w:right="79"/>
              <w:spacing w:after="0"/>
              <w:rPr>
                <w:sz w:val="20"/>
                <w:szCs w:val="20"/>
                <w:color w:val="auto"/>
              </w:rPr>
            </w:pPr>
            <w:r>
              <w:rPr>
                <w:rFonts w:ascii="Times New Roman" w:cs="Times New Roman" w:eastAsia="Times New Roman" w:hAnsi="Times New Roman"/>
                <w:sz w:val="16"/>
                <w:szCs w:val="16"/>
                <w:color w:val="auto"/>
              </w:rPr>
              <w:t>1.45</w:t>
            </w:r>
          </w:p>
        </w:tc>
        <w:tc>
          <w:tcPr>
            <w:tcW w:w="980" w:type="dxa"/>
            <w:vAlign w:val="bottom"/>
            <w:tcBorders>
              <w:bottom w:val="single" w:sz="8" w:color="0C479D"/>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0C479D"/>
            </w:tcBorders>
          </w:tcPr>
          <w:p>
            <w:pPr>
              <w:jc w:val="right"/>
              <w:ind w:right="19"/>
              <w:spacing w:after="0"/>
              <w:rPr>
                <w:sz w:val="20"/>
                <w:szCs w:val="20"/>
                <w:color w:val="auto"/>
              </w:rPr>
            </w:pPr>
            <w:r>
              <w:rPr>
                <w:rFonts w:ascii="Times New Roman" w:cs="Times New Roman" w:eastAsia="Times New Roman" w:hAnsi="Times New Roman"/>
                <w:sz w:val="16"/>
                <w:szCs w:val="16"/>
                <w:color w:val="auto"/>
              </w:rPr>
              <w:t>5.57</w:t>
            </w:r>
          </w:p>
        </w:tc>
        <w:tc>
          <w:tcPr>
            <w:tcW w:w="0" w:type="dxa"/>
            <w:vAlign w:val="bottom"/>
          </w:tcPr>
          <w:p>
            <w:pPr>
              <w:spacing w:after="0"/>
              <w:rPr>
                <w:sz w:val="1"/>
                <w:szCs w:val="1"/>
                <w:color w:val="auto"/>
              </w:rPr>
            </w:pPr>
          </w:p>
        </w:tc>
      </w:tr>
      <w:tr>
        <w:trPr>
          <w:trHeight w:val="247"/>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production prices</w:t>
            </w: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Crude oil, per barrel</w:t>
            </w:r>
          </w:p>
        </w:tc>
        <w:tc>
          <w:tcPr>
            <w:tcW w:w="7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93.67</w:t>
            </w: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97.05</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91.15</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103.42</w:t>
            </w: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94.73</w:t>
            </w: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94.43</w:t>
            </w: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95.88</w:t>
            </w:r>
          </w:p>
        </w:tc>
        <w:tc>
          <w:tcPr>
            <w:tcW w:w="0" w:type="dxa"/>
            <w:vAlign w:val="bottom"/>
          </w:tcPr>
          <w:p>
            <w:pPr>
              <w:spacing w:after="0"/>
              <w:rPr>
                <w:sz w:val="1"/>
                <w:szCs w:val="1"/>
                <w:color w:val="auto"/>
              </w:rPr>
            </w:pPr>
          </w:p>
        </w:tc>
      </w:tr>
      <w:tr>
        <w:trPr>
          <w:trHeight w:val="216"/>
        </w:trPr>
        <w:tc>
          <w:tcPr>
            <w:tcW w:w="3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NGL, per barrel</w:t>
            </w:r>
          </w:p>
        </w:tc>
        <w:tc>
          <w:tcPr>
            <w:tcW w:w="7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38.55</w:t>
            </w: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45.22</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71.43</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57.83</w:t>
            </w: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52.85</w:t>
            </w: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46.91</w:t>
            </w: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43.09</w:t>
            </w:r>
          </w:p>
        </w:tc>
        <w:tc>
          <w:tcPr>
            <w:tcW w:w="0" w:type="dxa"/>
            <w:vAlign w:val="bottom"/>
          </w:tcPr>
          <w:p>
            <w:pPr>
              <w:spacing w:after="0"/>
              <w:rPr>
                <w:sz w:val="1"/>
                <w:szCs w:val="1"/>
                <w:color w:val="auto"/>
              </w:rPr>
            </w:pPr>
          </w:p>
        </w:tc>
      </w:tr>
      <w:tr>
        <w:trPr>
          <w:trHeight w:val="216"/>
        </w:trPr>
        <w:tc>
          <w:tcPr>
            <w:tcW w:w="3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Natural gas, per thousand cubic feet</w:t>
            </w:r>
          </w:p>
        </w:tc>
        <w:tc>
          <w:tcPr>
            <w:tcW w:w="7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5.37</w:t>
            </w: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4.40</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21.14</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2.59</w:t>
            </w: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10.70</w:t>
            </w: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11.47</w:t>
            </w: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9.85</w:t>
            </w:r>
          </w:p>
        </w:tc>
        <w:tc>
          <w:tcPr>
            <w:tcW w:w="0" w:type="dxa"/>
            <w:vAlign w:val="bottom"/>
          </w:tcPr>
          <w:p>
            <w:pPr>
              <w:spacing w:after="0"/>
              <w:rPr>
                <w:sz w:val="1"/>
                <w:szCs w:val="1"/>
                <w:color w:val="auto"/>
              </w:rPr>
            </w:pPr>
          </w:p>
        </w:tc>
      </w:tr>
      <w:tr>
        <w:trPr>
          <w:trHeight w:val="216"/>
        </w:trPr>
        <w:tc>
          <w:tcPr>
            <w:tcW w:w="3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Bitumen, per barrel</w:t>
            </w:r>
          </w:p>
        </w:tc>
        <w:tc>
          <w:tcPr>
            <w:tcW w:w="7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64.12</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64.12</w:t>
            </w:r>
          </w:p>
        </w:tc>
        <w:tc>
          <w:tcPr>
            <w:tcW w:w="0" w:type="dxa"/>
            <w:vAlign w:val="bottom"/>
          </w:tcPr>
          <w:p>
            <w:pPr>
              <w:spacing w:after="0"/>
              <w:rPr>
                <w:sz w:val="1"/>
                <w:szCs w:val="1"/>
                <w:color w:val="auto"/>
              </w:rPr>
            </w:pPr>
          </w:p>
        </w:tc>
      </w:tr>
      <w:tr>
        <w:trPr>
          <w:trHeight w:val="216"/>
        </w:trPr>
        <w:tc>
          <w:tcPr>
            <w:tcW w:w="38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Synthetic oil, per barrel</w:t>
            </w:r>
          </w:p>
        </w:tc>
        <w:tc>
          <w:tcPr>
            <w:tcW w:w="7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96.08</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96.08</w:t>
            </w:r>
          </w:p>
        </w:tc>
        <w:tc>
          <w:tcPr>
            <w:tcW w:w="0" w:type="dxa"/>
            <w:vAlign w:val="bottom"/>
          </w:tcPr>
          <w:p>
            <w:pPr>
              <w:spacing w:after="0"/>
              <w:rPr>
                <w:sz w:val="1"/>
                <w:szCs w:val="1"/>
                <w:color w:val="auto"/>
              </w:rPr>
            </w:pPr>
          </w:p>
        </w:tc>
      </w:tr>
      <w:tr>
        <w:trPr>
          <w:trHeight w:val="216"/>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production costs, per oil-equivalent barrel - total</w:t>
            </w:r>
          </w:p>
        </w:tc>
        <w:tc>
          <w:tcPr>
            <w:tcW w:w="7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10.57</w:t>
            </w: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24.63</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25.43</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21.79</w:t>
            </w: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4.02</w:t>
            </w: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4.97</w:t>
            </w: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11.43</w:t>
            </w:r>
          </w:p>
        </w:tc>
        <w:tc>
          <w:tcPr>
            <w:tcW w:w="0" w:type="dxa"/>
            <w:vAlign w:val="bottom"/>
          </w:tcPr>
          <w:p>
            <w:pPr>
              <w:spacing w:after="0"/>
              <w:rPr>
                <w:sz w:val="1"/>
                <w:szCs w:val="1"/>
                <w:color w:val="auto"/>
              </w:rPr>
            </w:pPr>
          </w:p>
        </w:tc>
      </w:tr>
      <w:tr>
        <w:trPr>
          <w:trHeight w:val="216"/>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Average production costs, per barrel - bitumen</w:t>
            </w:r>
          </w:p>
        </w:tc>
        <w:tc>
          <w:tcPr>
            <w:tcW w:w="7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29.90</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29.90</w:t>
            </w:r>
          </w:p>
        </w:tc>
        <w:tc>
          <w:tcPr>
            <w:tcW w:w="0" w:type="dxa"/>
            <w:vAlign w:val="bottom"/>
          </w:tcPr>
          <w:p>
            <w:pPr>
              <w:spacing w:after="0"/>
              <w:rPr>
                <w:sz w:val="1"/>
                <w:szCs w:val="1"/>
                <w:color w:val="auto"/>
              </w:rPr>
            </w:pPr>
          </w:p>
        </w:tc>
      </w:tr>
      <w:tr>
        <w:trPr>
          <w:trHeight w:val="229"/>
        </w:trPr>
        <w:tc>
          <w:tcPr>
            <w:tcW w:w="384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color w:val="auto"/>
              </w:rPr>
              <w:t>Average production costs, per barrel - synthetic oil</w:t>
            </w:r>
          </w:p>
        </w:tc>
        <w:tc>
          <w:tcPr>
            <w:tcW w:w="720" w:type="dxa"/>
            <w:vAlign w:val="bottom"/>
            <w:tcBorders>
              <w:bottom w:val="single" w:sz="8" w:color="0C479D"/>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0C479D"/>
            </w:tcBorders>
          </w:tcPr>
          <w:p>
            <w:pPr>
              <w:jc w:val="right"/>
              <w:ind w:right="80"/>
              <w:spacing w:after="0"/>
              <w:rPr>
                <w:sz w:val="20"/>
                <w:szCs w:val="20"/>
                <w:color w:val="auto"/>
              </w:rPr>
            </w:pPr>
            <w:r>
              <w:rPr>
                <w:rFonts w:ascii="Times New Roman" w:cs="Times New Roman" w:eastAsia="Times New Roman" w:hAnsi="Times New Roman"/>
                <w:sz w:val="16"/>
                <w:szCs w:val="16"/>
                <w:color w:val="auto"/>
              </w:rPr>
              <w:t>51.52</w:t>
            </w:r>
          </w:p>
        </w:tc>
        <w:tc>
          <w:tcPr>
            <w:tcW w:w="860" w:type="dxa"/>
            <w:vAlign w:val="bottom"/>
            <w:tcBorders>
              <w:bottom w:val="single" w:sz="8" w:color="0C479D"/>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0C479D"/>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0C479D"/>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0C479D"/>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0C479D"/>
            </w:tcBorders>
          </w:tcPr>
          <w:p>
            <w:pPr>
              <w:jc w:val="right"/>
              <w:ind w:right="19"/>
              <w:spacing w:after="0"/>
              <w:rPr>
                <w:sz w:val="20"/>
                <w:szCs w:val="20"/>
                <w:color w:val="auto"/>
              </w:rPr>
            </w:pPr>
            <w:r>
              <w:rPr>
                <w:rFonts w:ascii="Times New Roman" w:cs="Times New Roman" w:eastAsia="Times New Roman" w:hAnsi="Times New Roman"/>
                <w:sz w:val="16"/>
                <w:szCs w:val="16"/>
                <w:color w:val="auto"/>
              </w:rPr>
              <w:t>51.52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Average production prices have been calculated by using sales quantities from the Corporation’s own production as the divisor. Average production costs have been computed by using net production quantities for the divisor. The volumes of crude oil and natural gas liquids (NGL) production used for this computation are shown in the oil and gas production table in section 3.A. The volumes of natural gas used in the calculation are the production volumes of natural gas available for sale and are also shown in section 3.A. The natural gas available for sale volumes are different from those shown in the reserves table in the “Oil and Gas Reserves” part of the “Supplemental Information on Oil and Gas Exploration and Production Activities” portion of the Financial Section of this report due to volumes consumed or flared. Natural gas is converted to an oil-equivalent basis at six million cubic feet per one thousand barrels.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b w:val="1"/>
          <w:bCs w:val="1"/>
          <w:color w:val="0C479D"/>
        </w:rPr>
        <w:t>4. Drilling and Other Exploratory and Development Activities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479D"/>
        </w:rPr>
        <w:t>A. Number of Net Productive and Dry Wells Drilled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80" w:type="dxa"/>
            <w:vAlign w:val="bottom"/>
          </w:tcPr>
          <w:p>
            <w:pPr>
              <w:spacing w:after="0"/>
              <w:rPr>
                <w:sz w:val="21"/>
                <w:szCs w:val="21"/>
                <w:color w:val="auto"/>
              </w:rPr>
            </w:pPr>
          </w:p>
        </w:tc>
        <w:tc>
          <w:tcPr>
            <w:tcW w:w="3980" w:type="dxa"/>
            <w:vAlign w:val="bottom"/>
            <w:tcBorders>
              <w:bottom w:val="single" w:sz="8" w:color="0C479D"/>
            </w:tcBorders>
            <w:shd w:val="clear" w:color="auto" w:fill="0C479D"/>
          </w:tcPr>
          <w:p>
            <w:pPr>
              <w:spacing w:after="0"/>
              <w:rPr>
                <w:sz w:val="21"/>
                <w:szCs w:val="21"/>
                <w:color w:val="auto"/>
              </w:rPr>
            </w:pPr>
          </w:p>
        </w:tc>
        <w:tc>
          <w:tcPr>
            <w:tcW w:w="3080" w:type="dxa"/>
            <w:vAlign w:val="bottom"/>
            <w:tcBorders>
              <w:bottom w:val="single" w:sz="8" w:color="0C479D"/>
            </w:tcBorders>
            <w:gridSpan w:val="2"/>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1820" w:type="dxa"/>
            <w:vAlign w:val="bottom"/>
            <w:tcBorders>
              <w:bottom w:val="single" w:sz="8" w:color="0C479D"/>
            </w:tcBorders>
            <w:shd w:val="clear" w:color="auto" w:fill="0C479D"/>
          </w:tcPr>
          <w:p>
            <w:pPr>
              <w:jc w:val="right"/>
              <w:ind w:right="431"/>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820" w:type="dxa"/>
            <w:vAlign w:val="bottom"/>
            <w:tcBorders>
              <w:bottom w:val="single" w:sz="8" w:color="0C479D"/>
            </w:tcBorders>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2022</w:t>
            </w:r>
          </w:p>
        </w:tc>
        <w:tc>
          <w:tcPr>
            <w:tcW w:w="760" w:type="dxa"/>
            <w:vAlign w:val="bottom"/>
          </w:tcPr>
          <w:p>
            <w:pPr>
              <w:spacing w:after="0"/>
              <w:rPr>
                <w:sz w:val="21"/>
                <w:szCs w:val="21"/>
                <w:color w:val="auto"/>
              </w:rPr>
            </w:pPr>
          </w:p>
        </w:tc>
      </w:tr>
      <w:tr>
        <w:trPr>
          <w:trHeight w:val="324"/>
        </w:trPr>
        <w:tc>
          <w:tcPr>
            <w:tcW w:w="78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0C479D"/>
              </w:rPr>
              <w:t>Net Productive Exploratory Wells Drilled</w:t>
            </w:r>
          </w:p>
        </w:tc>
        <w:tc>
          <w:tcPr>
            <w:tcW w:w="1880" w:type="dxa"/>
            <w:vAlign w:val="bottom"/>
          </w:tcPr>
          <w:p>
            <w:pPr>
              <w:spacing w:after="0"/>
              <w:rPr>
                <w:sz w:val="24"/>
                <w:szCs w:val="24"/>
                <w:color w:val="auto"/>
              </w:rPr>
            </w:pPr>
          </w:p>
        </w:tc>
        <w:tc>
          <w:tcPr>
            <w:tcW w:w="1200" w:type="dxa"/>
            <w:vAlign w:val="bottom"/>
            <w:shd w:val="clear" w:color="auto" w:fill="F0F0F0"/>
          </w:tcPr>
          <w:p>
            <w:pPr>
              <w:spacing w:after="0"/>
              <w:rPr>
                <w:sz w:val="24"/>
                <w:szCs w:val="24"/>
                <w:color w:val="auto"/>
              </w:rPr>
            </w:pPr>
          </w:p>
        </w:tc>
        <w:tc>
          <w:tcPr>
            <w:tcW w:w="1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43"/>
        </w:trPr>
        <w:tc>
          <w:tcPr>
            <w:tcW w:w="780" w:type="dxa"/>
            <w:vAlign w:val="bottom"/>
          </w:tcPr>
          <w:p>
            <w:pPr>
              <w:spacing w:after="0"/>
              <w:rPr>
                <w:sz w:val="21"/>
                <w:szCs w:val="21"/>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Subsidiaries</w:t>
            </w:r>
          </w:p>
        </w:tc>
        <w:tc>
          <w:tcPr>
            <w:tcW w:w="1880" w:type="dxa"/>
            <w:vAlign w:val="bottom"/>
          </w:tcPr>
          <w:p>
            <w:pPr>
              <w:spacing w:after="0"/>
              <w:rPr>
                <w:sz w:val="21"/>
                <w:szCs w:val="21"/>
                <w:color w:val="auto"/>
              </w:rPr>
            </w:pPr>
          </w:p>
        </w:tc>
        <w:tc>
          <w:tcPr>
            <w:tcW w:w="1200" w:type="dxa"/>
            <w:vAlign w:val="bottom"/>
            <w:shd w:val="clear" w:color="auto" w:fill="F0F0F0"/>
          </w:tcPr>
          <w:p>
            <w:pPr>
              <w:spacing w:after="0"/>
              <w:rPr>
                <w:sz w:val="21"/>
                <w:szCs w:val="21"/>
                <w:color w:val="auto"/>
              </w:rPr>
            </w:pPr>
          </w:p>
        </w:tc>
        <w:tc>
          <w:tcPr>
            <w:tcW w:w="18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0"/>
        </w:trPr>
        <w:tc>
          <w:tcPr>
            <w:tcW w:w="780" w:type="dxa"/>
            <w:vAlign w:val="bottom"/>
          </w:tcPr>
          <w:p>
            <w:pPr>
              <w:spacing w:after="0"/>
              <w:rPr>
                <w:sz w:val="23"/>
                <w:szCs w:val="23"/>
                <w:color w:val="auto"/>
              </w:rPr>
            </w:pPr>
          </w:p>
        </w:tc>
        <w:tc>
          <w:tcPr>
            <w:tcW w:w="3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1880" w:type="dxa"/>
            <w:vAlign w:val="bottom"/>
          </w:tcPr>
          <w:p>
            <w:pPr>
              <w:spacing w:after="0"/>
              <w:rPr>
                <w:sz w:val="23"/>
                <w:szCs w:val="23"/>
                <w:color w:val="auto"/>
              </w:rPr>
            </w:pPr>
          </w:p>
        </w:tc>
        <w:tc>
          <w:tcPr>
            <w:tcW w:w="1200" w:type="dxa"/>
            <w:vAlign w:val="bottom"/>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82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tcPr>
          <w:p>
            <w:pPr>
              <w:spacing w:after="0"/>
              <w:rPr>
                <w:sz w:val="23"/>
                <w:szCs w:val="23"/>
                <w:color w:val="auto"/>
              </w:rPr>
            </w:pPr>
          </w:p>
        </w:tc>
      </w:tr>
      <w:tr>
        <w:trPr>
          <w:trHeight w:val="270"/>
        </w:trPr>
        <w:tc>
          <w:tcPr>
            <w:tcW w:w="780" w:type="dxa"/>
            <w:vAlign w:val="bottom"/>
          </w:tcPr>
          <w:p>
            <w:pPr>
              <w:spacing w:after="0"/>
              <w:rPr>
                <w:sz w:val="23"/>
                <w:szCs w:val="23"/>
                <w:color w:val="auto"/>
              </w:rPr>
            </w:pPr>
          </w:p>
        </w:tc>
        <w:tc>
          <w:tcPr>
            <w:tcW w:w="3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Canada/Other Americas</w:t>
            </w:r>
          </w:p>
        </w:tc>
        <w:tc>
          <w:tcPr>
            <w:tcW w:w="1880" w:type="dxa"/>
            <w:vAlign w:val="bottom"/>
          </w:tcPr>
          <w:p>
            <w:pPr>
              <w:spacing w:after="0"/>
              <w:rPr>
                <w:sz w:val="23"/>
                <w:szCs w:val="23"/>
                <w:color w:val="auto"/>
              </w:rPr>
            </w:pPr>
          </w:p>
        </w:tc>
        <w:tc>
          <w:tcPr>
            <w:tcW w:w="1200" w:type="dxa"/>
            <w:vAlign w:val="bottom"/>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82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1</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60" w:type="dxa"/>
            <w:vAlign w:val="bottom"/>
          </w:tcPr>
          <w:p>
            <w:pPr>
              <w:spacing w:after="0"/>
              <w:rPr>
                <w:sz w:val="23"/>
                <w:szCs w:val="23"/>
                <w:color w:val="auto"/>
              </w:rPr>
            </w:pPr>
          </w:p>
        </w:tc>
      </w:tr>
      <w:tr>
        <w:trPr>
          <w:trHeight w:val="270"/>
        </w:trPr>
        <w:tc>
          <w:tcPr>
            <w:tcW w:w="780" w:type="dxa"/>
            <w:vAlign w:val="bottom"/>
          </w:tcPr>
          <w:p>
            <w:pPr>
              <w:spacing w:after="0"/>
              <w:rPr>
                <w:sz w:val="23"/>
                <w:szCs w:val="23"/>
                <w:color w:val="auto"/>
              </w:rPr>
            </w:pPr>
          </w:p>
        </w:tc>
        <w:tc>
          <w:tcPr>
            <w:tcW w:w="3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Europe</w:t>
            </w:r>
          </w:p>
        </w:tc>
        <w:tc>
          <w:tcPr>
            <w:tcW w:w="1880" w:type="dxa"/>
            <w:vAlign w:val="bottom"/>
          </w:tcPr>
          <w:p>
            <w:pPr>
              <w:spacing w:after="0"/>
              <w:rPr>
                <w:sz w:val="23"/>
                <w:szCs w:val="23"/>
                <w:color w:val="auto"/>
              </w:rPr>
            </w:pPr>
          </w:p>
        </w:tc>
        <w:tc>
          <w:tcPr>
            <w:tcW w:w="1200" w:type="dxa"/>
            <w:vAlign w:val="bottom"/>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1</w:t>
            </w:r>
          </w:p>
        </w:tc>
        <w:tc>
          <w:tcPr>
            <w:tcW w:w="15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80" w:type="dxa"/>
            <w:vAlign w:val="bottom"/>
          </w:tcPr>
          <w:p>
            <w:pPr>
              <w:spacing w:after="0"/>
              <w:rPr>
                <w:sz w:val="23"/>
                <w:szCs w:val="23"/>
                <w:color w:val="auto"/>
              </w:rPr>
            </w:pPr>
          </w:p>
        </w:tc>
        <w:tc>
          <w:tcPr>
            <w:tcW w:w="3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Africa</w:t>
            </w:r>
          </w:p>
        </w:tc>
        <w:tc>
          <w:tcPr>
            <w:tcW w:w="1880" w:type="dxa"/>
            <w:vAlign w:val="bottom"/>
          </w:tcPr>
          <w:p>
            <w:pPr>
              <w:spacing w:after="0"/>
              <w:rPr>
                <w:sz w:val="23"/>
                <w:szCs w:val="23"/>
                <w:color w:val="auto"/>
              </w:rPr>
            </w:pPr>
          </w:p>
        </w:tc>
        <w:tc>
          <w:tcPr>
            <w:tcW w:w="1200" w:type="dxa"/>
            <w:vAlign w:val="bottom"/>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80" w:type="dxa"/>
            <w:vAlign w:val="bottom"/>
          </w:tcPr>
          <w:p>
            <w:pPr>
              <w:spacing w:after="0"/>
              <w:rPr>
                <w:sz w:val="23"/>
                <w:szCs w:val="23"/>
                <w:color w:val="auto"/>
              </w:rPr>
            </w:pPr>
          </w:p>
        </w:tc>
        <w:tc>
          <w:tcPr>
            <w:tcW w:w="3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Asia</w:t>
            </w:r>
          </w:p>
        </w:tc>
        <w:tc>
          <w:tcPr>
            <w:tcW w:w="1880" w:type="dxa"/>
            <w:vAlign w:val="bottom"/>
          </w:tcPr>
          <w:p>
            <w:pPr>
              <w:spacing w:after="0"/>
              <w:rPr>
                <w:sz w:val="23"/>
                <w:szCs w:val="23"/>
                <w:color w:val="auto"/>
              </w:rPr>
            </w:pPr>
          </w:p>
        </w:tc>
        <w:tc>
          <w:tcPr>
            <w:tcW w:w="1200" w:type="dxa"/>
            <w:vAlign w:val="bottom"/>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780" w:type="dxa"/>
            <w:vAlign w:val="bottom"/>
          </w:tcPr>
          <w:p>
            <w:pPr>
              <w:spacing w:after="0"/>
              <w:rPr>
                <w:sz w:val="24"/>
                <w:szCs w:val="24"/>
                <w:color w:val="auto"/>
              </w:rPr>
            </w:pPr>
          </w:p>
        </w:tc>
        <w:tc>
          <w:tcPr>
            <w:tcW w:w="3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Australia/Oceania</w:t>
            </w:r>
          </w:p>
        </w:tc>
        <w:tc>
          <w:tcPr>
            <w:tcW w:w="1880" w:type="dxa"/>
            <w:vAlign w:val="bottom"/>
          </w:tcPr>
          <w:p>
            <w:pPr>
              <w:spacing w:after="0"/>
              <w:rPr>
                <w:sz w:val="24"/>
                <w:szCs w:val="24"/>
                <w:color w:val="auto"/>
              </w:rPr>
            </w:pPr>
          </w:p>
        </w:tc>
        <w:tc>
          <w:tcPr>
            <w:tcW w:w="1200" w:type="dxa"/>
            <w:vAlign w:val="bottom"/>
            <w:tcBorders>
              <w:bottom w:val="single" w:sz="8" w:color="F0F0F0"/>
            </w:tcBorders>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80" w:type="dxa"/>
            <w:vAlign w:val="bottom"/>
          </w:tcPr>
          <w:p>
            <w:pPr>
              <w:spacing w:after="0"/>
              <w:rPr>
                <w:sz w:val="21"/>
                <w:szCs w:val="21"/>
                <w:color w:val="auto"/>
              </w:rPr>
            </w:pPr>
          </w:p>
        </w:tc>
        <w:tc>
          <w:tcPr>
            <w:tcW w:w="3980" w:type="dxa"/>
            <w:vAlign w:val="bottom"/>
            <w:tcBorders>
              <w:top w:val="single" w:sz="8" w:color="0C479D"/>
              <w:bottom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Total Consolidated Subsidiaries</w:t>
            </w:r>
          </w:p>
        </w:tc>
        <w:tc>
          <w:tcPr>
            <w:tcW w:w="1880" w:type="dxa"/>
            <w:vAlign w:val="bottom"/>
            <w:tcBorders>
              <w:top w:val="single" w:sz="8" w:color="0C479D"/>
              <w:bottom w:val="single" w:sz="8" w:color="0C479D"/>
            </w:tcBorders>
          </w:tcPr>
          <w:p>
            <w:pPr>
              <w:spacing w:after="0"/>
              <w:rPr>
                <w:sz w:val="21"/>
                <w:szCs w:val="21"/>
                <w:color w:val="auto"/>
              </w:rPr>
            </w:pPr>
          </w:p>
        </w:tc>
        <w:tc>
          <w:tcPr>
            <w:tcW w:w="1200" w:type="dxa"/>
            <w:vAlign w:val="bottom"/>
            <w:tcBorders>
              <w:top w:val="single" w:sz="8" w:color="0C479D"/>
              <w:bottom w:val="single" w:sz="8" w:color="0C479D"/>
            </w:tcBorders>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820" w:type="dxa"/>
            <w:vAlign w:val="bottom"/>
            <w:tcBorders>
              <w:top w:val="single" w:sz="8" w:color="0C479D"/>
              <w:bottom w:val="single" w:sz="8" w:color="0C479D"/>
            </w:tcBorders>
          </w:tcPr>
          <w:p>
            <w:pPr>
              <w:jc w:val="right"/>
              <w:ind w:right="511"/>
              <w:spacing w:after="0"/>
              <w:rPr>
                <w:sz w:val="20"/>
                <w:szCs w:val="20"/>
                <w:color w:val="auto"/>
              </w:rPr>
            </w:pPr>
            <w:r>
              <w:rPr>
                <w:rFonts w:ascii="Times New Roman" w:cs="Times New Roman" w:eastAsia="Times New Roman" w:hAnsi="Times New Roman"/>
                <w:sz w:val="18"/>
                <w:szCs w:val="18"/>
                <w:color w:val="auto"/>
              </w:rPr>
              <w:t>2</w:t>
            </w:r>
          </w:p>
        </w:tc>
        <w:tc>
          <w:tcPr>
            <w:tcW w:w="820" w:type="dxa"/>
            <w:vAlign w:val="bottom"/>
            <w:tcBorders>
              <w:top w:val="single" w:sz="8" w:color="0C479D"/>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760" w:type="dxa"/>
            <w:vAlign w:val="bottom"/>
          </w:tcPr>
          <w:p>
            <w:pPr>
              <w:spacing w:after="0"/>
              <w:rPr>
                <w:sz w:val="21"/>
                <w:szCs w:val="21"/>
                <w:color w:val="auto"/>
              </w:rPr>
            </w:pPr>
          </w:p>
        </w:tc>
      </w:tr>
      <w:tr>
        <w:trPr>
          <w:trHeight w:val="310"/>
        </w:trPr>
        <w:tc>
          <w:tcPr>
            <w:tcW w:w="78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 Companies</w:t>
            </w:r>
          </w:p>
        </w:tc>
        <w:tc>
          <w:tcPr>
            <w:tcW w:w="1880" w:type="dxa"/>
            <w:vAlign w:val="bottom"/>
          </w:tcPr>
          <w:p>
            <w:pPr>
              <w:spacing w:after="0"/>
              <w:rPr>
                <w:sz w:val="24"/>
                <w:szCs w:val="24"/>
                <w:color w:val="auto"/>
              </w:rPr>
            </w:pPr>
          </w:p>
        </w:tc>
        <w:tc>
          <w:tcPr>
            <w:tcW w:w="1200" w:type="dxa"/>
            <w:vAlign w:val="bottom"/>
            <w:shd w:val="clear" w:color="auto" w:fill="F0F0F0"/>
          </w:tcPr>
          <w:p>
            <w:pPr>
              <w:spacing w:after="0"/>
              <w:rPr>
                <w:sz w:val="24"/>
                <w:szCs w:val="24"/>
                <w:color w:val="auto"/>
              </w:rPr>
            </w:pPr>
          </w:p>
        </w:tc>
        <w:tc>
          <w:tcPr>
            <w:tcW w:w="1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43"/>
        </w:trPr>
        <w:tc>
          <w:tcPr>
            <w:tcW w:w="780" w:type="dxa"/>
            <w:vAlign w:val="bottom"/>
          </w:tcPr>
          <w:p>
            <w:pPr>
              <w:spacing w:after="0"/>
              <w:rPr>
                <w:sz w:val="21"/>
                <w:szCs w:val="21"/>
                <w:color w:val="auto"/>
              </w:rPr>
            </w:pPr>
          </w:p>
        </w:tc>
        <w:tc>
          <w:tcPr>
            <w:tcW w:w="3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1880" w:type="dxa"/>
            <w:vAlign w:val="bottom"/>
          </w:tcPr>
          <w:p>
            <w:pPr>
              <w:spacing w:after="0"/>
              <w:rPr>
                <w:sz w:val="21"/>
                <w:szCs w:val="21"/>
                <w:color w:val="auto"/>
              </w:rPr>
            </w:pPr>
          </w:p>
        </w:tc>
        <w:tc>
          <w:tcPr>
            <w:tcW w:w="1200" w:type="dxa"/>
            <w:vAlign w:val="bottom"/>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80" w:type="dxa"/>
            <w:vAlign w:val="bottom"/>
          </w:tcPr>
          <w:p>
            <w:pPr>
              <w:spacing w:after="0"/>
              <w:rPr>
                <w:sz w:val="23"/>
                <w:szCs w:val="23"/>
                <w:color w:val="auto"/>
              </w:rPr>
            </w:pPr>
          </w:p>
        </w:tc>
        <w:tc>
          <w:tcPr>
            <w:tcW w:w="3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Europe</w:t>
            </w:r>
          </w:p>
        </w:tc>
        <w:tc>
          <w:tcPr>
            <w:tcW w:w="1880" w:type="dxa"/>
            <w:vAlign w:val="bottom"/>
          </w:tcPr>
          <w:p>
            <w:pPr>
              <w:spacing w:after="0"/>
              <w:rPr>
                <w:sz w:val="23"/>
                <w:szCs w:val="23"/>
                <w:color w:val="auto"/>
              </w:rPr>
            </w:pPr>
          </w:p>
        </w:tc>
        <w:tc>
          <w:tcPr>
            <w:tcW w:w="1200" w:type="dxa"/>
            <w:vAlign w:val="bottom"/>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80" w:type="dxa"/>
            <w:vAlign w:val="bottom"/>
          </w:tcPr>
          <w:p>
            <w:pPr>
              <w:spacing w:after="0"/>
              <w:rPr>
                <w:sz w:val="23"/>
                <w:szCs w:val="23"/>
                <w:color w:val="auto"/>
              </w:rPr>
            </w:pPr>
          </w:p>
        </w:tc>
        <w:tc>
          <w:tcPr>
            <w:tcW w:w="3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Africa</w:t>
            </w:r>
          </w:p>
        </w:tc>
        <w:tc>
          <w:tcPr>
            <w:tcW w:w="1880" w:type="dxa"/>
            <w:vAlign w:val="bottom"/>
          </w:tcPr>
          <w:p>
            <w:pPr>
              <w:spacing w:after="0"/>
              <w:rPr>
                <w:sz w:val="23"/>
                <w:szCs w:val="23"/>
                <w:color w:val="auto"/>
              </w:rPr>
            </w:pPr>
          </w:p>
        </w:tc>
        <w:tc>
          <w:tcPr>
            <w:tcW w:w="1200" w:type="dxa"/>
            <w:vAlign w:val="bottom"/>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780" w:type="dxa"/>
            <w:vAlign w:val="bottom"/>
          </w:tcPr>
          <w:p>
            <w:pPr>
              <w:spacing w:after="0"/>
              <w:rPr>
                <w:sz w:val="24"/>
                <w:szCs w:val="24"/>
                <w:color w:val="auto"/>
              </w:rPr>
            </w:pPr>
          </w:p>
        </w:tc>
        <w:tc>
          <w:tcPr>
            <w:tcW w:w="3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Asia</w:t>
            </w:r>
          </w:p>
        </w:tc>
        <w:tc>
          <w:tcPr>
            <w:tcW w:w="1880" w:type="dxa"/>
            <w:vAlign w:val="bottom"/>
          </w:tcPr>
          <w:p>
            <w:pPr>
              <w:spacing w:after="0"/>
              <w:rPr>
                <w:sz w:val="24"/>
                <w:szCs w:val="24"/>
                <w:color w:val="auto"/>
              </w:rPr>
            </w:pPr>
          </w:p>
        </w:tc>
        <w:tc>
          <w:tcPr>
            <w:tcW w:w="1200" w:type="dxa"/>
            <w:vAlign w:val="bottom"/>
            <w:tcBorders>
              <w:bottom w:val="single" w:sz="8" w:color="F0F0F0"/>
            </w:tcBorders>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80" w:type="dxa"/>
            <w:vAlign w:val="bottom"/>
          </w:tcPr>
          <w:p>
            <w:pPr>
              <w:spacing w:after="0"/>
              <w:rPr>
                <w:sz w:val="21"/>
                <w:szCs w:val="21"/>
                <w:color w:val="auto"/>
              </w:rPr>
            </w:pPr>
          </w:p>
        </w:tc>
        <w:tc>
          <w:tcPr>
            <w:tcW w:w="3980" w:type="dxa"/>
            <w:vAlign w:val="bottom"/>
            <w:tcBorders>
              <w:top w:val="single" w:sz="8" w:color="0C479D"/>
              <w:bottom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Total Equity Companies</w:t>
            </w:r>
          </w:p>
        </w:tc>
        <w:tc>
          <w:tcPr>
            <w:tcW w:w="1880" w:type="dxa"/>
            <w:vAlign w:val="bottom"/>
            <w:tcBorders>
              <w:top w:val="single" w:sz="8" w:color="0C479D"/>
              <w:bottom w:val="single" w:sz="8" w:color="0C479D"/>
            </w:tcBorders>
          </w:tcPr>
          <w:p>
            <w:pPr>
              <w:spacing w:after="0"/>
              <w:rPr>
                <w:sz w:val="21"/>
                <w:szCs w:val="21"/>
                <w:color w:val="auto"/>
              </w:rPr>
            </w:pPr>
          </w:p>
        </w:tc>
        <w:tc>
          <w:tcPr>
            <w:tcW w:w="1200" w:type="dxa"/>
            <w:vAlign w:val="bottom"/>
            <w:tcBorders>
              <w:top w:val="single" w:sz="8" w:color="0C479D"/>
              <w:bottom w:val="single" w:sz="8" w:color="0C479D"/>
            </w:tcBorders>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0C479D"/>
              <w:bottom w:val="single" w:sz="8" w:color="0C479D"/>
            </w:tcBorders>
          </w:tcPr>
          <w:p>
            <w:pPr>
              <w:jc w:val="right"/>
              <w:ind w:right="5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0C479D"/>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1"/>
                <w:szCs w:val="21"/>
                <w:color w:val="auto"/>
              </w:rPr>
            </w:pPr>
          </w:p>
        </w:tc>
      </w:tr>
      <w:tr>
        <w:trPr>
          <w:trHeight w:val="250"/>
        </w:trPr>
        <w:tc>
          <w:tcPr>
            <w:tcW w:w="780" w:type="dxa"/>
            <w:vAlign w:val="bottom"/>
          </w:tcPr>
          <w:p>
            <w:pPr>
              <w:spacing w:after="0"/>
              <w:rPr>
                <w:sz w:val="21"/>
                <w:szCs w:val="21"/>
                <w:color w:val="auto"/>
              </w:rPr>
            </w:pPr>
          </w:p>
        </w:tc>
        <w:tc>
          <w:tcPr>
            <w:tcW w:w="398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b w:val="1"/>
                <w:bCs w:val="1"/>
                <w:color w:val="auto"/>
              </w:rPr>
              <w:t>Total productive exploratory wells drilled</w:t>
            </w:r>
          </w:p>
        </w:tc>
        <w:tc>
          <w:tcPr>
            <w:tcW w:w="1880" w:type="dxa"/>
            <w:vAlign w:val="bottom"/>
            <w:tcBorders>
              <w:bottom w:val="single" w:sz="8" w:color="0C479D"/>
            </w:tcBorders>
          </w:tcPr>
          <w:p>
            <w:pPr>
              <w:spacing w:after="0"/>
              <w:rPr>
                <w:sz w:val="21"/>
                <w:szCs w:val="21"/>
                <w:color w:val="auto"/>
              </w:rPr>
            </w:pPr>
          </w:p>
        </w:tc>
        <w:tc>
          <w:tcPr>
            <w:tcW w:w="1200" w:type="dxa"/>
            <w:vAlign w:val="bottom"/>
            <w:tcBorders>
              <w:bottom w:val="single" w:sz="8" w:color="0C479D"/>
            </w:tcBorders>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w:t>
            </w:r>
          </w:p>
        </w:tc>
        <w:tc>
          <w:tcPr>
            <w:tcW w:w="1820" w:type="dxa"/>
            <w:vAlign w:val="bottom"/>
            <w:tcBorders>
              <w:bottom w:val="single" w:sz="8" w:color="0C479D"/>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w:t>
            </w:r>
          </w:p>
        </w:tc>
        <w:tc>
          <w:tcPr>
            <w:tcW w:w="8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760" w:type="dxa"/>
            <w:vAlign w:val="bottom"/>
          </w:tcPr>
          <w:p>
            <w:pPr>
              <w:spacing w:after="0"/>
              <w:rPr>
                <w:sz w:val="21"/>
                <w:szCs w:val="21"/>
                <w:color w:val="auto"/>
              </w:rPr>
            </w:pPr>
          </w:p>
        </w:tc>
      </w:tr>
      <w:tr>
        <w:trPr>
          <w:trHeight w:val="527"/>
        </w:trPr>
        <w:tc>
          <w:tcPr>
            <w:tcW w:w="78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0C479D"/>
              </w:rPr>
              <w:t>Net Dry Exploratory Wells Drilled</w:t>
            </w:r>
          </w:p>
        </w:tc>
        <w:tc>
          <w:tcPr>
            <w:tcW w:w="1880" w:type="dxa"/>
            <w:vAlign w:val="bottom"/>
          </w:tcPr>
          <w:p>
            <w:pPr>
              <w:spacing w:after="0"/>
              <w:rPr>
                <w:sz w:val="24"/>
                <w:szCs w:val="24"/>
                <w:color w:val="auto"/>
              </w:rPr>
            </w:pPr>
          </w:p>
        </w:tc>
        <w:tc>
          <w:tcPr>
            <w:tcW w:w="1200" w:type="dxa"/>
            <w:vAlign w:val="bottom"/>
            <w:shd w:val="clear" w:color="auto" w:fill="F0F0F0"/>
          </w:tcPr>
          <w:p>
            <w:pPr>
              <w:spacing w:after="0"/>
              <w:rPr>
                <w:sz w:val="24"/>
                <w:szCs w:val="24"/>
                <w:color w:val="auto"/>
              </w:rPr>
            </w:pPr>
          </w:p>
        </w:tc>
        <w:tc>
          <w:tcPr>
            <w:tcW w:w="1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43"/>
        </w:trPr>
        <w:tc>
          <w:tcPr>
            <w:tcW w:w="780" w:type="dxa"/>
            <w:vAlign w:val="bottom"/>
          </w:tcPr>
          <w:p>
            <w:pPr>
              <w:spacing w:after="0"/>
              <w:rPr>
                <w:sz w:val="21"/>
                <w:szCs w:val="21"/>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Subsidiaries</w:t>
            </w:r>
          </w:p>
        </w:tc>
        <w:tc>
          <w:tcPr>
            <w:tcW w:w="1880" w:type="dxa"/>
            <w:vAlign w:val="bottom"/>
          </w:tcPr>
          <w:p>
            <w:pPr>
              <w:spacing w:after="0"/>
              <w:rPr>
                <w:sz w:val="21"/>
                <w:szCs w:val="21"/>
                <w:color w:val="auto"/>
              </w:rPr>
            </w:pPr>
          </w:p>
        </w:tc>
        <w:tc>
          <w:tcPr>
            <w:tcW w:w="1200" w:type="dxa"/>
            <w:vAlign w:val="bottom"/>
            <w:shd w:val="clear" w:color="auto" w:fill="F0F0F0"/>
          </w:tcPr>
          <w:p>
            <w:pPr>
              <w:spacing w:after="0"/>
              <w:rPr>
                <w:sz w:val="21"/>
                <w:szCs w:val="21"/>
                <w:color w:val="auto"/>
              </w:rPr>
            </w:pPr>
          </w:p>
        </w:tc>
        <w:tc>
          <w:tcPr>
            <w:tcW w:w="18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0"/>
        </w:trPr>
        <w:tc>
          <w:tcPr>
            <w:tcW w:w="780" w:type="dxa"/>
            <w:vAlign w:val="bottom"/>
          </w:tcPr>
          <w:p>
            <w:pPr>
              <w:spacing w:after="0"/>
              <w:rPr>
                <w:sz w:val="23"/>
                <w:szCs w:val="23"/>
                <w:color w:val="auto"/>
              </w:rPr>
            </w:pPr>
          </w:p>
        </w:tc>
        <w:tc>
          <w:tcPr>
            <w:tcW w:w="3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1880" w:type="dxa"/>
            <w:vAlign w:val="bottom"/>
          </w:tcPr>
          <w:p>
            <w:pPr>
              <w:spacing w:after="0"/>
              <w:rPr>
                <w:sz w:val="23"/>
                <w:szCs w:val="23"/>
                <w:color w:val="auto"/>
              </w:rPr>
            </w:pPr>
          </w:p>
        </w:tc>
        <w:tc>
          <w:tcPr>
            <w:tcW w:w="1200" w:type="dxa"/>
            <w:vAlign w:val="bottom"/>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1</w:t>
            </w:r>
          </w:p>
        </w:tc>
        <w:tc>
          <w:tcPr>
            <w:tcW w:w="15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80" w:type="dxa"/>
            <w:vAlign w:val="bottom"/>
          </w:tcPr>
          <w:p>
            <w:pPr>
              <w:spacing w:after="0"/>
              <w:rPr>
                <w:sz w:val="23"/>
                <w:szCs w:val="23"/>
                <w:color w:val="auto"/>
              </w:rPr>
            </w:pPr>
          </w:p>
        </w:tc>
        <w:tc>
          <w:tcPr>
            <w:tcW w:w="3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Canada/Other Americas</w:t>
            </w:r>
          </w:p>
        </w:tc>
        <w:tc>
          <w:tcPr>
            <w:tcW w:w="1880" w:type="dxa"/>
            <w:vAlign w:val="bottom"/>
          </w:tcPr>
          <w:p>
            <w:pPr>
              <w:spacing w:after="0"/>
              <w:rPr>
                <w:sz w:val="23"/>
                <w:szCs w:val="23"/>
                <w:color w:val="auto"/>
              </w:rPr>
            </w:pPr>
          </w:p>
        </w:tc>
        <w:tc>
          <w:tcPr>
            <w:tcW w:w="1200" w:type="dxa"/>
            <w:vAlign w:val="bottom"/>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82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760" w:type="dxa"/>
            <w:vAlign w:val="bottom"/>
          </w:tcPr>
          <w:p>
            <w:pPr>
              <w:spacing w:after="0"/>
              <w:rPr>
                <w:sz w:val="23"/>
                <w:szCs w:val="23"/>
                <w:color w:val="auto"/>
              </w:rPr>
            </w:pPr>
          </w:p>
        </w:tc>
      </w:tr>
      <w:tr>
        <w:trPr>
          <w:trHeight w:val="270"/>
        </w:trPr>
        <w:tc>
          <w:tcPr>
            <w:tcW w:w="780" w:type="dxa"/>
            <w:vAlign w:val="bottom"/>
          </w:tcPr>
          <w:p>
            <w:pPr>
              <w:spacing w:after="0"/>
              <w:rPr>
                <w:sz w:val="23"/>
                <w:szCs w:val="23"/>
                <w:color w:val="auto"/>
              </w:rPr>
            </w:pPr>
          </w:p>
        </w:tc>
        <w:tc>
          <w:tcPr>
            <w:tcW w:w="3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Europe</w:t>
            </w:r>
          </w:p>
        </w:tc>
        <w:tc>
          <w:tcPr>
            <w:tcW w:w="1880" w:type="dxa"/>
            <w:vAlign w:val="bottom"/>
          </w:tcPr>
          <w:p>
            <w:pPr>
              <w:spacing w:after="0"/>
              <w:rPr>
                <w:sz w:val="23"/>
                <w:szCs w:val="23"/>
                <w:color w:val="auto"/>
              </w:rPr>
            </w:pPr>
          </w:p>
        </w:tc>
        <w:tc>
          <w:tcPr>
            <w:tcW w:w="1200" w:type="dxa"/>
            <w:vAlign w:val="bottom"/>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80" w:type="dxa"/>
            <w:vAlign w:val="bottom"/>
          </w:tcPr>
          <w:p>
            <w:pPr>
              <w:spacing w:after="0"/>
              <w:rPr>
                <w:sz w:val="23"/>
                <w:szCs w:val="23"/>
                <w:color w:val="auto"/>
              </w:rPr>
            </w:pPr>
          </w:p>
        </w:tc>
        <w:tc>
          <w:tcPr>
            <w:tcW w:w="3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Africa</w:t>
            </w:r>
          </w:p>
        </w:tc>
        <w:tc>
          <w:tcPr>
            <w:tcW w:w="1880" w:type="dxa"/>
            <w:vAlign w:val="bottom"/>
          </w:tcPr>
          <w:p>
            <w:pPr>
              <w:spacing w:after="0"/>
              <w:rPr>
                <w:sz w:val="23"/>
                <w:szCs w:val="23"/>
                <w:color w:val="auto"/>
              </w:rPr>
            </w:pPr>
          </w:p>
        </w:tc>
        <w:tc>
          <w:tcPr>
            <w:tcW w:w="1200" w:type="dxa"/>
            <w:vAlign w:val="bottom"/>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80" w:type="dxa"/>
            <w:vAlign w:val="bottom"/>
          </w:tcPr>
          <w:p>
            <w:pPr>
              <w:spacing w:after="0"/>
              <w:rPr>
                <w:sz w:val="23"/>
                <w:szCs w:val="23"/>
                <w:color w:val="auto"/>
              </w:rPr>
            </w:pPr>
          </w:p>
        </w:tc>
        <w:tc>
          <w:tcPr>
            <w:tcW w:w="3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Asia</w:t>
            </w:r>
          </w:p>
        </w:tc>
        <w:tc>
          <w:tcPr>
            <w:tcW w:w="1880" w:type="dxa"/>
            <w:vAlign w:val="bottom"/>
          </w:tcPr>
          <w:p>
            <w:pPr>
              <w:spacing w:after="0"/>
              <w:rPr>
                <w:sz w:val="23"/>
                <w:szCs w:val="23"/>
                <w:color w:val="auto"/>
              </w:rPr>
            </w:pPr>
          </w:p>
        </w:tc>
        <w:tc>
          <w:tcPr>
            <w:tcW w:w="1200" w:type="dxa"/>
            <w:vAlign w:val="bottom"/>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780" w:type="dxa"/>
            <w:vAlign w:val="bottom"/>
          </w:tcPr>
          <w:p>
            <w:pPr>
              <w:spacing w:after="0"/>
              <w:rPr>
                <w:sz w:val="24"/>
                <w:szCs w:val="24"/>
                <w:color w:val="auto"/>
              </w:rPr>
            </w:pPr>
          </w:p>
        </w:tc>
        <w:tc>
          <w:tcPr>
            <w:tcW w:w="3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Australia/Oceania</w:t>
            </w:r>
          </w:p>
        </w:tc>
        <w:tc>
          <w:tcPr>
            <w:tcW w:w="1880" w:type="dxa"/>
            <w:vAlign w:val="bottom"/>
          </w:tcPr>
          <w:p>
            <w:pPr>
              <w:spacing w:after="0"/>
              <w:rPr>
                <w:sz w:val="24"/>
                <w:szCs w:val="24"/>
                <w:color w:val="auto"/>
              </w:rPr>
            </w:pPr>
          </w:p>
        </w:tc>
        <w:tc>
          <w:tcPr>
            <w:tcW w:w="1200" w:type="dxa"/>
            <w:vAlign w:val="bottom"/>
            <w:tcBorders>
              <w:bottom w:val="single" w:sz="8" w:color="F0F0F0"/>
            </w:tcBorders>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80" w:type="dxa"/>
            <w:vAlign w:val="bottom"/>
          </w:tcPr>
          <w:p>
            <w:pPr>
              <w:spacing w:after="0"/>
              <w:rPr>
                <w:sz w:val="21"/>
                <w:szCs w:val="21"/>
                <w:color w:val="auto"/>
              </w:rPr>
            </w:pPr>
          </w:p>
        </w:tc>
        <w:tc>
          <w:tcPr>
            <w:tcW w:w="3980" w:type="dxa"/>
            <w:vAlign w:val="bottom"/>
            <w:tcBorders>
              <w:top w:val="single" w:sz="8" w:color="0C479D"/>
              <w:bottom w:val="single" w:sz="8" w:color="0C479D"/>
            </w:tcBorders>
          </w:tcPr>
          <w:p>
            <w:pPr>
              <w:spacing w:after="0"/>
              <w:rPr>
                <w:sz w:val="20"/>
                <w:szCs w:val="20"/>
                <w:color w:val="auto"/>
              </w:rPr>
            </w:pPr>
            <w:r>
              <w:rPr>
                <w:rFonts w:ascii="Times New Roman" w:cs="Times New Roman" w:eastAsia="Times New Roman" w:hAnsi="Times New Roman"/>
                <w:sz w:val="18"/>
                <w:szCs w:val="18"/>
                <w:color w:val="auto"/>
              </w:rPr>
              <w:t>Total Consolidated Subsidiaries</w:t>
            </w:r>
          </w:p>
        </w:tc>
        <w:tc>
          <w:tcPr>
            <w:tcW w:w="1880" w:type="dxa"/>
            <w:vAlign w:val="bottom"/>
            <w:tcBorders>
              <w:top w:val="single" w:sz="8" w:color="0C479D"/>
              <w:bottom w:val="single" w:sz="8" w:color="0C479D"/>
            </w:tcBorders>
          </w:tcPr>
          <w:p>
            <w:pPr>
              <w:spacing w:after="0"/>
              <w:rPr>
                <w:sz w:val="21"/>
                <w:szCs w:val="21"/>
                <w:color w:val="auto"/>
              </w:rPr>
            </w:pPr>
          </w:p>
        </w:tc>
        <w:tc>
          <w:tcPr>
            <w:tcW w:w="1200" w:type="dxa"/>
            <w:vAlign w:val="bottom"/>
            <w:tcBorders>
              <w:top w:val="single" w:sz="8" w:color="0C479D"/>
              <w:bottom w:val="single" w:sz="8" w:color="0C479D"/>
            </w:tcBorders>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820" w:type="dxa"/>
            <w:vAlign w:val="bottom"/>
            <w:tcBorders>
              <w:top w:val="single" w:sz="8" w:color="0C479D"/>
              <w:bottom w:val="single" w:sz="8" w:color="0C479D"/>
            </w:tcBorders>
          </w:tcPr>
          <w:p>
            <w:pPr>
              <w:jc w:val="right"/>
              <w:ind w:right="511"/>
              <w:spacing w:after="0"/>
              <w:rPr>
                <w:sz w:val="20"/>
                <w:szCs w:val="20"/>
                <w:color w:val="auto"/>
              </w:rPr>
            </w:pPr>
            <w:r>
              <w:rPr>
                <w:rFonts w:ascii="Times New Roman" w:cs="Times New Roman" w:eastAsia="Times New Roman" w:hAnsi="Times New Roman"/>
                <w:sz w:val="18"/>
                <w:szCs w:val="18"/>
                <w:color w:val="auto"/>
              </w:rPr>
              <w:t>4</w:t>
            </w:r>
          </w:p>
        </w:tc>
        <w:tc>
          <w:tcPr>
            <w:tcW w:w="820" w:type="dxa"/>
            <w:vAlign w:val="bottom"/>
            <w:tcBorders>
              <w:top w:val="single" w:sz="8" w:color="0C479D"/>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760" w:type="dxa"/>
            <w:vAlign w:val="bottom"/>
          </w:tcPr>
          <w:p>
            <w:pPr>
              <w:spacing w:after="0"/>
              <w:rPr>
                <w:sz w:val="21"/>
                <w:szCs w:val="21"/>
                <w:color w:val="auto"/>
              </w:rPr>
            </w:pPr>
          </w:p>
        </w:tc>
      </w:tr>
      <w:tr>
        <w:trPr>
          <w:trHeight w:val="310"/>
        </w:trPr>
        <w:tc>
          <w:tcPr>
            <w:tcW w:w="78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 Companies</w:t>
            </w:r>
          </w:p>
        </w:tc>
        <w:tc>
          <w:tcPr>
            <w:tcW w:w="1880" w:type="dxa"/>
            <w:vAlign w:val="bottom"/>
          </w:tcPr>
          <w:p>
            <w:pPr>
              <w:spacing w:after="0"/>
              <w:rPr>
                <w:sz w:val="24"/>
                <w:szCs w:val="24"/>
                <w:color w:val="auto"/>
              </w:rPr>
            </w:pPr>
          </w:p>
        </w:tc>
        <w:tc>
          <w:tcPr>
            <w:tcW w:w="1200" w:type="dxa"/>
            <w:vAlign w:val="bottom"/>
            <w:shd w:val="clear" w:color="auto" w:fill="F0F0F0"/>
          </w:tcPr>
          <w:p>
            <w:pPr>
              <w:spacing w:after="0"/>
              <w:rPr>
                <w:sz w:val="24"/>
                <w:szCs w:val="24"/>
                <w:color w:val="auto"/>
              </w:rPr>
            </w:pPr>
          </w:p>
        </w:tc>
        <w:tc>
          <w:tcPr>
            <w:tcW w:w="1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43"/>
        </w:trPr>
        <w:tc>
          <w:tcPr>
            <w:tcW w:w="780" w:type="dxa"/>
            <w:vAlign w:val="bottom"/>
          </w:tcPr>
          <w:p>
            <w:pPr>
              <w:spacing w:after="0"/>
              <w:rPr>
                <w:sz w:val="21"/>
                <w:szCs w:val="21"/>
                <w:color w:val="auto"/>
              </w:rPr>
            </w:pPr>
          </w:p>
        </w:tc>
        <w:tc>
          <w:tcPr>
            <w:tcW w:w="3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1880" w:type="dxa"/>
            <w:vAlign w:val="bottom"/>
          </w:tcPr>
          <w:p>
            <w:pPr>
              <w:spacing w:after="0"/>
              <w:rPr>
                <w:sz w:val="21"/>
                <w:szCs w:val="21"/>
                <w:color w:val="auto"/>
              </w:rPr>
            </w:pPr>
          </w:p>
        </w:tc>
        <w:tc>
          <w:tcPr>
            <w:tcW w:w="1200" w:type="dxa"/>
            <w:vAlign w:val="bottom"/>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80" w:type="dxa"/>
            <w:vAlign w:val="bottom"/>
          </w:tcPr>
          <w:p>
            <w:pPr>
              <w:spacing w:after="0"/>
              <w:rPr>
                <w:sz w:val="23"/>
                <w:szCs w:val="23"/>
                <w:color w:val="auto"/>
              </w:rPr>
            </w:pPr>
          </w:p>
        </w:tc>
        <w:tc>
          <w:tcPr>
            <w:tcW w:w="3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Europe</w:t>
            </w:r>
          </w:p>
        </w:tc>
        <w:tc>
          <w:tcPr>
            <w:tcW w:w="1880" w:type="dxa"/>
            <w:vAlign w:val="bottom"/>
          </w:tcPr>
          <w:p>
            <w:pPr>
              <w:spacing w:after="0"/>
              <w:rPr>
                <w:sz w:val="23"/>
                <w:szCs w:val="23"/>
                <w:color w:val="auto"/>
              </w:rPr>
            </w:pPr>
          </w:p>
        </w:tc>
        <w:tc>
          <w:tcPr>
            <w:tcW w:w="1200" w:type="dxa"/>
            <w:vAlign w:val="bottom"/>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80" w:type="dxa"/>
            <w:vAlign w:val="bottom"/>
          </w:tcPr>
          <w:p>
            <w:pPr>
              <w:spacing w:after="0"/>
              <w:rPr>
                <w:sz w:val="23"/>
                <w:szCs w:val="23"/>
                <w:color w:val="auto"/>
              </w:rPr>
            </w:pPr>
          </w:p>
        </w:tc>
        <w:tc>
          <w:tcPr>
            <w:tcW w:w="3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Africa</w:t>
            </w:r>
          </w:p>
        </w:tc>
        <w:tc>
          <w:tcPr>
            <w:tcW w:w="1880" w:type="dxa"/>
            <w:vAlign w:val="bottom"/>
          </w:tcPr>
          <w:p>
            <w:pPr>
              <w:spacing w:after="0"/>
              <w:rPr>
                <w:sz w:val="23"/>
                <w:szCs w:val="23"/>
                <w:color w:val="auto"/>
              </w:rPr>
            </w:pPr>
          </w:p>
        </w:tc>
        <w:tc>
          <w:tcPr>
            <w:tcW w:w="1200" w:type="dxa"/>
            <w:vAlign w:val="bottom"/>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780" w:type="dxa"/>
            <w:vAlign w:val="bottom"/>
          </w:tcPr>
          <w:p>
            <w:pPr>
              <w:spacing w:after="0"/>
              <w:rPr>
                <w:sz w:val="24"/>
                <w:szCs w:val="24"/>
                <w:color w:val="auto"/>
              </w:rPr>
            </w:pPr>
          </w:p>
        </w:tc>
        <w:tc>
          <w:tcPr>
            <w:tcW w:w="3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Asia</w:t>
            </w:r>
          </w:p>
        </w:tc>
        <w:tc>
          <w:tcPr>
            <w:tcW w:w="1880" w:type="dxa"/>
            <w:vAlign w:val="bottom"/>
          </w:tcPr>
          <w:p>
            <w:pPr>
              <w:spacing w:after="0"/>
              <w:rPr>
                <w:sz w:val="24"/>
                <w:szCs w:val="24"/>
                <w:color w:val="auto"/>
              </w:rPr>
            </w:pPr>
          </w:p>
        </w:tc>
        <w:tc>
          <w:tcPr>
            <w:tcW w:w="1200" w:type="dxa"/>
            <w:vAlign w:val="bottom"/>
            <w:tcBorders>
              <w:bottom w:val="single" w:sz="8" w:color="F0F0F0"/>
            </w:tcBorders>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511"/>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80" w:type="dxa"/>
            <w:vAlign w:val="bottom"/>
          </w:tcPr>
          <w:p>
            <w:pPr>
              <w:spacing w:after="0"/>
              <w:rPr>
                <w:sz w:val="21"/>
                <w:szCs w:val="21"/>
                <w:color w:val="auto"/>
              </w:rPr>
            </w:pPr>
          </w:p>
        </w:tc>
        <w:tc>
          <w:tcPr>
            <w:tcW w:w="3980" w:type="dxa"/>
            <w:vAlign w:val="bottom"/>
            <w:tcBorders>
              <w:top w:val="single" w:sz="8" w:color="0C479D"/>
              <w:bottom w:val="single" w:sz="8" w:color="0C479D"/>
            </w:tcBorders>
          </w:tcPr>
          <w:p>
            <w:pPr>
              <w:spacing w:after="0"/>
              <w:rPr>
                <w:sz w:val="20"/>
                <w:szCs w:val="20"/>
                <w:color w:val="auto"/>
              </w:rPr>
            </w:pPr>
            <w:r>
              <w:rPr>
                <w:rFonts w:ascii="Times New Roman" w:cs="Times New Roman" w:eastAsia="Times New Roman" w:hAnsi="Times New Roman"/>
                <w:sz w:val="18"/>
                <w:szCs w:val="18"/>
                <w:color w:val="auto"/>
              </w:rPr>
              <w:t>Total Equity Companies</w:t>
            </w:r>
          </w:p>
        </w:tc>
        <w:tc>
          <w:tcPr>
            <w:tcW w:w="1880" w:type="dxa"/>
            <w:vAlign w:val="bottom"/>
            <w:tcBorders>
              <w:top w:val="single" w:sz="8" w:color="0C479D"/>
              <w:bottom w:val="single" w:sz="8" w:color="0C479D"/>
            </w:tcBorders>
          </w:tcPr>
          <w:p>
            <w:pPr>
              <w:spacing w:after="0"/>
              <w:rPr>
                <w:sz w:val="21"/>
                <w:szCs w:val="21"/>
                <w:color w:val="auto"/>
              </w:rPr>
            </w:pPr>
          </w:p>
        </w:tc>
        <w:tc>
          <w:tcPr>
            <w:tcW w:w="1200" w:type="dxa"/>
            <w:vAlign w:val="bottom"/>
            <w:tcBorders>
              <w:top w:val="single" w:sz="8" w:color="0C479D"/>
              <w:bottom w:val="single" w:sz="8" w:color="0C479D"/>
            </w:tcBorders>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0C479D"/>
              <w:bottom w:val="single" w:sz="8" w:color="0C479D"/>
            </w:tcBorders>
          </w:tcPr>
          <w:p>
            <w:pPr>
              <w:jc w:val="right"/>
              <w:ind w:right="51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0C479D"/>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1"/>
                <w:szCs w:val="21"/>
                <w:color w:val="auto"/>
              </w:rPr>
            </w:pPr>
          </w:p>
        </w:tc>
      </w:tr>
      <w:tr>
        <w:trPr>
          <w:trHeight w:val="250"/>
        </w:trPr>
        <w:tc>
          <w:tcPr>
            <w:tcW w:w="780" w:type="dxa"/>
            <w:vAlign w:val="bottom"/>
          </w:tcPr>
          <w:p>
            <w:pPr>
              <w:spacing w:after="0"/>
              <w:rPr>
                <w:sz w:val="21"/>
                <w:szCs w:val="21"/>
                <w:color w:val="auto"/>
              </w:rPr>
            </w:pPr>
          </w:p>
        </w:tc>
        <w:tc>
          <w:tcPr>
            <w:tcW w:w="398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b w:val="1"/>
                <w:bCs w:val="1"/>
                <w:color w:val="auto"/>
              </w:rPr>
              <w:t>Total dry exploratory wells drilled</w:t>
            </w:r>
          </w:p>
        </w:tc>
        <w:tc>
          <w:tcPr>
            <w:tcW w:w="1880" w:type="dxa"/>
            <w:vAlign w:val="bottom"/>
            <w:tcBorders>
              <w:bottom w:val="single" w:sz="8" w:color="0C479D"/>
            </w:tcBorders>
          </w:tcPr>
          <w:p>
            <w:pPr>
              <w:spacing w:after="0"/>
              <w:rPr>
                <w:sz w:val="21"/>
                <w:szCs w:val="21"/>
                <w:color w:val="auto"/>
              </w:rPr>
            </w:pPr>
          </w:p>
        </w:tc>
        <w:tc>
          <w:tcPr>
            <w:tcW w:w="1200" w:type="dxa"/>
            <w:vAlign w:val="bottom"/>
            <w:tcBorders>
              <w:bottom w:val="single" w:sz="8" w:color="0C479D"/>
            </w:tcBorders>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w:t>
            </w:r>
          </w:p>
        </w:tc>
        <w:tc>
          <w:tcPr>
            <w:tcW w:w="1820" w:type="dxa"/>
            <w:vAlign w:val="bottom"/>
            <w:tcBorders>
              <w:bottom w:val="single" w:sz="8" w:color="0C479D"/>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4</w:t>
            </w:r>
          </w:p>
        </w:tc>
        <w:tc>
          <w:tcPr>
            <w:tcW w:w="8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760" w:type="dxa"/>
            <w:vAlign w:val="bottom"/>
          </w:tcPr>
          <w:p>
            <w:pPr>
              <w:spacing w:after="0"/>
              <w:rPr>
                <w:sz w:val="21"/>
                <w:szCs w:val="21"/>
                <w:color w:val="auto"/>
              </w:rPr>
            </w:pPr>
          </w:p>
        </w:tc>
      </w:tr>
      <w:tr>
        <w:trPr>
          <w:trHeight w:val="743"/>
        </w:trPr>
        <w:tc>
          <w:tcPr>
            <w:tcW w:w="7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880" w:type="dxa"/>
            <w:vAlign w:val="bottom"/>
          </w:tcPr>
          <w:p>
            <w:pPr>
              <w:jc w:val="right"/>
              <w:ind w:right="839"/>
              <w:spacing w:after="0"/>
              <w:rPr>
                <w:sz w:val="20"/>
                <w:szCs w:val="20"/>
                <w:color w:val="auto"/>
              </w:rPr>
            </w:pPr>
            <w:r>
              <w:rPr>
                <w:rFonts w:ascii="Times New Roman" w:cs="Times New Roman" w:eastAsia="Times New Roman" w:hAnsi="Times New Roman"/>
                <w:sz w:val="18"/>
                <w:szCs w:val="18"/>
                <w:color w:val="auto"/>
              </w:rPr>
              <w:t>14</w:t>
            </w:r>
          </w:p>
        </w:tc>
        <w:tc>
          <w:tcPr>
            <w:tcW w:w="12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02"/>
        </w:trPr>
        <w:tc>
          <w:tcPr>
            <w:tcW w:w="780" w:type="dxa"/>
            <w:vAlign w:val="bottom"/>
            <w:tcBorders>
              <w:bottom w:val="single" w:sz="8" w:color="9A9A9A"/>
            </w:tcBorders>
          </w:tcPr>
          <w:p>
            <w:pPr>
              <w:spacing w:after="0"/>
              <w:rPr>
                <w:sz w:val="8"/>
                <w:szCs w:val="8"/>
                <w:color w:val="auto"/>
              </w:rPr>
            </w:pPr>
          </w:p>
        </w:tc>
        <w:tc>
          <w:tcPr>
            <w:tcW w:w="3980" w:type="dxa"/>
            <w:vAlign w:val="bottom"/>
            <w:tcBorders>
              <w:bottom w:val="single" w:sz="8" w:color="9A9A9A"/>
            </w:tcBorders>
          </w:tcPr>
          <w:p>
            <w:pPr>
              <w:spacing w:after="0"/>
              <w:rPr>
                <w:sz w:val="8"/>
                <w:szCs w:val="8"/>
                <w:color w:val="auto"/>
              </w:rPr>
            </w:pPr>
          </w:p>
        </w:tc>
        <w:tc>
          <w:tcPr>
            <w:tcW w:w="188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8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50"/>
        </w:trPr>
        <w:tc>
          <w:tcPr>
            <w:tcW w:w="780" w:type="dxa"/>
            <w:vAlign w:val="bottom"/>
          </w:tcPr>
          <w:p>
            <w:pPr>
              <w:spacing w:after="0"/>
              <w:rPr>
                <w:sz w:val="21"/>
                <w:szCs w:val="21"/>
                <w:color w:val="auto"/>
              </w:rPr>
            </w:pPr>
          </w:p>
        </w:tc>
        <w:tc>
          <w:tcPr>
            <w:tcW w:w="4020" w:type="dxa"/>
            <w:vAlign w:val="bottom"/>
            <w:tcBorders>
              <w:bottom w:val="single" w:sz="8" w:color="0C479D"/>
            </w:tcBorders>
            <w:shd w:val="clear" w:color="auto" w:fill="0C479D"/>
          </w:tcPr>
          <w:p>
            <w:pPr>
              <w:spacing w:after="0"/>
              <w:rPr>
                <w:sz w:val="21"/>
                <w:szCs w:val="21"/>
                <w:color w:val="auto"/>
              </w:rPr>
            </w:pPr>
          </w:p>
        </w:tc>
        <w:tc>
          <w:tcPr>
            <w:tcW w:w="3040" w:type="dxa"/>
            <w:vAlign w:val="bottom"/>
            <w:tcBorders>
              <w:bottom w:val="single" w:sz="8" w:color="0C479D"/>
            </w:tcBorders>
            <w:gridSpan w:val="2"/>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1780" w:type="dxa"/>
            <w:vAlign w:val="bottom"/>
            <w:tcBorders>
              <w:bottom w:val="single" w:sz="8" w:color="0C479D"/>
            </w:tcBorders>
            <w:shd w:val="clear" w:color="auto" w:fill="0C479D"/>
          </w:tcPr>
          <w:p>
            <w:pPr>
              <w:jc w:val="right"/>
              <w:ind w:right="391"/>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860" w:type="dxa"/>
            <w:vAlign w:val="bottom"/>
            <w:tcBorders>
              <w:bottom w:val="single" w:sz="8" w:color="0C479D"/>
            </w:tcBorders>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2022</w:t>
            </w:r>
          </w:p>
        </w:tc>
        <w:tc>
          <w:tcPr>
            <w:tcW w:w="760" w:type="dxa"/>
            <w:vAlign w:val="bottom"/>
          </w:tcPr>
          <w:p>
            <w:pPr>
              <w:spacing w:after="0"/>
              <w:rPr>
                <w:sz w:val="21"/>
                <w:szCs w:val="21"/>
                <w:color w:val="auto"/>
              </w:rPr>
            </w:pPr>
          </w:p>
        </w:tc>
      </w:tr>
      <w:tr>
        <w:trPr>
          <w:trHeight w:val="324"/>
        </w:trPr>
        <w:tc>
          <w:tcPr>
            <w:tcW w:w="78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color w:val="0C479D"/>
              </w:rPr>
              <w:t>Net Productive Development Wells Drilled</w:t>
            </w:r>
          </w:p>
        </w:tc>
        <w:tc>
          <w:tcPr>
            <w:tcW w:w="1840" w:type="dxa"/>
            <w:vAlign w:val="bottom"/>
          </w:tcPr>
          <w:p>
            <w:pPr>
              <w:spacing w:after="0"/>
              <w:rPr>
                <w:sz w:val="24"/>
                <w:szCs w:val="24"/>
                <w:color w:val="auto"/>
              </w:rPr>
            </w:pPr>
          </w:p>
        </w:tc>
        <w:tc>
          <w:tcPr>
            <w:tcW w:w="1200" w:type="dxa"/>
            <w:vAlign w:val="bottom"/>
            <w:shd w:val="clear" w:color="auto" w:fill="F0F0F0"/>
          </w:tcPr>
          <w:p>
            <w:pPr>
              <w:spacing w:after="0"/>
              <w:rPr>
                <w:sz w:val="24"/>
                <w:szCs w:val="24"/>
                <w:color w:val="auto"/>
              </w:rPr>
            </w:pPr>
          </w:p>
        </w:tc>
        <w:tc>
          <w:tcPr>
            <w:tcW w:w="1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43"/>
        </w:trPr>
        <w:tc>
          <w:tcPr>
            <w:tcW w:w="780" w:type="dxa"/>
            <w:vAlign w:val="bottom"/>
          </w:tcPr>
          <w:p>
            <w:pPr>
              <w:spacing w:after="0"/>
              <w:rPr>
                <w:sz w:val="21"/>
                <w:szCs w:val="21"/>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Subsidiaries</w:t>
            </w:r>
          </w:p>
        </w:tc>
        <w:tc>
          <w:tcPr>
            <w:tcW w:w="1840" w:type="dxa"/>
            <w:vAlign w:val="bottom"/>
          </w:tcPr>
          <w:p>
            <w:pPr>
              <w:spacing w:after="0"/>
              <w:rPr>
                <w:sz w:val="21"/>
                <w:szCs w:val="21"/>
                <w:color w:val="auto"/>
              </w:rPr>
            </w:pPr>
          </w:p>
        </w:tc>
        <w:tc>
          <w:tcPr>
            <w:tcW w:w="1200" w:type="dxa"/>
            <w:vAlign w:val="bottom"/>
            <w:shd w:val="clear" w:color="auto" w:fill="F0F0F0"/>
          </w:tcPr>
          <w:p>
            <w:pPr>
              <w:spacing w:after="0"/>
              <w:rPr>
                <w:sz w:val="21"/>
                <w:szCs w:val="21"/>
                <w:color w:val="auto"/>
              </w:rPr>
            </w:pPr>
          </w:p>
        </w:tc>
        <w:tc>
          <w:tcPr>
            <w:tcW w:w="17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0"/>
        </w:trPr>
        <w:tc>
          <w:tcPr>
            <w:tcW w:w="780" w:type="dxa"/>
            <w:vAlign w:val="bottom"/>
          </w:tcPr>
          <w:p>
            <w:pPr>
              <w:spacing w:after="0"/>
              <w:rPr>
                <w:sz w:val="23"/>
                <w:szCs w:val="23"/>
                <w:color w:val="auto"/>
              </w:rPr>
            </w:pPr>
          </w:p>
        </w:tc>
        <w:tc>
          <w:tcPr>
            <w:tcW w:w="4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1840" w:type="dxa"/>
            <w:vAlign w:val="bottom"/>
          </w:tcPr>
          <w:p>
            <w:pPr>
              <w:spacing w:after="0"/>
              <w:rPr>
                <w:sz w:val="23"/>
                <w:szCs w:val="23"/>
                <w:color w:val="auto"/>
              </w:rPr>
            </w:pPr>
          </w:p>
        </w:tc>
        <w:tc>
          <w:tcPr>
            <w:tcW w:w="1200" w:type="dxa"/>
            <w:vAlign w:val="bottom"/>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533</w:t>
            </w:r>
          </w:p>
        </w:tc>
        <w:tc>
          <w:tcPr>
            <w:tcW w:w="178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446</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760" w:type="dxa"/>
            <w:vAlign w:val="bottom"/>
          </w:tcPr>
          <w:p>
            <w:pPr>
              <w:spacing w:after="0"/>
              <w:rPr>
                <w:sz w:val="23"/>
                <w:szCs w:val="23"/>
                <w:color w:val="auto"/>
              </w:rPr>
            </w:pPr>
          </w:p>
        </w:tc>
      </w:tr>
      <w:tr>
        <w:trPr>
          <w:trHeight w:val="270"/>
        </w:trPr>
        <w:tc>
          <w:tcPr>
            <w:tcW w:w="780" w:type="dxa"/>
            <w:vAlign w:val="bottom"/>
          </w:tcPr>
          <w:p>
            <w:pPr>
              <w:spacing w:after="0"/>
              <w:rPr>
                <w:sz w:val="23"/>
                <w:szCs w:val="23"/>
                <w:color w:val="auto"/>
              </w:rPr>
            </w:pPr>
          </w:p>
        </w:tc>
        <w:tc>
          <w:tcPr>
            <w:tcW w:w="4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Canada/Other Americas</w:t>
            </w:r>
          </w:p>
        </w:tc>
        <w:tc>
          <w:tcPr>
            <w:tcW w:w="1840" w:type="dxa"/>
            <w:vAlign w:val="bottom"/>
          </w:tcPr>
          <w:p>
            <w:pPr>
              <w:spacing w:after="0"/>
              <w:rPr>
                <w:sz w:val="23"/>
                <w:szCs w:val="23"/>
                <w:color w:val="auto"/>
              </w:rPr>
            </w:pPr>
          </w:p>
        </w:tc>
        <w:tc>
          <w:tcPr>
            <w:tcW w:w="1200" w:type="dxa"/>
            <w:vAlign w:val="bottom"/>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178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47</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760" w:type="dxa"/>
            <w:vAlign w:val="bottom"/>
          </w:tcPr>
          <w:p>
            <w:pPr>
              <w:spacing w:after="0"/>
              <w:rPr>
                <w:sz w:val="23"/>
                <w:szCs w:val="23"/>
                <w:color w:val="auto"/>
              </w:rPr>
            </w:pPr>
          </w:p>
        </w:tc>
      </w:tr>
      <w:tr>
        <w:trPr>
          <w:trHeight w:val="270"/>
        </w:trPr>
        <w:tc>
          <w:tcPr>
            <w:tcW w:w="780" w:type="dxa"/>
            <w:vAlign w:val="bottom"/>
          </w:tcPr>
          <w:p>
            <w:pPr>
              <w:spacing w:after="0"/>
              <w:rPr>
                <w:sz w:val="23"/>
                <w:szCs w:val="23"/>
                <w:color w:val="auto"/>
              </w:rPr>
            </w:pPr>
          </w:p>
        </w:tc>
        <w:tc>
          <w:tcPr>
            <w:tcW w:w="4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Europe</w:t>
            </w:r>
          </w:p>
        </w:tc>
        <w:tc>
          <w:tcPr>
            <w:tcW w:w="1840" w:type="dxa"/>
            <w:vAlign w:val="bottom"/>
          </w:tcPr>
          <w:p>
            <w:pPr>
              <w:spacing w:after="0"/>
              <w:rPr>
                <w:sz w:val="23"/>
                <w:szCs w:val="23"/>
                <w:color w:val="auto"/>
              </w:rPr>
            </w:pPr>
          </w:p>
        </w:tc>
        <w:tc>
          <w:tcPr>
            <w:tcW w:w="1200" w:type="dxa"/>
            <w:vAlign w:val="bottom"/>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78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1</w:t>
            </w:r>
          </w:p>
        </w:tc>
        <w:tc>
          <w:tcPr>
            <w:tcW w:w="162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80" w:type="dxa"/>
            <w:vAlign w:val="bottom"/>
          </w:tcPr>
          <w:p>
            <w:pPr>
              <w:spacing w:after="0"/>
              <w:rPr>
                <w:sz w:val="23"/>
                <w:szCs w:val="23"/>
                <w:color w:val="auto"/>
              </w:rPr>
            </w:pPr>
          </w:p>
        </w:tc>
        <w:tc>
          <w:tcPr>
            <w:tcW w:w="4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Africa</w:t>
            </w:r>
          </w:p>
        </w:tc>
        <w:tc>
          <w:tcPr>
            <w:tcW w:w="1840" w:type="dxa"/>
            <w:vAlign w:val="bottom"/>
          </w:tcPr>
          <w:p>
            <w:pPr>
              <w:spacing w:after="0"/>
              <w:rPr>
                <w:sz w:val="23"/>
                <w:szCs w:val="23"/>
                <w:color w:val="auto"/>
              </w:rPr>
            </w:pPr>
          </w:p>
        </w:tc>
        <w:tc>
          <w:tcPr>
            <w:tcW w:w="1200" w:type="dxa"/>
            <w:vAlign w:val="bottom"/>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78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60" w:type="dxa"/>
            <w:vAlign w:val="bottom"/>
          </w:tcPr>
          <w:p>
            <w:pPr>
              <w:spacing w:after="0"/>
              <w:rPr>
                <w:sz w:val="23"/>
                <w:szCs w:val="23"/>
                <w:color w:val="auto"/>
              </w:rPr>
            </w:pPr>
          </w:p>
        </w:tc>
      </w:tr>
      <w:tr>
        <w:trPr>
          <w:trHeight w:val="270"/>
        </w:trPr>
        <w:tc>
          <w:tcPr>
            <w:tcW w:w="780" w:type="dxa"/>
            <w:vAlign w:val="bottom"/>
          </w:tcPr>
          <w:p>
            <w:pPr>
              <w:spacing w:after="0"/>
              <w:rPr>
                <w:sz w:val="23"/>
                <w:szCs w:val="23"/>
                <w:color w:val="auto"/>
              </w:rPr>
            </w:pPr>
          </w:p>
        </w:tc>
        <w:tc>
          <w:tcPr>
            <w:tcW w:w="4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Asia</w:t>
            </w:r>
          </w:p>
        </w:tc>
        <w:tc>
          <w:tcPr>
            <w:tcW w:w="1840" w:type="dxa"/>
            <w:vAlign w:val="bottom"/>
          </w:tcPr>
          <w:p>
            <w:pPr>
              <w:spacing w:after="0"/>
              <w:rPr>
                <w:sz w:val="23"/>
                <w:szCs w:val="23"/>
                <w:color w:val="auto"/>
              </w:rPr>
            </w:pPr>
          </w:p>
        </w:tc>
        <w:tc>
          <w:tcPr>
            <w:tcW w:w="1200" w:type="dxa"/>
            <w:vAlign w:val="bottom"/>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78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760" w:type="dxa"/>
            <w:vAlign w:val="bottom"/>
          </w:tcPr>
          <w:p>
            <w:pPr>
              <w:spacing w:after="0"/>
              <w:rPr>
                <w:sz w:val="23"/>
                <w:szCs w:val="23"/>
                <w:color w:val="auto"/>
              </w:rPr>
            </w:pPr>
          </w:p>
        </w:tc>
      </w:tr>
      <w:tr>
        <w:trPr>
          <w:trHeight w:val="297"/>
        </w:trPr>
        <w:tc>
          <w:tcPr>
            <w:tcW w:w="780" w:type="dxa"/>
            <w:vAlign w:val="bottom"/>
          </w:tcPr>
          <w:p>
            <w:pPr>
              <w:spacing w:after="0"/>
              <w:rPr>
                <w:sz w:val="24"/>
                <w:szCs w:val="24"/>
                <w:color w:val="auto"/>
              </w:rPr>
            </w:pPr>
          </w:p>
        </w:tc>
        <w:tc>
          <w:tcPr>
            <w:tcW w:w="4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Australia/Oceania</w:t>
            </w:r>
          </w:p>
        </w:tc>
        <w:tc>
          <w:tcPr>
            <w:tcW w:w="1840" w:type="dxa"/>
            <w:vAlign w:val="bottom"/>
          </w:tcPr>
          <w:p>
            <w:pPr>
              <w:spacing w:after="0"/>
              <w:rPr>
                <w:sz w:val="24"/>
                <w:szCs w:val="24"/>
                <w:color w:val="auto"/>
              </w:rPr>
            </w:pPr>
          </w:p>
        </w:tc>
        <w:tc>
          <w:tcPr>
            <w:tcW w:w="1200" w:type="dxa"/>
            <w:vAlign w:val="bottom"/>
            <w:tcBorders>
              <w:bottom w:val="single" w:sz="8" w:color="F0F0F0"/>
            </w:tcBorders>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78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r>
      <w:tr>
        <w:trPr>
          <w:trHeight w:val="244"/>
        </w:trPr>
        <w:tc>
          <w:tcPr>
            <w:tcW w:w="780" w:type="dxa"/>
            <w:vAlign w:val="bottom"/>
          </w:tcPr>
          <w:p>
            <w:pPr>
              <w:spacing w:after="0"/>
              <w:rPr>
                <w:sz w:val="21"/>
                <w:szCs w:val="21"/>
                <w:color w:val="auto"/>
              </w:rPr>
            </w:pPr>
          </w:p>
        </w:tc>
        <w:tc>
          <w:tcPr>
            <w:tcW w:w="4020" w:type="dxa"/>
            <w:vAlign w:val="bottom"/>
            <w:tcBorders>
              <w:top w:val="single" w:sz="8" w:color="0C479D"/>
              <w:bottom w:val="single" w:sz="8" w:color="0C479D"/>
            </w:tcBorders>
          </w:tcPr>
          <w:p>
            <w:pPr>
              <w:spacing w:after="0"/>
              <w:rPr>
                <w:sz w:val="20"/>
                <w:szCs w:val="20"/>
                <w:color w:val="auto"/>
              </w:rPr>
            </w:pPr>
            <w:r>
              <w:rPr>
                <w:rFonts w:ascii="Times New Roman" w:cs="Times New Roman" w:eastAsia="Times New Roman" w:hAnsi="Times New Roman"/>
                <w:sz w:val="18"/>
                <w:szCs w:val="18"/>
                <w:color w:val="auto"/>
              </w:rPr>
              <w:t>Total Consolidated Subsidiaries</w:t>
            </w:r>
          </w:p>
        </w:tc>
        <w:tc>
          <w:tcPr>
            <w:tcW w:w="1840" w:type="dxa"/>
            <w:vAlign w:val="bottom"/>
            <w:tcBorders>
              <w:top w:val="single" w:sz="8" w:color="0C479D"/>
              <w:bottom w:val="single" w:sz="8" w:color="0C479D"/>
            </w:tcBorders>
          </w:tcPr>
          <w:p>
            <w:pPr>
              <w:spacing w:after="0"/>
              <w:rPr>
                <w:sz w:val="21"/>
                <w:szCs w:val="21"/>
                <w:color w:val="auto"/>
              </w:rPr>
            </w:pPr>
          </w:p>
        </w:tc>
        <w:tc>
          <w:tcPr>
            <w:tcW w:w="1200" w:type="dxa"/>
            <w:vAlign w:val="bottom"/>
            <w:tcBorders>
              <w:top w:val="single" w:sz="8" w:color="0C479D"/>
              <w:bottom w:val="single" w:sz="8" w:color="0C479D"/>
            </w:tcBorders>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567</w:t>
            </w:r>
          </w:p>
        </w:tc>
        <w:tc>
          <w:tcPr>
            <w:tcW w:w="1780" w:type="dxa"/>
            <w:vAlign w:val="bottom"/>
            <w:tcBorders>
              <w:top w:val="single" w:sz="8" w:color="0C479D"/>
              <w:bottom w:val="single" w:sz="8" w:color="0C479D"/>
            </w:tcBorders>
          </w:tcPr>
          <w:p>
            <w:pPr>
              <w:jc w:val="right"/>
              <w:ind w:right="471"/>
              <w:spacing w:after="0"/>
              <w:rPr>
                <w:sz w:val="20"/>
                <w:szCs w:val="20"/>
                <w:color w:val="auto"/>
              </w:rPr>
            </w:pPr>
            <w:r>
              <w:rPr>
                <w:rFonts w:ascii="Times New Roman" w:cs="Times New Roman" w:eastAsia="Times New Roman" w:hAnsi="Times New Roman"/>
                <w:sz w:val="18"/>
                <w:szCs w:val="18"/>
                <w:color w:val="auto"/>
              </w:rPr>
              <w:t>503</w:t>
            </w:r>
          </w:p>
        </w:tc>
        <w:tc>
          <w:tcPr>
            <w:tcW w:w="860" w:type="dxa"/>
            <w:vAlign w:val="bottom"/>
            <w:tcBorders>
              <w:top w:val="single" w:sz="8" w:color="0C479D"/>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760" w:type="dxa"/>
            <w:vAlign w:val="bottom"/>
          </w:tcPr>
          <w:p>
            <w:pPr>
              <w:spacing w:after="0"/>
              <w:rPr>
                <w:sz w:val="21"/>
                <w:szCs w:val="21"/>
                <w:color w:val="auto"/>
              </w:rPr>
            </w:pPr>
          </w:p>
        </w:tc>
      </w:tr>
      <w:tr>
        <w:trPr>
          <w:trHeight w:val="283"/>
        </w:trPr>
        <w:tc>
          <w:tcPr>
            <w:tcW w:w="78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 Companies</w:t>
            </w:r>
          </w:p>
        </w:tc>
        <w:tc>
          <w:tcPr>
            <w:tcW w:w="1840" w:type="dxa"/>
            <w:vAlign w:val="bottom"/>
          </w:tcPr>
          <w:p>
            <w:pPr>
              <w:spacing w:after="0"/>
              <w:rPr>
                <w:sz w:val="24"/>
                <w:szCs w:val="24"/>
                <w:color w:val="auto"/>
              </w:rPr>
            </w:pPr>
          </w:p>
        </w:tc>
        <w:tc>
          <w:tcPr>
            <w:tcW w:w="1200" w:type="dxa"/>
            <w:vAlign w:val="bottom"/>
            <w:shd w:val="clear" w:color="auto" w:fill="F0F0F0"/>
          </w:tcPr>
          <w:p>
            <w:pPr>
              <w:spacing w:after="0"/>
              <w:rPr>
                <w:sz w:val="24"/>
                <w:szCs w:val="24"/>
                <w:color w:val="auto"/>
              </w:rPr>
            </w:pPr>
          </w:p>
        </w:tc>
        <w:tc>
          <w:tcPr>
            <w:tcW w:w="1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70"/>
        </w:trPr>
        <w:tc>
          <w:tcPr>
            <w:tcW w:w="780" w:type="dxa"/>
            <w:vAlign w:val="bottom"/>
          </w:tcPr>
          <w:p>
            <w:pPr>
              <w:spacing w:after="0"/>
              <w:rPr>
                <w:sz w:val="23"/>
                <w:szCs w:val="23"/>
                <w:color w:val="auto"/>
              </w:rPr>
            </w:pPr>
          </w:p>
        </w:tc>
        <w:tc>
          <w:tcPr>
            <w:tcW w:w="4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1840" w:type="dxa"/>
            <w:vAlign w:val="bottom"/>
          </w:tcPr>
          <w:p>
            <w:pPr>
              <w:spacing w:after="0"/>
              <w:rPr>
                <w:sz w:val="23"/>
                <w:szCs w:val="23"/>
                <w:color w:val="auto"/>
              </w:rPr>
            </w:pPr>
          </w:p>
        </w:tc>
        <w:tc>
          <w:tcPr>
            <w:tcW w:w="1200" w:type="dxa"/>
            <w:vAlign w:val="bottom"/>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78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760" w:type="dxa"/>
            <w:vAlign w:val="bottom"/>
          </w:tcPr>
          <w:p>
            <w:pPr>
              <w:spacing w:after="0"/>
              <w:rPr>
                <w:sz w:val="23"/>
                <w:szCs w:val="23"/>
                <w:color w:val="auto"/>
              </w:rPr>
            </w:pPr>
          </w:p>
        </w:tc>
      </w:tr>
      <w:tr>
        <w:trPr>
          <w:trHeight w:val="270"/>
        </w:trPr>
        <w:tc>
          <w:tcPr>
            <w:tcW w:w="780" w:type="dxa"/>
            <w:vAlign w:val="bottom"/>
          </w:tcPr>
          <w:p>
            <w:pPr>
              <w:spacing w:after="0"/>
              <w:rPr>
                <w:sz w:val="23"/>
                <w:szCs w:val="23"/>
                <w:color w:val="auto"/>
              </w:rPr>
            </w:pPr>
          </w:p>
        </w:tc>
        <w:tc>
          <w:tcPr>
            <w:tcW w:w="4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Europe</w:t>
            </w:r>
          </w:p>
        </w:tc>
        <w:tc>
          <w:tcPr>
            <w:tcW w:w="1840" w:type="dxa"/>
            <w:vAlign w:val="bottom"/>
          </w:tcPr>
          <w:p>
            <w:pPr>
              <w:spacing w:after="0"/>
              <w:rPr>
                <w:sz w:val="23"/>
                <w:szCs w:val="23"/>
                <w:color w:val="auto"/>
              </w:rPr>
            </w:pPr>
          </w:p>
        </w:tc>
        <w:tc>
          <w:tcPr>
            <w:tcW w:w="1200" w:type="dxa"/>
            <w:vAlign w:val="bottom"/>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80" w:type="dxa"/>
            <w:vAlign w:val="bottom"/>
          </w:tcPr>
          <w:p>
            <w:pPr>
              <w:spacing w:after="0"/>
              <w:rPr>
                <w:sz w:val="23"/>
                <w:szCs w:val="23"/>
                <w:color w:val="auto"/>
              </w:rPr>
            </w:pPr>
          </w:p>
        </w:tc>
        <w:tc>
          <w:tcPr>
            <w:tcW w:w="4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Africa</w:t>
            </w:r>
          </w:p>
        </w:tc>
        <w:tc>
          <w:tcPr>
            <w:tcW w:w="1840" w:type="dxa"/>
            <w:vAlign w:val="bottom"/>
          </w:tcPr>
          <w:p>
            <w:pPr>
              <w:spacing w:after="0"/>
              <w:rPr>
                <w:sz w:val="23"/>
                <w:szCs w:val="23"/>
                <w:color w:val="auto"/>
              </w:rPr>
            </w:pPr>
          </w:p>
        </w:tc>
        <w:tc>
          <w:tcPr>
            <w:tcW w:w="1200" w:type="dxa"/>
            <w:vAlign w:val="bottom"/>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780" w:type="dxa"/>
            <w:vAlign w:val="bottom"/>
          </w:tcPr>
          <w:p>
            <w:pPr>
              <w:spacing w:after="0"/>
              <w:rPr>
                <w:sz w:val="24"/>
                <w:szCs w:val="24"/>
                <w:color w:val="auto"/>
              </w:rPr>
            </w:pPr>
          </w:p>
        </w:tc>
        <w:tc>
          <w:tcPr>
            <w:tcW w:w="4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Asia</w:t>
            </w:r>
          </w:p>
        </w:tc>
        <w:tc>
          <w:tcPr>
            <w:tcW w:w="1840" w:type="dxa"/>
            <w:vAlign w:val="bottom"/>
          </w:tcPr>
          <w:p>
            <w:pPr>
              <w:spacing w:after="0"/>
              <w:rPr>
                <w:sz w:val="24"/>
                <w:szCs w:val="24"/>
                <w:color w:val="auto"/>
              </w:rPr>
            </w:pPr>
          </w:p>
        </w:tc>
        <w:tc>
          <w:tcPr>
            <w:tcW w:w="1200" w:type="dxa"/>
            <w:vAlign w:val="bottom"/>
            <w:tcBorders>
              <w:bottom w:val="single" w:sz="8" w:color="F0F0F0"/>
            </w:tcBorders>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78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6</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760" w:type="dxa"/>
            <w:vAlign w:val="bottom"/>
          </w:tcPr>
          <w:p>
            <w:pPr>
              <w:spacing w:after="0"/>
              <w:rPr>
                <w:sz w:val="24"/>
                <w:szCs w:val="24"/>
                <w:color w:val="auto"/>
              </w:rPr>
            </w:pPr>
          </w:p>
        </w:tc>
      </w:tr>
      <w:tr>
        <w:trPr>
          <w:trHeight w:val="243"/>
        </w:trPr>
        <w:tc>
          <w:tcPr>
            <w:tcW w:w="780" w:type="dxa"/>
            <w:vAlign w:val="bottom"/>
          </w:tcPr>
          <w:p>
            <w:pPr>
              <w:spacing w:after="0"/>
              <w:rPr>
                <w:sz w:val="21"/>
                <w:szCs w:val="21"/>
                <w:color w:val="auto"/>
              </w:rPr>
            </w:pPr>
          </w:p>
        </w:tc>
        <w:tc>
          <w:tcPr>
            <w:tcW w:w="4020" w:type="dxa"/>
            <w:vAlign w:val="bottom"/>
            <w:tcBorders>
              <w:top w:val="single" w:sz="8" w:color="0C479D"/>
              <w:bottom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Total Equity Companies</w:t>
            </w:r>
          </w:p>
        </w:tc>
        <w:tc>
          <w:tcPr>
            <w:tcW w:w="1840" w:type="dxa"/>
            <w:vAlign w:val="bottom"/>
            <w:tcBorders>
              <w:top w:val="single" w:sz="8" w:color="0C479D"/>
              <w:bottom w:val="single" w:sz="8" w:color="0C479D"/>
            </w:tcBorders>
          </w:tcPr>
          <w:p>
            <w:pPr>
              <w:spacing w:after="0"/>
              <w:rPr>
                <w:sz w:val="21"/>
                <w:szCs w:val="21"/>
                <w:color w:val="auto"/>
              </w:rPr>
            </w:pPr>
          </w:p>
        </w:tc>
        <w:tc>
          <w:tcPr>
            <w:tcW w:w="1200" w:type="dxa"/>
            <w:vAlign w:val="bottom"/>
            <w:tcBorders>
              <w:top w:val="single" w:sz="8" w:color="0C479D"/>
              <w:bottom w:val="single" w:sz="8" w:color="0C479D"/>
            </w:tcBorders>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780" w:type="dxa"/>
            <w:vAlign w:val="bottom"/>
            <w:tcBorders>
              <w:top w:val="single" w:sz="8" w:color="0C479D"/>
              <w:bottom w:val="single" w:sz="8" w:color="0C479D"/>
            </w:tcBorders>
          </w:tcPr>
          <w:p>
            <w:pPr>
              <w:jc w:val="right"/>
              <w:ind w:right="471"/>
              <w:spacing w:after="0"/>
              <w:rPr>
                <w:sz w:val="20"/>
                <w:szCs w:val="20"/>
                <w:color w:val="auto"/>
              </w:rPr>
            </w:pPr>
            <w:r>
              <w:rPr>
                <w:rFonts w:ascii="Times New Roman" w:cs="Times New Roman" w:eastAsia="Times New Roman" w:hAnsi="Times New Roman"/>
                <w:sz w:val="18"/>
                <w:szCs w:val="18"/>
                <w:color w:val="auto"/>
              </w:rPr>
              <w:t>8</w:t>
            </w:r>
          </w:p>
        </w:tc>
        <w:tc>
          <w:tcPr>
            <w:tcW w:w="860" w:type="dxa"/>
            <w:vAlign w:val="bottom"/>
            <w:tcBorders>
              <w:top w:val="single" w:sz="8" w:color="0C479D"/>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760" w:type="dxa"/>
            <w:vAlign w:val="bottom"/>
          </w:tcPr>
          <w:p>
            <w:pPr>
              <w:spacing w:after="0"/>
              <w:rPr>
                <w:sz w:val="21"/>
                <w:szCs w:val="21"/>
                <w:color w:val="auto"/>
              </w:rPr>
            </w:pPr>
          </w:p>
        </w:tc>
      </w:tr>
      <w:tr>
        <w:trPr>
          <w:trHeight w:val="250"/>
        </w:trPr>
        <w:tc>
          <w:tcPr>
            <w:tcW w:w="780" w:type="dxa"/>
            <w:vAlign w:val="bottom"/>
          </w:tcPr>
          <w:p>
            <w:pPr>
              <w:spacing w:after="0"/>
              <w:rPr>
                <w:sz w:val="21"/>
                <w:szCs w:val="21"/>
                <w:color w:val="auto"/>
              </w:rPr>
            </w:pPr>
          </w:p>
        </w:tc>
        <w:tc>
          <w:tcPr>
            <w:tcW w:w="402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b w:val="1"/>
                <w:bCs w:val="1"/>
                <w:color w:val="auto"/>
              </w:rPr>
              <w:t>Total productive development wells drilled</w:t>
            </w:r>
          </w:p>
        </w:tc>
        <w:tc>
          <w:tcPr>
            <w:tcW w:w="1840" w:type="dxa"/>
            <w:vAlign w:val="bottom"/>
            <w:tcBorders>
              <w:bottom w:val="single" w:sz="8" w:color="0C479D"/>
            </w:tcBorders>
          </w:tcPr>
          <w:p>
            <w:pPr>
              <w:spacing w:after="0"/>
              <w:rPr>
                <w:sz w:val="21"/>
                <w:szCs w:val="21"/>
                <w:color w:val="auto"/>
              </w:rPr>
            </w:pPr>
          </w:p>
        </w:tc>
        <w:tc>
          <w:tcPr>
            <w:tcW w:w="1200" w:type="dxa"/>
            <w:vAlign w:val="bottom"/>
            <w:tcBorders>
              <w:bottom w:val="single" w:sz="8" w:color="0C479D"/>
            </w:tcBorders>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571</w:t>
            </w:r>
          </w:p>
        </w:tc>
        <w:tc>
          <w:tcPr>
            <w:tcW w:w="1780" w:type="dxa"/>
            <w:vAlign w:val="bottom"/>
            <w:tcBorders>
              <w:bottom w:val="single" w:sz="8" w:color="0C479D"/>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511</w:t>
            </w:r>
          </w:p>
        </w:tc>
        <w:tc>
          <w:tcPr>
            <w:tcW w:w="8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573</w:t>
            </w:r>
          </w:p>
        </w:tc>
        <w:tc>
          <w:tcPr>
            <w:tcW w:w="760" w:type="dxa"/>
            <w:vAlign w:val="bottom"/>
          </w:tcPr>
          <w:p>
            <w:pPr>
              <w:spacing w:after="0"/>
              <w:rPr>
                <w:sz w:val="21"/>
                <w:szCs w:val="21"/>
                <w:color w:val="auto"/>
              </w:rPr>
            </w:pPr>
          </w:p>
        </w:tc>
      </w:tr>
      <w:tr>
        <w:trPr>
          <w:trHeight w:val="527"/>
        </w:trPr>
        <w:tc>
          <w:tcPr>
            <w:tcW w:w="78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color w:val="0C479D"/>
              </w:rPr>
              <w:t>Net Dry Development Wells Drilled</w:t>
            </w:r>
          </w:p>
        </w:tc>
        <w:tc>
          <w:tcPr>
            <w:tcW w:w="1840" w:type="dxa"/>
            <w:vAlign w:val="bottom"/>
          </w:tcPr>
          <w:p>
            <w:pPr>
              <w:spacing w:after="0"/>
              <w:rPr>
                <w:sz w:val="24"/>
                <w:szCs w:val="24"/>
                <w:color w:val="auto"/>
              </w:rPr>
            </w:pPr>
          </w:p>
        </w:tc>
        <w:tc>
          <w:tcPr>
            <w:tcW w:w="1200" w:type="dxa"/>
            <w:vAlign w:val="bottom"/>
            <w:shd w:val="clear" w:color="auto" w:fill="F0F0F0"/>
          </w:tcPr>
          <w:p>
            <w:pPr>
              <w:spacing w:after="0"/>
              <w:rPr>
                <w:sz w:val="24"/>
                <w:szCs w:val="24"/>
                <w:color w:val="auto"/>
              </w:rPr>
            </w:pPr>
          </w:p>
        </w:tc>
        <w:tc>
          <w:tcPr>
            <w:tcW w:w="1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43"/>
        </w:trPr>
        <w:tc>
          <w:tcPr>
            <w:tcW w:w="780" w:type="dxa"/>
            <w:vAlign w:val="bottom"/>
          </w:tcPr>
          <w:p>
            <w:pPr>
              <w:spacing w:after="0"/>
              <w:rPr>
                <w:sz w:val="21"/>
                <w:szCs w:val="21"/>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Subsidiaries</w:t>
            </w:r>
          </w:p>
        </w:tc>
        <w:tc>
          <w:tcPr>
            <w:tcW w:w="1840" w:type="dxa"/>
            <w:vAlign w:val="bottom"/>
          </w:tcPr>
          <w:p>
            <w:pPr>
              <w:spacing w:after="0"/>
              <w:rPr>
                <w:sz w:val="21"/>
                <w:szCs w:val="21"/>
                <w:color w:val="auto"/>
              </w:rPr>
            </w:pPr>
          </w:p>
        </w:tc>
        <w:tc>
          <w:tcPr>
            <w:tcW w:w="1200" w:type="dxa"/>
            <w:vAlign w:val="bottom"/>
            <w:shd w:val="clear" w:color="auto" w:fill="F0F0F0"/>
          </w:tcPr>
          <w:p>
            <w:pPr>
              <w:spacing w:after="0"/>
              <w:rPr>
                <w:sz w:val="21"/>
                <w:szCs w:val="21"/>
                <w:color w:val="auto"/>
              </w:rPr>
            </w:pPr>
          </w:p>
        </w:tc>
        <w:tc>
          <w:tcPr>
            <w:tcW w:w="17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0"/>
        </w:trPr>
        <w:tc>
          <w:tcPr>
            <w:tcW w:w="780" w:type="dxa"/>
            <w:vAlign w:val="bottom"/>
          </w:tcPr>
          <w:p>
            <w:pPr>
              <w:spacing w:after="0"/>
              <w:rPr>
                <w:sz w:val="23"/>
                <w:szCs w:val="23"/>
                <w:color w:val="auto"/>
              </w:rPr>
            </w:pPr>
          </w:p>
        </w:tc>
        <w:tc>
          <w:tcPr>
            <w:tcW w:w="4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1840" w:type="dxa"/>
            <w:vAlign w:val="bottom"/>
          </w:tcPr>
          <w:p>
            <w:pPr>
              <w:spacing w:after="0"/>
              <w:rPr>
                <w:sz w:val="23"/>
                <w:szCs w:val="23"/>
                <w:color w:val="auto"/>
              </w:rPr>
            </w:pPr>
          </w:p>
        </w:tc>
        <w:tc>
          <w:tcPr>
            <w:tcW w:w="1200" w:type="dxa"/>
            <w:vAlign w:val="bottom"/>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78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80" w:type="dxa"/>
            <w:vAlign w:val="bottom"/>
          </w:tcPr>
          <w:p>
            <w:pPr>
              <w:spacing w:after="0"/>
              <w:rPr>
                <w:sz w:val="23"/>
                <w:szCs w:val="23"/>
                <w:color w:val="auto"/>
              </w:rPr>
            </w:pPr>
          </w:p>
        </w:tc>
        <w:tc>
          <w:tcPr>
            <w:tcW w:w="4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Canada/Other Americas</w:t>
            </w:r>
          </w:p>
        </w:tc>
        <w:tc>
          <w:tcPr>
            <w:tcW w:w="1840" w:type="dxa"/>
            <w:vAlign w:val="bottom"/>
          </w:tcPr>
          <w:p>
            <w:pPr>
              <w:spacing w:after="0"/>
              <w:rPr>
                <w:sz w:val="23"/>
                <w:szCs w:val="23"/>
                <w:color w:val="auto"/>
              </w:rPr>
            </w:pPr>
          </w:p>
        </w:tc>
        <w:tc>
          <w:tcPr>
            <w:tcW w:w="1200" w:type="dxa"/>
            <w:vAlign w:val="bottom"/>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80" w:type="dxa"/>
            <w:vAlign w:val="bottom"/>
          </w:tcPr>
          <w:p>
            <w:pPr>
              <w:spacing w:after="0"/>
              <w:rPr>
                <w:sz w:val="23"/>
                <w:szCs w:val="23"/>
                <w:color w:val="auto"/>
              </w:rPr>
            </w:pPr>
          </w:p>
        </w:tc>
        <w:tc>
          <w:tcPr>
            <w:tcW w:w="4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Europe</w:t>
            </w:r>
          </w:p>
        </w:tc>
        <w:tc>
          <w:tcPr>
            <w:tcW w:w="1840" w:type="dxa"/>
            <w:vAlign w:val="bottom"/>
          </w:tcPr>
          <w:p>
            <w:pPr>
              <w:spacing w:after="0"/>
              <w:rPr>
                <w:sz w:val="23"/>
                <w:szCs w:val="23"/>
                <w:color w:val="auto"/>
              </w:rPr>
            </w:pPr>
          </w:p>
        </w:tc>
        <w:tc>
          <w:tcPr>
            <w:tcW w:w="1200" w:type="dxa"/>
            <w:vAlign w:val="bottom"/>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80" w:type="dxa"/>
            <w:vAlign w:val="bottom"/>
          </w:tcPr>
          <w:p>
            <w:pPr>
              <w:spacing w:after="0"/>
              <w:rPr>
                <w:sz w:val="23"/>
                <w:szCs w:val="23"/>
                <w:color w:val="auto"/>
              </w:rPr>
            </w:pPr>
          </w:p>
        </w:tc>
        <w:tc>
          <w:tcPr>
            <w:tcW w:w="4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Africa</w:t>
            </w:r>
          </w:p>
        </w:tc>
        <w:tc>
          <w:tcPr>
            <w:tcW w:w="1840" w:type="dxa"/>
            <w:vAlign w:val="bottom"/>
          </w:tcPr>
          <w:p>
            <w:pPr>
              <w:spacing w:after="0"/>
              <w:rPr>
                <w:sz w:val="23"/>
                <w:szCs w:val="23"/>
                <w:color w:val="auto"/>
              </w:rPr>
            </w:pPr>
          </w:p>
        </w:tc>
        <w:tc>
          <w:tcPr>
            <w:tcW w:w="1200" w:type="dxa"/>
            <w:vAlign w:val="bottom"/>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78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80" w:type="dxa"/>
            <w:vAlign w:val="bottom"/>
          </w:tcPr>
          <w:p>
            <w:pPr>
              <w:spacing w:after="0"/>
              <w:rPr>
                <w:sz w:val="23"/>
                <w:szCs w:val="23"/>
                <w:color w:val="auto"/>
              </w:rPr>
            </w:pPr>
          </w:p>
        </w:tc>
        <w:tc>
          <w:tcPr>
            <w:tcW w:w="4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Asia</w:t>
            </w:r>
          </w:p>
        </w:tc>
        <w:tc>
          <w:tcPr>
            <w:tcW w:w="1840" w:type="dxa"/>
            <w:vAlign w:val="bottom"/>
          </w:tcPr>
          <w:p>
            <w:pPr>
              <w:spacing w:after="0"/>
              <w:rPr>
                <w:sz w:val="23"/>
                <w:szCs w:val="23"/>
                <w:color w:val="auto"/>
              </w:rPr>
            </w:pPr>
          </w:p>
        </w:tc>
        <w:tc>
          <w:tcPr>
            <w:tcW w:w="1200" w:type="dxa"/>
            <w:vAlign w:val="bottom"/>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780" w:type="dxa"/>
            <w:vAlign w:val="bottom"/>
          </w:tcPr>
          <w:p>
            <w:pPr>
              <w:spacing w:after="0"/>
              <w:rPr>
                <w:sz w:val="24"/>
                <w:szCs w:val="24"/>
                <w:color w:val="auto"/>
              </w:rPr>
            </w:pPr>
          </w:p>
        </w:tc>
        <w:tc>
          <w:tcPr>
            <w:tcW w:w="4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Australia/Oceania</w:t>
            </w:r>
          </w:p>
        </w:tc>
        <w:tc>
          <w:tcPr>
            <w:tcW w:w="1840" w:type="dxa"/>
            <w:vAlign w:val="bottom"/>
          </w:tcPr>
          <w:p>
            <w:pPr>
              <w:spacing w:after="0"/>
              <w:rPr>
                <w:sz w:val="24"/>
                <w:szCs w:val="24"/>
                <w:color w:val="auto"/>
              </w:rPr>
            </w:pPr>
          </w:p>
        </w:tc>
        <w:tc>
          <w:tcPr>
            <w:tcW w:w="1200" w:type="dxa"/>
            <w:vAlign w:val="bottom"/>
            <w:tcBorders>
              <w:bottom w:val="single" w:sz="8" w:color="F0F0F0"/>
            </w:tcBorders>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80" w:type="dxa"/>
            <w:vAlign w:val="bottom"/>
          </w:tcPr>
          <w:p>
            <w:pPr>
              <w:spacing w:after="0"/>
              <w:rPr>
                <w:sz w:val="21"/>
                <w:szCs w:val="21"/>
                <w:color w:val="auto"/>
              </w:rPr>
            </w:pPr>
          </w:p>
        </w:tc>
        <w:tc>
          <w:tcPr>
            <w:tcW w:w="4020" w:type="dxa"/>
            <w:vAlign w:val="bottom"/>
            <w:tcBorders>
              <w:top w:val="single" w:sz="8" w:color="0C479D"/>
              <w:bottom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Total Consolidated Subsidiaries</w:t>
            </w:r>
          </w:p>
        </w:tc>
        <w:tc>
          <w:tcPr>
            <w:tcW w:w="1840" w:type="dxa"/>
            <w:vAlign w:val="bottom"/>
            <w:tcBorders>
              <w:top w:val="single" w:sz="8" w:color="0C479D"/>
              <w:bottom w:val="single" w:sz="8" w:color="0C479D"/>
            </w:tcBorders>
          </w:tcPr>
          <w:p>
            <w:pPr>
              <w:spacing w:after="0"/>
              <w:rPr>
                <w:sz w:val="21"/>
                <w:szCs w:val="21"/>
                <w:color w:val="auto"/>
              </w:rPr>
            </w:pPr>
          </w:p>
        </w:tc>
        <w:tc>
          <w:tcPr>
            <w:tcW w:w="1200" w:type="dxa"/>
            <w:vAlign w:val="bottom"/>
            <w:tcBorders>
              <w:top w:val="single" w:sz="8" w:color="0C479D"/>
              <w:bottom w:val="single" w:sz="8" w:color="0C479D"/>
            </w:tcBorders>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780" w:type="dxa"/>
            <w:vAlign w:val="bottom"/>
            <w:tcBorders>
              <w:top w:val="single" w:sz="8" w:color="0C479D"/>
              <w:bottom w:val="single" w:sz="8" w:color="0C479D"/>
            </w:tcBorders>
          </w:tcPr>
          <w:p>
            <w:pPr>
              <w:jc w:val="right"/>
              <w:ind w:right="4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0C479D"/>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1"/>
                <w:szCs w:val="21"/>
                <w:color w:val="auto"/>
              </w:rPr>
            </w:pPr>
          </w:p>
        </w:tc>
      </w:tr>
      <w:tr>
        <w:trPr>
          <w:trHeight w:val="310"/>
        </w:trPr>
        <w:tc>
          <w:tcPr>
            <w:tcW w:w="78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 Companies</w:t>
            </w:r>
          </w:p>
        </w:tc>
        <w:tc>
          <w:tcPr>
            <w:tcW w:w="1840" w:type="dxa"/>
            <w:vAlign w:val="bottom"/>
          </w:tcPr>
          <w:p>
            <w:pPr>
              <w:spacing w:after="0"/>
              <w:rPr>
                <w:sz w:val="24"/>
                <w:szCs w:val="24"/>
                <w:color w:val="auto"/>
              </w:rPr>
            </w:pPr>
          </w:p>
        </w:tc>
        <w:tc>
          <w:tcPr>
            <w:tcW w:w="1200" w:type="dxa"/>
            <w:vAlign w:val="bottom"/>
            <w:shd w:val="clear" w:color="auto" w:fill="F0F0F0"/>
          </w:tcPr>
          <w:p>
            <w:pPr>
              <w:spacing w:after="0"/>
              <w:rPr>
                <w:sz w:val="24"/>
                <w:szCs w:val="24"/>
                <w:color w:val="auto"/>
              </w:rPr>
            </w:pPr>
          </w:p>
        </w:tc>
        <w:tc>
          <w:tcPr>
            <w:tcW w:w="1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43"/>
        </w:trPr>
        <w:tc>
          <w:tcPr>
            <w:tcW w:w="780" w:type="dxa"/>
            <w:vAlign w:val="bottom"/>
          </w:tcPr>
          <w:p>
            <w:pPr>
              <w:spacing w:after="0"/>
              <w:rPr>
                <w:sz w:val="21"/>
                <w:szCs w:val="21"/>
                <w:color w:val="auto"/>
              </w:rPr>
            </w:pPr>
          </w:p>
        </w:tc>
        <w:tc>
          <w:tcPr>
            <w:tcW w:w="4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1840" w:type="dxa"/>
            <w:vAlign w:val="bottom"/>
          </w:tcPr>
          <w:p>
            <w:pPr>
              <w:spacing w:after="0"/>
              <w:rPr>
                <w:sz w:val="21"/>
                <w:szCs w:val="21"/>
                <w:color w:val="auto"/>
              </w:rPr>
            </w:pPr>
          </w:p>
        </w:tc>
        <w:tc>
          <w:tcPr>
            <w:tcW w:w="1200" w:type="dxa"/>
            <w:vAlign w:val="bottom"/>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80" w:type="dxa"/>
            <w:vAlign w:val="bottom"/>
          </w:tcPr>
          <w:p>
            <w:pPr>
              <w:spacing w:after="0"/>
              <w:rPr>
                <w:sz w:val="23"/>
                <w:szCs w:val="23"/>
                <w:color w:val="auto"/>
              </w:rPr>
            </w:pPr>
          </w:p>
        </w:tc>
        <w:tc>
          <w:tcPr>
            <w:tcW w:w="4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Europe</w:t>
            </w:r>
          </w:p>
        </w:tc>
        <w:tc>
          <w:tcPr>
            <w:tcW w:w="1840" w:type="dxa"/>
            <w:vAlign w:val="bottom"/>
          </w:tcPr>
          <w:p>
            <w:pPr>
              <w:spacing w:after="0"/>
              <w:rPr>
                <w:sz w:val="23"/>
                <w:szCs w:val="23"/>
                <w:color w:val="auto"/>
              </w:rPr>
            </w:pPr>
          </w:p>
        </w:tc>
        <w:tc>
          <w:tcPr>
            <w:tcW w:w="1200" w:type="dxa"/>
            <w:vAlign w:val="bottom"/>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80" w:type="dxa"/>
            <w:vAlign w:val="bottom"/>
          </w:tcPr>
          <w:p>
            <w:pPr>
              <w:spacing w:after="0"/>
              <w:rPr>
                <w:sz w:val="23"/>
                <w:szCs w:val="23"/>
                <w:color w:val="auto"/>
              </w:rPr>
            </w:pPr>
          </w:p>
        </w:tc>
        <w:tc>
          <w:tcPr>
            <w:tcW w:w="4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Africa</w:t>
            </w:r>
          </w:p>
        </w:tc>
        <w:tc>
          <w:tcPr>
            <w:tcW w:w="1840" w:type="dxa"/>
            <w:vAlign w:val="bottom"/>
          </w:tcPr>
          <w:p>
            <w:pPr>
              <w:spacing w:after="0"/>
              <w:rPr>
                <w:sz w:val="23"/>
                <w:szCs w:val="23"/>
                <w:color w:val="auto"/>
              </w:rPr>
            </w:pPr>
          </w:p>
        </w:tc>
        <w:tc>
          <w:tcPr>
            <w:tcW w:w="1200" w:type="dxa"/>
            <w:vAlign w:val="bottom"/>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780" w:type="dxa"/>
            <w:vAlign w:val="bottom"/>
          </w:tcPr>
          <w:p>
            <w:pPr>
              <w:spacing w:after="0"/>
              <w:rPr>
                <w:sz w:val="24"/>
                <w:szCs w:val="24"/>
                <w:color w:val="auto"/>
              </w:rPr>
            </w:pPr>
          </w:p>
        </w:tc>
        <w:tc>
          <w:tcPr>
            <w:tcW w:w="4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Asia</w:t>
            </w:r>
          </w:p>
        </w:tc>
        <w:tc>
          <w:tcPr>
            <w:tcW w:w="1840" w:type="dxa"/>
            <w:vAlign w:val="bottom"/>
          </w:tcPr>
          <w:p>
            <w:pPr>
              <w:spacing w:after="0"/>
              <w:rPr>
                <w:sz w:val="24"/>
                <w:szCs w:val="24"/>
                <w:color w:val="auto"/>
              </w:rPr>
            </w:pPr>
          </w:p>
        </w:tc>
        <w:tc>
          <w:tcPr>
            <w:tcW w:w="1200" w:type="dxa"/>
            <w:vAlign w:val="bottom"/>
            <w:tcBorders>
              <w:bottom w:val="single" w:sz="8" w:color="F0F0F0"/>
            </w:tcBorders>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80" w:type="dxa"/>
            <w:vAlign w:val="bottom"/>
          </w:tcPr>
          <w:p>
            <w:pPr>
              <w:spacing w:after="0"/>
              <w:rPr>
                <w:sz w:val="21"/>
                <w:szCs w:val="21"/>
                <w:color w:val="auto"/>
              </w:rPr>
            </w:pPr>
          </w:p>
        </w:tc>
        <w:tc>
          <w:tcPr>
            <w:tcW w:w="4020" w:type="dxa"/>
            <w:vAlign w:val="bottom"/>
            <w:tcBorders>
              <w:top w:val="single" w:sz="8" w:color="0C479D"/>
              <w:bottom w:val="single" w:sz="8" w:color="0C479D"/>
            </w:tcBorders>
          </w:tcPr>
          <w:p>
            <w:pPr>
              <w:spacing w:after="0"/>
              <w:rPr>
                <w:sz w:val="20"/>
                <w:szCs w:val="20"/>
                <w:color w:val="auto"/>
              </w:rPr>
            </w:pPr>
            <w:r>
              <w:rPr>
                <w:rFonts w:ascii="Times New Roman" w:cs="Times New Roman" w:eastAsia="Times New Roman" w:hAnsi="Times New Roman"/>
                <w:sz w:val="18"/>
                <w:szCs w:val="18"/>
                <w:color w:val="auto"/>
              </w:rPr>
              <w:t>Total Equity Companies</w:t>
            </w:r>
          </w:p>
        </w:tc>
        <w:tc>
          <w:tcPr>
            <w:tcW w:w="1840" w:type="dxa"/>
            <w:vAlign w:val="bottom"/>
            <w:tcBorders>
              <w:top w:val="single" w:sz="8" w:color="0C479D"/>
              <w:bottom w:val="single" w:sz="8" w:color="0C479D"/>
            </w:tcBorders>
          </w:tcPr>
          <w:p>
            <w:pPr>
              <w:spacing w:after="0"/>
              <w:rPr>
                <w:sz w:val="21"/>
                <w:szCs w:val="21"/>
                <w:color w:val="auto"/>
              </w:rPr>
            </w:pPr>
          </w:p>
        </w:tc>
        <w:tc>
          <w:tcPr>
            <w:tcW w:w="1200" w:type="dxa"/>
            <w:vAlign w:val="bottom"/>
            <w:tcBorders>
              <w:top w:val="single" w:sz="8" w:color="0C479D"/>
              <w:bottom w:val="single" w:sz="8" w:color="0C479D"/>
            </w:tcBorders>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0C479D"/>
              <w:bottom w:val="single" w:sz="8" w:color="0C479D"/>
            </w:tcBorders>
          </w:tcPr>
          <w:p>
            <w:pPr>
              <w:jc w:val="right"/>
              <w:ind w:right="47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0C479D"/>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21"/>
                <w:szCs w:val="21"/>
                <w:color w:val="auto"/>
              </w:rPr>
            </w:pPr>
          </w:p>
        </w:tc>
      </w:tr>
      <w:tr>
        <w:trPr>
          <w:trHeight w:val="250"/>
        </w:trPr>
        <w:tc>
          <w:tcPr>
            <w:tcW w:w="780" w:type="dxa"/>
            <w:vAlign w:val="bottom"/>
          </w:tcPr>
          <w:p>
            <w:pPr>
              <w:spacing w:after="0"/>
              <w:rPr>
                <w:sz w:val="21"/>
                <w:szCs w:val="21"/>
                <w:color w:val="auto"/>
              </w:rPr>
            </w:pPr>
          </w:p>
        </w:tc>
        <w:tc>
          <w:tcPr>
            <w:tcW w:w="402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b w:val="1"/>
                <w:bCs w:val="1"/>
                <w:color w:val="auto"/>
              </w:rPr>
              <w:t>Total dry development wells drilled</w:t>
            </w:r>
          </w:p>
        </w:tc>
        <w:tc>
          <w:tcPr>
            <w:tcW w:w="1840" w:type="dxa"/>
            <w:vAlign w:val="bottom"/>
            <w:tcBorders>
              <w:bottom w:val="single" w:sz="8" w:color="0C479D"/>
            </w:tcBorders>
          </w:tcPr>
          <w:p>
            <w:pPr>
              <w:spacing w:after="0"/>
              <w:rPr>
                <w:sz w:val="21"/>
                <w:szCs w:val="21"/>
                <w:color w:val="auto"/>
              </w:rPr>
            </w:pPr>
          </w:p>
        </w:tc>
        <w:tc>
          <w:tcPr>
            <w:tcW w:w="1200" w:type="dxa"/>
            <w:vAlign w:val="bottom"/>
            <w:tcBorders>
              <w:bottom w:val="single" w:sz="8" w:color="0C479D"/>
            </w:tcBorders>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w:t>
            </w:r>
          </w:p>
        </w:tc>
        <w:tc>
          <w:tcPr>
            <w:tcW w:w="1780" w:type="dxa"/>
            <w:vAlign w:val="bottom"/>
            <w:tcBorders>
              <w:bottom w:val="single" w:sz="8" w:color="0C479D"/>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spacing w:after="0"/>
              <w:rPr>
                <w:sz w:val="21"/>
                <w:szCs w:val="21"/>
                <w:color w:val="auto"/>
              </w:rPr>
            </w:pPr>
          </w:p>
        </w:tc>
      </w:tr>
      <w:tr>
        <w:trPr>
          <w:trHeight w:val="250"/>
        </w:trPr>
        <w:tc>
          <w:tcPr>
            <w:tcW w:w="780" w:type="dxa"/>
            <w:vAlign w:val="bottom"/>
          </w:tcPr>
          <w:p>
            <w:pPr>
              <w:spacing w:after="0"/>
              <w:rPr>
                <w:sz w:val="21"/>
                <w:szCs w:val="21"/>
                <w:color w:val="auto"/>
              </w:rPr>
            </w:pPr>
          </w:p>
        </w:tc>
        <w:tc>
          <w:tcPr>
            <w:tcW w:w="4020" w:type="dxa"/>
            <w:vAlign w:val="bottom"/>
            <w:tcBorders>
              <w:bottom w:val="single" w:sz="8" w:color="0C479D"/>
            </w:tcBorders>
          </w:tcPr>
          <w:p>
            <w:pPr>
              <w:spacing w:after="0"/>
              <w:rPr>
                <w:sz w:val="21"/>
                <w:szCs w:val="21"/>
                <w:color w:val="auto"/>
              </w:rPr>
            </w:pPr>
          </w:p>
        </w:tc>
        <w:tc>
          <w:tcPr>
            <w:tcW w:w="1840" w:type="dxa"/>
            <w:vAlign w:val="bottom"/>
            <w:tcBorders>
              <w:bottom w:val="single" w:sz="8" w:color="0C479D"/>
            </w:tcBorders>
          </w:tcPr>
          <w:p>
            <w:pPr>
              <w:spacing w:after="0"/>
              <w:rPr>
                <w:sz w:val="21"/>
                <w:szCs w:val="21"/>
                <w:color w:val="auto"/>
              </w:rPr>
            </w:pPr>
          </w:p>
        </w:tc>
        <w:tc>
          <w:tcPr>
            <w:tcW w:w="1200" w:type="dxa"/>
            <w:vAlign w:val="bottom"/>
            <w:tcBorders>
              <w:bottom w:val="single" w:sz="8" w:color="0C479D"/>
            </w:tcBorders>
            <w:shd w:val="clear" w:color="auto" w:fill="F0F0F0"/>
          </w:tcPr>
          <w:p>
            <w:pPr>
              <w:spacing w:after="0"/>
              <w:rPr>
                <w:sz w:val="21"/>
                <w:szCs w:val="21"/>
                <w:color w:val="auto"/>
              </w:rPr>
            </w:pPr>
          </w:p>
        </w:tc>
        <w:tc>
          <w:tcPr>
            <w:tcW w:w="1780" w:type="dxa"/>
            <w:vAlign w:val="bottom"/>
            <w:tcBorders>
              <w:bottom w:val="single" w:sz="8" w:color="0C479D"/>
            </w:tcBorders>
          </w:tcPr>
          <w:p>
            <w:pPr>
              <w:spacing w:after="0"/>
              <w:rPr>
                <w:sz w:val="21"/>
                <w:szCs w:val="21"/>
                <w:color w:val="auto"/>
              </w:rPr>
            </w:pPr>
          </w:p>
        </w:tc>
        <w:tc>
          <w:tcPr>
            <w:tcW w:w="860" w:type="dxa"/>
            <w:vAlign w:val="bottom"/>
            <w:tcBorders>
              <w:bottom w:val="single" w:sz="8" w:color="0C479D"/>
            </w:tcBorders>
          </w:tcPr>
          <w:p>
            <w:pPr>
              <w:spacing w:after="0"/>
              <w:rPr>
                <w:sz w:val="21"/>
                <w:szCs w:val="21"/>
                <w:color w:val="auto"/>
              </w:rPr>
            </w:pPr>
          </w:p>
        </w:tc>
        <w:tc>
          <w:tcPr>
            <w:tcW w:w="760" w:type="dxa"/>
            <w:vAlign w:val="bottom"/>
          </w:tcPr>
          <w:p>
            <w:pPr>
              <w:spacing w:after="0"/>
              <w:rPr>
                <w:sz w:val="21"/>
                <w:szCs w:val="21"/>
                <w:color w:val="auto"/>
              </w:rPr>
            </w:pPr>
          </w:p>
        </w:tc>
      </w:tr>
      <w:tr>
        <w:trPr>
          <w:trHeight w:val="250"/>
        </w:trPr>
        <w:tc>
          <w:tcPr>
            <w:tcW w:w="780" w:type="dxa"/>
            <w:vAlign w:val="bottom"/>
          </w:tcPr>
          <w:p>
            <w:pPr>
              <w:spacing w:after="0"/>
              <w:rPr>
                <w:sz w:val="21"/>
                <w:szCs w:val="21"/>
                <w:color w:val="auto"/>
              </w:rPr>
            </w:pPr>
          </w:p>
        </w:tc>
        <w:tc>
          <w:tcPr>
            <w:tcW w:w="402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b w:val="1"/>
                <w:bCs w:val="1"/>
                <w:color w:val="auto"/>
              </w:rPr>
              <w:t>Total number of net wells drilled</w:t>
            </w:r>
          </w:p>
        </w:tc>
        <w:tc>
          <w:tcPr>
            <w:tcW w:w="1840" w:type="dxa"/>
            <w:vAlign w:val="bottom"/>
            <w:tcBorders>
              <w:bottom w:val="single" w:sz="8" w:color="0C479D"/>
            </w:tcBorders>
          </w:tcPr>
          <w:p>
            <w:pPr>
              <w:spacing w:after="0"/>
              <w:rPr>
                <w:sz w:val="21"/>
                <w:szCs w:val="21"/>
                <w:color w:val="auto"/>
              </w:rPr>
            </w:pPr>
          </w:p>
        </w:tc>
        <w:tc>
          <w:tcPr>
            <w:tcW w:w="1200" w:type="dxa"/>
            <w:vAlign w:val="bottom"/>
            <w:tcBorders>
              <w:bottom w:val="single" w:sz="8" w:color="0C479D"/>
            </w:tcBorders>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590</w:t>
            </w:r>
          </w:p>
        </w:tc>
        <w:tc>
          <w:tcPr>
            <w:tcW w:w="1780" w:type="dxa"/>
            <w:vAlign w:val="bottom"/>
            <w:tcBorders>
              <w:bottom w:val="single" w:sz="8" w:color="0C479D"/>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517</w:t>
            </w:r>
          </w:p>
        </w:tc>
        <w:tc>
          <w:tcPr>
            <w:tcW w:w="8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581</w:t>
            </w:r>
          </w:p>
        </w:tc>
        <w:tc>
          <w:tcPr>
            <w:tcW w:w="760" w:type="dxa"/>
            <w:vAlign w:val="bottom"/>
          </w:tcPr>
          <w:p>
            <w:pPr>
              <w:spacing w:after="0"/>
              <w:rPr>
                <w:sz w:val="21"/>
                <w:szCs w:val="21"/>
                <w:color w:val="auto"/>
              </w:rPr>
            </w:pPr>
          </w:p>
        </w:tc>
      </w:tr>
      <w:tr>
        <w:trPr>
          <w:trHeight w:val="743"/>
        </w:trPr>
        <w:tc>
          <w:tcPr>
            <w:tcW w:w="7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840" w:type="dxa"/>
            <w:vAlign w:val="bottom"/>
          </w:tcPr>
          <w:p>
            <w:pPr>
              <w:jc w:val="right"/>
              <w:ind w:right="839"/>
              <w:spacing w:after="0"/>
              <w:rPr>
                <w:sz w:val="20"/>
                <w:szCs w:val="20"/>
                <w:color w:val="auto"/>
              </w:rPr>
            </w:pPr>
            <w:r>
              <w:rPr>
                <w:rFonts w:ascii="Times New Roman" w:cs="Times New Roman" w:eastAsia="Times New Roman" w:hAnsi="Times New Roman"/>
                <w:sz w:val="18"/>
                <w:szCs w:val="18"/>
                <w:color w:val="auto"/>
              </w:rPr>
              <w:t>15</w:t>
            </w:r>
          </w:p>
        </w:tc>
        <w:tc>
          <w:tcPr>
            <w:tcW w:w="1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15"/>
        </w:trPr>
        <w:tc>
          <w:tcPr>
            <w:tcW w:w="78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0C479D"/>
        </w:rPr>
        <w:t>B. Exploratory and Development Activities Regarding Oil and Gas Resources Extracted by Mining Technologies</w:t>
      </w:r>
    </w:p>
    <w:p>
      <w:pPr>
        <w:spacing w:after="0" w:line="10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Syncrude Operations. </w:t>
      </w:r>
      <w:r>
        <w:rPr>
          <w:rFonts w:ascii="Times New Roman" w:cs="Times New Roman" w:eastAsia="Times New Roman" w:hAnsi="Times New Roman"/>
          <w:sz w:val="18"/>
          <w:szCs w:val="18"/>
          <w:color w:val="auto"/>
        </w:rPr>
        <w:t>Syncrude is a joint venture established to recover shallow deposits of oil sands using open-pit mining methods to extract the crude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bitumen, and then upgrade it to produce a high-quality, light (32 degrees API), sweet, synthetic crude oil. Imperial Oil Limited is the owner of a 25 percent interest in the joint venture. Exxon Mobil Corporation has a 69.6 percent interest in Imperial Oil Limited. In 2024, the Company’s share of net production of synthetic crude oil was about 62 thousand barrels per day and share of net acreage was about 55 thousand acres in the Athabasca oil sands deposit.</w:t>
      </w:r>
    </w:p>
    <w:p>
      <w:pPr>
        <w:spacing w:after="0" w:line="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Kearl Operations. </w:t>
      </w:r>
      <w:r>
        <w:rPr>
          <w:rFonts w:ascii="Times New Roman" w:cs="Times New Roman" w:eastAsia="Times New Roman" w:hAnsi="Times New Roman"/>
          <w:sz w:val="18"/>
          <w:szCs w:val="18"/>
          <w:color w:val="auto"/>
        </w:rPr>
        <w:t>Kearl is a joint venture established to recover shallow deposits of oil sands using open-pit mining methods to extract the crude bitumen.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Imperial Oil Limited holds a 70.96 percent interest in the joint venture and ExxonMobil Canada Properties holds the other 29.04 percent. Exxon Mobil Corporation has a 69.6 percent interest in Imperial Oil Limited and a 100 percent interest in ExxonMobil Canada Properties. Kearl is comprised of six oil sands leases covering about 49 thousand acres in the Athabasca oil sands deposit.</w:t>
      </w:r>
    </w:p>
    <w:p>
      <w:pPr>
        <w:spacing w:after="0" w:line="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Kearl is located approximately 40 miles north of Fort McMurray, Alberta, Canada. Bitumen is extracted from oil sands and processed through bitumen extraction and froth treatment trains. The product, a blend of bitumen and diluent, is shipped to our refineries and to other third parties. Diluent is natural gas condensate or other light hydrocarbons added to the crude bitumen to facilitate transportation. During 2024, average net production at Kearl was about 262 thousand barrels per day.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C479D"/>
        </w:rPr>
        <w:t>5. Present Activities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479D"/>
        </w:rPr>
        <w:t>A. Wells Drilling</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0" w:type="dxa"/>
            <w:vAlign w:val="bottom"/>
          </w:tcPr>
          <w:p>
            <w:pPr>
              <w:spacing w:after="0"/>
              <w:rPr>
                <w:sz w:val="18"/>
                <w:szCs w:val="18"/>
                <w:color w:val="auto"/>
              </w:rPr>
            </w:pPr>
          </w:p>
        </w:tc>
        <w:tc>
          <w:tcPr>
            <w:tcW w:w="3620" w:type="dxa"/>
            <w:vAlign w:val="bottom"/>
            <w:vMerge w:val="restart"/>
            <w:shd w:val="clear" w:color="auto" w:fill="0C479D"/>
          </w:tcPr>
          <w:p>
            <w:pPr>
              <w:spacing w:after="0"/>
              <w:rPr>
                <w:sz w:val="20"/>
                <w:szCs w:val="20"/>
                <w:color w:val="auto"/>
              </w:rPr>
            </w:pPr>
            <w:r>
              <w:rPr>
                <w:rFonts w:ascii="Times New Roman" w:cs="Times New Roman" w:eastAsia="Times New Roman" w:hAnsi="Times New Roman"/>
                <w:sz w:val="18"/>
                <w:szCs w:val="18"/>
                <w:b w:val="1"/>
                <w:bCs w:val="1"/>
                <w:color w:val="FFFFFF"/>
              </w:rPr>
              <w:t>Wells Drilling</w:t>
            </w:r>
          </w:p>
        </w:tc>
        <w:tc>
          <w:tcPr>
            <w:tcW w:w="1880" w:type="dxa"/>
            <w:vAlign w:val="bottom"/>
            <w:shd w:val="clear" w:color="auto" w:fill="0C479D"/>
          </w:tcPr>
          <w:p>
            <w:pPr>
              <w:spacing w:after="0"/>
              <w:rPr>
                <w:sz w:val="18"/>
                <w:szCs w:val="18"/>
                <w:color w:val="auto"/>
              </w:rPr>
            </w:pPr>
          </w:p>
        </w:tc>
        <w:tc>
          <w:tcPr>
            <w:tcW w:w="2040" w:type="dxa"/>
            <w:vAlign w:val="bottom"/>
            <w:gridSpan w:val="2"/>
            <w:shd w:val="clear" w:color="auto" w:fill="0C479D"/>
          </w:tcPr>
          <w:p>
            <w:pPr>
              <w:jc w:val="right"/>
              <w:ind w:right="491"/>
              <w:spacing w:after="0"/>
              <w:rPr>
                <w:sz w:val="20"/>
                <w:szCs w:val="20"/>
                <w:color w:val="auto"/>
              </w:rPr>
            </w:pPr>
            <w:r>
              <w:rPr>
                <w:rFonts w:ascii="Times New Roman" w:cs="Times New Roman" w:eastAsia="Times New Roman" w:hAnsi="Times New Roman"/>
                <w:sz w:val="14"/>
                <w:szCs w:val="14"/>
                <w:b w:val="1"/>
                <w:bCs w:val="1"/>
                <w:color w:val="FFFFFF"/>
              </w:rPr>
              <w:t>Year-End 2024</w:t>
            </w:r>
          </w:p>
        </w:tc>
        <w:tc>
          <w:tcPr>
            <w:tcW w:w="2160" w:type="dxa"/>
            <w:vAlign w:val="bottom"/>
            <w:gridSpan w:val="2"/>
            <w:shd w:val="clear" w:color="auto" w:fill="0C479D"/>
          </w:tcPr>
          <w:p>
            <w:pPr>
              <w:jc w:val="right"/>
              <w:ind w:right="491"/>
              <w:spacing w:after="0"/>
              <w:rPr>
                <w:sz w:val="20"/>
                <w:szCs w:val="20"/>
                <w:color w:val="auto"/>
              </w:rPr>
            </w:pPr>
            <w:r>
              <w:rPr>
                <w:rFonts w:ascii="Times New Roman" w:cs="Times New Roman" w:eastAsia="Times New Roman" w:hAnsi="Times New Roman"/>
                <w:sz w:val="14"/>
                <w:szCs w:val="14"/>
                <w:b w:val="1"/>
                <w:bCs w:val="1"/>
                <w:color w:val="FFFFFF"/>
              </w:rPr>
              <w:t>Year-End 2023</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780" w:type="dxa"/>
            <w:vAlign w:val="bottom"/>
          </w:tcPr>
          <w:p>
            <w:pPr>
              <w:spacing w:after="0"/>
              <w:rPr>
                <w:sz w:val="14"/>
                <w:szCs w:val="14"/>
                <w:color w:val="auto"/>
              </w:rPr>
            </w:pPr>
          </w:p>
        </w:tc>
        <w:tc>
          <w:tcPr>
            <w:tcW w:w="3620" w:type="dxa"/>
            <w:vAlign w:val="bottom"/>
            <w:vMerge w:val="continue"/>
            <w:shd w:val="clear" w:color="auto" w:fill="0C479D"/>
          </w:tcPr>
          <w:p>
            <w:pPr>
              <w:spacing w:after="0"/>
              <w:rPr>
                <w:sz w:val="14"/>
                <w:szCs w:val="14"/>
                <w:color w:val="auto"/>
              </w:rPr>
            </w:pPr>
          </w:p>
        </w:tc>
        <w:tc>
          <w:tcPr>
            <w:tcW w:w="1880" w:type="dxa"/>
            <w:vAlign w:val="bottom"/>
            <w:shd w:val="clear" w:color="auto" w:fill="0C479D"/>
          </w:tcPr>
          <w:p>
            <w:pPr>
              <w:spacing w:after="0"/>
              <w:rPr>
                <w:sz w:val="14"/>
                <w:szCs w:val="14"/>
                <w:color w:val="auto"/>
              </w:rPr>
            </w:pPr>
          </w:p>
        </w:tc>
        <w:tc>
          <w:tcPr>
            <w:tcW w:w="1020" w:type="dxa"/>
            <w:vAlign w:val="bottom"/>
            <w:vMerge w:val="restart"/>
            <w:shd w:val="clear" w:color="auto" w:fill="0C479D"/>
          </w:tcPr>
          <w:p>
            <w:pPr>
              <w:jc w:val="right"/>
              <w:ind w:right="252"/>
              <w:spacing w:after="0"/>
              <w:rPr>
                <w:sz w:val="20"/>
                <w:szCs w:val="20"/>
                <w:color w:val="auto"/>
              </w:rPr>
            </w:pPr>
            <w:r>
              <w:rPr>
                <w:rFonts w:ascii="Times New Roman" w:cs="Times New Roman" w:eastAsia="Times New Roman" w:hAnsi="Times New Roman"/>
                <w:sz w:val="14"/>
                <w:szCs w:val="14"/>
                <w:b w:val="1"/>
                <w:bCs w:val="1"/>
                <w:color w:val="FFFFFF"/>
              </w:rPr>
              <w:t>Gross</w:t>
            </w:r>
          </w:p>
        </w:tc>
        <w:tc>
          <w:tcPr>
            <w:tcW w:w="1020" w:type="dxa"/>
            <w:vAlign w:val="bottom"/>
            <w:vMerge w:val="restart"/>
            <w:shd w:val="clear" w:color="auto" w:fill="0C479D"/>
          </w:tcPr>
          <w:p>
            <w:pPr>
              <w:jc w:val="right"/>
              <w:ind w:right="331"/>
              <w:spacing w:after="0"/>
              <w:rPr>
                <w:sz w:val="20"/>
                <w:szCs w:val="20"/>
                <w:color w:val="auto"/>
              </w:rPr>
            </w:pPr>
            <w:r>
              <w:rPr>
                <w:rFonts w:ascii="Times New Roman" w:cs="Times New Roman" w:eastAsia="Times New Roman" w:hAnsi="Times New Roman"/>
                <w:sz w:val="14"/>
                <w:szCs w:val="14"/>
                <w:b w:val="1"/>
                <w:bCs w:val="1"/>
                <w:color w:val="FFFFFF"/>
              </w:rPr>
              <w:t>Net</w:t>
            </w:r>
          </w:p>
        </w:tc>
        <w:tc>
          <w:tcPr>
            <w:tcW w:w="1300" w:type="dxa"/>
            <w:vAlign w:val="bottom"/>
            <w:vMerge w:val="restart"/>
            <w:shd w:val="clear" w:color="auto" w:fill="0C479D"/>
          </w:tcPr>
          <w:p>
            <w:pPr>
              <w:jc w:val="right"/>
              <w:ind w:right="412"/>
              <w:spacing w:after="0"/>
              <w:rPr>
                <w:sz w:val="20"/>
                <w:szCs w:val="20"/>
                <w:color w:val="auto"/>
              </w:rPr>
            </w:pPr>
            <w:r>
              <w:rPr>
                <w:rFonts w:ascii="Times New Roman" w:cs="Times New Roman" w:eastAsia="Times New Roman" w:hAnsi="Times New Roman"/>
                <w:sz w:val="14"/>
                <w:szCs w:val="14"/>
                <w:b w:val="1"/>
                <w:bCs w:val="1"/>
                <w:color w:val="FFFFFF"/>
              </w:rPr>
              <w:t>Gross</w:t>
            </w:r>
          </w:p>
        </w:tc>
        <w:tc>
          <w:tcPr>
            <w:tcW w:w="860" w:type="dxa"/>
            <w:vAlign w:val="bottom"/>
            <w:vMerge w:val="restart"/>
            <w:shd w:val="clear" w:color="auto" w:fill="0C479D"/>
          </w:tcPr>
          <w:p>
            <w:pPr>
              <w:jc w:val="right"/>
              <w:ind w:right="311"/>
              <w:spacing w:after="0"/>
              <w:rPr>
                <w:sz w:val="20"/>
                <w:szCs w:val="20"/>
                <w:color w:val="auto"/>
              </w:rPr>
            </w:pPr>
            <w:r>
              <w:rPr>
                <w:rFonts w:ascii="Times New Roman" w:cs="Times New Roman" w:eastAsia="Times New Roman" w:hAnsi="Times New Roman"/>
                <w:sz w:val="14"/>
                <w:szCs w:val="14"/>
                <w:b w:val="1"/>
                <w:bCs w:val="1"/>
                <w:color w:val="FFFFFF"/>
              </w:rPr>
              <w:t>Net</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780" w:type="dxa"/>
            <w:vAlign w:val="bottom"/>
          </w:tcPr>
          <w:p>
            <w:pPr>
              <w:spacing w:after="0"/>
              <w:rPr>
                <w:sz w:val="11"/>
                <w:szCs w:val="11"/>
                <w:color w:val="auto"/>
              </w:rPr>
            </w:pPr>
          </w:p>
        </w:tc>
        <w:tc>
          <w:tcPr>
            <w:tcW w:w="3620" w:type="dxa"/>
            <w:vAlign w:val="bottom"/>
            <w:tcBorders>
              <w:bottom w:val="single" w:sz="8" w:color="0C479D"/>
            </w:tcBorders>
            <w:shd w:val="clear" w:color="auto" w:fill="0C479D"/>
          </w:tcPr>
          <w:p>
            <w:pPr>
              <w:spacing w:after="0"/>
              <w:rPr>
                <w:sz w:val="11"/>
                <w:szCs w:val="11"/>
                <w:color w:val="auto"/>
              </w:rPr>
            </w:pPr>
          </w:p>
        </w:tc>
        <w:tc>
          <w:tcPr>
            <w:tcW w:w="1880" w:type="dxa"/>
            <w:vAlign w:val="bottom"/>
            <w:tcBorders>
              <w:bottom w:val="single" w:sz="8" w:color="0C479D"/>
            </w:tcBorders>
            <w:shd w:val="clear" w:color="auto" w:fill="0C479D"/>
          </w:tcPr>
          <w:p>
            <w:pPr>
              <w:spacing w:after="0"/>
              <w:rPr>
                <w:sz w:val="11"/>
                <w:szCs w:val="11"/>
                <w:color w:val="auto"/>
              </w:rPr>
            </w:pPr>
          </w:p>
        </w:tc>
        <w:tc>
          <w:tcPr>
            <w:tcW w:w="1020" w:type="dxa"/>
            <w:vAlign w:val="bottom"/>
            <w:tcBorders>
              <w:bottom w:val="single" w:sz="8" w:color="0C479D"/>
            </w:tcBorders>
            <w:vMerge w:val="continue"/>
            <w:shd w:val="clear" w:color="auto" w:fill="0C479D"/>
          </w:tcPr>
          <w:p>
            <w:pPr>
              <w:spacing w:after="0"/>
              <w:rPr>
                <w:sz w:val="11"/>
                <w:szCs w:val="11"/>
                <w:color w:val="auto"/>
              </w:rPr>
            </w:pPr>
          </w:p>
        </w:tc>
        <w:tc>
          <w:tcPr>
            <w:tcW w:w="1020" w:type="dxa"/>
            <w:vAlign w:val="bottom"/>
            <w:tcBorders>
              <w:bottom w:val="single" w:sz="8" w:color="0C479D"/>
            </w:tcBorders>
            <w:vMerge w:val="continue"/>
            <w:shd w:val="clear" w:color="auto" w:fill="0C479D"/>
          </w:tcPr>
          <w:p>
            <w:pPr>
              <w:spacing w:after="0"/>
              <w:rPr>
                <w:sz w:val="11"/>
                <w:szCs w:val="11"/>
                <w:color w:val="auto"/>
              </w:rPr>
            </w:pPr>
          </w:p>
        </w:tc>
        <w:tc>
          <w:tcPr>
            <w:tcW w:w="1300" w:type="dxa"/>
            <w:vAlign w:val="bottom"/>
            <w:tcBorders>
              <w:bottom w:val="single" w:sz="8" w:color="0C479D"/>
            </w:tcBorders>
            <w:vMerge w:val="continue"/>
            <w:shd w:val="clear" w:color="auto" w:fill="0C479D"/>
          </w:tcPr>
          <w:p>
            <w:pPr>
              <w:spacing w:after="0"/>
              <w:rPr>
                <w:sz w:val="11"/>
                <w:szCs w:val="11"/>
                <w:color w:val="auto"/>
              </w:rPr>
            </w:pPr>
          </w:p>
        </w:tc>
        <w:tc>
          <w:tcPr>
            <w:tcW w:w="860" w:type="dxa"/>
            <w:vAlign w:val="bottom"/>
            <w:tcBorders>
              <w:bottom w:val="single" w:sz="8" w:color="0C479D"/>
            </w:tcBorders>
            <w:vMerge w:val="continue"/>
            <w:shd w:val="clear" w:color="auto" w:fill="0C479D"/>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3"/>
        </w:trPr>
        <w:tc>
          <w:tcPr>
            <w:tcW w:w="780" w:type="dxa"/>
            <w:vAlign w:val="bottom"/>
          </w:tcPr>
          <w:p>
            <w:pPr>
              <w:spacing w:after="0"/>
              <w:rPr>
                <w:sz w:val="24"/>
                <w:szCs w:val="24"/>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Subsidiaries</w:t>
            </w:r>
          </w:p>
        </w:tc>
        <w:tc>
          <w:tcPr>
            <w:tcW w:w="1880" w:type="dxa"/>
            <w:vAlign w:val="bottom"/>
          </w:tcPr>
          <w:p>
            <w:pPr>
              <w:spacing w:after="0"/>
              <w:rPr>
                <w:sz w:val="24"/>
                <w:szCs w:val="24"/>
                <w:color w:val="auto"/>
              </w:rPr>
            </w:pPr>
          </w:p>
        </w:tc>
        <w:tc>
          <w:tcPr>
            <w:tcW w:w="1020" w:type="dxa"/>
            <w:vAlign w:val="bottom"/>
            <w:shd w:val="clear" w:color="auto" w:fill="F0F0F0"/>
          </w:tcPr>
          <w:p>
            <w:pPr>
              <w:spacing w:after="0"/>
              <w:rPr>
                <w:sz w:val="24"/>
                <w:szCs w:val="24"/>
                <w:color w:val="auto"/>
              </w:rPr>
            </w:pPr>
          </w:p>
        </w:tc>
        <w:tc>
          <w:tcPr>
            <w:tcW w:w="1020" w:type="dxa"/>
            <w:vAlign w:val="bottom"/>
            <w:shd w:val="clear" w:color="auto" w:fill="F0F0F0"/>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1880" w:type="dxa"/>
            <w:vAlign w:val="bottom"/>
          </w:tcPr>
          <w:p>
            <w:pPr>
              <w:spacing w:after="0"/>
              <w:rPr>
                <w:sz w:val="23"/>
                <w:szCs w:val="23"/>
                <w:color w:val="auto"/>
              </w:rPr>
            </w:pPr>
          </w:p>
        </w:tc>
        <w:tc>
          <w:tcPr>
            <w:tcW w:w="1020" w:type="dxa"/>
            <w:vAlign w:val="bottom"/>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color w:val="auto"/>
              </w:rPr>
              <w:t>809</w:t>
            </w:r>
          </w:p>
        </w:tc>
        <w:tc>
          <w:tcPr>
            <w:tcW w:w="1020" w:type="dxa"/>
            <w:vAlign w:val="bottom"/>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648</w:t>
            </w:r>
          </w:p>
        </w:tc>
        <w:tc>
          <w:tcPr>
            <w:tcW w:w="13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582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Canada/Other Americas</w:t>
            </w:r>
          </w:p>
        </w:tc>
        <w:tc>
          <w:tcPr>
            <w:tcW w:w="1880" w:type="dxa"/>
            <w:vAlign w:val="bottom"/>
          </w:tcPr>
          <w:p>
            <w:pPr>
              <w:spacing w:after="0"/>
              <w:rPr>
                <w:sz w:val="23"/>
                <w:szCs w:val="23"/>
                <w:color w:val="auto"/>
              </w:rPr>
            </w:pPr>
          </w:p>
        </w:tc>
        <w:tc>
          <w:tcPr>
            <w:tcW w:w="1020" w:type="dxa"/>
            <w:vAlign w:val="bottom"/>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color w:val="auto"/>
              </w:rPr>
              <w:t>19</w:t>
            </w:r>
          </w:p>
        </w:tc>
        <w:tc>
          <w:tcPr>
            <w:tcW w:w="1020" w:type="dxa"/>
            <w:vAlign w:val="bottom"/>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9</w:t>
            </w:r>
          </w:p>
        </w:tc>
        <w:tc>
          <w:tcPr>
            <w:tcW w:w="13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42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Europe</w:t>
            </w:r>
          </w:p>
        </w:tc>
        <w:tc>
          <w:tcPr>
            <w:tcW w:w="1880" w:type="dxa"/>
            <w:vAlign w:val="bottom"/>
          </w:tcPr>
          <w:p>
            <w:pPr>
              <w:spacing w:after="0"/>
              <w:rPr>
                <w:sz w:val="23"/>
                <w:szCs w:val="23"/>
                <w:color w:val="auto"/>
              </w:rPr>
            </w:pPr>
          </w:p>
        </w:tc>
        <w:tc>
          <w:tcPr>
            <w:tcW w:w="1020" w:type="dxa"/>
            <w:vAlign w:val="bottom"/>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3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Africa</w:t>
            </w:r>
          </w:p>
        </w:tc>
        <w:tc>
          <w:tcPr>
            <w:tcW w:w="1880" w:type="dxa"/>
            <w:vAlign w:val="bottom"/>
          </w:tcPr>
          <w:p>
            <w:pPr>
              <w:spacing w:after="0"/>
              <w:rPr>
                <w:sz w:val="23"/>
                <w:szCs w:val="23"/>
                <w:color w:val="auto"/>
              </w:rPr>
            </w:pPr>
          </w:p>
        </w:tc>
        <w:tc>
          <w:tcPr>
            <w:tcW w:w="1020" w:type="dxa"/>
            <w:vAlign w:val="bottom"/>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1020" w:type="dxa"/>
            <w:vAlign w:val="bottom"/>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3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Asia</w:t>
            </w:r>
          </w:p>
        </w:tc>
        <w:tc>
          <w:tcPr>
            <w:tcW w:w="1880" w:type="dxa"/>
            <w:vAlign w:val="bottom"/>
          </w:tcPr>
          <w:p>
            <w:pPr>
              <w:spacing w:after="0"/>
              <w:rPr>
                <w:sz w:val="23"/>
                <w:szCs w:val="23"/>
                <w:color w:val="auto"/>
              </w:rPr>
            </w:pPr>
          </w:p>
        </w:tc>
        <w:tc>
          <w:tcPr>
            <w:tcW w:w="1020" w:type="dxa"/>
            <w:vAlign w:val="bottom"/>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c>
          <w:tcPr>
            <w:tcW w:w="1020" w:type="dxa"/>
            <w:vAlign w:val="bottom"/>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13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780" w:type="dxa"/>
            <w:vAlign w:val="bottom"/>
          </w:tcPr>
          <w:p>
            <w:pPr>
              <w:spacing w:after="0"/>
              <w:rPr>
                <w:sz w:val="24"/>
                <w:szCs w:val="24"/>
                <w:color w:val="auto"/>
              </w:rPr>
            </w:pPr>
          </w:p>
        </w:tc>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Australia/Oceania</w:t>
            </w:r>
          </w:p>
        </w:tc>
        <w:tc>
          <w:tcPr>
            <w:tcW w:w="1880" w:type="dxa"/>
            <w:vAlign w:val="bottom"/>
          </w:tcPr>
          <w:p>
            <w:pPr>
              <w:spacing w:after="0"/>
              <w:rPr>
                <w:sz w:val="24"/>
                <w:szCs w:val="24"/>
                <w:color w:val="auto"/>
              </w:rPr>
            </w:pPr>
          </w:p>
        </w:tc>
        <w:tc>
          <w:tcPr>
            <w:tcW w:w="1020" w:type="dxa"/>
            <w:vAlign w:val="bottom"/>
            <w:tcBorders>
              <w:bottom w:val="single" w:sz="8" w:color="F0F0F0"/>
            </w:tcBorders>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tcBorders>
              <w:bottom w:val="single" w:sz="8" w:color="F0F0F0"/>
            </w:tcBorders>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3620" w:type="dxa"/>
            <w:vAlign w:val="bottom"/>
            <w:tcBorders>
              <w:top w:val="single" w:sz="8" w:color="0C479D"/>
              <w:bottom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Total Consolidated Subsidiaries</w:t>
            </w:r>
          </w:p>
        </w:tc>
        <w:tc>
          <w:tcPr>
            <w:tcW w:w="1880" w:type="dxa"/>
            <w:vAlign w:val="bottom"/>
            <w:tcBorders>
              <w:top w:val="single" w:sz="8" w:color="0C479D"/>
              <w:bottom w:val="single" w:sz="8" w:color="0C479D"/>
            </w:tcBorders>
          </w:tcPr>
          <w:p>
            <w:pPr>
              <w:spacing w:after="0"/>
              <w:rPr>
                <w:sz w:val="21"/>
                <w:szCs w:val="21"/>
                <w:color w:val="auto"/>
              </w:rPr>
            </w:pPr>
          </w:p>
        </w:tc>
        <w:tc>
          <w:tcPr>
            <w:tcW w:w="1020" w:type="dxa"/>
            <w:vAlign w:val="bottom"/>
            <w:tcBorders>
              <w:top w:val="single" w:sz="8" w:color="0C479D"/>
              <w:bottom w:val="single" w:sz="8" w:color="0C479D"/>
            </w:tcBorders>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color w:val="auto"/>
              </w:rPr>
              <w:t>848</w:t>
            </w:r>
          </w:p>
        </w:tc>
        <w:tc>
          <w:tcPr>
            <w:tcW w:w="1020" w:type="dxa"/>
            <w:vAlign w:val="bottom"/>
            <w:tcBorders>
              <w:top w:val="single" w:sz="8" w:color="0C479D"/>
              <w:bottom w:val="single" w:sz="8" w:color="0C479D"/>
            </w:tcBorders>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664</w:t>
            </w:r>
          </w:p>
        </w:tc>
        <w:tc>
          <w:tcPr>
            <w:tcW w:w="1300" w:type="dxa"/>
            <w:vAlign w:val="bottom"/>
            <w:tcBorders>
              <w:top w:val="single" w:sz="8" w:color="0C479D"/>
              <w:bottom w:val="single" w:sz="8" w:color="0C479D"/>
            </w:tcBorders>
          </w:tcPr>
          <w:p>
            <w:pPr>
              <w:jc w:val="right"/>
              <w:ind w:right="172"/>
              <w:spacing w:after="0"/>
              <w:rPr>
                <w:sz w:val="20"/>
                <w:szCs w:val="20"/>
                <w:color w:val="auto"/>
              </w:rPr>
            </w:pPr>
            <w:r>
              <w:rPr>
                <w:rFonts w:ascii="Times New Roman" w:cs="Times New Roman" w:eastAsia="Times New Roman" w:hAnsi="Times New Roman"/>
                <w:sz w:val="18"/>
                <w:szCs w:val="18"/>
                <w:color w:val="auto"/>
              </w:rPr>
              <w:t>659</w:t>
            </w:r>
          </w:p>
        </w:tc>
        <w:tc>
          <w:tcPr>
            <w:tcW w:w="860" w:type="dxa"/>
            <w:vAlign w:val="bottom"/>
            <w:tcBorders>
              <w:top w:val="single" w:sz="8" w:color="0C479D"/>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780" w:type="dxa"/>
            <w:vAlign w:val="bottom"/>
          </w:tcPr>
          <w:p>
            <w:pPr>
              <w:spacing w:after="0"/>
              <w:rPr>
                <w:sz w:val="24"/>
                <w:szCs w:val="24"/>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 Companies</w:t>
            </w:r>
          </w:p>
        </w:tc>
        <w:tc>
          <w:tcPr>
            <w:tcW w:w="1880" w:type="dxa"/>
            <w:vAlign w:val="bottom"/>
          </w:tcPr>
          <w:p>
            <w:pPr>
              <w:spacing w:after="0"/>
              <w:rPr>
                <w:sz w:val="24"/>
                <w:szCs w:val="24"/>
                <w:color w:val="auto"/>
              </w:rPr>
            </w:pPr>
          </w:p>
        </w:tc>
        <w:tc>
          <w:tcPr>
            <w:tcW w:w="1020" w:type="dxa"/>
            <w:vAlign w:val="bottom"/>
            <w:shd w:val="clear" w:color="auto" w:fill="F0F0F0"/>
          </w:tcPr>
          <w:p>
            <w:pPr>
              <w:spacing w:after="0"/>
              <w:rPr>
                <w:sz w:val="24"/>
                <w:szCs w:val="24"/>
                <w:color w:val="auto"/>
              </w:rPr>
            </w:pPr>
          </w:p>
        </w:tc>
        <w:tc>
          <w:tcPr>
            <w:tcW w:w="1020" w:type="dxa"/>
            <w:vAlign w:val="bottom"/>
            <w:shd w:val="clear" w:color="auto" w:fill="F0F0F0"/>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1880" w:type="dxa"/>
            <w:vAlign w:val="bottom"/>
          </w:tcPr>
          <w:p>
            <w:pPr>
              <w:spacing w:after="0"/>
              <w:rPr>
                <w:sz w:val="21"/>
                <w:szCs w:val="21"/>
                <w:color w:val="auto"/>
              </w:rPr>
            </w:pPr>
          </w:p>
        </w:tc>
        <w:tc>
          <w:tcPr>
            <w:tcW w:w="1020" w:type="dxa"/>
            <w:vAlign w:val="bottom"/>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color w:val="auto"/>
              </w:rPr>
              <w:t>15</w:t>
            </w:r>
          </w:p>
        </w:tc>
        <w:tc>
          <w:tcPr>
            <w:tcW w:w="1020" w:type="dxa"/>
            <w:vAlign w:val="bottom"/>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9</w:t>
            </w:r>
          </w:p>
        </w:tc>
        <w:tc>
          <w:tcPr>
            <w:tcW w:w="162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Europe</w:t>
            </w:r>
          </w:p>
        </w:tc>
        <w:tc>
          <w:tcPr>
            <w:tcW w:w="1880" w:type="dxa"/>
            <w:vAlign w:val="bottom"/>
          </w:tcPr>
          <w:p>
            <w:pPr>
              <w:spacing w:after="0"/>
              <w:rPr>
                <w:sz w:val="23"/>
                <w:szCs w:val="23"/>
                <w:color w:val="auto"/>
              </w:rPr>
            </w:pPr>
          </w:p>
        </w:tc>
        <w:tc>
          <w:tcPr>
            <w:tcW w:w="1020" w:type="dxa"/>
            <w:vAlign w:val="bottom"/>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Africa</w:t>
            </w:r>
          </w:p>
        </w:tc>
        <w:tc>
          <w:tcPr>
            <w:tcW w:w="1880" w:type="dxa"/>
            <w:vAlign w:val="bottom"/>
          </w:tcPr>
          <w:p>
            <w:pPr>
              <w:spacing w:after="0"/>
              <w:rPr>
                <w:sz w:val="23"/>
                <w:szCs w:val="23"/>
                <w:color w:val="auto"/>
              </w:rPr>
            </w:pPr>
          </w:p>
        </w:tc>
        <w:tc>
          <w:tcPr>
            <w:tcW w:w="1020" w:type="dxa"/>
            <w:vAlign w:val="bottom"/>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4"/>
                <w:szCs w:val="24"/>
                <w:color w:val="auto"/>
              </w:rPr>
            </w:pPr>
          </w:p>
        </w:tc>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Asia</w:t>
            </w:r>
          </w:p>
        </w:tc>
        <w:tc>
          <w:tcPr>
            <w:tcW w:w="1880" w:type="dxa"/>
            <w:vAlign w:val="bottom"/>
          </w:tcPr>
          <w:p>
            <w:pPr>
              <w:spacing w:after="0"/>
              <w:rPr>
                <w:sz w:val="24"/>
                <w:szCs w:val="24"/>
                <w:color w:val="auto"/>
              </w:rPr>
            </w:pPr>
          </w:p>
        </w:tc>
        <w:tc>
          <w:tcPr>
            <w:tcW w:w="1020" w:type="dxa"/>
            <w:vAlign w:val="bottom"/>
            <w:tcBorders>
              <w:bottom w:val="single" w:sz="8" w:color="F0F0F0"/>
            </w:tcBorders>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color w:val="auto"/>
              </w:rPr>
              <w:t>43</w:t>
            </w:r>
          </w:p>
        </w:tc>
        <w:tc>
          <w:tcPr>
            <w:tcW w:w="1020" w:type="dxa"/>
            <w:vAlign w:val="bottom"/>
            <w:tcBorders>
              <w:bottom w:val="single" w:sz="8" w:color="F0F0F0"/>
            </w:tcBorders>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13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61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780" w:type="dxa"/>
            <w:vAlign w:val="bottom"/>
          </w:tcPr>
          <w:p>
            <w:pPr>
              <w:spacing w:after="0"/>
              <w:rPr>
                <w:sz w:val="21"/>
                <w:szCs w:val="21"/>
                <w:color w:val="auto"/>
              </w:rPr>
            </w:pPr>
          </w:p>
        </w:tc>
        <w:tc>
          <w:tcPr>
            <w:tcW w:w="3620" w:type="dxa"/>
            <w:vAlign w:val="bottom"/>
            <w:tcBorders>
              <w:top w:val="single" w:sz="8" w:color="0C479D"/>
              <w:bottom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Total Equity Companies</w:t>
            </w:r>
          </w:p>
        </w:tc>
        <w:tc>
          <w:tcPr>
            <w:tcW w:w="1880" w:type="dxa"/>
            <w:vAlign w:val="bottom"/>
            <w:tcBorders>
              <w:top w:val="single" w:sz="8" w:color="0C479D"/>
              <w:bottom w:val="single" w:sz="8" w:color="0C479D"/>
            </w:tcBorders>
          </w:tcPr>
          <w:p>
            <w:pPr>
              <w:spacing w:after="0"/>
              <w:rPr>
                <w:sz w:val="21"/>
                <w:szCs w:val="21"/>
                <w:color w:val="auto"/>
              </w:rPr>
            </w:pPr>
          </w:p>
        </w:tc>
        <w:tc>
          <w:tcPr>
            <w:tcW w:w="1020" w:type="dxa"/>
            <w:vAlign w:val="bottom"/>
            <w:tcBorders>
              <w:top w:val="single" w:sz="8" w:color="0C479D"/>
              <w:bottom w:val="single" w:sz="8" w:color="0C479D"/>
            </w:tcBorders>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color w:val="auto"/>
              </w:rPr>
              <w:t>58</w:t>
            </w:r>
          </w:p>
        </w:tc>
        <w:tc>
          <w:tcPr>
            <w:tcW w:w="1020" w:type="dxa"/>
            <w:vAlign w:val="bottom"/>
            <w:tcBorders>
              <w:top w:val="single" w:sz="8" w:color="0C479D"/>
              <w:bottom w:val="single" w:sz="8" w:color="0C479D"/>
            </w:tcBorders>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1300" w:type="dxa"/>
            <w:vAlign w:val="bottom"/>
            <w:tcBorders>
              <w:top w:val="single" w:sz="8" w:color="0C479D"/>
              <w:bottom w:val="single" w:sz="8" w:color="0C479D"/>
            </w:tcBorders>
          </w:tcPr>
          <w:p>
            <w:pPr>
              <w:jc w:val="right"/>
              <w:ind w:right="172"/>
              <w:spacing w:after="0"/>
              <w:rPr>
                <w:sz w:val="20"/>
                <w:szCs w:val="20"/>
                <w:color w:val="auto"/>
              </w:rPr>
            </w:pPr>
            <w:r>
              <w:rPr>
                <w:rFonts w:ascii="Times New Roman" w:cs="Times New Roman" w:eastAsia="Times New Roman" w:hAnsi="Times New Roman"/>
                <w:sz w:val="18"/>
                <w:szCs w:val="18"/>
                <w:color w:val="auto"/>
              </w:rPr>
              <w:t>70</w:t>
            </w:r>
          </w:p>
        </w:tc>
        <w:tc>
          <w:tcPr>
            <w:tcW w:w="860" w:type="dxa"/>
            <w:vAlign w:val="bottom"/>
            <w:tcBorders>
              <w:top w:val="single" w:sz="8" w:color="0C479D"/>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362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b w:val="1"/>
                <w:bCs w:val="1"/>
                <w:color w:val="auto"/>
              </w:rPr>
              <w:t>Total gross and net wells drilling</w:t>
            </w:r>
          </w:p>
        </w:tc>
        <w:tc>
          <w:tcPr>
            <w:tcW w:w="1880" w:type="dxa"/>
            <w:vAlign w:val="bottom"/>
            <w:tcBorders>
              <w:bottom w:val="single" w:sz="8" w:color="0C479D"/>
            </w:tcBorders>
          </w:tcPr>
          <w:p>
            <w:pPr>
              <w:spacing w:after="0"/>
              <w:rPr>
                <w:sz w:val="21"/>
                <w:szCs w:val="21"/>
                <w:color w:val="auto"/>
              </w:rPr>
            </w:pPr>
          </w:p>
        </w:tc>
        <w:tc>
          <w:tcPr>
            <w:tcW w:w="1020" w:type="dxa"/>
            <w:vAlign w:val="bottom"/>
            <w:tcBorders>
              <w:bottom w:val="single" w:sz="8" w:color="0C479D"/>
            </w:tcBorders>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906</w:t>
            </w:r>
          </w:p>
        </w:tc>
        <w:tc>
          <w:tcPr>
            <w:tcW w:w="1020" w:type="dxa"/>
            <w:vAlign w:val="bottom"/>
            <w:tcBorders>
              <w:bottom w:val="single" w:sz="8" w:color="0C479D"/>
            </w:tcBorders>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668</w:t>
            </w:r>
          </w:p>
        </w:tc>
        <w:tc>
          <w:tcPr>
            <w:tcW w:w="1300" w:type="dxa"/>
            <w:vAlign w:val="bottom"/>
            <w:tcBorders>
              <w:bottom w:val="single" w:sz="8" w:color="0C479D"/>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729</w:t>
            </w:r>
          </w:p>
        </w:tc>
        <w:tc>
          <w:tcPr>
            <w:tcW w:w="8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450</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43"/>
        </w:trPr>
        <w:tc>
          <w:tcPr>
            <w:tcW w:w="7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8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16</w:t>
            </w: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8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0C479D"/>
        </w:rPr>
        <w:t>B. Review of Principal Ongoing Activities</w:t>
      </w:r>
    </w:p>
    <w:p>
      <w:pPr>
        <w:spacing w:after="0" w:line="208" w:lineRule="exact"/>
        <w:rPr>
          <w:sz w:val="20"/>
          <w:szCs w:val="20"/>
          <w:color w:val="auto"/>
        </w:rPr>
      </w:pPr>
    </w:p>
    <w:p>
      <w:pPr>
        <w:spacing w:after="0"/>
        <w:rPr>
          <w:sz w:val="20"/>
          <w:szCs w:val="20"/>
          <w:color w:val="auto"/>
        </w:rPr>
      </w:pPr>
      <w:r>
        <w:rPr>
          <w:sz w:val="1"/>
          <w:szCs w:val="1"/>
          <w:color w:val="auto"/>
        </w:rPr>
        <w:drawing>
          <wp:inline distT="0" distB="0" distL="0" distR="0">
            <wp:extent cx="51435" cy="16319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 cy="163195"/>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FFFFFF"/>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37"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Net acreage totaled 9.8 million acres at year-end 2024, of which 0.2 million acres were offshore. ExxonMobil was active in areas onshore and offshore in the lower 48 states and in Alaska. Development activities continued on the Golden Pass LNG export project.</w:t>
      </w:r>
    </w:p>
    <w:p>
      <w:pPr>
        <w:spacing w:after="0" w:line="40"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During the year, a total of 544.1 net exploratory and development wells were completed in the inland lower 48 states. Development activities focused on liquids-rich opportunities in the onshore U.S., primarily in the Permian Basin of West Texas and New Mexico. In addition, ExxonMobil completed the acquisition of Pioneer, increasing the Permian Basin acreage and production capacity.</w:t>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acreage in the Gulf totaled 0.1 million acres at year-end 2024. A total of a 0.5 net development well was completed during the year.</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Participation in Alaska production and development continued with a total of 0.9 net development wells completed.</w:t>
      </w:r>
    </w:p>
    <w:p>
      <w:pPr>
        <w:spacing w:after="0" w:line="191" w:lineRule="exact"/>
        <w:rPr>
          <w:sz w:val="20"/>
          <w:szCs w:val="20"/>
          <w:color w:val="auto"/>
        </w:rPr>
      </w:pPr>
    </w:p>
    <w:p>
      <w:pPr>
        <w:spacing w:after="0"/>
        <w:rPr>
          <w:sz w:val="20"/>
          <w:szCs w:val="20"/>
          <w:color w:val="auto"/>
        </w:rPr>
      </w:pPr>
      <w:r>
        <w:rPr>
          <w:sz w:val="1"/>
          <w:szCs w:val="1"/>
          <w:color w:val="auto"/>
        </w:rPr>
        <w:drawing>
          <wp:inline distT="0" distB="0" distL="0" distR="0">
            <wp:extent cx="51435" cy="16319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 cy="163195"/>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FFFFFF"/>
        </w:rPr>
        <w:t>Canada / Other Americas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631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C479D"/>
        </w:rPr>
        <w:t>Canada</w:t>
      </w:r>
    </w:p>
    <w:p>
      <w:pPr>
        <w:spacing w:after="0" w:line="88"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Oil and Gas Operations: </w:t>
      </w:r>
      <w:r>
        <w:rPr>
          <w:rFonts w:ascii="Times New Roman" w:cs="Times New Roman" w:eastAsia="Times New Roman" w:hAnsi="Times New Roman"/>
          <w:sz w:val="18"/>
          <w:szCs w:val="18"/>
          <w:color w:val="auto"/>
        </w:rPr>
        <w:t>Net acreage totaled 3.9 million acres at year-end 2024, of which 2.0 million acres were offshore. A total of 1.7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exploratory and development wells were completed during the year.</w:t>
      </w:r>
    </w:p>
    <w:p>
      <w:pPr>
        <w:spacing w:after="0" w:line="37" w:lineRule="exact"/>
        <w:rPr>
          <w:sz w:val="20"/>
          <w:szCs w:val="20"/>
          <w:color w:val="auto"/>
        </w:rPr>
      </w:pPr>
    </w:p>
    <w:p>
      <w:pPr>
        <w:jc w:val="both"/>
        <w:ind w:left="340"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 Situ Bitumen Operations: </w:t>
      </w:r>
      <w:r>
        <w:rPr>
          <w:rFonts w:ascii="Times New Roman" w:cs="Times New Roman" w:eastAsia="Times New Roman" w:hAnsi="Times New Roman"/>
          <w:sz w:val="18"/>
          <w:szCs w:val="18"/>
          <w:color w:val="auto"/>
        </w:rPr>
        <w:t>Net acreage totaled 0.5 million onshore acres at year-end 2024. During the year, a total of 14 net development wells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Cold Lake were completed.</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C479D"/>
        </w:rPr>
        <w:t>Argentina</w:t>
      </w:r>
    </w:p>
    <w:p>
      <w:pPr>
        <w:spacing w:after="0" w:line="104"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Net acreage totaled 0.1 million onshore acres at year-end 2024. During the year, a total of 1.6 net development wells were completed. In 2024, ExxonMobil relinquished 2.6 million net offshore acres and sold a portion of its interests in onshore production facilities. The sale of the remaining onshore assets is expected to be completed in early 2025 resulting in a full Upstream operations exit from the country.</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C479D"/>
        </w:rPr>
        <w:t>Brazil</w:t>
      </w:r>
    </w:p>
    <w:p>
      <w:pPr>
        <w:spacing w:after="0" w:line="90"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Net acreage totaled 1.5 million offshore acres at year-end 2024. During the year, a total of a 0.4 net exploratory well was completed and ExxonMobil relinquished its interest in 1.0 million net offshore acres spanning 10 blocks outside of the core Bacalhau development. Development activities continued on the Bacalhau Phase 1 project.</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C479D"/>
        </w:rPr>
        <w:t>Guyana</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Net acreage totaled 4.6 million offshore acres at year-end 2024. During the year, a total of 10.1 net exploratory and development wells were completed.</w:t>
      </w:r>
    </w:p>
    <w:p>
      <w:pPr>
        <w:spacing w:after="0" w:line="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Development activities continued on the Yellowtail and Uaru projects. The Whiptail project was funded in 2024.</w:t>
      </w:r>
    </w:p>
    <w:p>
      <w:pPr>
        <w:spacing w:after="0" w:line="173" w:lineRule="exact"/>
        <w:rPr>
          <w:sz w:val="20"/>
          <w:szCs w:val="20"/>
          <w:color w:val="auto"/>
        </w:rPr>
      </w:pPr>
    </w:p>
    <w:p>
      <w:pPr>
        <w:spacing w:after="0"/>
        <w:rPr>
          <w:sz w:val="20"/>
          <w:szCs w:val="20"/>
          <w:color w:val="auto"/>
        </w:rPr>
      </w:pPr>
      <w:r>
        <w:rPr>
          <w:sz w:val="1"/>
          <w:szCs w:val="1"/>
          <w:color w:val="auto"/>
        </w:rPr>
        <w:drawing>
          <wp:inline distT="0" distB="0" distL="0" distR="0">
            <wp:extent cx="51435" cy="16319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 cy="163195"/>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FFFFFF"/>
        </w:rPr>
        <w:t>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C479D"/>
        </w:rPr>
        <w:t>Germany</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acreage totaled 1.2 million onshore acres at year-end 2024. During the year, a total of 0.5 net development wells were completed.</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C479D"/>
        </w:rPr>
        <w:t>Netherlands</w:t>
      </w:r>
    </w:p>
    <w:p>
      <w:pPr>
        <w:spacing w:after="0" w:line="90"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Net interest in licenses totaled 1.3 million acres at year-end 2024, of which 0.3 million acres were offshore. Groningen field permanent closure was codified in the Dutch mining law on April 19, 2024.</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C479D"/>
        </w:rPr>
        <w:t>United Kingdom</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interest in licenses totaled 0.1 million offshore acres at year-end 2024.</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9" w:name="page20"/>
    <w:bookmarkEnd w:id="19"/>
    <w:p>
      <w:pPr>
        <w:spacing w:after="0"/>
        <w:rPr>
          <w:sz w:val="20"/>
          <w:szCs w:val="20"/>
          <w:color w:val="auto"/>
        </w:rPr>
      </w:pPr>
      <w:r>
        <w:rPr>
          <w:sz w:val="1"/>
          <w:szCs w:val="1"/>
          <w:color w:val="auto"/>
        </w:rPr>
        <w:drawing>
          <wp:inline distT="0" distB="0" distL="0" distR="0">
            <wp:extent cx="51435" cy="16319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 cy="163195"/>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FFFFFF"/>
        </w:rPr>
        <w:t>Africa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C479D"/>
        </w:rPr>
        <w:t>Angola</w:t>
      </w:r>
    </w:p>
    <w:p>
      <w:pPr>
        <w:spacing w:after="0" w:line="104"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Net acreage totaled 3 million acres at year-end 2024, of which 2.9 million acres were offshore. During the year, a total of 5.6 net exploratory and development wells were completed.</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C479D"/>
        </w:rPr>
        <w:t>Mozambique</w:t>
      </w:r>
    </w:p>
    <w:p>
      <w:pPr>
        <w:spacing w:after="0" w:line="104"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Net acreage totaled 0.1 million offshore acres at year-end 2024 within Area 4. ExxonMobil participated in the co-venturer-operated Coral South Floating LNG, a gross 3.4 million metric tons per year LNG facility.</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C479D"/>
        </w:rPr>
        <w:t>Nigeria</w:t>
      </w:r>
    </w:p>
    <w:p>
      <w:pPr>
        <w:spacing w:after="0" w:line="104"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Net acreage totaled 0.4 million offshore acres at year-end 2024. During the year, a total of a 0.2 net development well was completed. In December 2024, the Corporation completed a transfer of 100 percent of the shares in its Nigeria affiliate, Mobil Producing Nigeria Unlimited, following the receipt of and compliance with conditions precedent specified in government approvals.</w:t>
      </w:r>
    </w:p>
    <w:p>
      <w:pPr>
        <w:spacing w:after="0" w:line="142" w:lineRule="exact"/>
        <w:rPr>
          <w:sz w:val="20"/>
          <w:szCs w:val="20"/>
          <w:color w:val="auto"/>
        </w:rPr>
      </w:pPr>
    </w:p>
    <w:p>
      <w:pPr>
        <w:spacing w:after="0"/>
        <w:rPr>
          <w:sz w:val="20"/>
          <w:szCs w:val="20"/>
          <w:color w:val="auto"/>
        </w:rPr>
      </w:pPr>
      <w:r>
        <w:rPr>
          <w:sz w:val="1"/>
          <w:szCs w:val="1"/>
          <w:color w:val="auto"/>
        </w:rPr>
        <w:drawing>
          <wp:inline distT="0" distB="0" distL="0" distR="0">
            <wp:extent cx="51435" cy="16319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 cy="163195"/>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FFFFFF"/>
        </w:rPr>
        <w:t>Asia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63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C479D"/>
        </w:rPr>
        <w:t>Azerbaijan</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acreage totaled 7 thousand offshore acres at year-end 2024. During the year, a total of 1 net development wells were completed.</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C479D"/>
        </w:rPr>
        <w:t>Indonesia</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acreage totaled 0.1 million onshore acres at year-end 2024. During the year, a total of 0.9 net development wells were completed.</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C479D"/>
        </w:rPr>
        <w:t>Kazakhstan</w:t>
      </w:r>
    </w:p>
    <w:p>
      <w:pPr>
        <w:spacing w:after="0" w:line="90"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Net acreage totaled 0.3 million acres at year-end 2024, of which 0.2 million acres were offshore. During the year, a total of 1 net development wells were completed. Development activities continued on the Tengiz Expansion project.</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C479D"/>
        </w:rPr>
        <w:t>Malaysia</w:t>
      </w:r>
    </w:p>
    <w:p>
      <w:pPr>
        <w:spacing w:after="0" w:line="90"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Net interests in production sharing contracts covered 0.2 million offshore acres at year-end 2024. During the year, a total of 1.5 net development wells were completed.</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C479D"/>
        </w:rPr>
        <w:t>Qatar</w:t>
      </w:r>
    </w:p>
    <w:p>
      <w:pPr>
        <w:spacing w:after="0" w:line="90"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Through joint ventures with QatarEnergy, net acreage totaled 76 thousand offshore acres at year-end 2024. During the year, a total of 1.4 net development wells were completed. ExxonMobil participated in 52.3 million metric tons per year gross liquefied natural gas capacity and 3.4 billion cubic feet per day of flowing gas capacity at year-end 2024. Development activities continued on the North Field East project and North Field Production Sustainment projects.</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C479D"/>
        </w:rPr>
        <w:t>Thailand</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acreage in concessions totaled 16 thousand onshore acres at year-end 2024. During the year, a total of a 0.1 net development well was completed.</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C479D"/>
        </w:rPr>
        <w:t>United Arab Emirates</w:t>
      </w:r>
    </w:p>
    <w:p>
      <w:pPr>
        <w:spacing w:after="0" w:line="104"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Net acreage in the Abu Dhabi offshore Upper Zakum oil concession was 0.1 million acres at year-end 2024. During the year, a total of 2.5 net development wells were completed. Activities continued on the ongoing phased development of the Upper Zakum field.</w:t>
      </w:r>
    </w:p>
    <w:p>
      <w:pPr>
        <w:spacing w:after="0" w:line="127" w:lineRule="exact"/>
        <w:rPr>
          <w:sz w:val="20"/>
          <w:szCs w:val="20"/>
          <w:color w:val="auto"/>
        </w:rPr>
      </w:pPr>
    </w:p>
    <w:p>
      <w:pPr>
        <w:spacing w:after="0"/>
        <w:rPr>
          <w:sz w:val="20"/>
          <w:szCs w:val="20"/>
          <w:color w:val="auto"/>
        </w:rPr>
      </w:pPr>
      <w:r>
        <w:rPr>
          <w:sz w:val="1"/>
          <w:szCs w:val="1"/>
          <w:color w:val="auto"/>
        </w:rPr>
        <w:drawing>
          <wp:inline distT="0" distB="0" distL="0" distR="0">
            <wp:extent cx="51435" cy="16319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 cy="163195"/>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FFFFFF"/>
        </w:rPr>
        <w:t>Australia / Oceania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63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C479D"/>
        </w:rPr>
        <w:t>Australia</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acreage totaled 1.2 million offshore acres and nine thousand onshore acres at year-end 2024.</w:t>
      </w:r>
    </w:p>
    <w:p>
      <w:pPr>
        <w:spacing w:after="0" w:line="104"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co-venturer-operated Gorgon Jansz liquefied natural gas (LNG) development consists of a subsea infrastructure for offshore production and transportation of the gas, a 15.6 million metric tons per year LNG facility, and a 280 million cubic feet per day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0" w:right="339" w:bottom="1440" w:gutter="0" w:footer="0" w:header="0"/>
        </w:sectPr>
      </w:pPr>
    </w:p>
    <w:bookmarkStart w:id="20" w:name="page21"/>
    <w:bookmarkEnd w:id="20"/>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domestic gas plant located on Barrow Island, Western Australia. During the year, operations began on the Gorgon Stage 2 project and development activities continued on the Jansz Io Compression project.</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C479D"/>
        </w:rPr>
        <w:t>Papua New Guinea</w:t>
      </w:r>
    </w:p>
    <w:p>
      <w:pPr>
        <w:spacing w:after="0" w:line="90"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Net acreage totaled 1.6 million onshore acres at year-end 2024. During the year, a total of 1 net development wells were completed. The Papua New Guinea (PNG) liquefied natural gas (LNG) integrated development includes gas production and processing facilities in the PNG Highlands, onshore and offshore pipelines, and a 6.9 million metric tons per year LNG facility near Port Moresby.</w:t>
      </w:r>
    </w:p>
    <w:p>
      <w:pPr>
        <w:spacing w:after="0" w:line="155" w:lineRule="exact"/>
        <w:rPr>
          <w:sz w:val="20"/>
          <w:szCs w:val="20"/>
          <w:color w:val="auto"/>
        </w:rPr>
      </w:pPr>
    </w:p>
    <w:p>
      <w:pPr>
        <w:spacing w:after="0"/>
        <w:rPr>
          <w:sz w:val="20"/>
          <w:szCs w:val="20"/>
          <w:color w:val="auto"/>
        </w:rPr>
      </w:pPr>
      <w:r>
        <w:rPr>
          <w:sz w:val="1"/>
          <w:szCs w:val="1"/>
          <w:color w:val="auto"/>
        </w:rPr>
        <w:drawing>
          <wp:inline distT="0" distB="0" distL="0" distR="0">
            <wp:extent cx="51435" cy="16319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 cy="163195"/>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FFFFFF"/>
        </w:rPr>
        <w:t>Worldwide Exploration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37"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Exploration activities were under way in several countries in which ExxonMobil has no established production operations and thus are not included above. Net acreage totaled 15.7 million acres at year-end 2024. During the year, a total of a 0.5 net exploratory well was completed.</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C479D"/>
        </w:rPr>
        <w:t>6. Delivery Commitments</w:t>
      </w:r>
    </w:p>
    <w:p>
      <w:pPr>
        <w:spacing w:after="0" w:line="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ExxonMobil sells crude oil and natural gas from its producing operations under a variety of contractual obligations, some of which may specify the delivery of a fixed and determinable quantity for periods longer than one year. ExxonMobil also enters into natural gas sales contracts where the source of the natural gas used to fulfill the contract can be a combination of our own production and the spot market. Worldwide, we are contractually committed to deliver approximately 123 million barrels of oil and 2.8 trillion cubic feet of natural gas for the period from 2025 through 2027. We expect to fulfill the majority of these delivery commitments with production from our proved developed reserves. Any remaining commitments will be fulfilled with production from our proved undeveloped reserves and purchases on the open market as necessary.</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C479D"/>
        </w:rPr>
        <w:t>7. Oil and Gas Properties, Wells, Operations and Acreage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479D"/>
        </w:rPr>
        <w:t>A. Gross and Net Productive Wells</w:t>
      </w:r>
    </w:p>
    <w:p>
      <w:pPr>
        <w:spacing w:after="0" w:line="153" w:lineRule="exact"/>
        <w:rPr>
          <w:sz w:val="20"/>
          <w:szCs w:val="20"/>
          <w:color w:val="auto"/>
        </w:rPr>
      </w:pPr>
    </w:p>
    <w:tbl>
      <w:tblPr>
        <w:tblLayout w:type="fixed"/>
        <w:tblInd w:w="820" w:type="dxa"/>
        <w:tblCellMar>
          <w:top w:w="0" w:type="dxa"/>
          <w:left w:w="0" w:type="dxa"/>
          <w:bottom w:w="0" w:type="dxa"/>
          <w:right w:w="0" w:type="dxa"/>
        </w:tblCellMar>
      </w:tblPr>
      <w:tr>
        <w:trPr>
          <w:trHeight w:val="210"/>
        </w:trPr>
        <w:tc>
          <w:tcPr>
            <w:tcW w:w="3060" w:type="dxa"/>
            <w:vAlign w:val="bottom"/>
            <w:tcBorders>
              <w:right w:val="single" w:sz="8" w:color="0C479D"/>
            </w:tcBorders>
            <w:vMerge w:val="restart"/>
            <w:shd w:val="clear" w:color="auto" w:fill="0C479D"/>
          </w:tcPr>
          <w:p>
            <w:pPr>
              <w:ind w:left="60"/>
              <w:spacing w:after="0"/>
              <w:rPr>
                <w:sz w:val="20"/>
                <w:szCs w:val="20"/>
                <w:color w:val="auto"/>
              </w:rPr>
            </w:pPr>
            <w:r>
              <w:rPr>
                <w:rFonts w:ascii="Times New Roman" w:cs="Times New Roman" w:eastAsia="Times New Roman" w:hAnsi="Times New Roman"/>
                <w:sz w:val="18"/>
                <w:szCs w:val="18"/>
                <w:b w:val="1"/>
                <w:bCs w:val="1"/>
                <w:color w:val="FFFFFF"/>
              </w:rPr>
              <w:t>Gross and Net Productive Wells</w:t>
            </w:r>
          </w:p>
        </w:tc>
        <w:tc>
          <w:tcPr>
            <w:tcW w:w="680" w:type="dxa"/>
            <w:vAlign w:val="bottom"/>
            <w:shd w:val="clear" w:color="auto" w:fill="0C479D"/>
          </w:tcPr>
          <w:p>
            <w:pPr>
              <w:spacing w:after="0"/>
              <w:rPr>
                <w:sz w:val="18"/>
                <w:szCs w:val="18"/>
                <w:color w:val="auto"/>
              </w:rPr>
            </w:pPr>
          </w:p>
        </w:tc>
        <w:tc>
          <w:tcPr>
            <w:tcW w:w="260" w:type="dxa"/>
            <w:vAlign w:val="bottom"/>
            <w:shd w:val="clear" w:color="auto" w:fill="0C479D"/>
          </w:tcPr>
          <w:p>
            <w:pPr>
              <w:spacing w:after="0"/>
              <w:rPr>
                <w:sz w:val="18"/>
                <w:szCs w:val="18"/>
                <w:color w:val="auto"/>
              </w:rPr>
            </w:pPr>
          </w:p>
        </w:tc>
        <w:tc>
          <w:tcPr>
            <w:tcW w:w="1320" w:type="dxa"/>
            <w:vAlign w:val="bottom"/>
            <w:gridSpan w:val="2"/>
            <w:shd w:val="clear" w:color="auto" w:fill="0C479D"/>
          </w:tcPr>
          <w:p>
            <w:pPr>
              <w:jc w:val="right"/>
              <w:ind w:right="131"/>
              <w:spacing w:after="0"/>
              <w:rPr>
                <w:sz w:val="20"/>
                <w:szCs w:val="20"/>
                <w:color w:val="auto"/>
              </w:rPr>
            </w:pPr>
            <w:r>
              <w:rPr>
                <w:rFonts w:ascii="Times New Roman" w:cs="Times New Roman" w:eastAsia="Times New Roman" w:hAnsi="Times New Roman"/>
                <w:sz w:val="14"/>
                <w:szCs w:val="14"/>
                <w:b w:val="1"/>
                <w:bCs w:val="1"/>
                <w:color w:val="FFFFFF"/>
              </w:rPr>
              <w:t>Year-End 2024</w:t>
            </w:r>
          </w:p>
        </w:tc>
        <w:tc>
          <w:tcPr>
            <w:tcW w:w="940" w:type="dxa"/>
            <w:vAlign w:val="bottom"/>
            <w:tcBorders>
              <w:right w:val="single" w:sz="8" w:color="0C479D"/>
            </w:tcBorders>
            <w:shd w:val="clear" w:color="auto" w:fill="0C479D"/>
          </w:tcPr>
          <w:p>
            <w:pPr>
              <w:spacing w:after="0"/>
              <w:rPr>
                <w:sz w:val="18"/>
                <w:szCs w:val="18"/>
                <w:color w:val="auto"/>
              </w:rPr>
            </w:pPr>
          </w:p>
        </w:tc>
        <w:tc>
          <w:tcPr>
            <w:tcW w:w="120" w:type="dxa"/>
            <w:vAlign w:val="bottom"/>
            <w:tcBorders>
              <w:right w:val="single" w:sz="8" w:color="0C479D"/>
            </w:tcBorders>
            <w:shd w:val="clear" w:color="auto" w:fill="0C479D"/>
          </w:tcPr>
          <w:p>
            <w:pPr>
              <w:spacing w:after="0"/>
              <w:rPr>
                <w:sz w:val="18"/>
                <w:szCs w:val="18"/>
                <w:color w:val="auto"/>
              </w:rPr>
            </w:pPr>
          </w:p>
        </w:tc>
        <w:tc>
          <w:tcPr>
            <w:tcW w:w="680" w:type="dxa"/>
            <w:vAlign w:val="bottom"/>
            <w:shd w:val="clear" w:color="auto" w:fill="0C479D"/>
          </w:tcPr>
          <w:p>
            <w:pPr>
              <w:spacing w:after="0"/>
              <w:rPr>
                <w:sz w:val="18"/>
                <w:szCs w:val="18"/>
                <w:color w:val="auto"/>
              </w:rPr>
            </w:pPr>
          </w:p>
        </w:tc>
        <w:tc>
          <w:tcPr>
            <w:tcW w:w="1620" w:type="dxa"/>
            <w:vAlign w:val="bottom"/>
            <w:gridSpan w:val="2"/>
            <w:shd w:val="clear" w:color="auto" w:fill="0C479D"/>
          </w:tcPr>
          <w:p>
            <w:pPr>
              <w:jc w:val="right"/>
              <w:ind w:right="151"/>
              <w:spacing w:after="0"/>
              <w:rPr>
                <w:sz w:val="20"/>
                <w:szCs w:val="20"/>
                <w:color w:val="auto"/>
              </w:rPr>
            </w:pPr>
            <w:r>
              <w:rPr>
                <w:rFonts w:ascii="Times New Roman" w:cs="Times New Roman" w:eastAsia="Times New Roman" w:hAnsi="Times New Roman"/>
                <w:sz w:val="14"/>
                <w:szCs w:val="14"/>
                <w:b w:val="1"/>
                <w:bCs w:val="1"/>
                <w:color w:val="FFFFFF"/>
              </w:rPr>
              <w:t>Year-End 2023</w:t>
            </w:r>
          </w:p>
        </w:tc>
        <w:tc>
          <w:tcPr>
            <w:tcW w:w="940" w:type="dxa"/>
            <w:vAlign w:val="bottom"/>
            <w:tcBorders>
              <w:right w:val="single" w:sz="8" w:color="0C479D"/>
            </w:tcBorders>
            <w:shd w:val="clear" w:color="auto" w:fill="0C479D"/>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3060" w:type="dxa"/>
            <w:vAlign w:val="bottom"/>
            <w:tcBorders>
              <w:right w:val="single" w:sz="8" w:color="0C479D"/>
            </w:tcBorders>
            <w:vMerge w:val="continue"/>
            <w:shd w:val="clear" w:color="auto" w:fill="0C479D"/>
          </w:tcPr>
          <w:p>
            <w:pPr>
              <w:spacing w:after="0"/>
              <w:rPr>
                <w:sz w:val="14"/>
                <w:szCs w:val="14"/>
                <w:color w:val="auto"/>
              </w:rPr>
            </w:pPr>
          </w:p>
        </w:tc>
        <w:tc>
          <w:tcPr>
            <w:tcW w:w="680" w:type="dxa"/>
            <w:vAlign w:val="bottom"/>
            <w:shd w:val="clear" w:color="auto" w:fill="0C479D"/>
          </w:tcPr>
          <w:p>
            <w:pPr>
              <w:spacing w:after="0"/>
              <w:rPr>
                <w:sz w:val="14"/>
                <w:szCs w:val="14"/>
                <w:color w:val="auto"/>
              </w:rPr>
            </w:pPr>
          </w:p>
        </w:tc>
        <w:tc>
          <w:tcPr>
            <w:tcW w:w="260" w:type="dxa"/>
            <w:vAlign w:val="bottom"/>
            <w:vMerge w:val="restart"/>
            <w:shd w:val="clear" w:color="auto" w:fill="0C479D"/>
          </w:tcPr>
          <w:p>
            <w:pPr>
              <w:spacing w:after="0"/>
              <w:rPr>
                <w:sz w:val="20"/>
                <w:szCs w:val="20"/>
                <w:color w:val="auto"/>
              </w:rPr>
            </w:pPr>
            <w:r>
              <w:rPr>
                <w:rFonts w:ascii="Times New Roman" w:cs="Times New Roman" w:eastAsia="Times New Roman" w:hAnsi="Times New Roman"/>
                <w:sz w:val="14"/>
                <w:szCs w:val="14"/>
                <w:b w:val="1"/>
                <w:bCs w:val="1"/>
                <w:color w:val="FFFFFF"/>
              </w:rPr>
              <w:t>Oil</w:t>
            </w:r>
          </w:p>
        </w:tc>
        <w:tc>
          <w:tcPr>
            <w:tcW w:w="660" w:type="dxa"/>
            <w:vAlign w:val="bottom"/>
            <w:tcBorders>
              <w:right w:val="single" w:sz="8" w:color="0C479D"/>
            </w:tcBorders>
            <w:shd w:val="clear" w:color="auto" w:fill="0C479D"/>
          </w:tcPr>
          <w:p>
            <w:pPr>
              <w:spacing w:after="0"/>
              <w:rPr>
                <w:sz w:val="14"/>
                <w:szCs w:val="14"/>
                <w:color w:val="auto"/>
              </w:rPr>
            </w:pPr>
          </w:p>
        </w:tc>
        <w:tc>
          <w:tcPr>
            <w:tcW w:w="660" w:type="dxa"/>
            <w:vAlign w:val="bottom"/>
            <w:shd w:val="clear" w:color="auto" w:fill="0C479D"/>
          </w:tcPr>
          <w:p>
            <w:pPr>
              <w:spacing w:after="0"/>
              <w:rPr>
                <w:sz w:val="14"/>
                <w:szCs w:val="14"/>
                <w:color w:val="auto"/>
              </w:rPr>
            </w:pPr>
          </w:p>
        </w:tc>
        <w:tc>
          <w:tcPr>
            <w:tcW w:w="940" w:type="dxa"/>
            <w:vAlign w:val="bottom"/>
            <w:tcBorders>
              <w:right w:val="single" w:sz="8" w:color="0C479D"/>
            </w:tcBorders>
            <w:vMerge w:val="restart"/>
            <w:shd w:val="clear" w:color="auto" w:fill="0C479D"/>
          </w:tcPr>
          <w:p>
            <w:pPr>
              <w:jc w:val="right"/>
              <w:ind w:right="612"/>
              <w:spacing w:after="0"/>
              <w:rPr>
                <w:sz w:val="20"/>
                <w:szCs w:val="20"/>
                <w:color w:val="auto"/>
              </w:rPr>
            </w:pPr>
            <w:r>
              <w:rPr>
                <w:rFonts w:ascii="Times New Roman" w:cs="Times New Roman" w:eastAsia="Times New Roman" w:hAnsi="Times New Roman"/>
                <w:sz w:val="14"/>
                <w:szCs w:val="14"/>
                <w:b w:val="1"/>
                <w:bCs w:val="1"/>
                <w:color w:val="FFFFFF"/>
                <w:w w:val="94"/>
              </w:rPr>
              <w:t>Gas</w:t>
            </w:r>
          </w:p>
        </w:tc>
        <w:tc>
          <w:tcPr>
            <w:tcW w:w="120" w:type="dxa"/>
            <w:vAlign w:val="bottom"/>
            <w:tcBorders>
              <w:right w:val="single" w:sz="8" w:color="0C479D"/>
            </w:tcBorders>
            <w:shd w:val="clear" w:color="auto" w:fill="0C479D"/>
          </w:tcPr>
          <w:p>
            <w:pPr>
              <w:spacing w:after="0"/>
              <w:rPr>
                <w:sz w:val="14"/>
                <w:szCs w:val="14"/>
                <w:color w:val="auto"/>
              </w:rPr>
            </w:pPr>
          </w:p>
        </w:tc>
        <w:tc>
          <w:tcPr>
            <w:tcW w:w="680" w:type="dxa"/>
            <w:vAlign w:val="bottom"/>
            <w:shd w:val="clear" w:color="auto" w:fill="0C479D"/>
          </w:tcPr>
          <w:p>
            <w:pPr>
              <w:spacing w:after="0"/>
              <w:rPr>
                <w:sz w:val="14"/>
                <w:szCs w:val="14"/>
                <w:color w:val="auto"/>
              </w:rPr>
            </w:pPr>
          </w:p>
        </w:tc>
        <w:tc>
          <w:tcPr>
            <w:tcW w:w="960" w:type="dxa"/>
            <w:vAlign w:val="bottom"/>
            <w:tcBorders>
              <w:right w:val="single" w:sz="8" w:color="0C479D"/>
            </w:tcBorders>
            <w:vMerge w:val="restart"/>
            <w:shd w:val="clear" w:color="auto" w:fill="0C479D"/>
          </w:tcPr>
          <w:p>
            <w:pPr>
              <w:jc w:val="right"/>
              <w:ind w:right="653"/>
              <w:spacing w:after="0"/>
              <w:rPr>
                <w:sz w:val="20"/>
                <w:szCs w:val="20"/>
                <w:color w:val="auto"/>
              </w:rPr>
            </w:pPr>
            <w:r>
              <w:rPr>
                <w:rFonts w:ascii="Times New Roman" w:cs="Times New Roman" w:eastAsia="Times New Roman" w:hAnsi="Times New Roman"/>
                <w:sz w:val="14"/>
                <w:szCs w:val="14"/>
                <w:b w:val="1"/>
                <w:bCs w:val="1"/>
                <w:color w:val="FFFFFF"/>
              </w:rPr>
              <w:t>Oil</w:t>
            </w:r>
          </w:p>
        </w:tc>
        <w:tc>
          <w:tcPr>
            <w:tcW w:w="660" w:type="dxa"/>
            <w:vAlign w:val="bottom"/>
            <w:shd w:val="clear" w:color="auto" w:fill="0C479D"/>
          </w:tcPr>
          <w:p>
            <w:pPr>
              <w:spacing w:after="0"/>
              <w:rPr>
                <w:sz w:val="14"/>
                <w:szCs w:val="14"/>
                <w:color w:val="auto"/>
              </w:rPr>
            </w:pPr>
          </w:p>
        </w:tc>
        <w:tc>
          <w:tcPr>
            <w:tcW w:w="940" w:type="dxa"/>
            <w:vAlign w:val="bottom"/>
            <w:tcBorders>
              <w:right w:val="single" w:sz="8" w:color="0C479D"/>
            </w:tcBorders>
            <w:vMerge w:val="restart"/>
            <w:shd w:val="clear" w:color="auto" w:fill="0C479D"/>
          </w:tcPr>
          <w:p>
            <w:pPr>
              <w:jc w:val="right"/>
              <w:ind w:right="612"/>
              <w:spacing w:after="0"/>
              <w:rPr>
                <w:sz w:val="20"/>
                <w:szCs w:val="20"/>
                <w:color w:val="auto"/>
              </w:rPr>
            </w:pPr>
            <w:r>
              <w:rPr>
                <w:rFonts w:ascii="Times New Roman" w:cs="Times New Roman" w:eastAsia="Times New Roman" w:hAnsi="Times New Roman"/>
                <w:sz w:val="14"/>
                <w:szCs w:val="14"/>
                <w:b w:val="1"/>
                <w:bCs w:val="1"/>
                <w:color w:val="FFFFFF"/>
                <w:w w:val="94"/>
              </w:rPr>
              <w:t>Gas</w:t>
            </w:r>
          </w:p>
        </w:tc>
        <w:tc>
          <w:tcPr>
            <w:tcW w:w="0" w:type="dxa"/>
            <w:vAlign w:val="bottom"/>
          </w:tcPr>
          <w:p>
            <w:pPr>
              <w:spacing w:after="0"/>
              <w:rPr>
                <w:sz w:val="1"/>
                <w:szCs w:val="1"/>
                <w:color w:val="auto"/>
              </w:rPr>
            </w:pPr>
          </w:p>
        </w:tc>
      </w:tr>
      <w:tr>
        <w:trPr>
          <w:trHeight w:val="98"/>
        </w:trPr>
        <w:tc>
          <w:tcPr>
            <w:tcW w:w="3060" w:type="dxa"/>
            <w:vAlign w:val="bottom"/>
            <w:tcBorders>
              <w:right w:val="single" w:sz="8" w:color="0C479D"/>
            </w:tcBorders>
            <w:shd w:val="clear" w:color="auto" w:fill="0C479D"/>
          </w:tcPr>
          <w:p>
            <w:pPr>
              <w:spacing w:after="0"/>
              <w:rPr>
                <w:sz w:val="8"/>
                <w:szCs w:val="8"/>
                <w:color w:val="auto"/>
              </w:rPr>
            </w:pPr>
          </w:p>
        </w:tc>
        <w:tc>
          <w:tcPr>
            <w:tcW w:w="680" w:type="dxa"/>
            <w:vAlign w:val="bottom"/>
            <w:shd w:val="clear" w:color="auto" w:fill="0C479D"/>
          </w:tcPr>
          <w:p>
            <w:pPr>
              <w:spacing w:after="0"/>
              <w:rPr>
                <w:sz w:val="8"/>
                <w:szCs w:val="8"/>
                <w:color w:val="auto"/>
              </w:rPr>
            </w:pPr>
          </w:p>
        </w:tc>
        <w:tc>
          <w:tcPr>
            <w:tcW w:w="260" w:type="dxa"/>
            <w:vAlign w:val="bottom"/>
            <w:vMerge w:val="continue"/>
            <w:shd w:val="clear" w:color="auto" w:fill="0C479D"/>
          </w:tcPr>
          <w:p>
            <w:pPr>
              <w:spacing w:after="0"/>
              <w:rPr>
                <w:sz w:val="8"/>
                <w:szCs w:val="8"/>
                <w:color w:val="auto"/>
              </w:rPr>
            </w:pPr>
          </w:p>
        </w:tc>
        <w:tc>
          <w:tcPr>
            <w:tcW w:w="660" w:type="dxa"/>
            <w:vAlign w:val="bottom"/>
            <w:tcBorders>
              <w:right w:val="single" w:sz="8" w:color="0C479D"/>
            </w:tcBorders>
            <w:shd w:val="clear" w:color="auto" w:fill="0C479D"/>
          </w:tcPr>
          <w:p>
            <w:pPr>
              <w:spacing w:after="0"/>
              <w:rPr>
                <w:sz w:val="8"/>
                <w:szCs w:val="8"/>
                <w:color w:val="auto"/>
              </w:rPr>
            </w:pPr>
          </w:p>
        </w:tc>
        <w:tc>
          <w:tcPr>
            <w:tcW w:w="660" w:type="dxa"/>
            <w:vAlign w:val="bottom"/>
            <w:shd w:val="clear" w:color="auto" w:fill="0C479D"/>
          </w:tcPr>
          <w:p>
            <w:pPr>
              <w:spacing w:after="0"/>
              <w:rPr>
                <w:sz w:val="8"/>
                <w:szCs w:val="8"/>
                <w:color w:val="auto"/>
              </w:rPr>
            </w:pPr>
          </w:p>
        </w:tc>
        <w:tc>
          <w:tcPr>
            <w:tcW w:w="940" w:type="dxa"/>
            <w:vAlign w:val="bottom"/>
            <w:tcBorders>
              <w:right w:val="single" w:sz="8" w:color="0C479D"/>
            </w:tcBorders>
            <w:vMerge w:val="continue"/>
            <w:shd w:val="clear" w:color="auto" w:fill="0C479D"/>
          </w:tcPr>
          <w:p>
            <w:pPr>
              <w:spacing w:after="0"/>
              <w:rPr>
                <w:sz w:val="8"/>
                <w:szCs w:val="8"/>
                <w:color w:val="auto"/>
              </w:rPr>
            </w:pPr>
          </w:p>
        </w:tc>
        <w:tc>
          <w:tcPr>
            <w:tcW w:w="120" w:type="dxa"/>
            <w:vAlign w:val="bottom"/>
            <w:tcBorders>
              <w:right w:val="single" w:sz="8" w:color="0C479D"/>
            </w:tcBorders>
            <w:shd w:val="clear" w:color="auto" w:fill="0C479D"/>
          </w:tcPr>
          <w:p>
            <w:pPr>
              <w:spacing w:after="0"/>
              <w:rPr>
                <w:sz w:val="8"/>
                <w:szCs w:val="8"/>
                <w:color w:val="auto"/>
              </w:rPr>
            </w:pPr>
          </w:p>
        </w:tc>
        <w:tc>
          <w:tcPr>
            <w:tcW w:w="680" w:type="dxa"/>
            <w:vAlign w:val="bottom"/>
            <w:shd w:val="clear" w:color="auto" w:fill="0C479D"/>
          </w:tcPr>
          <w:p>
            <w:pPr>
              <w:spacing w:after="0"/>
              <w:rPr>
                <w:sz w:val="8"/>
                <w:szCs w:val="8"/>
                <w:color w:val="auto"/>
              </w:rPr>
            </w:pPr>
          </w:p>
        </w:tc>
        <w:tc>
          <w:tcPr>
            <w:tcW w:w="960" w:type="dxa"/>
            <w:vAlign w:val="bottom"/>
            <w:tcBorders>
              <w:right w:val="single" w:sz="8" w:color="0C479D"/>
            </w:tcBorders>
            <w:vMerge w:val="continue"/>
            <w:shd w:val="clear" w:color="auto" w:fill="0C479D"/>
          </w:tcPr>
          <w:p>
            <w:pPr>
              <w:spacing w:after="0"/>
              <w:rPr>
                <w:sz w:val="8"/>
                <w:szCs w:val="8"/>
                <w:color w:val="auto"/>
              </w:rPr>
            </w:pPr>
          </w:p>
        </w:tc>
        <w:tc>
          <w:tcPr>
            <w:tcW w:w="660" w:type="dxa"/>
            <w:vAlign w:val="bottom"/>
            <w:shd w:val="clear" w:color="auto" w:fill="0C479D"/>
          </w:tcPr>
          <w:p>
            <w:pPr>
              <w:spacing w:after="0"/>
              <w:rPr>
                <w:sz w:val="8"/>
                <w:szCs w:val="8"/>
                <w:color w:val="auto"/>
              </w:rPr>
            </w:pPr>
          </w:p>
        </w:tc>
        <w:tc>
          <w:tcPr>
            <w:tcW w:w="940" w:type="dxa"/>
            <w:vAlign w:val="bottom"/>
            <w:tcBorders>
              <w:right w:val="single" w:sz="8" w:color="0C479D"/>
            </w:tcBorders>
            <w:vMerge w:val="continue"/>
            <w:shd w:val="clear" w:color="auto" w:fill="0C479D"/>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3060" w:type="dxa"/>
            <w:vAlign w:val="bottom"/>
            <w:tcBorders>
              <w:right w:val="single" w:sz="8" w:color="0C479D"/>
            </w:tcBorders>
            <w:shd w:val="clear" w:color="auto" w:fill="0C479D"/>
          </w:tcPr>
          <w:p>
            <w:pPr>
              <w:spacing w:after="0"/>
              <w:rPr>
                <w:sz w:val="5"/>
                <w:szCs w:val="5"/>
                <w:color w:val="auto"/>
              </w:rPr>
            </w:pPr>
          </w:p>
        </w:tc>
        <w:tc>
          <w:tcPr>
            <w:tcW w:w="680" w:type="dxa"/>
            <w:vAlign w:val="bottom"/>
            <w:shd w:val="clear" w:color="auto" w:fill="0C479D"/>
          </w:tcPr>
          <w:p>
            <w:pPr>
              <w:spacing w:after="0"/>
              <w:rPr>
                <w:sz w:val="5"/>
                <w:szCs w:val="5"/>
                <w:color w:val="auto"/>
              </w:rPr>
            </w:pPr>
          </w:p>
        </w:tc>
        <w:tc>
          <w:tcPr>
            <w:tcW w:w="260" w:type="dxa"/>
            <w:vAlign w:val="bottom"/>
            <w:shd w:val="clear" w:color="auto" w:fill="0C479D"/>
          </w:tcPr>
          <w:p>
            <w:pPr>
              <w:spacing w:after="0"/>
              <w:rPr>
                <w:sz w:val="5"/>
                <w:szCs w:val="5"/>
                <w:color w:val="auto"/>
              </w:rPr>
            </w:pPr>
          </w:p>
        </w:tc>
        <w:tc>
          <w:tcPr>
            <w:tcW w:w="660" w:type="dxa"/>
            <w:vAlign w:val="bottom"/>
            <w:tcBorders>
              <w:right w:val="single" w:sz="8" w:color="0C479D"/>
            </w:tcBorders>
            <w:shd w:val="clear" w:color="auto" w:fill="0C479D"/>
          </w:tcPr>
          <w:p>
            <w:pPr>
              <w:spacing w:after="0"/>
              <w:rPr>
                <w:sz w:val="5"/>
                <w:szCs w:val="5"/>
                <w:color w:val="auto"/>
              </w:rPr>
            </w:pPr>
          </w:p>
        </w:tc>
        <w:tc>
          <w:tcPr>
            <w:tcW w:w="660" w:type="dxa"/>
            <w:vAlign w:val="bottom"/>
            <w:shd w:val="clear" w:color="auto" w:fill="0C479D"/>
          </w:tcPr>
          <w:p>
            <w:pPr>
              <w:spacing w:after="0"/>
              <w:rPr>
                <w:sz w:val="5"/>
                <w:szCs w:val="5"/>
                <w:color w:val="auto"/>
              </w:rPr>
            </w:pPr>
          </w:p>
        </w:tc>
        <w:tc>
          <w:tcPr>
            <w:tcW w:w="940" w:type="dxa"/>
            <w:vAlign w:val="bottom"/>
            <w:tcBorders>
              <w:right w:val="single" w:sz="8" w:color="0C479D"/>
            </w:tcBorders>
            <w:shd w:val="clear" w:color="auto" w:fill="0C479D"/>
          </w:tcPr>
          <w:p>
            <w:pPr>
              <w:spacing w:after="0"/>
              <w:rPr>
                <w:sz w:val="5"/>
                <w:szCs w:val="5"/>
                <w:color w:val="auto"/>
              </w:rPr>
            </w:pPr>
          </w:p>
        </w:tc>
        <w:tc>
          <w:tcPr>
            <w:tcW w:w="120" w:type="dxa"/>
            <w:vAlign w:val="bottom"/>
            <w:tcBorders>
              <w:right w:val="single" w:sz="8" w:color="0C479D"/>
            </w:tcBorders>
            <w:shd w:val="clear" w:color="auto" w:fill="0C479D"/>
          </w:tcPr>
          <w:p>
            <w:pPr>
              <w:spacing w:after="0"/>
              <w:rPr>
                <w:sz w:val="5"/>
                <w:szCs w:val="5"/>
                <w:color w:val="auto"/>
              </w:rPr>
            </w:pPr>
          </w:p>
        </w:tc>
        <w:tc>
          <w:tcPr>
            <w:tcW w:w="680" w:type="dxa"/>
            <w:vAlign w:val="bottom"/>
            <w:shd w:val="clear" w:color="auto" w:fill="0C479D"/>
          </w:tcPr>
          <w:p>
            <w:pPr>
              <w:spacing w:after="0"/>
              <w:rPr>
                <w:sz w:val="5"/>
                <w:szCs w:val="5"/>
                <w:color w:val="auto"/>
              </w:rPr>
            </w:pPr>
          </w:p>
        </w:tc>
        <w:tc>
          <w:tcPr>
            <w:tcW w:w="960" w:type="dxa"/>
            <w:vAlign w:val="bottom"/>
            <w:tcBorders>
              <w:right w:val="single" w:sz="8" w:color="0C479D"/>
            </w:tcBorders>
            <w:shd w:val="clear" w:color="auto" w:fill="0C479D"/>
          </w:tcPr>
          <w:p>
            <w:pPr>
              <w:spacing w:after="0"/>
              <w:rPr>
                <w:sz w:val="5"/>
                <w:szCs w:val="5"/>
                <w:color w:val="auto"/>
              </w:rPr>
            </w:pPr>
          </w:p>
        </w:tc>
        <w:tc>
          <w:tcPr>
            <w:tcW w:w="660" w:type="dxa"/>
            <w:vAlign w:val="bottom"/>
            <w:shd w:val="clear" w:color="auto" w:fill="0C479D"/>
          </w:tcPr>
          <w:p>
            <w:pPr>
              <w:spacing w:after="0"/>
              <w:rPr>
                <w:sz w:val="5"/>
                <w:szCs w:val="5"/>
                <w:color w:val="auto"/>
              </w:rPr>
            </w:pPr>
          </w:p>
        </w:tc>
        <w:tc>
          <w:tcPr>
            <w:tcW w:w="940" w:type="dxa"/>
            <w:vAlign w:val="bottom"/>
            <w:tcBorders>
              <w:right w:val="single" w:sz="8" w:color="0C479D"/>
            </w:tcBorders>
            <w:shd w:val="clear" w:color="auto" w:fill="0C479D"/>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3060" w:type="dxa"/>
            <w:vAlign w:val="bottom"/>
            <w:tcBorders>
              <w:right w:val="single" w:sz="8" w:color="0C479D"/>
            </w:tcBorders>
          </w:tcPr>
          <w:p>
            <w:pPr>
              <w:spacing w:after="0"/>
              <w:rPr>
                <w:sz w:val="22"/>
                <w:szCs w:val="22"/>
                <w:color w:val="auto"/>
              </w:rPr>
            </w:pPr>
          </w:p>
        </w:tc>
        <w:tc>
          <w:tcPr>
            <w:tcW w:w="940" w:type="dxa"/>
            <w:vAlign w:val="bottom"/>
            <w:gridSpan w:val="2"/>
            <w:shd w:val="clear" w:color="auto" w:fill="F0F0F0"/>
          </w:tcPr>
          <w:p>
            <w:pPr>
              <w:ind w:left="1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660" w:type="dxa"/>
            <w:vAlign w:val="bottom"/>
            <w:tcBorders>
              <w:right w:val="single" w:sz="8" w:color="0C479D"/>
            </w:tcBorders>
            <w:shd w:val="clear" w:color="auto" w:fill="F0F0F0"/>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Net</w:t>
            </w:r>
          </w:p>
        </w:tc>
        <w:tc>
          <w:tcPr>
            <w:tcW w:w="660" w:type="dxa"/>
            <w:vAlign w:val="bottom"/>
            <w:shd w:val="clear" w:color="auto" w:fill="F0F0F0"/>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Gross</w:t>
            </w:r>
          </w:p>
        </w:tc>
        <w:tc>
          <w:tcPr>
            <w:tcW w:w="940" w:type="dxa"/>
            <w:vAlign w:val="bottom"/>
            <w:tcBorders>
              <w:right w:val="single" w:sz="8" w:color="0C479D"/>
            </w:tcBorders>
            <w:shd w:val="clear" w:color="auto" w:fill="F0F0F0"/>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Borders>
              <w:right w:val="single" w:sz="8" w:color="0C479D"/>
            </w:tcBorders>
          </w:tcPr>
          <w:p>
            <w:pPr>
              <w:spacing w:after="0"/>
              <w:rPr>
                <w:sz w:val="22"/>
                <w:szCs w:val="22"/>
                <w:color w:val="auto"/>
              </w:rPr>
            </w:pP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Gross</w:t>
            </w:r>
          </w:p>
        </w:tc>
        <w:tc>
          <w:tcPr>
            <w:tcW w:w="960" w:type="dxa"/>
            <w:vAlign w:val="bottom"/>
            <w:tcBorders>
              <w:right w:val="single" w:sz="8" w:color="0C479D"/>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Net</w:t>
            </w: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Gross</w:t>
            </w:r>
          </w:p>
        </w:tc>
        <w:tc>
          <w:tcPr>
            <w:tcW w:w="940" w:type="dxa"/>
            <w:vAlign w:val="bottom"/>
            <w:tcBorders>
              <w:right w:val="single" w:sz="8" w:color="0C479D"/>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307"/>
        </w:trPr>
        <w:tc>
          <w:tcPr>
            <w:tcW w:w="3060" w:type="dxa"/>
            <w:vAlign w:val="bottom"/>
            <w:tcBorders>
              <w:right w:val="single" w:sz="8" w:color="0C479D"/>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Subsidiaries</w:t>
            </w:r>
          </w:p>
        </w:tc>
        <w:tc>
          <w:tcPr>
            <w:tcW w:w="680" w:type="dxa"/>
            <w:vAlign w:val="bottom"/>
            <w:shd w:val="clear" w:color="auto" w:fill="F0F0F0"/>
          </w:tcPr>
          <w:p>
            <w:pPr>
              <w:spacing w:after="0"/>
              <w:rPr>
                <w:sz w:val="24"/>
                <w:szCs w:val="24"/>
                <w:color w:val="auto"/>
              </w:rPr>
            </w:pPr>
          </w:p>
        </w:tc>
        <w:tc>
          <w:tcPr>
            <w:tcW w:w="260" w:type="dxa"/>
            <w:vAlign w:val="bottom"/>
            <w:shd w:val="clear" w:color="auto" w:fill="F0F0F0"/>
          </w:tcPr>
          <w:p>
            <w:pPr>
              <w:spacing w:after="0"/>
              <w:rPr>
                <w:sz w:val="24"/>
                <w:szCs w:val="24"/>
                <w:color w:val="auto"/>
              </w:rPr>
            </w:pPr>
          </w:p>
        </w:tc>
        <w:tc>
          <w:tcPr>
            <w:tcW w:w="660" w:type="dxa"/>
            <w:vAlign w:val="bottom"/>
            <w:tcBorders>
              <w:right w:val="single" w:sz="8" w:color="0C479D"/>
            </w:tcBorders>
            <w:shd w:val="clear" w:color="auto" w:fill="F0F0F0"/>
          </w:tcPr>
          <w:p>
            <w:pPr>
              <w:spacing w:after="0"/>
              <w:rPr>
                <w:sz w:val="24"/>
                <w:szCs w:val="24"/>
                <w:color w:val="auto"/>
              </w:rPr>
            </w:pPr>
          </w:p>
        </w:tc>
        <w:tc>
          <w:tcPr>
            <w:tcW w:w="660" w:type="dxa"/>
            <w:vAlign w:val="bottom"/>
            <w:shd w:val="clear" w:color="auto" w:fill="F0F0F0"/>
          </w:tcPr>
          <w:p>
            <w:pPr>
              <w:spacing w:after="0"/>
              <w:rPr>
                <w:sz w:val="24"/>
                <w:szCs w:val="24"/>
                <w:color w:val="auto"/>
              </w:rPr>
            </w:pPr>
          </w:p>
        </w:tc>
        <w:tc>
          <w:tcPr>
            <w:tcW w:w="940" w:type="dxa"/>
            <w:vAlign w:val="bottom"/>
            <w:tcBorders>
              <w:right w:val="single" w:sz="8" w:color="0C479D"/>
            </w:tcBorders>
            <w:shd w:val="clear" w:color="auto" w:fill="F0F0F0"/>
          </w:tcPr>
          <w:p>
            <w:pPr>
              <w:spacing w:after="0"/>
              <w:rPr>
                <w:sz w:val="24"/>
                <w:szCs w:val="24"/>
                <w:color w:val="auto"/>
              </w:rPr>
            </w:pPr>
          </w:p>
        </w:tc>
        <w:tc>
          <w:tcPr>
            <w:tcW w:w="120" w:type="dxa"/>
            <w:vAlign w:val="bottom"/>
            <w:tcBorders>
              <w:right w:val="single" w:sz="8" w:color="0C479D"/>
            </w:tcBorders>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Borders>
              <w:right w:val="single" w:sz="8" w:color="0C479D"/>
            </w:tcBorders>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Borders>
              <w:right w:val="single" w:sz="8" w:color="0C479D"/>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060" w:type="dxa"/>
            <w:vAlign w:val="bottom"/>
            <w:tcBorders>
              <w:right w:val="single" w:sz="8" w:color="0C479D"/>
            </w:tcBorders>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30,333</w:t>
            </w:r>
          </w:p>
        </w:tc>
        <w:tc>
          <w:tcPr>
            <w:tcW w:w="260" w:type="dxa"/>
            <w:vAlign w:val="bottom"/>
            <w:shd w:val="clear" w:color="auto" w:fill="F0F0F0"/>
          </w:tcPr>
          <w:p>
            <w:pPr>
              <w:spacing w:after="0"/>
              <w:rPr>
                <w:sz w:val="23"/>
                <w:szCs w:val="23"/>
                <w:color w:val="auto"/>
              </w:rPr>
            </w:pPr>
          </w:p>
        </w:tc>
        <w:tc>
          <w:tcPr>
            <w:tcW w:w="660" w:type="dxa"/>
            <w:vAlign w:val="bottom"/>
            <w:tcBorders>
              <w:right w:val="single" w:sz="8" w:color="0C479D"/>
            </w:tcBorders>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color w:val="auto"/>
              </w:rPr>
              <w:t>17,078</w:t>
            </w:r>
          </w:p>
        </w:tc>
        <w:tc>
          <w:tcPr>
            <w:tcW w:w="6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7,579</w:t>
            </w:r>
          </w:p>
        </w:tc>
        <w:tc>
          <w:tcPr>
            <w:tcW w:w="940" w:type="dxa"/>
            <w:vAlign w:val="bottom"/>
            <w:tcBorders>
              <w:right w:val="single" w:sz="8" w:color="0C479D"/>
            </w:tcBorders>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color w:val="auto"/>
              </w:rPr>
              <w:t>4,340</w:t>
            </w:r>
          </w:p>
        </w:tc>
        <w:tc>
          <w:tcPr>
            <w:tcW w:w="120" w:type="dxa"/>
            <w:vAlign w:val="bottom"/>
            <w:tcBorders>
              <w:right w:val="single" w:sz="8" w:color="0C479D"/>
            </w:tcBorders>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21,193</w:t>
            </w:r>
          </w:p>
        </w:tc>
        <w:tc>
          <w:tcPr>
            <w:tcW w:w="960" w:type="dxa"/>
            <w:vAlign w:val="bottom"/>
            <w:tcBorders>
              <w:right w:val="single" w:sz="8" w:color="0C479D"/>
            </w:tcBorders>
          </w:tcPr>
          <w:p>
            <w:pPr>
              <w:jc w:val="right"/>
              <w:ind w:right="13"/>
              <w:spacing w:after="0"/>
              <w:rPr>
                <w:sz w:val="20"/>
                <w:szCs w:val="20"/>
                <w:color w:val="auto"/>
              </w:rPr>
            </w:pPr>
            <w:r>
              <w:rPr>
                <w:rFonts w:ascii="Times New Roman" w:cs="Times New Roman" w:eastAsia="Times New Roman" w:hAnsi="Times New Roman"/>
                <w:sz w:val="18"/>
                <w:szCs w:val="18"/>
                <w:color w:val="auto"/>
              </w:rPr>
              <w:t>9,503</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8,210</w:t>
            </w:r>
          </w:p>
        </w:tc>
        <w:tc>
          <w:tcPr>
            <w:tcW w:w="940" w:type="dxa"/>
            <w:vAlign w:val="bottom"/>
            <w:tcBorders>
              <w:right w:val="single" w:sz="8" w:color="0C479D"/>
            </w:tcBorders>
          </w:tcPr>
          <w:p>
            <w:pPr>
              <w:jc w:val="right"/>
              <w:ind w:right="12"/>
              <w:spacing w:after="0"/>
              <w:rPr>
                <w:sz w:val="20"/>
                <w:szCs w:val="20"/>
                <w:color w:val="auto"/>
              </w:rPr>
            </w:pPr>
            <w:r>
              <w:rPr>
                <w:rFonts w:ascii="Times New Roman" w:cs="Times New Roman" w:eastAsia="Times New Roman" w:hAnsi="Times New Roman"/>
                <w:sz w:val="18"/>
                <w:szCs w:val="18"/>
                <w:color w:val="auto"/>
              </w:rPr>
              <w:t>4,801</w:t>
            </w:r>
          </w:p>
        </w:tc>
        <w:tc>
          <w:tcPr>
            <w:tcW w:w="0" w:type="dxa"/>
            <w:vAlign w:val="bottom"/>
          </w:tcPr>
          <w:p>
            <w:pPr>
              <w:spacing w:after="0"/>
              <w:rPr>
                <w:sz w:val="1"/>
                <w:szCs w:val="1"/>
                <w:color w:val="auto"/>
              </w:rPr>
            </w:pPr>
          </w:p>
        </w:tc>
      </w:tr>
      <w:tr>
        <w:trPr>
          <w:trHeight w:val="270"/>
        </w:trPr>
        <w:tc>
          <w:tcPr>
            <w:tcW w:w="3060" w:type="dxa"/>
            <w:vAlign w:val="bottom"/>
            <w:tcBorders>
              <w:right w:val="single" w:sz="8" w:color="0C479D"/>
            </w:tcBorders>
          </w:tcPr>
          <w:p>
            <w:pPr>
              <w:ind w:left="120"/>
              <w:spacing w:after="0"/>
              <w:rPr>
                <w:sz w:val="20"/>
                <w:szCs w:val="20"/>
                <w:color w:val="auto"/>
              </w:rPr>
            </w:pPr>
            <w:r>
              <w:rPr>
                <w:rFonts w:ascii="Times New Roman" w:cs="Times New Roman" w:eastAsia="Times New Roman" w:hAnsi="Times New Roman"/>
                <w:sz w:val="18"/>
                <w:szCs w:val="18"/>
                <w:color w:val="auto"/>
              </w:rPr>
              <w:t>Canada/Other Americas</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4,092</w:t>
            </w:r>
          </w:p>
        </w:tc>
        <w:tc>
          <w:tcPr>
            <w:tcW w:w="260" w:type="dxa"/>
            <w:vAlign w:val="bottom"/>
            <w:shd w:val="clear" w:color="auto" w:fill="F0F0F0"/>
          </w:tcPr>
          <w:p>
            <w:pPr>
              <w:spacing w:after="0"/>
              <w:rPr>
                <w:sz w:val="23"/>
                <w:szCs w:val="23"/>
                <w:color w:val="auto"/>
              </w:rPr>
            </w:pPr>
          </w:p>
        </w:tc>
        <w:tc>
          <w:tcPr>
            <w:tcW w:w="660" w:type="dxa"/>
            <w:vAlign w:val="bottom"/>
            <w:tcBorders>
              <w:right w:val="single" w:sz="8" w:color="0C479D"/>
            </w:tcBorders>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color w:val="auto"/>
              </w:rPr>
              <w:t>4,025</w:t>
            </w:r>
          </w:p>
        </w:tc>
        <w:tc>
          <w:tcPr>
            <w:tcW w:w="6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2,865</w:t>
            </w:r>
          </w:p>
        </w:tc>
        <w:tc>
          <w:tcPr>
            <w:tcW w:w="940" w:type="dxa"/>
            <w:vAlign w:val="bottom"/>
            <w:tcBorders>
              <w:right w:val="single" w:sz="8" w:color="0C479D"/>
            </w:tcBorders>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color w:val="auto"/>
              </w:rPr>
              <w:t>1,017</w:t>
            </w:r>
          </w:p>
        </w:tc>
        <w:tc>
          <w:tcPr>
            <w:tcW w:w="120" w:type="dxa"/>
            <w:vAlign w:val="bottom"/>
            <w:tcBorders>
              <w:right w:val="single" w:sz="8" w:color="0C479D"/>
            </w:tcBorders>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4,193</w:t>
            </w:r>
          </w:p>
        </w:tc>
        <w:tc>
          <w:tcPr>
            <w:tcW w:w="960" w:type="dxa"/>
            <w:vAlign w:val="bottom"/>
            <w:tcBorders>
              <w:right w:val="single" w:sz="8" w:color="0C479D"/>
            </w:tcBorders>
          </w:tcPr>
          <w:p>
            <w:pPr>
              <w:jc w:val="right"/>
              <w:ind w:right="13"/>
              <w:spacing w:after="0"/>
              <w:rPr>
                <w:sz w:val="20"/>
                <w:szCs w:val="20"/>
                <w:color w:val="auto"/>
              </w:rPr>
            </w:pPr>
            <w:r>
              <w:rPr>
                <w:rFonts w:ascii="Times New Roman" w:cs="Times New Roman" w:eastAsia="Times New Roman" w:hAnsi="Times New Roman"/>
                <w:sz w:val="18"/>
                <w:szCs w:val="18"/>
                <w:color w:val="auto"/>
              </w:rPr>
              <w:t>4,131</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w:t>
            </w:r>
          </w:p>
        </w:tc>
        <w:tc>
          <w:tcPr>
            <w:tcW w:w="940" w:type="dxa"/>
            <w:vAlign w:val="bottom"/>
            <w:tcBorders>
              <w:right w:val="single" w:sz="8" w:color="0C479D"/>
            </w:tcBorders>
          </w:tcPr>
          <w:p>
            <w:pPr>
              <w:jc w:val="right"/>
              <w:ind w:right="12"/>
              <w:spacing w:after="0"/>
              <w:rPr>
                <w:sz w:val="20"/>
                <w:szCs w:val="20"/>
                <w:color w:val="auto"/>
              </w:rPr>
            </w:pPr>
            <w:r>
              <w:rPr>
                <w:rFonts w:ascii="Times New Roman" w:cs="Times New Roman" w:eastAsia="Times New Roman" w:hAnsi="Times New Roman"/>
                <w:sz w:val="18"/>
                <w:szCs w:val="18"/>
                <w:color w:val="auto"/>
              </w:rPr>
              <w:t>1,034</w:t>
            </w:r>
          </w:p>
        </w:tc>
        <w:tc>
          <w:tcPr>
            <w:tcW w:w="0" w:type="dxa"/>
            <w:vAlign w:val="bottom"/>
          </w:tcPr>
          <w:p>
            <w:pPr>
              <w:spacing w:after="0"/>
              <w:rPr>
                <w:sz w:val="1"/>
                <w:szCs w:val="1"/>
                <w:color w:val="auto"/>
              </w:rPr>
            </w:pPr>
          </w:p>
        </w:tc>
      </w:tr>
      <w:tr>
        <w:trPr>
          <w:trHeight w:val="270"/>
        </w:trPr>
        <w:tc>
          <w:tcPr>
            <w:tcW w:w="3060" w:type="dxa"/>
            <w:vAlign w:val="bottom"/>
            <w:tcBorders>
              <w:right w:val="single" w:sz="8" w:color="0C479D"/>
            </w:tcBorders>
          </w:tcPr>
          <w:p>
            <w:pPr>
              <w:ind w:left="120"/>
              <w:spacing w:after="0"/>
              <w:rPr>
                <w:sz w:val="20"/>
                <w:szCs w:val="20"/>
                <w:color w:val="auto"/>
              </w:rPr>
            </w:pPr>
            <w:r>
              <w:rPr>
                <w:rFonts w:ascii="Times New Roman" w:cs="Times New Roman" w:eastAsia="Times New Roman" w:hAnsi="Times New Roman"/>
                <w:sz w:val="18"/>
                <w:szCs w:val="18"/>
                <w:color w:val="auto"/>
              </w:rPr>
              <w:t>Europe</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60" w:type="dxa"/>
            <w:vAlign w:val="bottom"/>
            <w:shd w:val="clear" w:color="auto" w:fill="F0F0F0"/>
          </w:tcPr>
          <w:p>
            <w:pPr>
              <w:spacing w:after="0"/>
              <w:rPr>
                <w:sz w:val="23"/>
                <w:szCs w:val="23"/>
                <w:color w:val="auto"/>
              </w:rPr>
            </w:pPr>
          </w:p>
        </w:tc>
        <w:tc>
          <w:tcPr>
            <w:tcW w:w="660" w:type="dxa"/>
            <w:vAlign w:val="bottom"/>
            <w:tcBorders>
              <w:right w:val="single" w:sz="8" w:color="0C479D"/>
            </w:tcBorders>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color w:val="auto"/>
              </w:rPr>
              <w:t>113</w:t>
            </w:r>
          </w:p>
        </w:tc>
        <w:tc>
          <w:tcPr>
            <w:tcW w:w="6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940" w:type="dxa"/>
            <w:vAlign w:val="bottom"/>
            <w:tcBorders>
              <w:right w:val="single" w:sz="8" w:color="0C479D"/>
            </w:tcBorders>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Borders>
              <w:right w:val="single" w:sz="8" w:color="0C479D"/>
            </w:tcBorders>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960" w:type="dxa"/>
            <w:vAlign w:val="bottom"/>
            <w:tcBorders>
              <w:right w:val="single" w:sz="8" w:color="0C479D"/>
            </w:tcBorders>
          </w:tcPr>
          <w:p>
            <w:pPr>
              <w:jc w:val="right"/>
              <w:ind w:right="13"/>
              <w:spacing w:after="0"/>
              <w:rPr>
                <w:sz w:val="20"/>
                <w:szCs w:val="20"/>
                <w:color w:val="auto"/>
              </w:rPr>
            </w:pPr>
            <w:r>
              <w:rPr>
                <w:rFonts w:ascii="Times New Roman" w:cs="Times New Roman" w:eastAsia="Times New Roman" w:hAnsi="Times New Roman"/>
                <w:sz w:val="18"/>
                <w:szCs w:val="18"/>
                <w:color w:val="auto"/>
              </w:rPr>
              <w:t>125</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940" w:type="dxa"/>
            <w:vAlign w:val="bottom"/>
            <w:tcBorders>
              <w:right w:val="single" w:sz="8" w:color="0C479D"/>
            </w:tcBorders>
          </w:tcPr>
          <w:p>
            <w:pPr>
              <w:jc w:val="right"/>
              <w:ind w:right="12"/>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70"/>
        </w:trPr>
        <w:tc>
          <w:tcPr>
            <w:tcW w:w="3060" w:type="dxa"/>
            <w:vAlign w:val="bottom"/>
            <w:tcBorders>
              <w:right w:val="single" w:sz="8" w:color="0C479D"/>
            </w:tcBorders>
          </w:tcPr>
          <w:p>
            <w:pPr>
              <w:ind w:left="120"/>
              <w:spacing w:after="0"/>
              <w:rPr>
                <w:sz w:val="20"/>
                <w:szCs w:val="20"/>
                <w:color w:val="auto"/>
              </w:rPr>
            </w:pPr>
            <w:r>
              <w:rPr>
                <w:rFonts w:ascii="Times New Roman" w:cs="Times New Roman" w:eastAsia="Times New Roman" w:hAnsi="Times New Roman"/>
                <w:sz w:val="18"/>
                <w:szCs w:val="18"/>
                <w:color w:val="auto"/>
              </w:rPr>
              <w:t>Africa</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60" w:type="dxa"/>
            <w:vAlign w:val="bottom"/>
            <w:shd w:val="clear" w:color="auto" w:fill="F0F0F0"/>
          </w:tcPr>
          <w:p>
            <w:pPr>
              <w:spacing w:after="0"/>
              <w:rPr>
                <w:sz w:val="23"/>
                <w:szCs w:val="23"/>
                <w:color w:val="auto"/>
              </w:rPr>
            </w:pPr>
          </w:p>
        </w:tc>
        <w:tc>
          <w:tcPr>
            <w:tcW w:w="660" w:type="dxa"/>
            <w:vAlign w:val="bottom"/>
            <w:tcBorders>
              <w:right w:val="single" w:sz="8" w:color="0C479D"/>
            </w:tcBorders>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color w:val="auto"/>
              </w:rPr>
              <w:t>94</w:t>
            </w:r>
          </w:p>
        </w:tc>
        <w:tc>
          <w:tcPr>
            <w:tcW w:w="6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0C479D"/>
            </w:tcBorders>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0C479D"/>
            </w:tcBorders>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960" w:type="dxa"/>
            <w:vAlign w:val="bottom"/>
            <w:tcBorders>
              <w:right w:val="single" w:sz="8" w:color="0C479D"/>
            </w:tcBorders>
          </w:tcPr>
          <w:p>
            <w:pPr>
              <w:jc w:val="right"/>
              <w:ind w:right="13"/>
              <w:spacing w:after="0"/>
              <w:rPr>
                <w:sz w:val="20"/>
                <w:szCs w:val="20"/>
                <w:color w:val="auto"/>
              </w:rPr>
            </w:pPr>
            <w:r>
              <w:rPr>
                <w:rFonts w:ascii="Times New Roman" w:cs="Times New Roman" w:eastAsia="Times New Roman" w:hAnsi="Times New Roman"/>
                <w:sz w:val="18"/>
                <w:szCs w:val="18"/>
                <w:color w:val="auto"/>
              </w:rPr>
              <w:t>204</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940" w:type="dxa"/>
            <w:vAlign w:val="bottom"/>
            <w:tcBorders>
              <w:right w:val="single" w:sz="8" w:color="0C479D"/>
            </w:tcBorders>
          </w:tcPr>
          <w:p>
            <w:pPr>
              <w:jc w:val="right"/>
              <w:ind w:right="12"/>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0"/>
        </w:trPr>
        <w:tc>
          <w:tcPr>
            <w:tcW w:w="3060" w:type="dxa"/>
            <w:vAlign w:val="bottom"/>
            <w:tcBorders>
              <w:right w:val="single" w:sz="8" w:color="0C479D"/>
            </w:tcBorders>
          </w:tcPr>
          <w:p>
            <w:pPr>
              <w:ind w:left="120"/>
              <w:spacing w:after="0"/>
              <w:rPr>
                <w:sz w:val="20"/>
                <w:szCs w:val="20"/>
                <w:color w:val="auto"/>
              </w:rPr>
            </w:pPr>
            <w:r>
              <w:rPr>
                <w:rFonts w:ascii="Times New Roman" w:cs="Times New Roman" w:eastAsia="Times New Roman" w:hAnsi="Times New Roman"/>
                <w:sz w:val="18"/>
                <w:szCs w:val="18"/>
                <w:color w:val="auto"/>
              </w:rPr>
              <w:t>Asia</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260" w:type="dxa"/>
            <w:vAlign w:val="bottom"/>
            <w:shd w:val="clear" w:color="auto" w:fill="F0F0F0"/>
          </w:tcPr>
          <w:p>
            <w:pPr>
              <w:spacing w:after="0"/>
              <w:rPr>
                <w:sz w:val="23"/>
                <w:szCs w:val="23"/>
                <w:color w:val="auto"/>
              </w:rPr>
            </w:pPr>
          </w:p>
        </w:tc>
        <w:tc>
          <w:tcPr>
            <w:tcW w:w="660" w:type="dxa"/>
            <w:vAlign w:val="bottom"/>
            <w:tcBorders>
              <w:right w:val="single" w:sz="8" w:color="0C479D"/>
            </w:tcBorders>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color w:val="auto"/>
              </w:rPr>
              <w:t>243</w:t>
            </w:r>
          </w:p>
        </w:tc>
        <w:tc>
          <w:tcPr>
            <w:tcW w:w="6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940" w:type="dxa"/>
            <w:vAlign w:val="bottom"/>
            <w:tcBorders>
              <w:right w:val="single" w:sz="8" w:color="0C479D"/>
            </w:tcBorders>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right w:val="single" w:sz="8" w:color="0C479D"/>
            </w:tcBorders>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960" w:type="dxa"/>
            <w:vAlign w:val="bottom"/>
            <w:tcBorders>
              <w:right w:val="single" w:sz="8" w:color="0C479D"/>
            </w:tcBorders>
          </w:tcPr>
          <w:p>
            <w:pPr>
              <w:jc w:val="right"/>
              <w:ind w:right="13"/>
              <w:spacing w:after="0"/>
              <w:rPr>
                <w:sz w:val="20"/>
                <w:szCs w:val="20"/>
                <w:color w:val="auto"/>
              </w:rPr>
            </w:pPr>
            <w:r>
              <w:rPr>
                <w:rFonts w:ascii="Times New Roman" w:cs="Times New Roman" w:eastAsia="Times New Roman" w:hAnsi="Times New Roman"/>
                <w:sz w:val="18"/>
                <w:szCs w:val="18"/>
                <w:color w:val="auto"/>
              </w:rPr>
              <w:t>293</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940" w:type="dxa"/>
            <w:vAlign w:val="bottom"/>
            <w:tcBorders>
              <w:right w:val="single" w:sz="8" w:color="0C479D"/>
            </w:tcBorders>
          </w:tcPr>
          <w:p>
            <w:pPr>
              <w:jc w:val="right"/>
              <w:ind w:right="12"/>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97"/>
        </w:trPr>
        <w:tc>
          <w:tcPr>
            <w:tcW w:w="3060" w:type="dxa"/>
            <w:vAlign w:val="bottom"/>
            <w:tcBorders>
              <w:right w:val="single" w:sz="8" w:color="0C479D"/>
            </w:tcBorders>
          </w:tcPr>
          <w:p>
            <w:pPr>
              <w:ind w:left="120"/>
              <w:spacing w:after="0"/>
              <w:rPr>
                <w:sz w:val="20"/>
                <w:szCs w:val="20"/>
                <w:color w:val="auto"/>
              </w:rPr>
            </w:pPr>
            <w:r>
              <w:rPr>
                <w:rFonts w:ascii="Times New Roman" w:cs="Times New Roman" w:eastAsia="Times New Roman" w:hAnsi="Times New Roman"/>
                <w:sz w:val="18"/>
                <w:szCs w:val="18"/>
                <w:color w:val="auto"/>
              </w:rPr>
              <w:t>Australia/Oceania</w:t>
            </w:r>
          </w:p>
        </w:tc>
        <w:tc>
          <w:tcPr>
            <w:tcW w:w="68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60" w:type="dxa"/>
            <w:vAlign w:val="bottom"/>
            <w:tcBorders>
              <w:bottom w:val="single" w:sz="8" w:color="F0F0F0"/>
            </w:tcBorders>
            <w:shd w:val="clear" w:color="auto" w:fill="F0F0F0"/>
          </w:tcPr>
          <w:p>
            <w:pPr>
              <w:spacing w:after="0"/>
              <w:rPr>
                <w:sz w:val="24"/>
                <w:szCs w:val="24"/>
                <w:color w:val="auto"/>
              </w:rPr>
            </w:pPr>
          </w:p>
        </w:tc>
        <w:tc>
          <w:tcPr>
            <w:tcW w:w="660" w:type="dxa"/>
            <w:vAlign w:val="bottom"/>
            <w:tcBorders>
              <w:bottom w:val="single" w:sz="8" w:color="F0F0F0"/>
              <w:right w:val="single" w:sz="8" w:color="0C479D"/>
            </w:tcBorders>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color w:val="auto"/>
              </w:rPr>
              <w:t>48</w:t>
            </w:r>
          </w:p>
        </w:tc>
        <w:tc>
          <w:tcPr>
            <w:tcW w:w="66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940" w:type="dxa"/>
            <w:vAlign w:val="bottom"/>
            <w:tcBorders>
              <w:bottom w:val="single" w:sz="8" w:color="F0F0F0"/>
              <w:right w:val="single" w:sz="8" w:color="0C479D"/>
            </w:tcBorders>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right w:val="single" w:sz="8" w:color="0C479D"/>
            </w:tcBorders>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960" w:type="dxa"/>
            <w:vAlign w:val="bottom"/>
            <w:tcBorders>
              <w:right w:val="single" w:sz="8" w:color="0C479D"/>
            </w:tcBorders>
          </w:tcPr>
          <w:p>
            <w:pPr>
              <w:jc w:val="right"/>
              <w:ind w:right="13"/>
              <w:spacing w:after="0"/>
              <w:rPr>
                <w:sz w:val="20"/>
                <w:szCs w:val="20"/>
                <w:color w:val="auto"/>
              </w:rPr>
            </w:pPr>
            <w:r>
              <w:rPr>
                <w:rFonts w:ascii="Times New Roman" w:cs="Times New Roman" w:eastAsia="Times New Roman" w:hAnsi="Times New Roman"/>
                <w:sz w:val="18"/>
                <w:szCs w:val="18"/>
                <w:color w:val="auto"/>
              </w:rPr>
              <w:t>84</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940" w:type="dxa"/>
            <w:vAlign w:val="bottom"/>
            <w:tcBorders>
              <w:right w:val="single" w:sz="8" w:color="0C479D"/>
            </w:tcBorders>
          </w:tcPr>
          <w:p>
            <w:pPr>
              <w:jc w:val="right"/>
              <w:ind w:right="12"/>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44"/>
        </w:trPr>
        <w:tc>
          <w:tcPr>
            <w:tcW w:w="3060" w:type="dxa"/>
            <w:vAlign w:val="bottom"/>
            <w:tcBorders>
              <w:top w:val="single" w:sz="8" w:color="0C479D"/>
              <w:bottom w:val="single" w:sz="8" w:color="0C479D"/>
              <w:right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Total Consolidated Subsidiaries</w:t>
            </w:r>
          </w:p>
        </w:tc>
        <w:tc>
          <w:tcPr>
            <w:tcW w:w="680" w:type="dxa"/>
            <w:vAlign w:val="bottom"/>
            <w:tcBorders>
              <w:top w:val="single" w:sz="8" w:color="0C479D"/>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36,270</w:t>
            </w:r>
          </w:p>
        </w:tc>
        <w:tc>
          <w:tcPr>
            <w:tcW w:w="260" w:type="dxa"/>
            <w:vAlign w:val="bottom"/>
            <w:tcBorders>
              <w:top w:val="single" w:sz="8" w:color="0C479D"/>
              <w:bottom w:val="single" w:sz="8" w:color="0C479D"/>
            </w:tcBorders>
            <w:shd w:val="clear" w:color="auto" w:fill="F0F0F0"/>
          </w:tcPr>
          <w:p>
            <w:pPr>
              <w:spacing w:after="0"/>
              <w:rPr>
                <w:sz w:val="21"/>
                <w:szCs w:val="21"/>
                <w:color w:val="auto"/>
              </w:rPr>
            </w:pPr>
          </w:p>
        </w:tc>
        <w:tc>
          <w:tcPr>
            <w:tcW w:w="660" w:type="dxa"/>
            <w:vAlign w:val="bottom"/>
            <w:tcBorders>
              <w:top w:val="single" w:sz="8" w:color="0C479D"/>
              <w:bottom w:val="single" w:sz="8" w:color="0C479D"/>
              <w:right w:val="single" w:sz="8" w:color="0C479D"/>
            </w:tcBorders>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color w:val="auto"/>
              </w:rPr>
              <w:t>21,601</w:t>
            </w:r>
          </w:p>
        </w:tc>
        <w:tc>
          <w:tcPr>
            <w:tcW w:w="660" w:type="dxa"/>
            <w:vAlign w:val="bottom"/>
            <w:tcBorders>
              <w:top w:val="single" w:sz="8" w:color="0C479D"/>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11,058</w:t>
            </w:r>
          </w:p>
        </w:tc>
        <w:tc>
          <w:tcPr>
            <w:tcW w:w="940" w:type="dxa"/>
            <w:vAlign w:val="bottom"/>
            <w:tcBorders>
              <w:top w:val="single" w:sz="8" w:color="0C479D"/>
              <w:bottom w:val="single" w:sz="8" w:color="0C479D"/>
              <w:right w:val="single" w:sz="8" w:color="0C479D"/>
            </w:tcBorders>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color w:val="auto"/>
              </w:rPr>
              <w:t>5,676</w:t>
            </w:r>
          </w:p>
        </w:tc>
        <w:tc>
          <w:tcPr>
            <w:tcW w:w="120" w:type="dxa"/>
            <w:vAlign w:val="bottom"/>
            <w:tcBorders>
              <w:top w:val="single" w:sz="8" w:color="0C479D"/>
              <w:bottom w:val="single" w:sz="8" w:color="0C479D"/>
              <w:right w:val="single" w:sz="8" w:color="0C479D"/>
            </w:tcBorders>
          </w:tcPr>
          <w:p>
            <w:pPr>
              <w:spacing w:after="0"/>
              <w:rPr>
                <w:sz w:val="21"/>
                <w:szCs w:val="21"/>
                <w:color w:val="auto"/>
              </w:rPr>
            </w:pPr>
          </w:p>
        </w:tc>
        <w:tc>
          <w:tcPr>
            <w:tcW w:w="680" w:type="dxa"/>
            <w:vAlign w:val="bottom"/>
            <w:tcBorders>
              <w:top w:val="single" w:sz="8" w:color="0C479D"/>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27,911</w:t>
            </w:r>
          </w:p>
        </w:tc>
        <w:tc>
          <w:tcPr>
            <w:tcW w:w="960" w:type="dxa"/>
            <w:vAlign w:val="bottom"/>
            <w:tcBorders>
              <w:top w:val="single" w:sz="8" w:color="0C479D"/>
              <w:bottom w:val="single" w:sz="8" w:color="0C479D"/>
              <w:right w:val="single" w:sz="8" w:color="0C479D"/>
            </w:tcBorders>
          </w:tcPr>
          <w:p>
            <w:pPr>
              <w:jc w:val="right"/>
              <w:ind w:right="13"/>
              <w:spacing w:after="0"/>
              <w:rPr>
                <w:sz w:val="20"/>
                <w:szCs w:val="20"/>
                <w:color w:val="auto"/>
              </w:rPr>
            </w:pPr>
            <w:r>
              <w:rPr>
                <w:rFonts w:ascii="Times New Roman" w:cs="Times New Roman" w:eastAsia="Times New Roman" w:hAnsi="Times New Roman"/>
                <w:sz w:val="18"/>
                <w:szCs w:val="18"/>
                <w:color w:val="auto"/>
              </w:rPr>
              <w:t>14,340</w:t>
            </w:r>
          </w:p>
        </w:tc>
        <w:tc>
          <w:tcPr>
            <w:tcW w:w="660" w:type="dxa"/>
            <w:vAlign w:val="bottom"/>
            <w:tcBorders>
              <w:top w:val="single" w:sz="8" w:color="0C479D"/>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11,774</w:t>
            </w:r>
          </w:p>
        </w:tc>
        <w:tc>
          <w:tcPr>
            <w:tcW w:w="940" w:type="dxa"/>
            <w:vAlign w:val="bottom"/>
            <w:tcBorders>
              <w:top w:val="single" w:sz="8" w:color="0C479D"/>
              <w:bottom w:val="single" w:sz="8" w:color="0C479D"/>
              <w:right w:val="single" w:sz="8" w:color="0C479D"/>
            </w:tcBorders>
          </w:tcPr>
          <w:p>
            <w:pPr>
              <w:jc w:val="right"/>
              <w:ind w:right="12"/>
              <w:spacing w:after="0"/>
              <w:rPr>
                <w:sz w:val="20"/>
                <w:szCs w:val="20"/>
                <w:color w:val="auto"/>
              </w:rPr>
            </w:pPr>
            <w:r>
              <w:rPr>
                <w:rFonts w:ascii="Times New Roman" w:cs="Times New Roman" w:eastAsia="Times New Roman" w:hAnsi="Times New Roman"/>
                <w:sz w:val="18"/>
                <w:szCs w:val="18"/>
                <w:color w:val="auto"/>
              </w:rPr>
              <w:t>6,166</w:t>
            </w:r>
          </w:p>
        </w:tc>
        <w:tc>
          <w:tcPr>
            <w:tcW w:w="0" w:type="dxa"/>
            <w:vAlign w:val="bottom"/>
          </w:tcPr>
          <w:p>
            <w:pPr>
              <w:spacing w:after="0"/>
              <w:rPr>
                <w:sz w:val="1"/>
                <w:szCs w:val="1"/>
                <w:color w:val="auto"/>
              </w:rPr>
            </w:pPr>
          </w:p>
        </w:tc>
      </w:tr>
      <w:tr>
        <w:trPr>
          <w:trHeight w:val="310"/>
        </w:trPr>
        <w:tc>
          <w:tcPr>
            <w:tcW w:w="3060" w:type="dxa"/>
            <w:vAlign w:val="bottom"/>
            <w:tcBorders>
              <w:right w:val="single" w:sz="8" w:color="0C479D"/>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Equity Companies</w:t>
            </w:r>
          </w:p>
        </w:tc>
        <w:tc>
          <w:tcPr>
            <w:tcW w:w="680" w:type="dxa"/>
            <w:vAlign w:val="bottom"/>
            <w:shd w:val="clear" w:color="auto" w:fill="F0F0F0"/>
          </w:tcPr>
          <w:p>
            <w:pPr>
              <w:spacing w:after="0"/>
              <w:rPr>
                <w:sz w:val="24"/>
                <w:szCs w:val="24"/>
                <w:color w:val="auto"/>
              </w:rPr>
            </w:pPr>
          </w:p>
        </w:tc>
        <w:tc>
          <w:tcPr>
            <w:tcW w:w="260" w:type="dxa"/>
            <w:vAlign w:val="bottom"/>
            <w:shd w:val="clear" w:color="auto" w:fill="F0F0F0"/>
          </w:tcPr>
          <w:p>
            <w:pPr>
              <w:spacing w:after="0"/>
              <w:rPr>
                <w:sz w:val="24"/>
                <w:szCs w:val="24"/>
                <w:color w:val="auto"/>
              </w:rPr>
            </w:pPr>
          </w:p>
        </w:tc>
        <w:tc>
          <w:tcPr>
            <w:tcW w:w="660" w:type="dxa"/>
            <w:vAlign w:val="bottom"/>
            <w:tcBorders>
              <w:right w:val="single" w:sz="8" w:color="0C479D"/>
            </w:tcBorders>
            <w:shd w:val="clear" w:color="auto" w:fill="F0F0F0"/>
          </w:tcPr>
          <w:p>
            <w:pPr>
              <w:spacing w:after="0"/>
              <w:rPr>
                <w:sz w:val="24"/>
                <w:szCs w:val="24"/>
                <w:color w:val="auto"/>
              </w:rPr>
            </w:pPr>
          </w:p>
        </w:tc>
        <w:tc>
          <w:tcPr>
            <w:tcW w:w="660" w:type="dxa"/>
            <w:vAlign w:val="bottom"/>
            <w:shd w:val="clear" w:color="auto" w:fill="F0F0F0"/>
          </w:tcPr>
          <w:p>
            <w:pPr>
              <w:spacing w:after="0"/>
              <w:rPr>
                <w:sz w:val="24"/>
                <w:szCs w:val="24"/>
                <w:color w:val="auto"/>
              </w:rPr>
            </w:pPr>
          </w:p>
        </w:tc>
        <w:tc>
          <w:tcPr>
            <w:tcW w:w="940" w:type="dxa"/>
            <w:vAlign w:val="bottom"/>
            <w:tcBorders>
              <w:right w:val="single" w:sz="8" w:color="0C479D"/>
            </w:tcBorders>
            <w:shd w:val="clear" w:color="auto" w:fill="F0F0F0"/>
          </w:tcPr>
          <w:p>
            <w:pPr>
              <w:spacing w:after="0"/>
              <w:rPr>
                <w:sz w:val="24"/>
                <w:szCs w:val="24"/>
                <w:color w:val="auto"/>
              </w:rPr>
            </w:pPr>
          </w:p>
        </w:tc>
        <w:tc>
          <w:tcPr>
            <w:tcW w:w="120" w:type="dxa"/>
            <w:vAlign w:val="bottom"/>
            <w:tcBorders>
              <w:right w:val="single" w:sz="8" w:color="0C479D"/>
            </w:tcBorders>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Borders>
              <w:right w:val="single" w:sz="8" w:color="0C479D"/>
            </w:tcBorders>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Borders>
              <w:right w:val="single" w:sz="8" w:color="0C479D"/>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60" w:type="dxa"/>
            <w:vAlign w:val="bottom"/>
            <w:tcBorders>
              <w:right w:val="single" w:sz="8" w:color="0C479D"/>
            </w:tcBorders>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260" w:type="dxa"/>
            <w:vAlign w:val="bottom"/>
            <w:shd w:val="clear" w:color="auto" w:fill="F0F0F0"/>
          </w:tcPr>
          <w:p>
            <w:pPr>
              <w:spacing w:after="0"/>
              <w:rPr>
                <w:sz w:val="21"/>
                <w:szCs w:val="21"/>
                <w:color w:val="auto"/>
              </w:rPr>
            </w:pPr>
          </w:p>
        </w:tc>
        <w:tc>
          <w:tcPr>
            <w:tcW w:w="660" w:type="dxa"/>
            <w:vAlign w:val="bottom"/>
            <w:tcBorders>
              <w:right w:val="single" w:sz="8" w:color="0C479D"/>
            </w:tcBorders>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color w:val="auto"/>
              </w:rPr>
              <w:t>329</w:t>
            </w:r>
          </w:p>
        </w:tc>
        <w:tc>
          <w:tcPr>
            <w:tcW w:w="6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940" w:type="dxa"/>
            <w:vAlign w:val="bottom"/>
            <w:tcBorders>
              <w:right w:val="single" w:sz="8" w:color="0C479D"/>
            </w:tcBorders>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tcBorders>
              <w:right w:val="single" w:sz="8" w:color="0C479D"/>
            </w:tcBorders>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960" w:type="dxa"/>
            <w:vAlign w:val="bottom"/>
            <w:tcBorders>
              <w:right w:val="single" w:sz="8" w:color="0C479D"/>
            </w:tcBorders>
          </w:tcPr>
          <w:p>
            <w:pPr>
              <w:jc w:val="right"/>
              <w:ind w:right="13"/>
              <w:spacing w:after="0"/>
              <w:rPr>
                <w:sz w:val="20"/>
                <w:szCs w:val="20"/>
                <w:color w:val="auto"/>
              </w:rPr>
            </w:pPr>
            <w:r>
              <w:rPr>
                <w:rFonts w:ascii="Times New Roman" w:cs="Times New Roman" w:eastAsia="Times New Roman" w:hAnsi="Times New Roman"/>
                <w:sz w:val="18"/>
                <w:szCs w:val="18"/>
                <w:color w:val="auto"/>
              </w:rPr>
              <w:t>340</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3,322</w:t>
            </w:r>
          </w:p>
        </w:tc>
        <w:tc>
          <w:tcPr>
            <w:tcW w:w="940" w:type="dxa"/>
            <w:vAlign w:val="bottom"/>
            <w:tcBorders>
              <w:right w:val="single" w:sz="8" w:color="0C479D"/>
            </w:tcBorders>
          </w:tcPr>
          <w:p>
            <w:pPr>
              <w:jc w:val="right"/>
              <w:ind w:right="12"/>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70"/>
        </w:trPr>
        <w:tc>
          <w:tcPr>
            <w:tcW w:w="3060" w:type="dxa"/>
            <w:vAlign w:val="bottom"/>
            <w:tcBorders>
              <w:right w:val="single" w:sz="8" w:color="0C479D"/>
            </w:tcBorders>
          </w:tcPr>
          <w:p>
            <w:pPr>
              <w:ind w:left="120"/>
              <w:spacing w:after="0"/>
              <w:rPr>
                <w:sz w:val="20"/>
                <w:szCs w:val="20"/>
                <w:color w:val="auto"/>
              </w:rPr>
            </w:pPr>
            <w:r>
              <w:rPr>
                <w:rFonts w:ascii="Times New Roman" w:cs="Times New Roman" w:eastAsia="Times New Roman" w:hAnsi="Times New Roman"/>
                <w:sz w:val="18"/>
                <w:szCs w:val="18"/>
                <w:color w:val="auto"/>
              </w:rPr>
              <w:t>Europe</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shd w:val="clear" w:color="auto" w:fill="F0F0F0"/>
          </w:tcPr>
          <w:p>
            <w:pPr>
              <w:spacing w:after="0"/>
              <w:rPr>
                <w:sz w:val="23"/>
                <w:szCs w:val="23"/>
                <w:color w:val="auto"/>
              </w:rPr>
            </w:pPr>
          </w:p>
        </w:tc>
        <w:tc>
          <w:tcPr>
            <w:tcW w:w="660" w:type="dxa"/>
            <w:vAlign w:val="bottom"/>
            <w:tcBorders>
              <w:right w:val="single" w:sz="8" w:color="0C479D"/>
            </w:tcBorders>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color w:val="auto"/>
              </w:rPr>
              <w:t>20</w:t>
            </w:r>
          </w:p>
        </w:tc>
        <w:tc>
          <w:tcPr>
            <w:tcW w:w="6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940" w:type="dxa"/>
            <w:vAlign w:val="bottom"/>
            <w:tcBorders>
              <w:right w:val="single" w:sz="8" w:color="0C479D"/>
            </w:tcBorders>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right w:val="single" w:sz="8" w:color="0C479D"/>
            </w:tcBorders>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960" w:type="dxa"/>
            <w:vAlign w:val="bottom"/>
            <w:tcBorders>
              <w:right w:val="single" w:sz="8" w:color="0C479D"/>
            </w:tcBorders>
          </w:tcPr>
          <w:p>
            <w:pPr>
              <w:jc w:val="right"/>
              <w:ind w:right="13"/>
              <w:spacing w:after="0"/>
              <w:rPr>
                <w:sz w:val="20"/>
                <w:szCs w:val="20"/>
                <w:color w:val="auto"/>
              </w:rPr>
            </w:pPr>
            <w:r>
              <w:rPr>
                <w:rFonts w:ascii="Times New Roman" w:cs="Times New Roman" w:eastAsia="Times New Roman" w:hAnsi="Times New Roman"/>
                <w:sz w:val="18"/>
                <w:szCs w:val="18"/>
                <w:color w:val="auto"/>
              </w:rPr>
              <w:t>20</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940" w:type="dxa"/>
            <w:vAlign w:val="bottom"/>
            <w:tcBorders>
              <w:right w:val="single" w:sz="8" w:color="0C479D"/>
            </w:tcBorders>
          </w:tcPr>
          <w:p>
            <w:pPr>
              <w:jc w:val="right"/>
              <w:ind w:right="12"/>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70"/>
        </w:trPr>
        <w:tc>
          <w:tcPr>
            <w:tcW w:w="3060" w:type="dxa"/>
            <w:vAlign w:val="bottom"/>
            <w:tcBorders>
              <w:right w:val="single" w:sz="8" w:color="0C479D"/>
            </w:tcBorders>
          </w:tcPr>
          <w:p>
            <w:pPr>
              <w:ind w:left="120"/>
              <w:spacing w:after="0"/>
              <w:rPr>
                <w:sz w:val="20"/>
                <w:szCs w:val="20"/>
                <w:color w:val="auto"/>
              </w:rPr>
            </w:pPr>
            <w:r>
              <w:rPr>
                <w:rFonts w:ascii="Times New Roman" w:cs="Times New Roman" w:eastAsia="Times New Roman" w:hAnsi="Times New Roman"/>
                <w:sz w:val="18"/>
                <w:szCs w:val="18"/>
                <w:color w:val="auto"/>
              </w:rPr>
              <w:t>Africa</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F0F0F0"/>
          </w:tcPr>
          <w:p>
            <w:pPr>
              <w:spacing w:after="0"/>
              <w:rPr>
                <w:sz w:val="23"/>
                <w:szCs w:val="23"/>
                <w:color w:val="auto"/>
              </w:rPr>
            </w:pPr>
          </w:p>
        </w:tc>
        <w:tc>
          <w:tcPr>
            <w:tcW w:w="660" w:type="dxa"/>
            <w:vAlign w:val="bottom"/>
            <w:tcBorders>
              <w:right w:val="single" w:sz="8" w:color="0C479D"/>
            </w:tcBorders>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tcBorders>
              <w:right w:val="single" w:sz="8" w:color="0C479D"/>
            </w:tcBorders>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0C479D"/>
            </w:tcBorders>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0C479D"/>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940" w:type="dxa"/>
            <w:vAlign w:val="bottom"/>
            <w:tcBorders>
              <w:right w:val="single" w:sz="8" w:color="0C479D"/>
            </w:tcBorders>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97"/>
        </w:trPr>
        <w:tc>
          <w:tcPr>
            <w:tcW w:w="3060" w:type="dxa"/>
            <w:vAlign w:val="bottom"/>
            <w:tcBorders>
              <w:right w:val="single" w:sz="8" w:color="0C479D"/>
            </w:tcBorders>
          </w:tcPr>
          <w:p>
            <w:pPr>
              <w:ind w:left="120"/>
              <w:spacing w:after="0"/>
              <w:rPr>
                <w:sz w:val="20"/>
                <w:szCs w:val="20"/>
                <w:color w:val="auto"/>
              </w:rPr>
            </w:pPr>
            <w:r>
              <w:rPr>
                <w:rFonts w:ascii="Times New Roman" w:cs="Times New Roman" w:eastAsia="Times New Roman" w:hAnsi="Times New Roman"/>
                <w:sz w:val="18"/>
                <w:szCs w:val="18"/>
                <w:color w:val="auto"/>
              </w:rPr>
              <w:t>Asia</w:t>
            </w:r>
          </w:p>
        </w:tc>
        <w:tc>
          <w:tcPr>
            <w:tcW w:w="68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60" w:type="dxa"/>
            <w:vAlign w:val="bottom"/>
            <w:tcBorders>
              <w:bottom w:val="single" w:sz="8" w:color="F0F0F0"/>
            </w:tcBorders>
            <w:shd w:val="clear" w:color="auto" w:fill="F0F0F0"/>
          </w:tcPr>
          <w:p>
            <w:pPr>
              <w:spacing w:after="0"/>
              <w:rPr>
                <w:sz w:val="24"/>
                <w:szCs w:val="24"/>
                <w:color w:val="auto"/>
              </w:rPr>
            </w:pPr>
          </w:p>
        </w:tc>
        <w:tc>
          <w:tcPr>
            <w:tcW w:w="660" w:type="dxa"/>
            <w:vAlign w:val="bottom"/>
            <w:tcBorders>
              <w:bottom w:val="single" w:sz="8" w:color="F0F0F0"/>
              <w:right w:val="single" w:sz="8" w:color="0C479D"/>
            </w:tcBorders>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color w:val="auto"/>
              </w:rPr>
              <w:t>58</w:t>
            </w:r>
          </w:p>
        </w:tc>
        <w:tc>
          <w:tcPr>
            <w:tcW w:w="66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940" w:type="dxa"/>
            <w:vAlign w:val="bottom"/>
            <w:tcBorders>
              <w:bottom w:val="single" w:sz="8" w:color="F0F0F0"/>
              <w:right w:val="single" w:sz="8" w:color="0C479D"/>
            </w:tcBorders>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right w:val="single" w:sz="8" w:color="0C479D"/>
            </w:tcBorders>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960" w:type="dxa"/>
            <w:vAlign w:val="bottom"/>
            <w:tcBorders>
              <w:right w:val="single" w:sz="8" w:color="0C479D"/>
            </w:tcBorders>
          </w:tcPr>
          <w:p>
            <w:pPr>
              <w:jc w:val="right"/>
              <w:ind w:right="13"/>
              <w:spacing w:after="0"/>
              <w:rPr>
                <w:sz w:val="20"/>
                <w:szCs w:val="20"/>
                <w:color w:val="auto"/>
              </w:rPr>
            </w:pPr>
            <w:r>
              <w:rPr>
                <w:rFonts w:ascii="Times New Roman" w:cs="Times New Roman" w:eastAsia="Times New Roman" w:hAnsi="Times New Roman"/>
                <w:sz w:val="18"/>
                <w:szCs w:val="18"/>
                <w:color w:val="auto"/>
              </w:rPr>
              <w:t>58</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940" w:type="dxa"/>
            <w:vAlign w:val="bottom"/>
            <w:tcBorders>
              <w:right w:val="single" w:sz="8" w:color="0C479D"/>
            </w:tcBorders>
          </w:tcPr>
          <w:p>
            <w:pPr>
              <w:jc w:val="right"/>
              <w:ind w:right="12"/>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44"/>
        </w:trPr>
        <w:tc>
          <w:tcPr>
            <w:tcW w:w="3060" w:type="dxa"/>
            <w:vAlign w:val="bottom"/>
            <w:tcBorders>
              <w:top w:val="single" w:sz="8" w:color="0C479D"/>
              <w:bottom w:val="single" w:sz="8" w:color="0C479D"/>
              <w:right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Total Equity Companies</w:t>
            </w:r>
          </w:p>
        </w:tc>
        <w:tc>
          <w:tcPr>
            <w:tcW w:w="680" w:type="dxa"/>
            <w:vAlign w:val="bottom"/>
            <w:tcBorders>
              <w:top w:val="single" w:sz="8" w:color="0C479D"/>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260" w:type="dxa"/>
            <w:vAlign w:val="bottom"/>
            <w:tcBorders>
              <w:top w:val="single" w:sz="8" w:color="0C479D"/>
              <w:bottom w:val="single" w:sz="8" w:color="0C479D"/>
            </w:tcBorders>
            <w:shd w:val="clear" w:color="auto" w:fill="F0F0F0"/>
          </w:tcPr>
          <w:p>
            <w:pPr>
              <w:spacing w:after="0"/>
              <w:rPr>
                <w:sz w:val="21"/>
                <w:szCs w:val="21"/>
                <w:color w:val="auto"/>
              </w:rPr>
            </w:pPr>
          </w:p>
        </w:tc>
        <w:tc>
          <w:tcPr>
            <w:tcW w:w="660" w:type="dxa"/>
            <w:vAlign w:val="bottom"/>
            <w:tcBorders>
              <w:top w:val="single" w:sz="8" w:color="0C479D"/>
              <w:bottom w:val="single" w:sz="8" w:color="0C479D"/>
              <w:right w:val="single" w:sz="8" w:color="0C479D"/>
            </w:tcBorders>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color w:val="auto"/>
              </w:rPr>
              <w:t>407</w:t>
            </w:r>
          </w:p>
        </w:tc>
        <w:tc>
          <w:tcPr>
            <w:tcW w:w="660" w:type="dxa"/>
            <w:vAlign w:val="bottom"/>
            <w:tcBorders>
              <w:top w:val="single" w:sz="8" w:color="0C479D"/>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3,791</w:t>
            </w:r>
          </w:p>
        </w:tc>
        <w:tc>
          <w:tcPr>
            <w:tcW w:w="940" w:type="dxa"/>
            <w:vAlign w:val="bottom"/>
            <w:tcBorders>
              <w:top w:val="single" w:sz="8" w:color="0C479D"/>
              <w:bottom w:val="single" w:sz="8" w:color="0C479D"/>
              <w:right w:val="single" w:sz="8" w:color="0C479D"/>
            </w:tcBorders>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color w:val="auto"/>
              </w:rPr>
              <w:t>461</w:t>
            </w:r>
          </w:p>
        </w:tc>
        <w:tc>
          <w:tcPr>
            <w:tcW w:w="120" w:type="dxa"/>
            <w:vAlign w:val="bottom"/>
            <w:tcBorders>
              <w:top w:val="single" w:sz="8" w:color="0C479D"/>
              <w:bottom w:val="single" w:sz="8" w:color="0C479D"/>
              <w:right w:val="single" w:sz="8" w:color="0C479D"/>
            </w:tcBorders>
          </w:tcPr>
          <w:p>
            <w:pPr>
              <w:spacing w:after="0"/>
              <w:rPr>
                <w:sz w:val="21"/>
                <w:szCs w:val="21"/>
                <w:color w:val="auto"/>
              </w:rPr>
            </w:pPr>
          </w:p>
        </w:tc>
        <w:tc>
          <w:tcPr>
            <w:tcW w:w="680" w:type="dxa"/>
            <w:vAlign w:val="bottom"/>
            <w:tcBorders>
              <w:top w:val="single" w:sz="8" w:color="0C479D"/>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960" w:type="dxa"/>
            <w:vAlign w:val="bottom"/>
            <w:tcBorders>
              <w:top w:val="single" w:sz="8" w:color="0C479D"/>
              <w:bottom w:val="single" w:sz="8" w:color="0C479D"/>
              <w:right w:val="single" w:sz="8" w:color="0C479D"/>
            </w:tcBorders>
          </w:tcPr>
          <w:p>
            <w:pPr>
              <w:jc w:val="right"/>
              <w:ind w:right="13"/>
              <w:spacing w:after="0"/>
              <w:rPr>
                <w:sz w:val="20"/>
                <w:szCs w:val="20"/>
                <w:color w:val="auto"/>
              </w:rPr>
            </w:pPr>
            <w:r>
              <w:rPr>
                <w:rFonts w:ascii="Times New Roman" w:cs="Times New Roman" w:eastAsia="Times New Roman" w:hAnsi="Times New Roman"/>
                <w:sz w:val="18"/>
                <w:szCs w:val="18"/>
                <w:color w:val="auto"/>
              </w:rPr>
              <w:t>418</w:t>
            </w:r>
          </w:p>
        </w:tc>
        <w:tc>
          <w:tcPr>
            <w:tcW w:w="660" w:type="dxa"/>
            <w:vAlign w:val="bottom"/>
            <w:tcBorders>
              <w:top w:val="single" w:sz="8" w:color="0C479D"/>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3,927</w:t>
            </w:r>
          </w:p>
        </w:tc>
        <w:tc>
          <w:tcPr>
            <w:tcW w:w="940" w:type="dxa"/>
            <w:vAlign w:val="bottom"/>
            <w:tcBorders>
              <w:top w:val="single" w:sz="8" w:color="0C479D"/>
              <w:bottom w:val="single" w:sz="8" w:color="0C479D"/>
              <w:right w:val="single" w:sz="8" w:color="0C479D"/>
            </w:tcBorders>
          </w:tcPr>
          <w:p>
            <w:pPr>
              <w:jc w:val="right"/>
              <w:ind w:right="12"/>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50"/>
        </w:trPr>
        <w:tc>
          <w:tcPr>
            <w:tcW w:w="3060" w:type="dxa"/>
            <w:vAlign w:val="bottom"/>
            <w:tcBorders>
              <w:bottom w:val="single" w:sz="8" w:color="0C479D"/>
              <w:right w:val="single" w:sz="8" w:color="0C479D"/>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gross and net productive wells</w:t>
            </w:r>
          </w:p>
        </w:tc>
        <w:tc>
          <w:tcPr>
            <w:tcW w:w="68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39,133</w:t>
            </w:r>
          </w:p>
        </w:tc>
        <w:tc>
          <w:tcPr>
            <w:tcW w:w="260" w:type="dxa"/>
            <w:vAlign w:val="bottom"/>
            <w:tcBorders>
              <w:bottom w:val="single" w:sz="8" w:color="0C479D"/>
            </w:tcBorders>
            <w:shd w:val="clear" w:color="auto" w:fill="F0F0F0"/>
          </w:tcPr>
          <w:p>
            <w:pPr>
              <w:spacing w:after="0"/>
              <w:rPr>
                <w:sz w:val="21"/>
                <w:szCs w:val="21"/>
                <w:color w:val="auto"/>
              </w:rPr>
            </w:pPr>
          </w:p>
        </w:tc>
        <w:tc>
          <w:tcPr>
            <w:tcW w:w="660" w:type="dxa"/>
            <w:vAlign w:val="bottom"/>
            <w:tcBorders>
              <w:bottom w:val="single" w:sz="8" w:color="0C479D"/>
              <w:right w:val="single" w:sz="8" w:color="0C479D"/>
            </w:tcBorders>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22,008</w:t>
            </w:r>
          </w:p>
        </w:tc>
        <w:tc>
          <w:tcPr>
            <w:tcW w:w="6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14,849</w:t>
            </w:r>
          </w:p>
        </w:tc>
        <w:tc>
          <w:tcPr>
            <w:tcW w:w="940" w:type="dxa"/>
            <w:vAlign w:val="bottom"/>
            <w:tcBorders>
              <w:bottom w:val="single" w:sz="8" w:color="0C479D"/>
              <w:right w:val="single" w:sz="8" w:color="0C479D"/>
            </w:tcBorders>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6,137</w:t>
            </w:r>
          </w:p>
        </w:tc>
        <w:tc>
          <w:tcPr>
            <w:tcW w:w="120" w:type="dxa"/>
            <w:vAlign w:val="bottom"/>
            <w:tcBorders>
              <w:bottom w:val="single" w:sz="8" w:color="0C479D"/>
              <w:right w:val="single" w:sz="8" w:color="0C479D"/>
            </w:tcBorders>
          </w:tcPr>
          <w:p>
            <w:pPr>
              <w:spacing w:after="0"/>
              <w:rPr>
                <w:sz w:val="21"/>
                <w:szCs w:val="21"/>
                <w:color w:val="auto"/>
              </w:rPr>
            </w:pPr>
          </w:p>
        </w:tc>
        <w:tc>
          <w:tcPr>
            <w:tcW w:w="6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30,836</w:t>
            </w:r>
          </w:p>
        </w:tc>
        <w:tc>
          <w:tcPr>
            <w:tcW w:w="960" w:type="dxa"/>
            <w:vAlign w:val="bottom"/>
            <w:tcBorders>
              <w:bottom w:val="single" w:sz="8" w:color="0C479D"/>
              <w:right w:val="single" w:sz="8" w:color="0C479D"/>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14,758</w:t>
            </w:r>
          </w:p>
        </w:tc>
        <w:tc>
          <w:tcPr>
            <w:tcW w:w="6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15,701</w:t>
            </w:r>
          </w:p>
        </w:tc>
        <w:tc>
          <w:tcPr>
            <w:tcW w:w="940" w:type="dxa"/>
            <w:vAlign w:val="bottom"/>
            <w:tcBorders>
              <w:bottom w:val="single" w:sz="8" w:color="0C479D"/>
              <w:right w:val="single" w:sz="8" w:color="0C479D"/>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6,669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25,610 gross and 22,837 net operated wells at year-end 2024 and 18,518 gross and 16,171 net operated wells at year-end 2023. The number of wells with multiple completions was 434 gross in 2024 and 467 gross in 2023.</w:t>
      </w:r>
    </w:p>
    <w:p>
      <w:pPr>
        <w:sectPr>
          <w:pgSz w:w="11900" w:h="16838" w:orient="portrait"/>
          <w:cols w:equalWidth="0" w:num="1">
            <w:col w:w="11240"/>
          </w:cols>
          <w:pgMar w:left="320" w:top="999"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0C479D"/>
        </w:rPr>
        <w:t>B. Gross and Net Developed Acreage</w:t>
      </w:r>
    </w:p>
    <w:p>
      <w:pPr>
        <w:spacing w:after="0" w:line="220" w:lineRule="exact"/>
        <w:rPr>
          <w:sz w:val="20"/>
          <w:szCs w:val="20"/>
          <w:color w:val="auto"/>
        </w:rPr>
      </w:pPr>
    </w:p>
    <w:tbl>
      <w:tblPr>
        <w:tblLayout w:type="fixed"/>
        <w:tblInd w:w="780" w:type="dxa"/>
        <w:tblCellMar>
          <w:top w:w="0" w:type="dxa"/>
          <w:left w:w="0" w:type="dxa"/>
          <w:bottom w:w="0" w:type="dxa"/>
          <w:right w:w="0" w:type="dxa"/>
        </w:tblCellMar>
      </w:tblPr>
      <w:tr>
        <w:trPr>
          <w:trHeight w:val="245"/>
        </w:trPr>
        <w:tc>
          <w:tcPr>
            <w:tcW w:w="5260" w:type="dxa"/>
            <w:vAlign w:val="bottom"/>
            <w:shd w:val="clear" w:color="auto" w:fill="0C479D"/>
          </w:tcPr>
          <w:p>
            <w:pPr>
              <w:spacing w:after="0"/>
              <w:rPr>
                <w:sz w:val="20"/>
                <w:szCs w:val="20"/>
                <w:color w:val="auto"/>
              </w:rPr>
            </w:pPr>
            <w:r>
              <w:rPr>
                <w:rFonts w:ascii="Times New Roman" w:cs="Times New Roman" w:eastAsia="Times New Roman" w:hAnsi="Times New Roman"/>
                <w:sz w:val="18"/>
                <w:szCs w:val="18"/>
                <w:b w:val="1"/>
                <w:bCs w:val="1"/>
                <w:color w:val="FFFFFF"/>
              </w:rPr>
              <w:t>Gross and Net Developed Acreage</w:t>
            </w:r>
          </w:p>
        </w:tc>
        <w:tc>
          <w:tcPr>
            <w:tcW w:w="1520" w:type="dxa"/>
            <w:vAlign w:val="bottom"/>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Year-End 2024</w:t>
            </w:r>
          </w:p>
        </w:tc>
        <w:tc>
          <w:tcPr>
            <w:tcW w:w="620" w:type="dxa"/>
            <w:vAlign w:val="bottom"/>
            <w:shd w:val="clear" w:color="auto" w:fill="0C479D"/>
          </w:tcPr>
          <w:p>
            <w:pPr>
              <w:spacing w:after="0"/>
              <w:rPr>
                <w:sz w:val="21"/>
                <w:szCs w:val="21"/>
                <w:color w:val="auto"/>
              </w:rPr>
            </w:pPr>
          </w:p>
        </w:tc>
        <w:tc>
          <w:tcPr>
            <w:tcW w:w="1680" w:type="dxa"/>
            <w:vAlign w:val="bottom"/>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Year-End 2023</w:t>
            </w:r>
          </w:p>
        </w:tc>
        <w:tc>
          <w:tcPr>
            <w:tcW w:w="620" w:type="dxa"/>
            <w:vAlign w:val="bottom"/>
            <w:shd w:val="clear" w:color="auto" w:fill="0C479D"/>
          </w:tcPr>
          <w:p>
            <w:pPr>
              <w:spacing w:after="0"/>
              <w:rPr>
                <w:sz w:val="21"/>
                <w:szCs w:val="21"/>
                <w:color w:val="auto"/>
              </w:rPr>
            </w:pPr>
          </w:p>
        </w:tc>
      </w:tr>
      <w:tr>
        <w:trPr>
          <w:trHeight w:val="248"/>
        </w:trPr>
        <w:tc>
          <w:tcPr>
            <w:tcW w:w="5260" w:type="dxa"/>
            <w:vAlign w:val="bottom"/>
            <w:tcBorders>
              <w:bottom w:val="single" w:sz="8" w:color="0C479D"/>
            </w:tcBorders>
            <w:shd w:val="clear" w:color="auto" w:fill="0C479D"/>
          </w:tcPr>
          <w:p>
            <w:pPr>
              <w:spacing w:after="0"/>
              <w:rPr>
                <w:sz w:val="20"/>
                <w:szCs w:val="20"/>
                <w:color w:val="auto"/>
              </w:rPr>
            </w:pPr>
            <w:r>
              <w:rPr>
                <w:rFonts w:ascii="Times New Roman" w:cs="Times New Roman" w:eastAsia="Times New Roman" w:hAnsi="Times New Roman"/>
                <w:sz w:val="14"/>
                <w:szCs w:val="14"/>
                <w:i w:val="1"/>
                <w:iCs w:val="1"/>
                <w:color w:val="FFFFFF"/>
              </w:rPr>
              <w:t>(thousands of acres)</w:t>
            </w:r>
          </w:p>
        </w:tc>
        <w:tc>
          <w:tcPr>
            <w:tcW w:w="1520" w:type="dxa"/>
            <w:vAlign w:val="bottom"/>
            <w:tcBorders>
              <w:bottom w:val="single" w:sz="8" w:color="0C479D"/>
            </w:tcBorders>
            <w:shd w:val="clear" w:color="auto" w:fill="0C479D"/>
          </w:tcPr>
          <w:p>
            <w:pPr>
              <w:jc w:val="right"/>
              <w:ind w:right="752"/>
              <w:spacing w:after="0"/>
              <w:rPr>
                <w:sz w:val="20"/>
                <w:szCs w:val="20"/>
                <w:color w:val="auto"/>
              </w:rPr>
            </w:pPr>
            <w:r>
              <w:rPr>
                <w:rFonts w:ascii="Times New Roman" w:cs="Times New Roman" w:eastAsia="Times New Roman" w:hAnsi="Times New Roman"/>
                <w:sz w:val="14"/>
                <w:szCs w:val="14"/>
                <w:b w:val="1"/>
                <w:bCs w:val="1"/>
                <w:color w:val="FFFFFF"/>
              </w:rPr>
              <w:t>Gross</w:t>
            </w:r>
          </w:p>
        </w:tc>
        <w:tc>
          <w:tcPr>
            <w:tcW w:w="620" w:type="dxa"/>
            <w:vAlign w:val="bottom"/>
            <w:tcBorders>
              <w:bottom w:val="single" w:sz="8" w:color="0C479D"/>
            </w:tcBorders>
            <w:shd w:val="clear" w:color="auto" w:fill="0C479D"/>
          </w:tcPr>
          <w:p>
            <w:pPr>
              <w:jc w:val="right"/>
              <w:ind w:right="311"/>
              <w:spacing w:after="0"/>
              <w:rPr>
                <w:sz w:val="20"/>
                <w:szCs w:val="20"/>
                <w:color w:val="auto"/>
              </w:rPr>
            </w:pPr>
            <w:r>
              <w:rPr>
                <w:rFonts w:ascii="Times New Roman" w:cs="Times New Roman" w:eastAsia="Times New Roman" w:hAnsi="Times New Roman"/>
                <w:sz w:val="14"/>
                <w:szCs w:val="14"/>
                <w:b w:val="1"/>
                <w:bCs w:val="1"/>
                <w:color w:val="FFFFFF"/>
                <w:w w:val="95"/>
              </w:rPr>
              <w:t>Net</w:t>
            </w:r>
          </w:p>
        </w:tc>
        <w:tc>
          <w:tcPr>
            <w:tcW w:w="1680" w:type="dxa"/>
            <w:vAlign w:val="bottom"/>
            <w:tcBorders>
              <w:bottom w:val="single" w:sz="8" w:color="0C479D"/>
            </w:tcBorders>
            <w:shd w:val="clear" w:color="auto" w:fill="0C479D"/>
          </w:tcPr>
          <w:p>
            <w:pPr>
              <w:jc w:val="right"/>
              <w:ind w:right="772"/>
              <w:spacing w:after="0"/>
              <w:rPr>
                <w:sz w:val="20"/>
                <w:szCs w:val="20"/>
                <w:color w:val="auto"/>
              </w:rPr>
            </w:pPr>
            <w:r>
              <w:rPr>
                <w:rFonts w:ascii="Times New Roman" w:cs="Times New Roman" w:eastAsia="Times New Roman" w:hAnsi="Times New Roman"/>
                <w:sz w:val="14"/>
                <w:szCs w:val="14"/>
                <w:b w:val="1"/>
                <w:bCs w:val="1"/>
                <w:color w:val="FFFFFF"/>
              </w:rPr>
              <w:t>Gross</w:t>
            </w:r>
          </w:p>
        </w:tc>
        <w:tc>
          <w:tcPr>
            <w:tcW w:w="620" w:type="dxa"/>
            <w:vAlign w:val="bottom"/>
            <w:tcBorders>
              <w:bottom w:val="single" w:sz="8" w:color="0C479D"/>
            </w:tcBorders>
            <w:shd w:val="clear" w:color="auto" w:fill="0C479D"/>
          </w:tcPr>
          <w:p>
            <w:pPr>
              <w:jc w:val="right"/>
              <w:ind w:right="311"/>
              <w:spacing w:after="0"/>
              <w:rPr>
                <w:sz w:val="20"/>
                <w:szCs w:val="20"/>
                <w:color w:val="auto"/>
              </w:rPr>
            </w:pPr>
            <w:r>
              <w:rPr>
                <w:rFonts w:ascii="Times New Roman" w:cs="Times New Roman" w:eastAsia="Times New Roman" w:hAnsi="Times New Roman"/>
                <w:sz w:val="14"/>
                <w:szCs w:val="14"/>
                <w:b w:val="1"/>
                <w:bCs w:val="1"/>
                <w:color w:val="FFFFFF"/>
                <w:w w:val="95"/>
              </w:rPr>
              <w:t>Net</w:t>
            </w:r>
          </w:p>
        </w:tc>
      </w:tr>
      <w:tr>
        <w:trPr>
          <w:trHeight w:val="473"/>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Subsidiaries</w:t>
            </w:r>
          </w:p>
        </w:tc>
        <w:tc>
          <w:tcPr>
            <w:tcW w:w="1520" w:type="dxa"/>
            <w:vAlign w:val="bottom"/>
            <w:shd w:val="clear" w:color="auto" w:fill="F0F0F0"/>
          </w:tcPr>
          <w:p>
            <w:pPr>
              <w:spacing w:after="0"/>
              <w:rPr>
                <w:sz w:val="24"/>
                <w:szCs w:val="24"/>
                <w:color w:val="auto"/>
              </w:rPr>
            </w:pPr>
          </w:p>
        </w:tc>
        <w:tc>
          <w:tcPr>
            <w:tcW w:w="620" w:type="dxa"/>
            <w:vAlign w:val="bottom"/>
            <w:shd w:val="clear" w:color="auto" w:fill="F0F0F0"/>
          </w:tcPr>
          <w:p>
            <w:pPr>
              <w:spacing w:after="0"/>
              <w:rPr>
                <w:sz w:val="24"/>
                <w:szCs w:val="24"/>
                <w:color w:val="auto"/>
              </w:rPr>
            </w:pPr>
          </w:p>
        </w:tc>
        <w:tc>
          <w:tcPr>
            <w:tcW w:w="16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57"/>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1520" w:type="dxa"/>
            <w:vAlign w:val="bottom"/>
            <w:shd w:val="clear" w:color="auto" w:fill="F0F0F0"/>
          </w:tcPr>
          <w:p>
            <w:pPr>
              <w:jc w:val="right"/>
              <w:ind w:right="512"/>
              <w:spacing w:after="0"/>
              <w:rPr>
                <w:sz w:val="20"/>
                <w:szCs w:val="20"/>
                <w:color w:val="auto"/>
              </w:rPr>
            </w:pPr>
            <w:r>
              <w:rPr>
                <w:rFonts w:ascii="Times New Roman" w:cs="Times New Roman" w:eastAsia="Times New Roman" w:hAnsi="Times New Roman"/>
                <w:sz w:val="18"/>
                <w:szCs w:val="18"/>
                <w:color w:val="auto"/>
              </w:rPr>
              <w:t>10,668</w:t>
            </w:r>
          </w:p>
        </w:tc>
        <w:tc>
          <w:tcPr>
            <w:tcW w:w="6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7,021</w:t>
            </w:r>
          </w:p>
        </w:tc>
        <w:tc>
          <w:tcPr>
            <w:tcW w:w="168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10,354</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6,566</w:t>
            </w:r>
          </w:p>
        </w:tc>
      </w:tr>
      <w:tr>
        <w:trPr>
          <w:trHeight w:val="270"/>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Canada/Other Americas </w:t>
            </w:r>
            <w:r>
              <w:rPr>
                <w:rFonts w:ascii="Times New Roman" w:cs="Times New Roman" w:eastAsia="Times New Roman" w:hAnsi="Times New Roman"/>
                <w:sz w:val="9"/>
                <w:szCs w:val="9"/>
                <w:i w:val="1"/>
                <w:iCs w:val="1"/>
                <w:color w:val="auto"/>
              </w:rPr>
              <w:t>(1)</w:t>
            </w:r>
          </w:p>
        </w:tc>
        <w:tc>
          <w:tcPr>
            <w:tcW w:w="1520" w:type="dxa"/>
            <w:vAlign w:val="bottom"/>
            <w:shd w:val="clear" w:color="auto" w:fill="F0F0F0"/>
          </w:tcPr>
          <w:p>
            <w:pPr>
              <w:jc w:val="right"/>
              <w:ind w:right="512"/>
              <w:spacing w:after="0"/>
              <w:rPr>
                <w:sz w:val="20"/>
                <w:szCs w:val="20"/>
                <w:color w:val="auto"/>
              </w:rPr>
            </w:pPr>
            <w:r>
              <w:rPr>
                <w:rFonts w:ascii="Times New Roman" w:cs="Times New Roman" w:eastAsia="Times New Roman" w:hAnsi="Times New Roman"/>
                <w:sz w:val="18"/>
                <w:szCs w:val="18"/>
                <w:color w:val="auto"/>
              </w:rPr>
              <w:t>1,903</w:t>
            </w:r>
          </w:p>
        </w:tc>
        <w:tc>
          <w:tcPr>
            <w:tcW w:w="6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68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2,145</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w:t>
            </w:r>
          </w:p>
        </w:tc>
      </w:tr>
      <w:tr>
        <w:trPr>
          <w:trHeight w:val="243"/>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Europe</w:t>
            </w:r>
          </w:p>
        </w:tc>
        <w:tc>
          <w:tcPr>
            <w:tcW w:w="1520" w:type="dxa"/>
            <w:vAlign w:val="bottom"/>
            <w:shd w:val="clear" w:color="auto" w:fill="F0F0F0"/>
          </w:tcPr>
          <w:p>
            <w:pPr>
              <w:jc w:val="right"/>
              <w:ind w:right="512"/>
              <w:spacing w:after="0"/>
              <w:rPr>
                <w:sz w:val="20"/>
                <w:szCs w:val="20"/>
                <w:color w:val="auto"/>
              </w:rPr>
            </w:pPr>
            <w:r>
              <w:rPr>
                <w:rFonts w:ascii="Times New Roman" w:cs="Times New Roman" w:eastAsia="Times New Roman" w:hAnsi="Times New Roman"/>
                <w:sz w:val="18"/>
                <w:szCs w:val="18"/>
                <w:color w:val="auto"/>
              </w:rPr>
              <w:t>954</w:t>
            </w:r>
          </w:p>
        </w:tc>
        <w:tc>
          <w:tcPr>
            <w:tcW w:w="6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68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983</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56"/>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Africa</w:t>
            </w:r>
          </w:p>
        </w:tc>
        <w:tc>
          <w:tcPr>
            <w:tcW w:w="1520" w:type="dxa"/>
            <w:vAlign w:val="bottom"/>
            <w:shd w:val="clear" w:color="auto" w:fill="F0F0F0"/>
          </w:tcPr>
          <w:p>
            <w:pPr>
              <w:jc w:val="right"/>
              <w:ind w:right="512"/>
              <w:spacing w:after="0"/>
              <w:rPr>
                <w:sz w:val="20"/>
                <w:szCs w:val="20"/>
                <w:color w:val="auto"/>
              </w:rPr>
            </w:pPr>
            <w:r>
              <w:rPr>
                <w:rFonts w:ascii="Times New Roman" w:cs="Times New Roman" w:eastAsia="Times New Roman" w:hAnsi="Times New Roman"/>
                <w:sz w:val="18"/>
                <w:szCs w:val="18"/>
                <w:color w:val="auto"/>
              </w:rPr>
              <w:t>1,455</w:t>
            </w:r>
          </w:p>
        </w:tc>
        <w:tc>
          <w:tcPr>
            <w:tcW w:w="6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68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2,109</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r>
      <w:tr>
        <w:trPr>
          <w:trHeight w:val="257"/>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Asia</w:t>
            </w:r>
          </w:p>
        </w:tc>
        <w:tc>
          <w:tcPr>
            <w:tcW w:w="1520" w:type="dxa"/>
            <w:vAlign w:val="bottom"/>
            <w:shd w:val="clear" w:color="auto" w:fill="F0F0F0"/>
          </w:tcPr>
          <w:p>
            <w:pPr>
              <w:jc w:val="right"/>
              <w:ind w:right="512"/>
              <w:spacing w:after="0"/>
              <w:rPr>
                <w:sz w:val="20"/>
                <w:szCs w:val="20"/>
                <w:color w:val="auto"/>
              </w:rPr>
            </w:pPr>
            <w:r>
              <w:rPr>
                <w:rFonts w:ascii="Times New Roman" w:cs="Times New Roman" w:eastAsia="Times New Roman" w:hAnsi="Times New Roman"/>
                <w:sz w:val="18"/>
                <w:szCs w:val="18"/>
                <w:color w:val="auto"/>
              </w:rPr>
              <w:t>1,473</w:t>
            </w:r>
          </w:p>
        </w:tc>
        <w:tc>
          <w:tcPr>
            <w:tcW w:w="6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68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1,582</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263"/>
        </w:trPr>
        <w:tc>
          <w:tcPr>
            <w:tcW w:w="5260" w:type="dxa"/>
            <w:vAlign w:val="bottom"/>
            <w:tcBorders>
              <w:bottom w:val="single" w:sz="8" w:color="0C479D"/>
            </w:tcBorders>
          </w:tcPr>
          <w:p>
            <w:pPr>
              <w:ind w:left="120"/>
              <w:spacing w:after="0"/>
              <w:rPr>
                <w:sz w:val="20"/>
                <w:szCs w:val="20"/>
                <w:color w:val="auto"/>
              </w:rPr>
            </w:pPr>
            <w:r>
              <w:rPr>
                <w:rFonts w:ascii="Times New Roman" w:cs="Times New Roman" w:eastAsia="Times New Roman" w:hAnsi="Times New Roman"/>
                <w:sz w:val="18"/>
                <w:szCs w:val="18"/>
                <w:color w:val="auto"/>
              </w:rPr>
              <w:t>Australia/Oceania</w:t>
            </w:r>
          </w:p>
        </w:tc>
        <w:tc>
          <w:tcPr>
            <w:tcW w:w="1520" w:type="dxa"/>
            <w:vAlign w:val="bottom"/>
            <w:tcBorders>
              <w:bottom w:val="single" w:sz="8" w:color="0C479D"/>
            </w:tcBorders>
            <w:shd w:val="clear" w:color="auto" w:fill="F0F0F0"/>
          </w:tcPr>
          <w:p>
            <w:pPr>
              <w:jc w:val="right"/>
              <w:ind w:right="512"/>
              <w:spacing w:after="0"/>
              <w:rPr>
                <w:sz w:val="20"/>
                <w:szCs w:val="20"/>
                <w:color w:val="auto"/>
              </w:rPr>
            </w:pPr>
            <w:r>
              <w:rPr>
                <w:rFonts w:ascii="Times New Roman" w:cs="Times New Roman" w:eastAsia="Times New Roman" w:hAnsi="Times New Roman"/>
                <w:sz w:val="18"/>
                <w:szCs w:val="18"/>
                <w:color w:val="auto"/>
              </w:rPr>
              <w:t>3,142</w:t>
            </w:r>
          </w:p>
        </w:tc>
        <w:tc>
          <w:tcPr>
            <w:tcW w:w="62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680" w:type="dxa"/>
            <w:vAlign w:val="bottom"/>
            <w:tcBorders>
              <w:bottom w:val="single" w:sz="8" w:color="0C479D"/>
            </w:tcBorders>
          </w:tcPr>
          <w:p>
            <w:pPr>
              <w:jc w:val="right"/>
              <w:ind w:right="532"/>
              <w:spacing w:after="0"/>
              <w:rPr>
                <w:sz w:val="20"/>
                <w:szCs w:val="20"/>
                <w:color w:val="auto"/>
              </w:rPr>
            </w:pPr>
            <w:r>
              <w:rPr>
                <w:rFonts w:ascii="Times New Roman" w:cs="Times New Roman" w:eastAsia="Times New Roman" w:hAnsi="Times New Roman"/>
                <w:sz w:val="18"/>
                <w:szCs w:val="18"/>
                <w:color w:val="auto"/>
              </w:rPr>
              <w:t>3,174</w:t>
            </w:r>
          </w:p>
        </w:tc>
        <w:tc>
          <w:tcPr>
            <w:tcW w:w="6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1,033</w:t>
            </w:r>
          </w:p>
        </w:tc>
      </w:tr>
      <w:tr>
        <w:trPr>
          <w:trHeight w:val="239"/>
        </w:trPr>
        <w:tc>
          <w:tcPr>
            <w:tcW w:w="526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Total Consolidated Subsidiaries</w:t>
            </w:r>
          </w:p>
        </w:tc>
        <w:tc>
          <w:tcPr>
            <w:tcW w:w="1520" w:type="dxa"/>
            <w:vAlign w:val="bottom"/>
            <w:tcBorders>
              <w:bottom w:val="single" w:sz="8" w:color="0C479D"/>
            </w:tcBorders>
            <w:shd w:val="clear" w:color="auto" w:fill="F0F0F0"/>
          </w:tcPr>
          <w:p>
            <w:pPr>
              <w:jc w:val="right"/>
              <w:ind w:right="512"/>
              <w:spacing w:after="0"/>
              <w:rPr>
                <w:sz w:val="20"/>
                <w:szCs w:val="20"/>
                <w:color w:val="auto"/>
              </w:rPr>
            </w:pPr>
            <w:r>
              <w:rPr>
                <w:rFonts w:ascii="Times New Roman" w:cs="Times New Roman" w:eastAsia="Times New Roman" w:hAnsi="Times New Roman"/>
                <w:sz w:val="18"/>
                <w:szCs w:val="18"/>
                <w:color w:val="auto"/>
              </w:rPr>
              <w:t>19,595</w:t>
            </w:r>
          </w:p>
        </w:tc>
        <w:tc>
          <w:tcPr>
            <w:tcW w:w="62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10,816</w:t>
            </w:r>
          </w:p>
        </w:tc>
        <w:tc>
          <w:tcPr>
            <w:tcW w:w="1680" w:type="dxa"/>
            <w:vAlign w:val="bottom"/>
            <w:tcBorders>
              <w:bottom w:val="single" w:sz="8" w:color="0C479D"/>
            </w:tcBorders>
          </w:tcPr>
          <w:p>
            <w:pPr>
              <w:jc w:val="right"/>
              <w:ind w:right="532"/>
              <w:spacing w:after="0"/>
              <w:rPr>
                <w:sz w:val="20"/>
                <w:szCs w:val="20"/>
                <w:color w:val="auto"/>
              </w:rPr>
            </w:pPr>
            <w:r>
              <w:rPr>
                <w:rFonts w:ascii="Times New Roman" w:cs="Times New Roman" w:eastAsia="Times New Roman" w:hAnsi="Times New Roman"/>
                <w:sz w:val="18"/>
                <w:szCs w:val="18"/>
                <w:color w:val="auto"/>
              </w:rPr>
              <w:t>20,347</w:t>
            </w:r>
          </w:p>
        </w:tc>
        <w:tc>
          <w:tcPr>
            <w:tcW w:w="6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10,840</w:t>
            </w:r>
          </w:p>
        </w:tc>
      </w:tr>
      <w:tr>
        <w:trPr>
          <w:trHeight w:val="295"/>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 Companies</w:t>
            </w:r>
          </w:p>
        </w:tc>
        <w:tc>
          <w:tcPr>
            <w:tcW w:w="1520" w:type="dxa"/>
            <w:vAlign w:val="bottom"/>
            <w:shd w:val="clear" w:color="auto" w:fill="F0F0F0"/>
          </w:tcPr>
          <w:p>
            <w:pPr>
              <w:spacing w:after="0"/>
              <w:rPr>
                <w:sz w:val="24"/>
                <w:szCs w:val="24"/>
                <w:color w:val="auto"/>
              </w:rPr>
            </w:pPr>
          </w:p>
        </w:tc>
        <w:tc>
          <w:tcPr>
            <w:tcW w:w="620" w:type="dxa"/>
            <w:vAlign w:val="bottom"/>
            <w:shd w:val="clear" w:color="auto" w:fill="F0F0F0"/>
          </w:tcPr>
          <w:p>
            <w:pPr>
              <w:spacing w:after="0"/>
              <w:rPr>
                <w:sz w:val="24"/>
                <w:szCs w:val="24"/>
                <w:color w:val="auto"/>
              </w:rPr>
            </w:pPr>
          </w:p>
        </w:tc>
        <w:tc>
          <w:tcPr>
            <w:tcW w:w="16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43"/>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1520" w:type="dxa"/>
            <w:vAlign w:val="bottom"/>
            <w:shd w:val="clear" w:color="auto" w:fill="F0F0F0"/>
          </w:tcPr>
          <w:p>
            <w:pPr>
              <w:jc w:val="right"/>
              <w:ind w:right="512"/>
              <w:spacing w:after="0"/>
              <w:rPr>
                <w:sz w:val="20"/>
                <w:szCs w:val="20"/>
                <w:color w:val="auto"/>
              </w:rPr>
            </w:pPr>
            <w:r>
              <w:rPr>
                <w:rFonts w:ascii="Times New Roman" w:cs="Times New Roman" w:eastAsia="Times New Roman" w:hAnsi="Times New Roman"/>
                <w:sz w:val="18"/>
                <w:szCs w:val="18"/>
                <w:color w:val="auto"/>
              </w:rPr>
              <w:t>581</w:t>
            </w:r>
          </w:p>
        </w:tc>
        <w:tc>
          <w:tcPr>
            <w:tcW w:w="6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68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583</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57"/>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Europe</w:t>
            </w:r>
          </w:p>
        </w:tc>
        <w:tc>
          <w:tcPr>
            <w:tcW w:w="1520" w:type="dxa"/>
            <w:vAlign w:val="bottom"/>
            <w:shd w:val="clear" w:color="auto" w:fill="F0F0F0"/>
          </w:tcPr>
          <w:p>
            <w:pPr>
              <w:jc w:val="right"/>
              <w:ind w:right="512"/>
              <w:spacing w:after="0"/>
              <w:rPr>
                <w:sz w:val="20"/>
                <w:szCs w:val="20"/>
                <w:color w:val="auto"/>
              </w:rPr>
            </w:pPr>
            <w:r>
              <w:rPr>
                <w:rFonts w:ascii="Times New Roman" w:cs="Times New Roman" w:eastAsia="Times New Roman" w:hAnsi="Times New Roman"/>
                <w:sz w:val="18"/>
                <w:szCs w:val="18"/>
                <w:color w:val="auto"/>
              </w:rPr>
              <w:t>3,590</w:t>
            </w:r>
          </w:p>
        </w:tc>
        <w:tc>
          <w:tcPr>
            <w:tcW w:w="6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68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3,590</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r>
      <w:tr>
        <w:trPr>
          <w:trHeight w:val="257"/>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Africa</w:t>
            </w:r>
          </w:p>
        </w:tc>
        <w:tc>
          <w:tcPr>
            <w:tcW w:w="1520" w:type="dxa"/>
            <w:vAlign w:val="bottom"/>
            <w:shd w:val="clear" w:color="auto" w:fill="F0F0F0"/>
          </w:tcPr>
          <w:p>
            <w:pPr>
              <w:jc w:val="right"/>
              <w:ind w:right="512"/>
              <w:spacing w:after="0"/>
              <w:rPr>
                <w:sz w:val="20"/>
                <w:szCs w:val="20"/>
                <w:color w:val="auto"/>
              </w:rPr>
            </w:pPr>
            <w:r>
              <w:rPr>
                <w:rFonts w:ascii="Times New Roman" w:cs="Times New Roman" w:eastAsia="Times New Roman" w:hAnsi="Times New Roman"/>
                <w:sz w:val="18"/>
                <w:szCs w:val="18"/>
                <w:color w:val="auto"/>
              </w:rPr>
              <w:t>178</w:t>
            </w:r>
          </w:p>
        </w:tc>
        <w:tc>
          <w:tcPr>
            <w:tcW w:w="6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68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178</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63"/>
        </w:trPr>
        <w:tc>
          <w:tcPr>
            <w:tcW w:w="5260" w:type="dxa"/>
            <w:vAlign w:val="bottom"/>
            <w:tcBorders>
              <w:bottom w:val="single" w:sz="8" w:color="0C479D"/>
            </w:tcBorders>
          </w:tcPr>
          <w:p>
            <w:pPr>
              <w:ind w:left="120"/>
              <w:spacing w:after="0"/>
              <w:rPr>
                <w:sz w:val="20"/>
                <w:szCs w:val="20"/>
                <w:color w:val="auto"/>
              </w:rPr>
            </w:pPr>
            <w:r>
              <w:rPr>
                <w:rFonts w:ascii="Times New Roman" w:cs="Times New Roman" w:eastAsia="Times New Roman" w:hAnsi="Times New Roman"/>
                <w:sz w:val="18"/>
                <w:szCs w:val="18"/>
                <w:color w:val="auto"/>
              </w:rPr>
              <w:t>Asia</w:t>
            </w:r>
          </w:p>
        </w:tc>
        <w:tc>
          <w:tcPr>
            <w:tcW w:w="1520" w:type="dxa"/>
            <w:vAlign w:val="bottom"/>
            <w:tcBorders>
              <w:bottom w:val="single" w:sz="8" w:color="0C479D"/>
            </w:tcBorders>
            <w:shd w:val="clear" w:color="auto" w:fill="F0F0F0"/>
          </w:tcPr>
          <w:p>
            <w:pPr>
              <w:jc w:val="right"/>
              <w:ind w:right="512"/>
              <w:spacing w:after="0"/>
              <w:rPr>
                <w:sz w:val="20"/>
                <w:szCs w:val="20"/>
                <w:color w:val="auto"/>
              </w:rPr>
            </w:pPr>
            <w:r>
              <w:rPr>
                <w:rFonts w:ascii="Times New Roman" w:cs="Times New Roman" w:eastAsia="Times New Roman" w:hAnsi="Times New Roman"/>
                <w:sz w:val="18"/>
                <w:szCs w:val="18"/>
                <w:color w:val="auto"/>
              </w:rPr>
              <w:t>665</w:t>
            </w:r>
          </w:p>
        </w:tc>
        <w:tc>
          <w:tcPr>
            <w:tcW w:w="62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680" w:type="dxa"/>
            <w:vAlign w:val="bottom"/>
            <w:tcBorders>
              <w:bottom w:val="single" w:sz="8" w:color="0C479D"/>
            </w:tcBorders>
          </w:tcPr>
          <w:p>
            <w:pPr>
              <w:jc w:val="right"/>
              <w:ind w:right="532"/>
              <w:spacing w:after="0"/>
              <w:rPr>
                <w:sz w:val="20"/>
                <w:szCs w:val="20"/>
                <w:color w:val="auto"/>
              </w:rPr>
            </w:pPr>
            <w:r>
              <w:rPr>
                <w:rFonts w:ascii="Times New Roman" w:cs="Times New Roman" w:eastAsia="Times New Roman" w:hAnsi="Times New Roman"/>
                <w:sz w:val="18"/>
                <w:szCs w:val="18"/>
                <w:color w:val="auto"/>
              </w:rPr>
              <w:t>665</w:t>
            </w:r>
          </w:p>
        </w:tc>
        <w:tc>
          <w:tcPr>
            <w:tcW w:w="6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39"/>
        </w:trPr>
        <w:tc>
          <w:tcPr>
            <w:tcW w:w="526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Total Equity Companies</w:t>
            </w:r>
          </w:p>
        </w:tc>
        <w:tc>
          <w:tcPr>
            <w:tcW w:w="1520" w:type="dxa"/>
            <w:vAlign w:val="bottom"/>
            <w:tcBorders>
              <w:bottom w:val="single" w:sz="8" w:color="0C479D"/>
            </w:tcBorders>
            <w:shd w:val="clear" w:color="auto" w:fill="F0F0F0"/>
          </w:tcPr>
          <w:p>
            <w:pPr>
              <w:jc w:val="right"/>
              <w:ind w:right="512"/>
              <w:spacing w:after="0"/>
              <w:rPr>
                <w:sz w:val="20"/>
                <w:szCs w:val="20"/>
                <w:color w:val="auto"/>
              </w:rPr>
            </w:pPr>
            <w:r>
              <w:rPr>
                <w:rFonts w:ascii="Times New Roman" w:cs="Times New Roman" w:eastAsia="Times New Roman" w:hAnsi="Times New Roman"/>
                <w:sz w:val="18"/>
                <w:szCs w:val="18"/>
                <w:color w:val="auto"/>
              </w:rPr>
              <w:t>5,014</w:t>
            </w:r>
          </w:p>
        </w:tc>
        <w:tc>
          <w:tcPr>
            <w:tcW w:w="62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1680" w:type="dxa"/>
            <w:vAlign w:val="bottom"/>
            <w:tcBorders>
              <w:bottom w:val="single" w:sz="8" w:color="0C479D"/>
            </w:tcBorders>
          </w:tcPr>
          <w:p>
            <w:pPr>
              <w:jc w:val="right"/>
              <w:ind w:right="532"/>
              <w:spacing w:after="0"/>
              <w:rPr>
                <w:sz w:val="20"/>
                <w:szCs w:val="20"/>
                <w:color w:val="auto"/>
              </w:rPr>
            </w:pPr>
            <w:r>
              <w:rPr>
                <w:rFonts w:ascii="Times New Roman" w:cs="Times New Roman" w:eastAsia="Times New Roman" w:hAnsi="Times New Roman"/>
                <w:sz w:val="18"/>
                <w:szCs w:val="18"/>
                <w:color w:val="auto"/>
              </w:rPr>
              <w:t>5,016</w:t>
            </w:r>
          </w:p>
        </w:tc>
        <w:tc>
          <w:tcPr>
            <w:tcW w:w="6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1,423</w:t>
            </w:r>
          </w:p>
        </w:tc>
      </w:tr>
      <w:tr>
        <w:trPr>
          <w:trHeight w:val="234"/>
        </w:trPr>
        <w:tc>
          <w:tcPr>
            <w:tcW w:w="526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b w:val="1"/>
                <w:bCs w:val="1"/>
                <w:color w:val="auto"/>
              </w:rPr>
              <w:t>Total gross and net developed acreage</w:t>
            </w:r>
          </w:p>
        </w:tc>
        <w:tc>
          <w:tcPr>
            <w:tcW w:w="1520" w:type="dxa"/>
            <w:vAlign w:val="bottom"/>
            <w:tcBorders>
              <w:bottom w:val="single" w:sz="8" w:color="0C479D"/>
            </w:tcBorders>
            <w:shd w:val="clear" w:color="auto" w:fill="F0F0F0"/>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24,609</w:t>
            </w:r>
          </w:p>
        </w:tc>
        <w:tc>
          <w:tcPr>
            <w:tcW w:w="62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12,234</w:t>
            </w:r>
          </w:p>
        </w:tc>
        <w:tc>
          <w:tcPr>
            <w:tcW w:w="1680" w:type="dxa"/>
            <w:vAlign w:val="bottom"/>
            <w:tcBorders>
              <w:bottom w:val="single" w:sz="8" w:color="0C479D"/>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25,363</w:t>
            </w:r>
          </w:p>
        </w:tc>
        <w:tc>
          <w:tcPr>
            <w:tcW w:w="6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12,263</w:t>
            </w:r>
          </w:p>
        </w:tc>
      </w:tr>
    </w:tbl>
    <w:p>
      <w:pPr>
        <w:spacing w:after="0" w:line="83" w:lineRule="exact"/>
        <w:rPr>
          <w:sz w:val="20"/>
          <w:szCs w:val="20"/>
          <w:color w:val="auto"/>
        </w:rPr>
      </w:pPr>
    </w:p>
    <w:p>
      <w:pPr>
        <w:ind w:left="940" w:hanging="151"/>
        <w:spacing w:after="0"/>
        <w:tabs>
          <w:tab w:leader="none" w:pos="940" w:val="left"/>
        </w:tabs>
        <w:numPr>
          <w:ilvl w:val="0"/>
          <w:numId w:val="7"/>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Includes developed acreage in Other Americas of 379 gross and 190 net thousands of acres for 2024 and 559 gross and 342 net thousands of acres for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Separate acreage data for oil and gas are not maintained because, in many instances, both are produced from the same acreage.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479D"/>
        </w:rPr>
        <w:t>C. Gross and Net Undeveloped Acreage</w:t>
      </w:r>
    </w:p>
    <w:p>
      <w:pPr>
        <w:spacing w:after="0" w:line="207" w:lineRule="exact"/>
        <w:rPr>
          <w:sz w:val="20"/>
          <w:szCs w:val="20"/>
          <w:color w:val="auto"/>
        </w:rPr>
      </w:pPr>
    </w:p>
    <w:tbl>
      <w:tblPr>
        <w:tblLayout w:type="fixed"/>
        <w:tblInd w:w="780" w:type="dxa"/>
        <w:tblCellMar>
          <w:top w:w="0" w:type="dxa"/>
          <w:left w:w="0" w:type="dxa"/>
          <w:bottom w:w="0" w:type="dxa"/>
          <w:right w:w="0" w:type="dxa"/>
        </w:tblCellMar>
      </w:tblPr>
      <w:tr>
        <w:trPr>
          <w:trHeight w:val="243"/>
        </w:trPr>
        <w:tc>
          <w:tcPr>
            <w:tcW w:w="5260" w:type="dxa"/>
            <w:vAlign w:val="bottom"/>
            <w:shd w:val="clear" w:color="auto" w:fill="0C479D"/>
          </w:tcPr>
          <w:p>
            <w:pPr>
              <w:spacing w:after="0"/>
              <w:rPr>
                <w:sz w:val="20"/>
                <w:szCs w:val="20"/>
                <w:color w:val="auto"/>
              </w:rPr>
            </w:pPr>
            <w:r>
              <w:rPr>
                <w:rFonts w:ascii="Times New Roman" w:cs="Times New Roman" w:eastAsia="Times New Roman" w:hAnsi="Times New Roman"/>
                <w:sz w:val="18"/>
                <w:szCs w:val="18"/>
                <w:b w:val="1"/>
                <w:bCs w:val="1"/>
                <w:color w:val="FFFFFF"/>
              </w:rPr>
              <w:t>Gross and Net Undeveloped Acreage</w:t>
            </w:r>
          </w:p>
        </w:tc>
        <w:tc>
          <w:tcPr>
            <w:tcW w:w="1520" w:type="dxa"/>
            <w:vAlign w:val="bottom"/>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Year-End 2024</w:t>
            </w:r>
          </w:p>
        </w:tc>
        <w:tc>
          <w:tcPr>
            <w:tcW w:w="620" w:type="dxa"/>
            <w:vAlign w:val="bottom"/>
            <w:shd w:val="clear" w:color="auto" w:fill="0C479D"/>
          </w:tcPr>
          <w:p>
            <w:pPr>
              <w:spacing w:after="0"/>
              <w:rPr>
                <w:sz w:val="21"/>
                <w:szCs w:val="21"/>
                <w:color w:val="auto"/>
              </w:rPr>
            </w:pPr>
          </w:p>
        </w:tc>
        <w:tc>
          <w:tcPr>
            <w:tcW w:w="1680" w:type="dxa"/>
            <w:vAlign w:val="bottom"/>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Year-End 2023</w:t>
            </w:r>
          </w:p>
        </w:tc>
        <w:tc>
          <w:tcPr>
            <w:tcW w:w="620" w:type="dxa"/>
            <w:vAlign w:val="bottom"/>
            <w:shd w:val="clear" w:color="auto" w:fill="0C479D"/>
          </w:tcPr>
          <w:p>
            <w:pPr>
              <w:spacing w:after="0"/>
              <w:rPr>
                <w:sz w:val="21"/>
                <w:szCs w:val="21"/>
                <w:color w:val="auto"/>
              </w:rPr>
            </w:pPr>
          </w:p>
        </w:tc>
      </w:tr>
      <w:tr>
        <w:trPr>
          <w:trHeight w:val="250"/>
        </w:trPr>
        <w:tc>
          <w:tcPr>
            <w:tcW w:w="5260" w:type="dxa"/>
            <w:vAlign w:val="bottom"/>
            <w:tcBorders>
              <w:bottom w:val="single" w:sz="8" w:color="0C479D"/>
            </w:tcBorders>
            <w:shd w:val="clear" w:color="auto" w:fill="0C479D"/>
          </w:tcPr>
          <w:p>
            <w:pPr>
              <w:spacing w:after="0"/>
              <w:rPr>
                <w:sz w:val="20"/>
                <w:szCs w:val="20"/>
                <w:color w:val="auto"/>
              </w:rPr>
            </w:pPr>
            <w:r>
              <w:rPr>
                <w:rFonts w:ascii="Times New Roman" w:cs="Times New Roman" w:eastAsia="Times New Roman" w:hAnsi="Times New Roman"/>
                <w:sz w:val="14"/>
                <w:szCs w:val="14"/>
                <w:i w:val="1"/>
                <w:iCs w:val="1"/>
                <w:color w:val="FFFFFF"/>
              </w:rPr>
              <w:t>(thousands of acres)</w:t>
            </w:r>
          </w:p>
        </w:tc>
        <w:tc>
          <w:tcPr>
            <w:tcW w:w="1520" w:type="dxa"/>
            <w:vAlign w:val="bottom"/>
            <w:tcBorders>
              <w:bottom w:val="single" w:sz="8" w:color="0C479D"/>
            </w:tcBorders>
            <w:shd w:val="clear" w:color="auto" w:fill="0C479D"/>
          </w:tcPr>
          <w:p>
            <w:pPr>
              <w:jc w:val="right"/>
              <w:ind w:right="752"/>
              <w:spacing w:after="0"/>
              <w:rPr>
                <w:sz w:val="20"/>
                <w:szCs w:val="20"/>
                <w:color w:val="auto"/>
              </w:rPr>
            </w:pPr>
            <w:r>
              <w:rPr>
                <w:rFonts w:ascii="Times New Roman" w:cs="Times New Roman" w:eastAsia="Times New Roman" w:hAnsi="Times New Roman"/>
                <w:sz w:val="14"/>
                <w:szCs w:val="14"/>
                <w:b w:val="1"/>
                <w:bCs w:val="1"/>
                <w:color w:val="FFFFFF"/>
              </w:rPr>
              <w:t>Gross</w:t>
            </w:r>
          </w:p>
        </w:tc>
        <w:tc>
          <w:tcPr>
            <w:tcW w:w="620" w:type="dxa"/>
            <w:vAlign w:val="bottom"/>
            <w:tcBorders>
              <w:bottom w:val="single" w:sz="8" w:color="0C479D"/>
            </w:tcBorders>
            <w:shd w:val="clear" w:color="auto" w:fill="0C479D"/>
          </w:tcPr>
          <w:p>
            <w:pPr>
              <w:jc w:val="right"/>
              <w:ind w:right="311"/>
              <w:spacing w:after="0"/>
              <w:rPr>
                <w:sz w:val="20"/>
                <w:szCs w:val="20"/>
                <w:color w:val="auto"/>
              </w:rPr>
            </w:pPr>
            <w:r>
              <w:rPr>
                <w:rFonts w:ascii="Times New Roman" w:cs="Times New Roman" w:eastAsia="Times New Roman" w:hAnsi="Times New Roman"/>
                <w:sz w:val="14"/>
                <w:szCs w:val="14"/>
                <w:b w:val="1"/>
                <w:bCs w:val="1"/>
                <w:color w:val="FFFFFF"/>
                <w:w w:val="95"/>
              </w:rPr>
              <w:t>Net</w:t>
            </w:r>
          </w:p>
        </w:tc>
        <w:tc>
          <w:tcPr>
            <w:tcW w:w="1680" w:type="dxa"/>
            <w:vAlign w:val="bottom"/>
            <w:tcBorders>
              <w:bottom w:val="single" w:sz="8" w:color="0C479D"/>
            </w:tcBorders>
            <w:shd w:val="clear" w:color="auto" w:fill="0C479D"/>
          </w:tcPr>
          <w:p>
            <w:pPr>
              <w:jc w:val="right"/>
              <w:ind w:right="772"/>
              <w:spacing w:after="0"/>
              <w:rPr>
                <w:sz w:val="20"/>
                <w:szCs w:val="20"/>
                <w:color w:val="auto"/>
              </w:rPr>
            </w:pPr>
            <w:r>
              <w:rPr>
                <w:rFonts w:ascii="Times New Roman" w:cs="Times New Roman" w:eastAsia="Times New Roman" w:hAnsi="Times New Roman"/>
                <w:sz w:val="14"/>
                <w:szCs w:val="14"/>
                <w:b w:val="1"/>
                <w:bCs w:val="1"/>
                <w:color w:val="FFFFFF"/>
              </w:rPr>
              <w:t>Gross</w:t>
            </w:r>
          </w:p>
        </w:tc>
        <w:tc>
          <w:tcPr>
            <w:tcW w:w="620" w:type="dxa"/>
            <w:vAlign w:val="bottom"/>
            <w:tcBorders>
              <w:bottom w:val="single" w:sz="8" w:color="0C479D"/>
            </w:tcBorders>
            <w:shd w:val="clear" w:color="auto" w:fill="0C479D"/>
          </w:tcPr>
          <w:p>
            <w:pPr>
              <w:jc w:val="right"/>
              <w:ind w:right="311"/>
              <w:spacing w:after="0"/>
              <w:rPr>
                <w:sz w:val="20"/>
                <w:szCs w:val="20"/>
                <w:color w:val="auto"/>
              </w:rPr>
            </w:pPr>
            <w:r>
              <w:rPr>
                <w:rFonts w:ascii="Times New Roman" w:cs="Times New Roman" w:eastAsia="Times New Roman" w:hAnsi="Times New Roman"/>
                <w:sz w:val="14"/>
                <w:szCs w:val="14"/>
                <w:b w:val="1"/>
                <w:bCs w:val="1"/>
                <w:color w:val="FFFFFF"/>
                <w:w w:val="95"/>
              </w:rPr>
              <w:t>Net</w:t>
            </w:r>
          </w:p>
        </w:tc>
      </w:tr>
      <w:tr>
        <w:trPr>
          <w:trHeight w:val="473"/>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Subsidiaries</w:t>
            </w:r>
          </w:p>
        </w:tc>
        <w:tc>
          <w:tcPr>
            <w:tcW w:w="1520" w:type="dxa"/>
            <w:vAlign w:val="bottom"/>
            <w:shd w:val="clear" w:color="auto" w:fill="F0F0F0"/>
          </w:tcPr>
          <w:p>
            <w:pPr>
              <w:spacing w:after="0"/>
              <w:rPr>
                <w:sz w:val="24"/>
                <w:szCs w:val="24"/>
                <w:color w:val="auto"/>
              </w:rPr>
            </w:pPr>
          </w:p>
        </w:tc>
        <w:tc>
          <w:tcPr>
            <w:tcW w:w="620" w:type="dxa"/>
            <w:vAlign w:val="bottom"/>
            <w:shd w:val="clear" w:color="auto" w:fill="F0F0F0"/>
          </w:tcPr>
          <w:p>
            <w:pPr>
              <w:spacing w:after="0"/>
              <w:rPr>
                <w:sz w:val="24"/>
                <w:szCs w:val="24"/>
                <w:color w:val="auto"/>
              </w:rPr>
            </w:pPr>
          </w:p>
        </w:tc>
        <w:tc>
          <w:tcPr>
            <w:tcW w:w="16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56"/>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1520" w:type="dxa"/>
            <w:vAlign w:val="bottom"/>
            <w:shd w:val="clear" w:color="auto" w:fill="F0F0F0"/>
          </w:tcPr>
          <w:p>
            <w:pPr>
              <w:jc w:val="right"/>
              <w:ind w:right="512"/>
              <w:spacing w:after="0"/>
              <w:rPr>
                <w:sz w:val="20"/>
                <w:szCs w:val="20"/>
                <w:color w:val="auto"/>
              </w:rPr>
            </w:pPr>
            <w:r>
              <w:rPr>
                <w:rFonts w:ascii="Times New Roman" w:cs="Times New Roman" w:eastAsia="Times New Roman" w:hAnsi="Times New Roman"/>
                <w:sz w:val="18"/>
                <w:szCs w:val="18"/>
                <w:color w:val="auto"/>
              </w:rPr>
              <w:t>6,707</w:t>
            </w:r>
          </w:p>
        </w:tc>
        <w:tc>
          <w:tcPr>
            <w:tcW w:w="6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168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6,738</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w:t>
            </w:r>
          </w:p>
        </w:tc>
      </w:tr>
      <w:tr>
        <w:trPr>
          <w:trHeight w:val="257"/>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Canada/Other Americas </w:t>
            </w:r>
            <w:r>
              <w:rPr>
                <w:rFonts w:ascii="Times New Roman" w:cs="Times New Roman" w:eastAsia="Times New Roman" w:hAnsi="Times New Roman"/>
                <w:sz w:val="9"/>
                <w:szCs w:val="9"/>
                <w:i w:val="1"/>
                <w:iCs w:val="1"/>
                <w:color w:val="auto"/>
              </w:rPr>
              <w:t>(2)</w:t>
            </w:r>
          </w:p>
        </w:tc>
        <w:tc>
          <w:tcPr>
            <w:tcW w:w="1520" w:type="dxa"/>
            <w:vAlign w:val="bottom"/>
            <w:shd w:val="clear" w:color="auto" w:fill="F0F0F0"/>
          </w:tcPr>
          <w:p>
            <w:pPr>
              <w:jc w:val="right"/>
              <w:ind w:right="512"/>
              <w:spacing w:after="0"/>
              <w:rPr>
                <w:sz w:val="20"/>
                <w:szCs w:val="20"/>
                <w:color w:val="auto"/>
              </w:rPr>
            </w:pPr>
            <w:r>
              <w:rPr>
                <w:rFonts w:ascii="Times New Roman" w:cs="Times New Roman" w:eastAsia="Times New Roman" w:hAnsi="Times New Roman"/>
                <w:sz w:val="18"/>
                <w:szCs w:val="18"/>
                <w:color w:val="auto"/>
              </w:rPr>
              <w:t>21,457</w:t>
            </w:r>
          </w:p>
        </w:tc>
        <w:tc>
          <w:tcPr>
            <w:tcW w:w="6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9,842</w:t>
            </w:r>
          </w:p>
        </w:tc>
        <w:tc>
          <w:tcPr>
            <w:tcW w:w="168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30,773</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15,012</w:t>
            </w:r>
          </w:p>
        </w:tc>
      </w:tr>
      <w:tr>
        <w:trPr>
          <w:trHeight w:val="256"/>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Europe</w:t>
            </w:r>
          </w:p>
        </w:tc>
        <w:tc>
          <w:tcPr>
            <w:tcW w:w="1520" w:type="dxa"/>
            <w:vAlign w:val="bottom"/>
            <w:shd w:val="clear" w:color="auto" w:fill="F0F0F0"/>
          </w:tcPr>
          <w:p>
            <w:pPr>
              <w:jc w:val="right"/>
              <w:ind w:right="512"/>
              <w:spacing w:after="0"/>
              <w:rPr>
                <w:sz w:val="20"/>
                <w:szCs w:val="20"/>
                <w:color w:val="auto"/>
              </w:rPr>
            </w:pPr>
            <w:r>
              <w:rPr>
                <w:rFonts w:ascii="Times New Roman" w:cs="Times New Roman" w:eastAsia="Times New Roman" w:hAnsi="Times New Roman"/>
                <w:sz w:val="18"/>
                <w:szCs w:val="18"/>
                <w:color w:val="auto"/>
              </w:rPr>
              <w:t>11,988</w:t>
            </w:r>
          </w:p>
        </w:tc>
        <w:tc>
          <w:tcPr>
            <w:tcW w:w="6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7,770</w:t>
            </w:r>
          </w:p>
        </w:tc>
        <w:tc>
          <w:tcPr>
            <w:tcW w:w="168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12,489</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8,173</w:t>
            </w:r>
          </w:p>
        </w:tc>
      </w:tr>
      <w:tr>
        <w:trPr>
          <w:trHeight w:val="257"/>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Africa</w:t>
            </w:r>
          </w:p>
        </w:tc>
        <w:tc>
          <w:tcPr>
            <w:tcW w:w="1520" w:type="dxa"/>
            <w:vAlign w:val="bottom"/>
            <w:shd w:val="clear" w:color="auto" w:fill="F0F0F0"/>
          </w:tcPr>
          <w:p>
            <w:pPr>
              <w:jc w:val="right"/>
              <w:ind w:right="512"/>
              <w:spacing w:after="0"/>
              <w:rPr>
                <w:sz w:val="20"/>
                <w:szCs w:val="20"/>
                <w:color w:val="auto"/>
              </w:rPr>
            </w:pPr>
            <w:r>
              <w:rPr>
                <w:rFonts w:ascii="Times New Roman" w:cs="Times New Roman" w:eastAsia="Times New Roman" w:hAnsi="Times New Roman"/>
                <w:sz w:val="18"/>
                <w:szCs w:val="18"/>
                <w:color w:val="auto"/>
              </w:rPr>
              <w:t>17,476</w:t>
            </w:r>
          </w:p>
        </w:tc>
        <w:tc>
          <w:tcPr>
            <w:tcW w:w="6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11,301</w:t>
            </w:r>
          </w:p>
        </w:tc>
        <w:tc>
          <w:tcPr>
            <w:tcW w:w="168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18,309</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12,696</w:t>
            </w:r>
          </w:p>
        </w:tc>
      </w:tr>
      <w:tr>
        <w:trPr>
          <w:trHeight w:val="257"/>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Asia</w:t>
            </w:r>
          </w:p>
        </w:tc>
        <w:tc>
          <w:tcPr>
            <w:tcW w:w="1520" w:type="dxa"/>
            <w:vAlign w:val="bottom"/>
            <w:shd w:val="clear" w:color="auto" w:fill="F0F0F0"/>
          </w:tcPr>
          <w:p>
            <w:pPr>
              <w:jc w:val="right"/>
              <w:ind w:right="512"/>
              <w:spacing w:after="0"/>
              <w:rPr>
                <w:sz w:val="20"/>
                <w:szCs w:val="20"/>
                <w:color w:val="auto"/>
              </w:rPr>
            </w:pPr>
            <w:r>
              <w:rPr>
                <w:rFonts w:ascii="Times New Roman" w:cs="Times New Roman" w:eastAsia="Times New Roman" w:hAnsi="Times New Roman"/>
                <w:sz w:val="18"/>
                <w:szCs w:val="18"/>
                <w:color w:val="auto"/>
              </w:rPr>
              <w:t>766</w:t>
            </w:r>
          </w:p>
        </w:tc>
        <w:tc>
          <w:tcPr>
            <w:tcW w:w="6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68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766</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63"/>
        </w:trPr>
        <w:tc>
          <w:tcPr>
            <w:tcW w:w="5260" w:type="dxa"/>
            <w:vAlign w:val="bottom"/>
            <w:tcBorders>
              <w:bottom w:val="single" w:sz="8" w:color="0C479D"/>
            </w:tcBorders>
          </w:tcPr>
          <w:p>
            <w:pPr>
              <w:ind w:left="120"/>
              <w:spacing w:after="0"/>
              <w:rPr>
                <w:sz w:val="20"/>
                <w:szCs w:val="20"/>
                <w:color w:val="auto"/>
              </w:rPr>
            </w:pPr>
            <w:r>
              <w:rPr>
                <w:rFonts w:ascii="Times New Roman" w:cs="Times New Roman" w:eastAsia="Times New Roman" w:hAnsi="Times New Roman"/>
                <w:sz w:val="18"/>
                <w:szCs w:val="18"/>
                <w:color w:val="auto"/>
              </w:rPr>
              <w:t>Australia/Oceania</w:t>
            </w:r>
          </w:p>
        </w:tc>
        <w:tc>
          <w:tcPr>
            <w:tcW w:w="1520" w:type="dxa"/>
            <w:vAlign w:val="bottom"/>
            <w:tcBorders>
              <w:bottom w:val="single" w:sz="8" w:color="0C479D"/>
            </w:tcBorders>
            <w:shd w:val="clear" w:color="auto" w:fill="F0F0F0"/>
          </w:tcPr>
          <w:p>
            <w:pPr>
              <w:jc w:val="right"/>
              <w:ind w:right="512"/>
              <w:spacing w:after="0"/>
              <w:rPr>
                <w:sz w:val="20"/>
                <w:szCs w:val="20"/>
                <w:color w:val="auto"/>
              </w:rPr>
            </w:pPr>
            <w:r>
              <w:rPr>
                <w:rFonts w:ascii="Times New Roman" w:cs="Times New Roman" w:eastAsia="Times New Roman" w:hAnsi="Times New Roman"/>
                <w:sz w:val="18"/>
                <w:szCs w:val="18"/>
                <w:color w:val="auto"/>
              </w:rPr>
              <w:t>3,554</w:t>
            </w:r>
          </w:p>
        </w:tc>
        <w:tc>
          <w:tcPr>
            <w:tcW w:w="62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680" w:type="dxa"/>
            <w:vAlign w:val="bottom"/>
            <w:tcBorders>
              <w:bottom w:val="single" w:sz="8" w:color="0C479D"/>
            </w:tcBorders>
          </w:tcPr>
          <w:p>
            <w:pPr>
              <w:jc w:val="right"/>
              <w:ind w:right="532"/>
              <w:spacing w:after="0"/>
              <w:rPr>
                <w:sz w:val="20"/>
                <w:szCs w:val="20"/>
                <w:color w:val="auto"/>
              </w:rPr>
            </w:pPr>
            <w:r>
              <w:rPr>
                <w:rFonts w:ascii="Times New Roman" w:cs="Times New Roman" w:eastAsia="Times New Roman" w:hAnsi="Times New Roman"/>
                <w:sz w:val="18"/>
                <w:szCs w:val="18"/>
                <w:color w:val="auto"/>
              </w:rPr>
              <w:t>4,811</w:t>
            </w:r>
          </w:p>
        </w:tc>
        <w:tc>
          <w:tcPr>
            <w:tcW w:w="6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2,309</w:t>
            </w:r>
          </w:p>
        </w:tc>
      </w:tr>
      <w:tr>
        <w:trPr>
          <w:trHeight w:val="239"/>
        </w:trPr>
        <w:tc>
          <w:tcPr>
            <w:tcW w:w="526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Total Consolidated Subsidiaries</w:t>
            </w:r>
          </w:p>
        </w:tc>
        <w:tc>
          <w:tcPr>
            <w:tcW w:w="1520" w:type="dxa"/>
            <w:vAlign w:val="bottom"/>
            <w:tcBorders>
              <w:bottom w:val="single" w:sz="8" w:color="0C479D"/>
            </w:tcBorders>
            <w:shd w:val="clear" w:color="auto" w:fill="F0F0F0"/>
          </w:tcPr>
          <w:p>
            <w:pPr>
              <w:jc w:val="right"/>
              <w:ind w:right="512"/>
              <w:spacing w:after="0"/>
              <w:rPr>
                <w:sz w:val="20"/>
                <w:szCs w:val="20"/>
                <w:color w:val="auto"/>
              </w:rPr>
            </w:pPr>
            <w:r>
              <w:rPr>
                <w:rFonts w:ascii="Times New Roman" w:cs="Times New Roman" w:eastAsia="Times New Roman" w:hAnsi="Times New Roman"/>
                <w:sz w:val="18"/>
                <w:szCs w:val="18"/>
                <w:color w:val="auto"/>
              </w:rPr>
              <w:t>61,948</w:t>
            </w:r>
          </w:p>
        </w:tc>
        <w:tc>
          <w:tcPr>
            <w:tcW w:w="62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33,577</w:t>
            </w:r>
          </w:p>
        </w:tc>
        <w:tc>
          <w:tcPr>
            <w:tcW w:w="1680" w:type="dxa"/>
            <w:vAlign w:val="bottom"/>
            <w:tcBorders>
              <w:bottom w:val="single" w:sz="8" w:color="0C479D"/>
            </w:tcBorders>
          </w:tcPr>
          <w:p>
            <w:pPr>
              <w:jc w:val="right"/>
              <w:ind w:right="532"/>
              <w:spacing w:after="0"/>
              <w:rPr>
                <w:sz w:val="20"/>
                <w:szCs w:val="20"/>
                <w:color w:val="auto"/>
              </w:rPr>
            </w:pPr>
            <w:r>
              <w:rPr>
                <w:rFonts w:ascii="Times New Roman" w:cs="Times New Roman" w:eastAsia="Times New Roman" w:hAnsi="Times New Roman"/>
                <w:sz w:val="18"/>
                <w:szCs w:val="18"/>
                <w:color w:val="auto"/>
              </w:rPr>
              <w:t>73,886</w:t>
            </w:r>
          </w:p>
        </w:tc>
        <w:tc>
          <w:tcPr>
            <w:tcW w:w="6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41,019</w:t>
            </w:r>
          </w:p>
        </w:tc>
      </w:tr>
      <w:tr>
        <w:trPr>
          <w:trHeight w:val="295"/>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 Companies</w:t>
            </w:r>
          </w:p>
        </w:tc>
        <w:tc>
          <w:tcPr>
            <w:tcW w:w="1520" w:type="dxa"/>
            <w:vAlign w:val="bottom"/>
            <w:shd w:val="clear" w:color="auto" w:fill="F0F0F0"/>
          </w:tcPr>
          <w:p>
            <w:pPr>
              <w:spacing w:after="0"/>
              <w:rPr>
                <w:sz w:val="24"/>
                <w:szCs w:val="24"/>
                <w:color w:val="auto"/>
              </w:rPr>
            </w:pPr>
          </w:p>
        </w:tc>
        <w:tc>
          <w:tcPr>
            <w:tcW w:w="620" w:type="dxa"/>
            <w:vAlign w:val="bottom"/>
            <w:shd w:val="clear" w:color="auto" w:fill="F0F0F0"/>
          </w:tcPr>
          <w:p>
            <w:pPr>
              <w:spacing w:after="0"/>
              <w:rPr>
                <w:sz w:val="24"/>
                <w:szCs w:val="24"/>
                <w:color w:val="auto"/>
              </w:rPr>
            </w:pPr>
          </w:p>
        </w:tc>
        <w:tc>
          <w:tcPr>
            <w:tcW w:w="16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43"/>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1520" w:type="dxa"/>
            <w:vAlign w:val="bottom"/>
            <w:shd w:val="clear" w:color="auto" w:fill="F0F0F0"/>
          </w:tcPr>
          <w:p>
            <w:pPr>
              <w:jc w:val="right"/>
              <w:ind w:right="51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Europe</w:t>
            </w:r>
          </w:p>
        </w:tc>
        <w:tc>
          <w:tcPr>
            <w:tcW w:w="1520" w:type="dxa"/>
            <w:vAlign w:val="bottom"/>
            <w:shd w:val="clear" w:color="auto" w:fill="F0F0F0"/>
          </w:tcPr>
          <w:p>
            <w:pPr>
              <w:jc w:val="right"/>
              <w:ind w:right="512"/>
              <w:spacing w:after="0"/>
              <w:rPr>
                <w:sz w:val="20"/>
                <w:szCs w:val="20"/>
                <w:color w:val="auto"/>
              </w:rPr>
            </w:pPr>
            <w:r>
              <w:rPr>
                <w:rFonts w:ascii="Times New Roman" w:cs="Times New Roman" w:eastAsia="Times New Roman" w:hAnsi="Times New Roman"/>
                <w:sz w:val="18"/>
                <w:szCs w:val="18"/>
                <w:color w:val="auto"/>
              </w:rPr>
              <w:t>381</w:t>
            </w:r>
          </w:p>
        </w:tc>
        <w:tc>
          <w:tcPr>
            <w:tcW w:w="6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68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381</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56"/>
        </w:trPr>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Africa</w:t>
            </w:r>
          </w:p>
        </w:tc>
        <w:tc>
          <w:tcPr>
            <w:tcW w:w="1520" w:type="dxa"/>
            <w:vAlign w:val="bottom"/>
            <w:shd w:val="clear" w:color="auto" w:fill="F0F0F0"/>
          </w:tcPr>
          <w:p>
            <w:pPr>
              <w:jc w:val="right"/>
              <w:ind w:right="512"/>
              <w:spacing w:after="0"/>
              <w:rPr>
                <w:sz w:val="20"/>
                <w:szCs w:val="20"/>
                <w:color w:val="auto"/>
              </w:rPr>
            </w:pPr>
            <w:r>
              <w:rPr>
                <w:rFonts w:ascii="Times New Roman" w:cs="Times New Roman" w:eastAsia="Times New Roman" w:hAnsi="Times New Roman"/>
                <w:sz w:val="18"/>
                <w:szCs w:val="18"/>
                <w:color w:val="auto"/>
              </w:rPr>
              <w:t>418</w:t>
            </w:r>
          </w:p>
        </w:tc>
        <w:tc>
          <w:tcPr>
            <w:tcW w:w="6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68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418</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63"/>
        </w:trPr>
        <w:tc>
          <w:tcPr>
            <w:tcW w:w="5260" w:type="dxa"/>
            <w:vAlign w:val="bottom"/>
            <w:tcBorders>
              <w:bottom w:val="single" w:sz="8" w:color="0C479D"/>
            </w:tcBorders>
          </w:tcPr>
          <w:p>
            <w:pPr>
              <w:ind w:left="120"/>
              <w:spacing w:after="0"/>
              <w:rPr>
                <w:sz w:val="20"/>
                <w:szCs w:val="20"/>
                <w:color w:val="auto"/>
              </w:rPr>
            </w:pPr>
            <w:r>
              <w:rPr>
                <w:rFonts w:ascii="Times New Roman" w:cs="Times New Roman" w:eastAsia="Times New Roman" w:hAnsi="Times New Roman"/>
                <w:sz w:val="18"/>
                <w:szCs w:val="18"/>
                <w:color w:val="auto"/>
              </w:rPr>
              <w:t>Asia</w:t>
            </w:r>
          </w:p>
        </w:tc>
        <w:tc>
          <w:tcPr>
            <w:tcW w:w="1520" w:type="dxa"/>
            <w:vAlign w:val="bottom"/>
            <w:tcBorders>
              <w:bottom w:val="single" w:sz="8" w:color="0C479D"/>
            </w:tcBorders>
            <w:shd w:val="clear" w:color="auto" w:fill="F0F0F0"/>
          </w:tcPr>
          <w:p>
            <w:pPr>
              <w:jc w:val="right"/>
              <w:ind w:right="512"/>
              <w:spacing w:after="0"/>
              <w:rPr>
                <w:sz w:val="20"/>
                <w:szCs w:val="20"/>
                <w:color w:val="auto"/>
              </w:rPr>
            </w:pPr>
            <w:r>
              <w:rPr>
                <w:rFonts w:ascii="Times New Roman" w:cs="Times New Roman" w:eastAsia="Times New Roman" w:hAnsi="Times New Roman"/>
                <w:sz w:val="18"/>
                <w:szCs w:val="18"/>
                <w:color w:val="auto"/>
              </w:rPr>
              <w:t>298</w:t>
            </w:r>
          </w:p>
        </w:tc>
        <w:tc>
          <w:tcPr>
            <w:tcW w:w="62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80" w:type="dxa"/>
            <w:vAlign w:val="bottom"/>
            <w:tcBorders>
              <w:bottom w:val="single" w:sz="8" w:color="0C479D"/>
            </w:tcBorders>
          </w:tcPr>
          <w:p>
            <w:pPr>
              <w:jc w:val="right"/>
              <w:ind w:right="532"/>
              <w:spacing w:after="0"/>
              <w:rPr>
                <w:sz w:val="20"/>
                <w:szCs w:val="20"/>
                <w:color w:val="auto"/>
              </w:rPr>
            </w:pPr>
            <w:r>
              <w:rPr>
                <w:rFonts w:ascii="Times New Roman" w:cs="Times New Roman" w:eastAsia="Times New Roman" w:hAnsi="Times New Roman"/>
                <w:sz w:val="18"/>
                <w:szCs w:val="18"/>
                <w:color w:val="auto"/>
              </w:rPr>
              <w:t>298</w:t>
            </w:r>
          </w:p>
        </w:tc>
        <w:tc>
          <w:tcPr>
            <w:tcW w:w="6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9"/>
        </w:trPr>
        <w:tc>
          <w:tcPr>
            <w:tcW w:w="526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Total Equity Companies</w:t>
            </w:r>
          </w:p>
        </w:tc>
        <w:tc>
          <w:tcPr>
            <w:tcW w:w="1520" w:type="dxa"/>
            <w:vAlign w:val="bottom"/>
            <w:tcBorders>
              <w:bottom w:val="single" w:sz="8" w:color="0C479D"/>
            </w:tcBorders>
            <w:shd w:val="clear" w:color="auto" w:fill="F0F0F0"/>
          </w:tcPr>
          <w:p>
            <w:pPr>
              <w:jc w:val="right"/>
              <w:ind w:right="512"/>
              <w:spacing w:after="0"/>
              <w:rPr>
                <w:sz w:val="20"/>
                <w:szCs w:val="20"/>
                <w:color w:val="auto"/>
              </w:rPr>
            </w:pPr>
            <w:r>
              <w:rPr>
                <w:rFonts w:ascii="Times New Roman" w:cs="Times New Roman" w:eastAsia="Times New Roman" w:hAnsi="Times New Roman"/>
                <w:sz w:val="18"/>
                <w:szCs w:val="18"/>
                <w:color w:val="auto"/>
              </w:rPr>
              <w:t>1,097</w:t>
            </w:r>
          </w:p>
        </w:tc>
        <w:tc>
          <w:tcPr>
            <w:tcW w:w="62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680" w:type="dxa"/>
            <w:vAlign w:val="bottom"/>
            <w:tcBorders>
              <w:bottom w:val="single" w:sz="8" w:color="0C479D"/>
            </w:tcBorders>
          </w:tcPr>
          <w:p>
            <w:pPr>
              <w:jc w:val="right"/>
              <w:ind w:right="532"/>
              <w:spacing w:after="0"/>
              <w:rPr>
                <w:sz w:val="20"/>
                <w:szCs w:val="20"/>
                <w:color w:val="auto"/>
              </w:rPr>
            </w:pPr>
            <w:r>
              <w:rPr>
                <w:rFonts w:ascii="Times New Roman" w:cs="Times New Roman" w:eastAsia="Times New Roman" w:hAnsi="Times New Roman"/>
                <w:sz w:val="18"/>
                <w:szCs w:val="18"/>
                <w:color w:val="auto"/>
              </w:rPr>
              <w:t>1,097</w:t>
            </w:r>
          </w:p>
        </w:tc>
        <w:tc>
          <w:tcPr>
            <w:tcW w:w="6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34"/>
        </w:trPr>
        <w:tc>
          <w:tcPr>
            <w:tcW w:w="526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b w:val="1"/>
                <w:bCs w:val="1"/>
                <w:color w:val="auto"/>
              </w:rPr>
              <w:t>Total gross and net undeveloped acreage</w:t>
            </w:r>
          </w:p>
        </w:tc>
        <w:tc>
          <w:tcPr>
            <w:tcW w:w="1520" w:type="dxa"/>
            <w:vAlign w:val="bottom"/>
            <w:tcBorders>
              <w:bottom w:val="single" w:sz="8" w:color="0C479D"/>
            </w:tcBorders>
            <w:shd w:val="clear" w:color="auto" w:fill="F0F0F0"/>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63,045</w:t>
            </w:r>
          </w:p>
        </w:tc>
        <w:tc>
          <w:tcPr>
            <w:tcW w:w="62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33,810</w:t>
            </w:r>
          </w:p>
        </w:tc>
        <w:tc>
          <w:tcPr>
            <w:tcW w:w="1680" w:type="dxa"/>
            <w:vAlign w:val="bottom"/>
            <w:tcBorders>
              <w:bottom w:val="single" w:sz="8" w:color="0C479D"/>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74,983</w:t>
            </w:r>
          </w:p>
        </w:tc>
        <w:tc>
          <w:tcPr>
            <w:tcW w:w="6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41,252</w:t>
            </w:r>
          </w:p>
        </w:tc>
      </w:tr>
    </w:tbl>
    <w:p>
      <w:pPr>
        <w:spacing w:after="0" w:line="83" w:lineRule="exact"/>
        <w:rPr>
          <w:sz w:val="20"/>
          <w:szCs w:val="20"/>
          <w:color w:val="auto"/>
        </w:rPr>
      </w:pPr>
    </w:p>
    <w:p>
      <w:pPr>
        <w:ind w:left="780" w:right="860" w:firstLine="9"/>
        <w:spacing w:after="0"/>
        <w:tabs>
          <w:tab w:leader="none" w:pos="925" w:val="left"/>
        </w:tabs>
        <w:numPr>
          <w:ilvl w:val="0"/>
          <w:numId w:val="8"/>
        </w:numPr>
        <w:rPr>
          <w:rFonts w:ascii="Times New Roman" w:cs="Times New Roman" w:eastAsia="Times New Roman" w:hAnsi="Times New Roman"/>
          <w:sz w:val="17"/>
          <w:szCs w:val="17"/>
          <w:i w:val="1"/>
          <w:iCs w:val="1"/>
          <w:color w:val="auto"/>
          <w:vertAlign w:val="superscript"/>
        </w:rPr>
      </w:pPr>
      <w:r>
        <w:rPr>
          <w:rFonts w:ascii="Times New Roman" w:cs="Times New Roman" w:eastAsia="Times New Roman" w:hAnsi="Times New Roman"/>
          <w:sz w:val="13"/>
          <w:szCs w:val="13"/>
          <w:i w:val="1"/>
          <w:iCs w:val="1"/>
          <w:color w:val="auto"/>
        </w:rPr>
        <w:t>Includes undeveloped acreage in Other Americas of 14,914 gross and 6,381 net thousands of acres for 2024 and 24,221 gross and 11,548 net thousands of acres for 2023.</w:t>
      </w:r>
    </w:p>
    <w:p>
      <w:pPr>
        <w:spacing w:after="0" w:line="3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ExxonMobil’s investment in developed and undeveloped acreage is comprised of numerous concessions, blocks, and leases. The terms and conditions under which the Corporation maintains exploration and/or production rights to the acreage are property-specific, contractually defined, and vary significantly from property to property. Work programs are designed to ensure that the exploration potential of any property is fully evaluated before expiration. In some instances, the Corporation may elect to relinquish acreage in advance of the contractual expiration date if the evaluation process is complete and there is not a business basis for extension. In cases where additional time may be required to fully evaluate acreage, the Corporation has generally been successful in obtaining extensions. The scheduled expiration of leases and concessions for undeveloped acreage over the next three years is not expected to have a material adverse impact on the Corporation.</w:t>
      </w:r>
    </w:p>
    <w:p>
      <w:pPr>
        <w:sectPr>
          <w:pgSz w:w="11900" w:h="16838" w:orient="portrait"/>
          <w:cols w:equalWidth="0" w:num="1">
            <w:col w:w="11240"/>
          </w:cols>
          <w:pgMar w:left="320" w:top="995"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0C479D"/>
        </w:rPr>
        <w:t>D. Summary of Acreage Terms</w:t>
      </w:r>
    </w:p>
    <w:p>
      <w:pPr>
        <w:spacing w:after="0" w:line="208" w:lineRule="exact"/>
        <w:rPr>
          <w:sz w:val="20"/>
          <w:szCs w:val="20"/>
          <w:color w:val="auto"/>
        </w:rPr>
      </w:pPr>
    </w:p>
    <w:p>
      <w:pPr>
        <w:spacing w:after="0"/>
        <w:rPr>
          <w:sz w:val="20"/>
          <w:szCs w:val="20"/>
          <w:color w:val="auto"/>
        </w:rPr>
      </w:pPr>
      <w:r>
        <w:rPr>
          <w:sz w:val="1"/>
          <w:szCs w:val="1"/>
          <w:color w:val="auto"/>
        </w:rPr>
        <w:drawing>
          <wp:inline distT="0" distB="0" distL="0" distR="0">
            <wp:extent cx="51435" cy="16319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 cy="163195"/>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FFFFFF"/>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631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37"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Oil and gas exploration and production rights are acquired from mineral interest owners through a lease. Mineral interest owners include the Federal and State governments, as well as private mineral interest owners. Leases typically have a primary term ranging from one to 10 years, and a production period beyond the primary term that normally remains in effect until production ceases. Under certain circumstances, a lease may be held beyond its primary term even if production has not commenced. In some instances a “fee interest” is acquired in private property where the underlying mineral interests and rights are purchased and owned outright.</w:t>
      </w:r>
    </w:p>
    <w:p>
      <w:pPr>
        <w:spacing w:after="0" w:line="149" w:lineRule="exact"/>
        <w:rPr>
          <w:sz w:val="20"/>
          <w:szCs w:val="20"/>
          <w:color w:val="auto"/>
        </w:rPr>
      </w:pPr>
    </w:p>
    <w:p>
      <w:pPr>
        <w:spacing w:after="0"/>
        <w:rPr>
          <w:sz w:val="20"/>
          <w:szCs w:val="20"/>
          <w:color w:val="auto"/>
        </w:rPr>
      </w:pPr>
      <w:r>
        <w:rPr>
          <w:sz w:val="1"/>
          <w:szCs w:val="1"/>
          <w:color w:val="auto"/>
        </w:rPr>
        <w:drawing>
          <wp:inline distT="0" distB="0" distL="0" distR="0">
            <wp:extent cx="51435" cy="16319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 cy="163195"/>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FFFFFF"/>
        </w:rPr>
        <w:t>Canada / Other Americas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C479D"/>
        </w:rPr>
        <w:t>Canada</w:t>
      </w:r>
    </w:p>
    <w:p>
      <w:pPr>
        <w:spacing w:after="0" w:line="90"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Exploration licenses or leases in onshore areas are acquired for varying periods of time with renewals or extensions possible. These licenses or leases entitle the holder to continue existing licenses or leases upon completing specified work. In general, these license and lease agreements are held as long as there is proven production capability on the licenses and leases. Offshore exploration licenses are generally held by work commitments of various amounts and rentals. Offshore production licenses are valid for 25 years, with rights of extension for continued production. Significant discovery licenses in the offshore relating to currently undeveloped discoveries do not have a definite term.</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C479D"/>
        </w:rPr>
        <w:t>Argentina</w:t>
      </w:r>
    </w:p>
    <w:p>
      <w:pPr>
        <w:spacing w:after="0" w:line="90"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Federal Hydrocarbon Law was amended in 2014 and in 2024. Pursuant to the amended law, the production term for an onshore unconventional concession is 35 years and 25 years for a conventional concession. ExxonMobil is actively taking steps to exit Upstream operations in the country.</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C479D"/>
        </w:rPr>
        <w:t>Brazil</w:t>
      </w:r>
    </w:p>
    <w:p>
      <w:pPr>
        <w:spacing w:after="0" w:line="90"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exploration and production of oil and gas are governed by concession contracts and production sharing contracts (PSCs). Concession contracts provide for an exploration period of up to eight years and a production period of 27 years. PSCs provide for an exploration period of up to seven years and a production period of up to 28 years.</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C479D"/>
        </w:rPr>
        <w:t>Guyana</w:t>
      </w:r>
    </w:p>
    <w:p>
      <w:pPr>
        <w:spacing w:after="0" w:line="90"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Petroleum Activities Act 2023 authorizes the Government of Guyana to license and enter petroleum agreements for petroleum exploration, development, production, and storage operations. The Act enables petroleum agreements to provide for an exploration period to be established by subsidiary legislation by the Minister (typically up to 10 years) and provide for a production period of 20 years for an oil field and 30 years for a gas field, each with a renewal period of up to 10 years.</w:t>
      </w:r>
    </w:p>
    <w:p>
      <w:pPr>
        <w:spacing w:after="0" w:line="159" w:lineRule="exact"/>
        <w:rPr>
          <w:sz w:val="20"/>
          <w:szCs w:val="20"/>
          <w:color w:val="auto"/>
        </w:rPr>
      </w:pPr>
    </w:p>
    <w:p>
      <w:pPr>
        <w:spacing w:after="0"/>
        <w:rPr>
          <w:sz w:val="20"/>
          <w:szCs w:val="20"/>
          <w:color w:val="auto"/>
        </w:rPr>
      </w:pPr>
      <w:r>
        <w:rPr>
          <w:sz w:val="1"/>
          <w:szCs w:val="1"/>
          <w:color w:val="auto"/>
        </w:rPr>
        <w:drawing>
          <wp:inline distT="0" distB="0" distL="0" distR="0">
            <wp:extent cx="51435" cy="16256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 cy="162560"/>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FFFFFF"/>
        </w:rPr>
        <w:t>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625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C479D"/>
        </w:rPr>
        <w:t>Germany</w:t>
      </w:r>
    </w:p>
    <w:p>
      <w:pPr>
        <w:spacing w:after="0" w:line="104"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Exploration concessions are granted for an initial maximum period of five years, with an unlimited number of extensions up to three years each. Extensions are subject to specific minimum work commitments. Production licenses were historically granted for 20 to 25 years with multiple possible extensions subject to production on the license.</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C479D"/>
        </w:rPr>
        <w:t>Netherlands</w:t>
      </w:r>
    </w:p>
    <w:p>
      <w:pPr>
        <w:spacing w:after="0" w:line="90"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Under the Mining Law, effective January 1, 2003, exploration and production licenses for both onshore and offshore areas are issued for a period as explicitly defined in the license. The term is based on the period of time necessary to perform the activities for which the license is issued. License conditions are stipulated in the license and are based on the Mining Law.</w:t>
      </w:r>
    </w:p>
    <w:p>
      <w:pPr>
        <w:spacing w:after="0" w:line="54"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Production rights granted prior to January 1, 2003, remain subject to their existing terms and differ slightly for onshore and offshore areas. Onshore production licenses issued prior to 1988 were indefinite; from 1988, they were issued for a period as explicitly defined in the license, ranging from 35 to 45 years. Offshore production licenses issued before 1976 were issued for a fixed period of 40 years; from 1976, they were again issued for a period as explicitly defined in the license, ranging from 15 to 40 years.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3" w:name="page24"/>
    <w:bookmarkEnd w:id="23"/>
    <w:p>
      <w:pPr>
        <w:ind w:left="340"/>
        <w:spacing w:after="0"/>
        <w:rPr>
          <w:sz w:val="20"/>
          <w:szCs w:val="20"/>
          <w:color w:val="auto"/>
        </w:rPr>
      </w:pPr>
      <w:r>
        <w:rPr>
          <w:rFonts w:ascii="Times New Roman" w:cs="Times New Roman" w:eastAsia="Times New Roman" w:hAnsi="Times New Roman"/>
          <w:sz w:val="18"/>
          <w:szCs w:val="18"/>
          <w:color w:val="0C479D"/>
        </w:rPr>
        <w:t>United Kingdom</w:t>
      </w:r>
    </w:p>
    <w:p>
      <w:pPr>
        <w:spacing w:after="0" w:line="104"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Acreage terms are fixed by the government and are periodically changed. For example, many of the early licenses issued under the first four licensing rounds provided an initial term of six years with relinquishment of at least one-half of the original area at the end of the initial term, subject to extension for a further 40 years. At the end of any such 40-year term, licenses may continue in producing areas until cessation of production; or licenses may continue in development areas for periods agreed on a case-by-case basis until they become producing areas; or licenses terminate in all other areas. The majority of traditional licenses currently issued have an initial exploration term of four years with a second term extension of four years, and a final production term of 18 years, with a mandatory relinquishment of 50 percent of the acreage after the initial term and of all acreage that is not covered by a development plan at the end of the second term.</w:t>
      </w:r>
    </w:p>
    <w:p>
      <w:pPr>
        <w:spacing w:after="0" w:line="154" w:lineRule="exact"/>
        <w:rPr>
          <w:sz w:val="20"/>
          <w:szCs w:val="20"/>
          <w:color w:val="auto"/>
        </w:rPr>
      </w:pPr>
    </w:p>
    <w:p>
      <w:pPr>
        <w:spacing w:after="0"/>
        <w:rPr>
          <w:sz w:val="20"/>
          <w:szCs w:val="20"/>
          <w:color w:val="auto"/>
        </w:rPr>
      </w:pPr>
      <w:r>
        <w:rPr>
          <w:sz w:val="1"/>
          <w:szCs w:val="1"/>
          <w:color w:val="auto"/>
        </w:rPr>
        <w:drawing>
          <wp:inline distT="0" distB="0" distL="0" distR="0">
            <wp:extent cx="51435" cy="16319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 cy="163195"/>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FFFFFF"/>
        </w:rPr>
        <w:t>Africa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631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C479D"/>
        </w:rPr>
        <w:t>Angola</w:t>
      </w:r>
    </w:p>
    <w:p>
      <w:pPr>
        <w:spacing w:after="0" w:line="104"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Exploration and production activities are governed by either production sharing agreements or other concession contracts with initial exploration terms ranging from three to four years with options to extend from one to five years. The production periods range from 20 to 30 years, with extensions subject to negotiation with the National Concessionaire.</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C479D"/>
        </w:rPr>
        <w:t>Mozambique</w:t>
      </w:r>
    </w:p>
    <w:p>
      <w:pPr>
        <w:spacing w:after="0" w:line="104"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Exploration and production activities are generally governed by concession contracts with the Government of the Republic of Mozambique, represented by the Ministry of Mineral Resources and Energy. An interest in Area 4 offshore Mozambique was acquired in 2017. Terms for Area 4 are governed by the Exploration and Production Concession Contract (EPCC) for Area 4 Offshore of the Rovuma Block. The EPCC expires 30 years after an approved plan of development becomes effective for a given discovery area.</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C479D"/>
        </w:rPr>
        <w:t>Nigeria</w:t>
      </w:r>
    </w:p>
    <w:p>
      <w:pPr>
        <w:spacing w:after="0" w:line="104"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Exploration and production activities are governed by production sharing contracts (PSCs) with the national oil company, the Nigerian National Petroleum Company Limited (NNPCL). NNPCL typically holds the underlying license or lease. The terms of the PSCs are generally 30 years (comprised of a 10-year exploration period and a 20-year production period).</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2021 Petroleum Industry Act will govern any further renewals to the term of the PSCs, licenses, or leases.</w:t>
      </w:r>
    </w:p>
    <w:p>
      <w:pPr>
        <w:spacing w:after="0" w:line="191" w:lineRule="exact"/>
        <w:rPr>
          <w:sz w:val="20"/>
          <w:szCs w:val="20"/>
          <w:color w:val="auto"/>
        </w:rPr>
      </w:pPr>
    </w:p>
    <w:p>
      <w:pPr>
        <w:spacing w:after="0"/>
        <w:rPr>
          <w:sz w:val="20"/>
          <w:szCs w:val="20"/>
          <w:color w:val="auto"/>
        </w:rPr>
      </w:pPr>
      <w:r>
        <w:rPr>
          <w:sz w:val="1"/>
          <w:szCs w:val="1"/>
          <w:color w:val="auto"/>
        </w:rPr>
        <w:drawing>
          <wp:inline distT="0" distB="0" distL="0" distR="0">
            <wp:extent cx="51435" cy="16319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 cy="163195"/>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FFFFFF"/>
        </w:rPr>
        <w:t>Asia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631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C479D"/>
        </w:rPr>
        <w:t>Azerbaijan</w:t>
      </w:r>
    </w:p>
    <w:p>
      <w:pPr>
        <w:spacing w:after="0" w:line="104"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production sharing agreement (PSA) for the development of the Azeri-Chirag-Gunashli field was established for an initial period of 30 years starting from the PSA execution date in 1994. The PSA was amended in September 2017 to extend the term by 25 years to 2049.</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C479D"/>
        </w:rPr>
        <w:t>Indonesia</w:t>
      </w:r>
    </w:p>
    <w:p>
      <w:pPr>
        <w:spacing w:after="0" w:line="104"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Exploration and production activities in Indonesia are generally governed by cooperation contracts, usually in the form of a production sharing contract (PSC). The current PSCs have an exploration period of six years, which can be extended once for a period of four years with a total contract period of 30 years including an exploitation period. PSC terms can be extended for a maximum of 20 years for each extension with the approval of the government.</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C479D"/>
        </w:rPr>
        <w:t>Kazakhstan</w:t>
      </w:r>
    </w:p>
    <w:p>
      <w:pPr>
        <w:spacing w:after="0" w:line="104"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Onshore exploration and production activities are governed by the production license, which includes exploration activities and joint venture agreements negotiated with the Republic of Kazakhstan. Existing production operations have a 40-year production period that commenced in 1993.</w:t>
      </w:r>
    </w:p>
    <w:p>
      <w:pPr>
        <w:spacing w:after="0" w:line="27"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Offshore exploration and production activities are governed by a production sharing agreement negotiated with the Republic of Kazakhstan. The exploration period is six years followed by separate appraisal periods for each discovery. The production period for each discovery, which includes development, is 20 years from the date of declaration of commerciality with the possibility of two 10-year extensions.</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C479D"/>
        </w:rPr>
        <w:t>Malaysia</w:t>
      </w:r>
    </w:p>
    <w:p>
      <w:pPr>
        <w:spacing w:after="0" w:line="90"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Production activities are governed by production sharing contracts (PSCs) negotiated with the national oil company. The PSCs have production terms of 25 years. Extensions are generally subject to the national oil company’s prior written approval.</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24" w:name="page25"/>
    <w:bookmarkEnd w:id="24"/>
    <w:p>
      <w:pPr>
        <w:ind w:left="340"/>
        <w:spacing w:after="0"/>
        <w:rPr>
          <w:sz w:val="20"/>
          <w:szCs w:val="20"/>
          <w:color w:val="auto"/>
        </w:rPr>
      </w:pPr>
      <w:r>
        <w:rPr>
          <w:rFonts w:ascii="Times New Roman" w:cs="Times New Roman" w:eastAsia="Times New Roman" w:hAnsi="Times New Roman"/>
          <w:sz w:val="18"/>
          <w:szCs w:val="18"/>
          <w:color w:val="0C479D"/>
        </w:rPr>
        <w:t>Qatar</w:t>
      </w:r>
    </w:p>
    <w:p>
      <w:pPr>
        <w:spacing w:after="0" w:line="104"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State of Qatar grants gas production development project rights to develop and supply gas from the offshore North Field to permit the economic development and production of gas reserves sufficient to satisfy the gas and LNG sales obligations of these projects. The initial terms for these rights generally extend for 25 years. Extensions and terms are subject to State of Qatar approval.</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C479D"/>
        </w:rPr>
        <w:t>Thailand</w:t>
      </w:r>
    </w:p>
    <w:p>
      <w:pPr>
        <w:spacing w:after="0" w:line="104"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Petroleum Act of 1971 allows production under ExxonMobil’s concessions for 30 years with a 10-year extension at terms generally prevalent at the time.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C479D"/>
        </w:rPr>
        <w:t>United Arab Emirates</w:t>
      </w:r>
    </w:p>
    <w:p>
      <w:pPr>
        <w:spacing w:after="0" w:line="104"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An interest in the development and production activities of the offshore Upper Zakum field was acquired in 2006. In 2017, the governing agreements were extended to 2051.</w:t>
      </w:r>
    </w:p>
    <w:p>
      <w:pPr>
        <w:spacing w:after="0" w:line="127" w:lineRule="exact"/>
        <w:rPr>
          <w:sz w:val="20"/>
          <w:szCs w:val="20"/>
          <w:color w:val="auto"/>
        </w:rPr>
      </w:pPr>
    </w:p>
    <w:p>
      <w:pPr>
        <w:spacing w:after="0"/>
        <w:rPr>
          <w:sz w:val="20"/>
          <w:szCs w:val="20"/>
          <w:color w:val="auto"/>
        </w:rPr>
      </w:pPr>
      <w:r>
        <w:rPr>
          <w:sz w:val="1"/>
          <w:szCs w:val="1"/>
          <w:color w:val="auto"/>
        </w:rPr>
        <w:drawing>
          <wp:inline distT="0" distB="0" distL="0" distR="0">
            <wp:extent cx="51435" cy="16319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 cy="163195"/>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FFFFFF"/>
        </w:rPr>
        <w:t>Australia / Oceania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631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C479D"/>
        </w:rPr>
        <w:t>Australia</w:t>
      </w:r>
    </w:p>
    <w:p>
      <w:pPr>
        <w:spacing w:after="0" w:line="90"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Exploration and production activities conducted offshore in Commonwealth waters are governed by Federal legislation. Exploration permits are granted for an initial term of six years with two possible five-year renewal periods. Retention leases may be granted for resources that are not commercially viable at the time of application but are likely to become commercially viable within 15 years. These are granted for periods of five years, and renewals may be requested. Prior to July 1998, production licenses were granted initially for 21 years, with a further renewal of 21 years and thereafter indefinitely, i.e., for the life of the field. Effective from July 1998, new production licenses are granted indefinitely. In each case, a production license may be terminated if no production operations have been carried on for five years.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0C479D"/>
        </w:rPr>
        <w:t>Papua New Guinea</w:t>
      </w:r>
    </w:p>
    <w:p>
      <w:pPr>
        <w:spacing w:after="0" w:line="90"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Exploration and production activities are governed by the Oil and Gas Act. Petroleum prospecting licenses are granted for an initial term of six years with a five-year extension possible (an additional extension of three years is possible in certain circumstances). Generally, a 50-percent relinquishment of the license area is required at the end of the initial six-year term, if extended. Petroleum development licenses are granted for an initial 25-year period. An extension for further consecutive period(s) of up to 20 years may be granted at the Petroleum Minister’s discretion. Petroleum retention licenses may be granted for gas resources that are not commercially viable at the time of application but may become commercially viable within the maximum possible retention time of 15 years. Petroleum retention licenses are granted for an initial five-year period, and may only be extended, at the Minister’s discretion, twice for the maximum retention time of 15 years.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0C479D"/>
        </w:rPr>
        <w:t>Information with regard to refining and chemical capacity:</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ExxonMobil manufactures, trades, and sells petroleum and petrochemical products. Our refining and chemical operations are highly integrated and encompass a global network of manufacturing plants, transportation systems, and distribution centers that provide a range of fuels, specialty products, feedstocks, olefins, polyolefins, and a wide variety of other products to our customers around the world.</w:t>
      </w:r>
    </w:p>
    <w:p>
      <w:pPr>
        <w:spacing w:after="0" w:line="10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0C479D"/>
        </w:rPr>
        <w:t xml:space="preserve">Capacity At Year-End 2024 </w:t>
      </w:r>
      <w:r>
        <w:rPr>
          <w:rFonts w:ascii="Times New Roman" w:cs="Times New Roman" w:eastAsia="Times New Roman" w:hAnsi="Times New Roman"/>
          <w:sz w:val="9"/>
          <w:szCs w:val="9"/>
          <w:i w:val="1"/>
          <w:iCs w:val="1"/>
          <w:color w:val="000000"/>
        </w:rPr>
        <w:t>(1)</w:t>
      </w:r>
    </w:p>
    <w:p>
      <w:pPr>
        <w:spacing w:after="0" w:line="112" w:lineRule="exact"/>
        <w:rPr>
          <w:sz w:val="20"/>
          <w:szCs w:val="20"/>
          <w:color w:val="auto"/>
        </w:rPr>
      </w:pPr>
    </w:p>
    <w:tbl>
      <w:tblPr>
        <w:tblLayout w:type="fixed"/>
        <w:tblInd w:w="820" w:type="dxa"/>
        <w:tblCellMar>
          <w:top w:w="0" w:type="dxa"/>
          <w:left w:w="0" w:type="dxa"/>
          <w:bottom w:w="0" w:type="dxa"/>
          <w:right w:w="0" w:type="dxa"/>
        </w:tblCellMar>
      </w:tblPr>
      <w:tr>
        <w:trPr>
          <w:trHeight w:val="164"/>
        </w:trPr>
        <w:tc>
          <w:tcPr>
            <w:tcW w:w="1540" w:type="dxa"/>
            <w:vAlign w:val="bottom"/>
            <w:shd w:val="clear" w:color="auto" w:fill="0C479D"/>
          </w:tcPr>
          <w:p>
            <w:pPr>
              <w:spacing w:after="0"/>
              <w:rPr>
                <w:sz w:val="14"/>
                <w:szCs w:val="14"/>
                <w:color w:val="auto"/>
              </w:rPr>
            </w:pPr>
          </w:p>
        </w:tc>
        <w:tc>
          <w:tcPr>
            <w:tcW w:w="1580" w:type="dxa"/>
            <w:vAlign w:val="bottom"/>
            <w:shd w:val="clear" w:color="auto" w:fill="0C479D"/>
          </w:tcPr>
          <w:p>
            <w:pPr>
              <w:spacing w:after="0"/>
              <w:rPr>
                <w:sz w:val="14"/>
                <w:szCs w:val="14"/>
                <w:color w:val="auto"/>
              </w:rPr>
            </w:pPr>
          </w:p>
        </w:tc>
        <w:tc>
          <w:tcPr>
            <w:tcW w:w="740" w:type="dxa"/>
            <w:vAlign w:val="bottom"/>
            <w:shd w:val="clear" w:color="auto" w:fill="0C479D"/>
          </w:tcPr>
          <w:p>
            <w:pPr>
              <w:spacing w:after="0"/>
              <w:rPr>
                <w:sz w:val="14"/>
                <w:szCs w:val="14"/>
                <w:color w:val="auto"/>
              </w:rPr>
            </w:pPr>
          </w:p>
        </w:tc>
        <w:tc>
          <w:tcPr>
            <w:tcW w:w="300" w:type="dxa"/>
            <w:vAlign w:val="bottom"/>
            <w:shd w:val="clear" w:color="auto" w:fill="0C479D"/>
          </w:tcPr>
          <w:p>
            <w:pPr>
              <w:spacing w:after="0"/>
              <w:rPr>
                <w:sz w:val="14"/>
                <w:szCs w:val="14"/>
                <w:color w:val="auto"/>
              </w:rPr>
            </w:pPr>
          </w:p>
        </w:tc>
        <w:tc>
          <w:tcPr>
            <w:tcW w:w="1000" w:type="dxa"/>
            <w:vAlign w:val="bottom"/>
            <w:vMerge w:val="restart"/>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ExxonMobil</w:t>
            </w:r>
          </w:p>
        </w:tc>
        <w:tc>
          <w:tcPr>
            <w:tcW w:w="132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ExxonMobil’s</w:t>
            </w:r>
          </w:p>
        </w:tc>
        <w:tc>
          <w:tcPr>
            <w:tcW w:w="980" w:type="dxa"/>
            <w:vAlign w:val="bottom"/>
            <w:shd w:val="clear" w:color="auto" w:fill="0C479D"/>
          </w:tcPr>
          <w:p>
            <w:pPr>
              <w:spacing w:after="0"/>
              <w:rPr>
                <w:sz w:val="14"/>
                <w:szCs w:val="14"/>
                <w:color w:val="auto"/>
              </w:rPr>
            </w:pPr>
          </w:p>
        </w:tc>
        <w:tc>
          <w:tcPr>
            <w:tcW w:w="1060" w:type="dxa"/>
            <w:vAlign w:val="bottom"/>
            <w:shd w:val="clear" w:color="auto" w:fill="0C479D"/>
          </w:tcPr>
          <w:p>
            <w:pPr>
              <w:spacing w:after="0"/>
              <w:rPr>
                <w:sz w:val="14"/>
                <w:szCs w:val="14"/>
                <w:color w:val="auto"/>
              </w:rPr>
            </w:pPr>
          </w:p>
        </w:tc>
        <w:tc>
          <w:tcPr>
            <w:tcW w:w="1100" w:type="dxa"/>
            <w:vAlign w:val="bottom"/>
            <w:shd w:val="clear" w:color="auto" w:fill="0C479D"/>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540" w:type="dxa"/>
            <w:vAlign w:val="bottom"/>
            <w:shd w:val="clear" w:color="auto" w:fill="0C479D"/>
          </w:tcPr>
          <w:p>
            <w:pPr>
              <w:spacing w:after="0"/>
              <w:rPr>
                <w:sz w:val="7"/>
                <w:szCs w:val="7"/>
                <w:color w:val="auto"/>
              </w:rPr>
            </w:pPr>
          </w:p>
        </w:tc>
        <w:tc>
          <w:tcPr>
            <w:tcW w:w="1580" w:type="dxa"/>
            <w:vAlign w:val="bottom"/>
            <w:shd w:val="clear" w:color="auto" w:fill="0C479D"/>
          </w:tcPr>
          <w:p>
            <w:pPr>
              <w:spacing w:after="0"/>
              <w:rPr>
                <w:sz w:val="7"/>
                <w:szCs w:val="7"/>
                <w:color w:val="auto"/>
              </w:rPr>
            </w:pPr>
          </w:p>
        </w:tc>
        <w:tc>
          <w:tcPr>
            <w:tcW w:w="740" w:type="dxa"/>
            <w:vAlign w:val="bottom"/>
            <w:shd w:val="clear" w:color="auto" w:fill="0C479D"/>
          </w:tcPr>
          <w:p>
            <w:pPr>
              <w:spacing w:after="0"/>
              <w:rPr>
                <w:sz w:val="7"/>
                <w:szCs w:val="7"/>
                <w:color w:val="auto"/>
              </w:rPr>
            </w:pPr>
          </w:p>
        </w:tc>
        <w:tc>
          <w:tcPr>
            <w:tcW w:w="300" w:type="dxa"/>
            <w:vAlign w:val="bottom"/>
            <w:shd w:val="clear" w:color="auto" w:fill="0C479D"/>
          </w:tcPr>
          <w:p>
            <w:pPr>
              <w:spacing w:after="0"/>
              <w:rPr>
                <w:sz w:val="7"/>
                <w:szCs w:val="7"/>
                <w:color w:val="auto"/>
              </w:rPr>
            </w:pPr>
          </w:p>
        </w:tc>
        <w:tc>
          <w:tcPr>
            <w:tcW w:w="1000" w:type="dxa"/>
            <w:vAlign w:val="bottom"/>
            <w:vMerge w:val="continue"/>
            <w:shd w:val="clear" w:color="auto" w:fill="0C479D"/>
          </w:tcPr>
          <w:p>
            <w:pPr>
              <w:spacing w:after="0"/>
              <w:rPr>
                <w:sz w:val="7"/>
                <w:szCs w:val="7"/>
                <w:color w:val="auto"/>
              </w:rPr>
            </w:pPr>
          </w:p>
        </w:tc>
        <w:tc>
          <w:tcPr>
            <w:tcW w:w="1320" w:type="dxa"/>
            <w:vAlign w:val="bottom"/>
            <w:vMerge w:val="restart"/>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Share of Refining</w:t>
            </w:r>
          </w:p>
        </w:tc>
        <w:tc>
          <w:tcPr>
            <w:tcW w:w="980" w:type="dxa"/>
            <w:vAlign w:val="bottom"/>
            <w:vMerge w:val="restart"/>
            <w:shd w:val="clear" w:color="auto" w:fill="0C479D"/>
          </w:tcPr>
          <w:p>
            <w:pPr>
              <w:jc w:val="right"/>
              <w:ind w:right="191"/>
              <w:spacing w:after="0"/>
              <w:rPr>
                <w:sz w:val="20"/>
                <w:szCs w:val="20"/>
                <w:color w:val="auto"/>
              </w:rPr>
            </w:pPr>
            <w:r>
              <w:rPr>
                <w:rFonts w:ascii="Times New Roman" w:cs="Times New Roman" w:eastAsia="Times New Roman" w:hAnsi="Times New Roman"/>
                <w:sz w:val="14"/>
                <w:szCs w:val="14"/>
                <w:b w:val="1"/>
                <w:bCs w:val="1"/>
                <w:color w:val="FFFFFF"/>
              </w:rPr>
              <w:t>Ethylene</w:t>
            </w:r>
          </w:p>
        </w:tc>
        <w:tc>
          <w:tcPr>
            <w:tcW w:w="1060" w:type="dxa"/>
            <w:vAlign w:val="bottom"/>
            <w:vMerge w:val="restart"/>
            <w:shd w:val="clear" w:color="auto" w:fill="0C479D"/>
          </w:tcPr>
          <w:p>
            <w:pPr>
              <w:jc w:val="right"/>
              <w:ind w:right="71"/>
              <w:spacing w:after="0"/>
              <w:rPr>
                <w:sz w:val="20"/>
                <w:szCs w:val="20"/>
                <w:color w:val="auto"/>
              </w:rPr>
            </w:pPr>
            <w:r>
              <w:rPr>
                <w:rFonts w:ascii="Times New Roman" w:cs="Times New Roman" w:eastAsia="Times New Roman" w:hAnsi="Times New Roman"/>
                <w:sz w:val="14"/>
                <w:szCs w:val="14"/>
                <w:b w:val="1"/>
                <w:bCs w:val="1"/>
                <w:color w:val="FFFFFF"/>
              </w:rPr>
              <w:t>Polyethylene</w:t>
            </w:r>
          </w:p>
        </w:tc>
        <w:tc>
          <w:tcPr>
            <w:tcW w:w="1100" w:type="dxa"/>
            <w:vAlign w:val="bottom"/>
            <w:vMerge w:val="restart"/>
            <w:shd w:val="clear" w:color="auto" w:fill="0C479D"/>
          </w:tcPr>
          <w:p>
            <w:pPr>
              <w:jc w:val="right"/>
              <w:ind w:right="31"/>
              <w:spacing w:after="0"/>
              <w:rPr>
                <w:sz w:val="20"/>
                <w:szCs w:val="20"/>
                <w:color w:val="auto"/>
              </w:rPr>
            </w:pPr>
            <w:r>
              <w:rPr>
                <w:rFonts w:ascii="Times New Roman" w:cs="Times New Roman" w:eastAsia="Times New Roman" w:hAnsi="Times New Roman"/>
                <w:sz w:val="14"/>
                <w:szCs w:val="14"/>
                <w:b w:val="1"/>
                <w:bCs w:val="1"/>
                <w:color w:val="FFFFFF"/>
              </w:rPr>
              <w:t>Polypropylene</w:t>
            </w:r>
          </w:p>
        </w:tc>
        <w:tc>
          <w:tcPr>
            <w:tcW w:w="0" w:type="dxa"/>
            <w:vAlign w:val="bottom"/>
          </w:tcPr>
          <w:p>
            <w:pPr>
              <w:spacing w:after="0"/>
              <w:rPr>
                <w:sz w:val="1"/>
                <w:szCs w:val="1"/>
                <w:color w:val="auto"/>
              </w:rPr>
            </w:pPr>
          </w:p>
        </w:tc>
      </w:tr>
      <w:tr>
        <w:trPr>
          <w:trHeight w:val="95"/>
        </w:trPr>
        <w:tc>
          <w:tcPr>
            <w:tcW w:w="1540" w:type="dxa"/>
            <w:vAlign w:val="bottom"/>
            <w:shd w:val="clear" w:color="auto" w:fill="0C479D"/>
          </w:tcPr>
          <w:p>
            <w:pPr>
              <w:spacing w:after="0"/>
              <w:rPr>
                <w:sz w:val="8"/>
                <w:szCs w:val="8"/>
                <w:color w:val="auto"/>
              </w:rPr>
            </w:pPr>
          </w:p>
        </w:tc>
        <w:tc>
          <w:tcPr>
            <w:tcW w:w="1580" w:type="dxa"/>
            <w:vAlign w:val="bottom"/>
            <w:shd w:val="clear" w:color="auto" w:fill="0C479D"/>
          </w:tcPr>
          <w:p>
            <w:pPr>
              <w:spacing w:after="0"/>
              <w:rPr>
                <w:sz w:val="8"/>
                <w:szCs w:val="8"/>
                <w:color w:val="auto"/>
              </w:rPr>
            </w:pPr>
          </w:p>
        </w:tc>
        <w:tc>
          <w:tcPr>
            <w:tcW w:w="740" w:type="dxa"/>
            <w:vAlign w:val="bottom"/>
            <w:shd w:val="clear" w:color="auto" w:fill="0C479D"/>
          </w:tcPr>
          <w:p>
            <w:pPr>
              <w:spacing w:after="0"/>
              <w:rPr>
                <w:sz w:val="8"/>
                <w:szCs w:val="8"/>
                <w:color w:val="auto"/>
              </w:rPr>
            </w:pPr>
          </w:p>
        </w:tc>
        <w:tc>
          <w:tcPr>
            <w:tcW w:w="300" w:type="dxa"/>
            <w:vAlign w:val="bottom"/>
            <w:shd w:val="clear" w:color="auto" w:fill="0C479D"/>
          </w:tcPr>
          <w:p>
            <w:pPr>
              <w:spacing w:after="0"/>
              <w:rPr>
                <w:sz w:val="8"/>
                <w:szCs w:val="8"/>
                <w:color w:val="auto"/>
              </w:rPr>
            </w:pPr>
          </w:p>
        </w:tc>
        <w:tc>
          <w:tcPr>
            <w:tcW w:w="1000" w:type="dxa"/>
            <w:vAlign w:val="bottom"/>
            <w:vMerge w:val="restart"/>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Interest %</w:t>
            </w:r>
          </w:p>
        </w:tc>
        <w:tc>
          <w:tcPr>
            <w:tcW w:w="1320" w:type="dxa"/>
            <w:vAlign w:val="bottom"/>
            <w:vMerge w:val="continue"/>
            <w:shd w:val="clear" w:color="auto" w:fill="0C479D"/>
          </w:tcPr>
          <w:p>
            <w:pPr>
              <w:spacing w:after="0"/>
              <w:rPr>
                <w:sz w:val="8"/>
                <w:szCs w:val="8"/>
                <w:color w:val="auto"/>
              </w:rPr>
            </w:pPr>
          </w:p>
        </w:tc>
        <w:tc>
          <w:tcPr>
            <w:tcW w:w="980" w:type="dxa"/>
            <w:vAlign w:val="bottom"/>
            <w:vMerge w:val="continue"/>
            <w:shd w:val="clear" w:color="auto" w:fill="0C479D"/>
          </w:tcPr>
          <w:p>
            <w:pPr>
              <w:spacing w:after="0"/>
              <w:rPr>
                <w:sz w:val="8"/>
                <w:szCs w:val="8"/>
                <w:color w:val="auto"/>
              </w:rPr>
            </w:pPr>
          </w:p>
        </w:tc>
        <w:tc>
          <w:tcPr>
            <w:tcW w:w="1060" w:type="dxa"/>
            <w:vAlign w:val="bottom"/>
            <w:vMerge w:val="continue"/>
            <w:shd w:val="clear" w:color="auto" w:fill="0C479D"/>
          </w:tcPr>
          <w:p>
            <w:pPr>
              <w:spacing w:after="0"/>
              <w:rPr>
                <w:sz w:val="8"/>
                <w:szCs w:val="8"/>
                <w:color w:val="auto"/>
              </w:rPr>
            </w:pPr>
          </w:p>
        </w:tc>
        <w:tc>
          <w:tcPr>
            <w:tcW w:w="1100" w:type="dxa"/>
            <w:vAlign w:val="bottom"/>
            <w:vMerge w:val="continue"/>
            <w:shd w:val="clear" w:color="auto" w:fill="0C479D"/>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1540" w:type="dxa"/>
            <w:vAlign w:val="bottom"/>
            <w:shd w:val="clear" w:color="auto" w:fill="0C479D"/>
          </w:tcPr>
          <w:p>
            <w:pPr>
              <w:spacing w:after="0"/>
              <w:rPr>
                <w:sz w:val="8"/>
                <w:szCs w:val="8"/>
                <w:color w:val="auto"/>
              </w:rPr>
            </w:pPr>
          </w:p>
        </w:tc>
        <w:tc>
          <w:tcPr>
            <w:tcW w:w="1580" w:type="dxa"/>
            <w:vAlign w:val="bottom"/>
            <w:shd w:val="clear" w:color="auto" w:fill="0C479D"/>
          </w:tcPr>
          <w:p>
            <w:pPr>
              <w:spacing w:after="0"/>
              <w:rPr>
                <w:sz w:val="8"/>
                <w:szCs w:val="8"/>
                <w:color w:val="auto"/>
              </w:rPr>
            </w:pPr>
          </w:p>
        </w:tc>
        <w:tc>
          <w:tcPr>
            <w:tcW w:w="740" w:type="dxa"/>
            <w:vAlign w:val="bottom"/>
            <w:shd w:val="clear" w:color="auto" w:fill="0C479D"/>
          </w:tcPr>
          <w:p>
            <w:pPr>
              <w:spacing w:after="0"/>
              <w:rPr>
                <w:sz w:val="8"/>
                <w:szCs w:val="8"/>
                <w:color w:val="auto"/>
              </w:rPr>
            </w:pPr>
          </w:p>
        </w:tc>
        <w:tc>
          <w:tcPr>
            <w:tcW w:w="300" w:type="dxa"/>
            <w:vAlign w:val="bottom"/>
            <w:shd w:val="clear" w:color="auto" w:fill="0C479D"/>
          </w:tcPr>
          <w:p>
            <w:pPr>
              <w:spacing w:after="0"/>
              <w:rPr>
                <w:sz w:val="8"/>
                <w:szCs w:val="8"/>
                <w:color w:val="auto"/>
              </w:rPr>
            </w:pPr>
          </w:p>
        </w:tc>
        <w:tc>
          <w:tcPr>
            <w:tcW w:w="1000" w:type="dxa"/>
            <w:vAlign w:val="bottom"/>
            <w:vMerge w:val="continue"/>
            <w:shd w:val="clear" w:color="auto" w:fill="0C479D"/>
          </w:tcPr>
          <w:p>
            <w:pPr>
              <w:spacing w:after="0"/>
              <w:rPr>
                <w:sz w:val="8"/>
                <w:szCs w:val="8"/>
                <w:color w:val="auto"/>
              </w:rPr>
            </w:pPr>
          </w:p>
        </w:tc>
        <w:tc>
          <w:tcPr>
            <w:tcW w:w="1320" w:type="dxa"/>
            <w:vAlign w:val="bottom"/>
            <w:vMerge w:val="restart"/>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 xml:space="preserve">Capacity </w:t>
            </w:r>
            <w:r>
              <w:rPr>
                <w:rFonts w:ascii="Times New Roman" w:cs="Times New Roman" w:eastAsia="Times New Roman" w:hAnsi="Times New Roman"/>
                <w:sz w:val="9"/>
                <w:szCs w:val="9"/>
                <w:i w:val="1"/>
                <w:iCs w:val="1"/>
                <w:color w:val="FFFFFF"/>
              </w:rPr>
              <w:t>(2)</w:t>
            </w:r>
          </w:p>
        </w:tc>
        <w:tc>
          <w:tcPr>
            <w:tcW w:w="980" w:type="dxa"/>
            <w:vAlign w:val="bottom"/>
            <w:shd w:val="clear" w:color="auto" w:fill="0C479D"/>
          </w:tcPr>
          <w:p>
            <w:pPr>
              <w:spacing w:after="0"/>
              <w:rPr>
                <w:sz w:val="8"/>
                <w:szCs w:val="8"/>
                <w:color w:val="auto"/>
              </w:rPr>
            </w:pPr>
          </w:p>
        </w:tc>
        <w:tc>
          <w:tcPr>
            <w:tcW w:w="1060" w:type="dxa"/>
            <w:vAlign w:val="bottom"/>
            <w:shd w:val="clear" w:color="auto" w:fill="0C479D"/>
          </w:tcPr>
          <w:p>
            <w:pPr>
              <w:spacing w:after="0"/>
              <w:rPr>
                <w:sz w:val="8"/>
                <w:szCs w:val="8"/>
                <w:color w:val="auto"/>
              </w:rPr>
            </w:pPr>
          </w:p>
        </w:tc>
        <w:tc>
          <w:tcPr>
            <w:tcW w:w="1100" w:type="dxa"/>
            <w:vAlign w:val="bottom"/>
            <w:shd w:val="clear" w:color="auto" w:fill="0C479D"/>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540" w:type="dxa"/>
            <w:vAlign w:val="bottom"/>
            <w:shd w:val="clear" w:color="auto" w:fill="0C479D"/>
          </w:tcPr>
          <w:p>
            <w:pPr>
              <w:spacing w:after="0"/>
              <w:rPr>
                <w:sz w:val="8"/>
                <w:szCs w:val="8"/>
                <w:color w:val="auto"/>
              </w:rPr>
            </w:pPr>
          </w:p>
        </w:tc>
        <w:tc>
          <w:tcPr>
            <w:tcW w:w="1580" w:type="dxa"/>
            <w:vAlign w:val="bottom"/>
            <w:shd w:val="clear" w:color="auto" w:fill="0C479D"/>
          </w:tcPr>
          <w:p>
            <w:pPr>
              <w:spacing w:after="0"/>
              <w:rPr>
                <w:sz w:val="8"/>
                <w:szCs w:val="8"/>
                <w:color w:val="auto"/>
              </w:rPr>
            </w:pPr>
          </w:p>
        </w:tc>
        <w:tc>
          <w:tcPr>
            <w:tcW w:w="740" w:type="dxa"/>
            <w:vAlign w:val="bottom"/>
            <w:shd w:val="clear" w:color="auto" w:fill="0C479D"/>
          </w:tcPr>
          <w:p>
            <w:pPr>
              <w:spacing w:after="0"/>
              <w:rPr>
                <w:sz w:val="8"/>
                <w:szCs w:val="8"/>
                <w:color w:val="auto"/>
              </w:rPr>
            </w:pPr>
          </w:p>
        </w:tc>
        <w:tc>
          <w:tcPr>
            <w:tcW w:w="300" w:type="dxa"/>
            <w:vAlign w:val="bottom"/>
            <w:shd w:val="clear" w:color="auto" w:fill="0C479D"/>
          </w:tcPr>
          <w:p>
            <w:pPr>
              <w:spacing w:after="0"/>
              <w:rPr>
                <w:sz w:val="8"/>
                <w:szCs w:val="8"/>
                <w:color w:val="auto"/>
              </w:rPr>
            </w:pPr>
          </w:p>
        </w:tc>
        <w:tc>
          <w:tcPr>
            <w:tcW w:w="1000" w:type="dxa"/>
            <w:vAlign w:val="bottom"/>
            <w:shd w:val="clear" w:color="auto" w:fill="0C479D"/>
          </w:tcPr>
          <w:p>
            <w:pPr>
              <w:spacing w:after="0"/>
              <w:rPr>
                <w:sz w:val="8"/>
                <w:szCs w:val="8"/>
                <w:color w:val="auto"/>
              </w:rPr>
            </w:pPr>
          </w:p>
        </w:tc>
        <w:tc>
          <w:tcPr>
            <w:tcW w:w="1320" w:type="dxa"/>
            <w:vAlign w:val="bottom"/>
            <w:vMerge w:val="continue"/>
            <w:shd w:val="clear" w:color="auto" w:fill="0C479D"/>
          </w:tcPr>
          <w:p>
            <w:pPr>
              <w:spacing w:after="0"/>
              <w:rPr>
                <w:sz w:val="8"/>
                <w:szCs w:val="8"/>
                <w:color w:val="auto"/>
              </w:rPr>
            </w:pPr>
          </w:p>
        </w:tc>
        <w:tc>
          <w:tcPr>
            <w:tcW w:w="980" w:type="dxa"/>
            <w:vAlign w:val="bottom"/>
            <w:shd w:val="clear" w:color="auto" w:fill="0C479D"/>
          </w:tcPr>
          <w:p>
            <w:pPr>
              <w:spacing w:after="0"/>
              <w:rPr>
                <w:sz w:val="8"/>
                <w:szCs w:val="8"/>
                <w:color w:val="auto"/>
              </w:rPr>
            </w:pPr>
          </w:p>
        </w:tc>
        <w:tc>
          <w:tcPr>
            <w:tcW w:w="1060" w:type="dxa"/>
            <w:vAlign w:val="bottom"/>
            <w:shd w:val="clear" w:color="auto" w:fill="0C479D"/>
          </w:tcPr>
          <w:p>
            <w:pPr>
              <w:spacing w:after="0"/>
              <w:rPr>
                <w:sz w:val="8"/>
                <w:szCs w:val="8"/>
                <w:color w:val="auto"/>
              </w:rPr>
            </w:pPr>
          </w:p>
        </w:tc>
        <w:tc>
          <w:tcPr>
            <w:tcW w:w="1100" w:type="dxa"/>
            <w:vAlign w:val="bottom"/>
            <w:shd w:val="clear" w:color="auto" w:fill="0C479D"/>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1540" w:type="dxa"/>
            <w:vAlign w:val="bottom"/>
            <w:shd w:val="clear" w:color="auto" w:fill="0C479D"/>
          </w:tcPr>
          <w:p>
            <w:pPr>
              <w:spacing w:after="0"/>
              <w:rPr>
                <w:sz w:val="17"/>
                <w:szCs w:val="17"/>
                <w:color w:val="auto"/>
              </w:rPr>
            </w:pPr>
          </w:p>
        </w:tc>
        <w:tc>
          <w:tcPr>
            <w:tcW w:w="1580" w:type="dxa"/>
            <w:vAlign w:val="bottom"/>
            <w:shd w:val="clear" w:color="auto" w:fill="0C479D"/>
          </w:tcPr>
          <w:p>
            <w:pPr>
              <w:spacing w:after="0"/>
              <w:rPr>
                <w:sz w:val="17"/>
                <w:szCs w:val="17"/>
                <w:color w:val="auto"/>
              </w:rPr>
            </w:pPr>
          </w:p>
        </w:tc>
        <w:tc>
          <w:tcPr>
            <w:tcW w:w="740" w:type="dxa"/>
            <w:vAlign w:val="bottom"/>
            <w:shd w:val="clear" w:color="auto" w:fill="0C479D"/>
          </w:tcPr>
          <w:p>
            <w:pPr>
              <w:spacing w:after="0"/>
              <w:rPr>
                <w:sz w:val="17"/>
                <w:szCs w:val="17"/>
                <w:color w:val="auto"/>
              </w:rPr>
            </w:pPr>
          </w:p>
        </w:tc>
        <w:tc>
          <w:tcPr>
            <w:tcW w:w="300" w:type="dxa"/>
            <w:vAlign w:val="bottom"/>
            <w:shd w:val="clear" w:color="auto" w:fill="0C479D"/>
          </w:tcPr>
          <w:p>
            <w:pPr>
              <w:spacing w:after="0"/>
              <w:rPr>
                <w:sz w:val="17"/>
                <w:szCs w:val="17"/>
                <w:color w:val="auto"/>
              </w:rPr>
            </w:pPr>
          </w:p>
        </w:tc>
        <w:tc>
          <w:tcPr>
            <w:tcW w:w="1000" w:type="dxa"/>
            <w:vAlign w:val="bottom"/>
            <w:shd w:val="clear" w:color="auto" w:fill="0C479D"/>
          </w:tcPr>
          <w:p>
            <w:pPr>
              <w:spacing w:after="0"/>
              <w:rPr>
                <w:sz w:val="17"/>
                <w:szCs w:val="17"/>
                <w:color w:val="auto"/>
              </w:rPr>
            </w:pPr>
          </w:p>
        </w:tc>
        <w:tc>
          <w:tcPr>
            <w:tcW w:w="132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i w:val="1"/>
                <w:iCs w:val="1"/>
                <w:color w:val="FFFFFF"/>
              </w:rPr>
              <w:t>(thousands of</w:t>
            </w:r>
          </w:p>
        </w:tc>
        <w:tc>
          <w:tcPr>
            <w:tcW w:w="3140" w:type="dxa"/>
            <w:vAlign w:val="bottom"/>
            <w:gridSpan w:val="3"/>
            <w:vMerge w:val="restart"/>
            <w:shd w:val="clear" w:color="auto" w:fill="0C479D"/>
          </w:tcPr>
          <w:p>
            <w:pPr>
              <w:jc w:val="right"/>
              <w:ind w:right="571"/>
              <w:spacing w:after="0"/>
              <w:rPr>
                <w:sz w:val="20"/>
                <w:szCs w:val="20"/>
                <w:color w:val="auto"/>
              </w:rPr>
            </w:pPr>
            <w:r>
              <w:rPr>
                <w:rFonts w:ascii="Times New Roman" w:cs="Times New Roman" w:eastAsia="Times New Roman" w:hAnsi="Times New Roman"/>
                <w:sz w:val="14"/>
                <w:szCs w:val="14"/>
                <w:i w:val="1"/>
                <w:iCs w:val="1"/>
                <w:color w:val="FFFFFF"/>
              </w:rPr>
              <w:t>(millions of metric tons per year)</w:t>
            </w:r>
          </w:p>
        </w:tc>
        <w:tc>
          <w:tcPr>
            <w:tcW w:w="0" w:type="dxa"/>
            <w:vAlign w:val="bottom"/>
          </w:tcPr>
          <w:p>
            <w:pPr>
              <w:spacing w:after="0"/>
              <w:rPr>
                <w:sz w:val="1"/>
                <w:szCs w:val="1"/>
                <w:color w:val="auto"/>
              </w:rPr>
            </w:pPr>
          </w:p>
        </w:tc>
      </w:tr>
      <w:tr>
        <w:trPr>
          <w:trHeight w:val="109"/>
        </w:trPr>
        <w:tc>
          <w:tcPr>
            <w:tcW w:w="1540" w:type="dxa"/>
            <w:vAlign w:val="bottom"/>
            <w:shd w:val="clear" w:color="auto" w:fill="0C479D"/>
          </w:tcPr>
          <w:p>
            <w:pPr>
              <w:spacing w:after="0"/>
              <w:rPr>
                <w:sz w:val="9"/>
                <w:szCs w:val="9"/>
                <w:color w:val="auto"/>
              </w:rPr>
            </w:pPr>
          </w:p>
        </w:tc>
        <w:tc>
          <w:tcPr>
            <w:tcW w:w="1580" w:type="dxa"/>
            <w:vAlign w:val="bottom"/>
            <w:shd w:val="clear" w:color="auto" w:fill="0C479D"/>
          </w:tcPr>
          <w:p>
            <w:pPr>
              <w:spacing w:after="0"/>
              <w:rPr>
                <w:sz w:val="9"/>
                <w:szCs w:val="9"/>
                <w:color w:val="auto"/>
              </w:rPr>
            </w:pPr>
          </w:p>
        </w:tc>
        <w:tc>
          <w:tcPr>
            <w:tcW w:w="740" w:type="dxa"/>
            <w:vAlign w:val="bottom"/>
            <w:shd w:val="clear" w:color="auto" w:fill="0C479D"/>
          </w:tcPr>
          <w:p>
            <w:pPr>
              <w:spacing w:after="0"/>
              <w:rPr>
                <w:sz w:val="9"/>
                <w:szCs w:val="9"/>
                <w:color w:val="auto"/>
              </w:rPr>
            </w:pPr>
          </w:p>
        </w:tc>
        <w:tc>
          <w:tcPr>
            <w:tcW w:w="300" w:type="dxa"/>
            <w:vAlign w:val="bottom"/>
            <w:shd w:val="clear" w:color="auto" w:fill="0C479D"/>
          </w:tcPr>
          <w:p>
            <w:pPr>
              <w:spacing w:after="0"/>
              <w:rPr>
                <w:sz w:val="9"/>
                <w:szCs w:val="9"/>
                <w:color w:val="auto"/>
              </w:rPr>
            </w:pPr>
          </w:p>
        </w:tc>
        <w:tc>
          <w:tcPr>
            <w:tcW w:w="1000" w:type="dxa"/>
            <w:vAlign w:val="bottom"/>
            <w:shd w:val="clear" w:color="auto" w:fill="0C479D"/>
          </w:tcPr>
          <w:p>
            <w:pPr>
              <w:spacing w:after="0"/>
              <w:rPr>
                <w:sz w:val="9"/>
                <w:szCs w:val="9"/>
                <w:color w:val="auto"/>
              </w:rPr>
            </w:pPr>
          </w:p>
        </w:tc>
        <w:tc>
          <w:tcPr>
            <w:tcW w:w="1320" w:type="dxa"/>
            <w:vAlign w:val="bottom"/>
            <w:vMerge w:val="restart"/>
            <w:shd w:val="clear" w:color="auto" w:fill="0C479D"/>
          </w:tcPr>
          <w:p>
            <w:pPr>
              <w:jc w:val="center"/>
              <w:spacing w:after="0"/>
              <w:rPr>
                <w:sz w:val="20"/>
                <w:szCs w:val="20"/>
                <w:color w:val="auto"/>
              </w:rPr>
            </w:pPr>
            <w:r>
              <w:rPr>
                <w:rFonts w:ascii="Times New Roman" w:cs="Times New Roman" w:eastAsia="Times New Roman" w:hAnsi="Times New Roman"/>
                <w:sz w:val="14"/>
                <w:szCs w:val="14"/>
                <w:i w:val="1"/>
                <w:iCs w:val="1"/>
                <w:color w:val="FFFFFF"/>
              </w:rPr>
              <w:t>barrels daily)</w:t>
            </w:r>
          </w:p>
        </w:tc>
        <w:tc>
          <w:tcPr>
            <w:tcW w:w="3140" w:type="dxa"/>
            <w:vAlign w:val="bottom"/>
            <w:gridSpan w:val="3"/>
            <w:vMerge w:val="continue"/>
            <w:shd w:val="clear" w:color="auto" w:fill="0C479D"/>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540" w:type="dxa"/>
            <w:vAlign w:val="bottom"/>
            <w:tcBorders>
              <w:bottom w:val="single" w:sz="8" w:color="0C479D"/>
            </w:tcBorders>
            <w:shd w:val="clear" w:color="auto" w:fill="0C479D"/>
          </w:tcPr>
          <w:p>
            <w:pPr>
              <w:spacing w:after="0"/>
              <w:rPr>
                <w:sz w:val="9"/>
                <w:szCs w:val="9"/>
                <w:color w:val="auto"/>
              </w:rPr>
            </w:pPr>
          </w:p>
        </w:tc>
        <w:tc>
          <w:tcPr>
            <w:tcW w:w="1580" w:type="dxa"/>
            <w:vAlign w:val="bottom"/>
            <w:tcBorders>
              <w:bottom w:val="single" w:sz="8" w:color="0C479D"/>
            </w:tcBorders>
            <w:shd w:val="clear" w:color="auto" w:fill="0C479D"/>
          </w:tcPr>
          <w:p>
            <w:pPr>
              <w:spacing w:after="0"/>
              <w:rPr>
                <w:sz w:val="9"/>
                <w:szCs w:val="9"/>
                <w:color w:val="auto"/>
              </w:rPr>
            </w:pPr>
          </w:p>
        </w:tc>
        <w:tc>
          <w:tcPr>
            <w:tcW w:w="740" w:type="dxa"/>
            <w:vAlign w:val="bottom"/>
            <w:tcBorders>
              <w:bottom w:val="single" w:sz="8" w:color="0C479D"/>
            </w:tcBorders>
            <w:shd w:val="clear" w:color="auto" w:fill="0C479D"/>
          </w:tcPr>
          <w:p>
            <w:pPr>
              <w:spacing w:after="0"/>
              <w:rPr>
                <w:sz w:val="9"/>
                <w:szCs w:val="9"/>
                <w:color w:val="auto"/>
              </w:rPr>
            </w:pPr>
          </w:p>
        </w:tc>
        <w:tc>
          <w:tcPr>
            <w:tcW w:w="300" w:type="dxa"/>
            <w:vAlign w:val="bottom"/>
            <w:tcBorders>
              <w:bottom w:val="single" w:sz="8" w:color="0C479D"/>
            </w:tcBorders>
            <w:shd w:val="clear" w:color="auto" w:fill="0C479D"/>
          </w:tcPr>
          <w:p>
            <w:pPr>
              <w:spacing w:after="0"/>
              <w:rPr>
                <w:sz w:val="9"/>
                <w:szCs w:val="9"/>
                <w:color w:val="auto"/>
              </w:rPr>
            </w:pPr>
          </w:p>
        </w:tc>
        <w:tc>
          <w:tcPr>
            <w:tcW w:w="1000" w:type="dxa"/>
            <w:vAlign w:val="bottom"/>
            <w:tcBorders>
              <w:bottom w:val="single" w:sz="8" w:color="0C479D"/>
            </w:tcBorders>
            <w:shd w:val="clear" w:color="auto" w:fill="0C479D"/>
          </w:tcPr>
          <w:p>
            <w:pPr>
              <w:spacing w:after="0"/>
              <w:rPr>
                <w:sz w:val="9"/>
                <w:szCs w:val="9"/>
                <w:color w:val="auto"/>
              </w:rPr>
            </w:pPr>
          </w:p>
        </w:tc>
        <w:tc>
          <w:tcPr>
            <w:tcW w:w="1320" w:type="dxa"/>
            <w:vAlign w:val="bottom"/>
            <w:tcBorders>
              <w:bottom w:val="single" w:sz="8" w:color="0C479D"/>
            </w:tcBorders>
            <w:vMerge w:val="continue"/>
            <w:shd w:val="clear" w:color="auto" w:fill="0C479D"/>
          </w:tcPr>
          <w:p>
            <w:pPr>
              <w:spacing w:after="0"/>
              <w:rPr>
                <w:sz w:val="9"/>
                <w:szCs w:val="9"/>
                <w:color w:val="auto"/>
              </w:rPr>
            </w:pPr>
          </w:p>
        </w:tc>
        <w:tc>
          <w:tcPr>
            <w:tcW w:w="980" w:type="dxa"/>
            <w:vAlign w:val="bottom"/>
            <w:tcBorders>
              <w:bottom w:val="single" w:sz="8" w:color="0C479D"/>
            </w:tcBorders>
            <w:shd w:val="clear" w:color="auto" w:fill="0C479D"/>
          </w:tcPr>
          <w:p>
            <w:pPr>
              <w:spacing w:after="0"/>
              <w:rPr>
                <w:sz w:val="9"/>
                <w:szCs w:val="9"/>
                <w:color w:val="auto"/>
              </w:rPr>
            </w:pPr>
          </w:p>
        </w:tc>
        <w:tc>
          <w:tcPr>
            <w:tcW w:w="1060" w:type="dxa"/>
            <w:vAlign w:val="bottom"/>
            <w:tcBorders>
              <w:bottom w:val="single" w:sz="8" w:color="0C479D"/>
            </w:tcBorders>
            <w:shd w:val="clear" w:color="auto" w:fill="0C479D"/>
          </w:tcPr>
          <w:p>
            <w:pPr>
              <w:spacing w:after="0"/>
              <w:rPr>
                <w:sz w:val="9"/>
                <w:szCs w:val="9"/>
                <w:color w:val="auto"/>
              </w:rPr>
            </w:pPr>
          </w:p>
        </w:tc>
        <w:tc>
          <w:tcPr>
            <w:tcW w:w="1100" w:type="dxa"/>
            <w:vAlign w:val="bottom"/>
            <w:tcBorders>
              <w:bottom w:val="single" w:sz="8" w:color="0C479D"/>
            </w:tcBorders>
            <w:shd w:val="clear" w:color="auto" w:fill="0C479D"/>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1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1580" w:type="dxa"/>
            <w:vAlign w:val="bottom"/>
          </w:tcPr>
          <w:p>
            <w:pPr>
              <w:spacing w:after="0"/>
              <w:rPr>
                <w:sz w:val="20"/>
                <w:szCs w:val="20"/>
                <w:color w:val="auto"/>
              </w:rPr>
            </w:pPr>
          </w:p>
        </w:tc>
        <w:tc>
          <w:tcPr>
            <w:tcW w:w="74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FE000C"/>
              </w:rPr>
              <w:t>■</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1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Joliet</w:t>
            </w:r>
          </w:p>
        </w:tc>
        <w:tc>
          <w:tcPr>
            <w:tcW w:w="1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Illinois</w:t>
            </w:r>
          </w:p>
        </w:tc>
        <w:tc>
          <w:tcPr>
            <w:tcW w:w="740" w:type="dxa"/>
            <w:vAlign w:val="bottom"/>
            <w:vMerge w:val="continue"/>
          </w:tcPr>
          <w:p>
            <w:pPr>
              <w:spacing w:after="0"/>
              <w:rPr>
                <w:sz w:val="22"/>
                <w:szCs w:val="22"/>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25"/>
                <w:szCs w:val="25"/>
                <w:color w:val="0C479D"/>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3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264</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9"/>
        </w:trPr>
        <w:tc>
          <w:tcPr>
            <w:tcW w:w="1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Baton Rouge</w:t>
            </w:r>
          </w:p>
        </w:tc>
        <w:tc>
          <w:tcPr>
            <w:tcW w:w="1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Louisiana</w:t>
            </w:r>
          </w:p>
        </w:tc>
        <w:tc>
          <w:tcPr>
            <w:tcW w:w="740" w:type="dxa"/>
            <w:vAlign w:val="bottom"/>
          </w:tcPr>
          <w:p>
            <w:pPr>
              <w:ind w:left="240"/>
              <w:spacing w:after="0"/>
              <w:rPr>
                <w:sz w:val="20"/>
                <w:szCs w:val="20"/>
                <w:color w:val="auto"/>
              </w:rPr>
            </w:pPr>
            <w:r>
              <w:rPr>
                <w:rFonts w:ascii="Times New Roman" w:cs="Times New Roman" w:eastAsia="Times New Roman" w:hAnsi="Times New Roman"/>
                <w:sz w:val="22"/>
                <w:szCs w:val="22"/>
                <w:color w:val="FE000C"/>
              </w:rPr>
              <w:t xml:space="preserve">■ </w:t>
            </w:r>
            <w:r>
              <w:rPr>
                <w:rFonts w:ascii="Times New Roman" w:cs="Times New Roman" w:eastAsia="Times New Roman" w:hAnsi="Times New Roman"/>
                <w:sz w:val="17"/>
                <w:szCs w:val="17"/>
                <w:color w:val="008000"/>
              </w:rPr>
              <w:t>▲</w:t>
            </w:r>
          </w:p>
        </w:tc>
        <w:tc>
          <w:tcPr>
            <w:tcW w:w="300" w:type="dxa"/>
            <w:vAlign w:val="bottom"/>
            <w:vMerge w:val="continue"/>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3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523</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311"/>
        </w:trPr>
        <w:tc>
          <w:tcPr>
            <w:tcW w:w="1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Baytown</w:t>
            </w:r>
          </w:p>
        </w:tc>
        <w:tc>
          <w:tcPr>
            <w:tcW w:w="1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Texas</w:t>
            </w:r>
          </w:p>
        </w:tc>
        <w:tc>
          <w:tcPr>
            <w:tcW w:w="740" w:type="dxa"/>
            <w:vAlign w:val="bottom"/>
          </w:tcPr>
          <w:p>
            <w:pPr>
              <w:ind w:left="240"/>
              <w:spacing w:after="0"/>
              <w:rPr>
                <w:sz w:val="20"/>
                <w:szCs w:val="20"/>
                <w:color w:val="auto"/>
              </w:rPr>
            </w:pPr>
            <w:r>
              <w:rPr>
                <w:rFonts w:ascii="Times New Roman" w:cs="Times New Roman" w:eastAsia="Times New Roman" w:hAnsi="Times New Roman"/>
                <w:sz w:val="22"/>
                <w:szCs w:val="22"/>
                <w:color w:val="FE000C"/>
              </w:rPr>
              <w:t xml:space="preserve">■ </w:t>
            </w:r>
            <w:r>
              <w:rPr>
                <w:rFonts w:ascii="Times New Roman" w:cs="Times New Roman" w:eastAsia="Times New Roman" w:hAnsi="Times New Roman"/>
                <w:sz w:val="17"/>
                <w:szCs w:val="17"/>
                <w:color w:val="008000"/>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25"/>
                <w:szCs w:val="25"/>
                <w:color w:val="0C479D"/>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3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565</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310"/>
        </w:trPr>
        <w:tc>
          <w:tcPr>
            <w:tcW w:w="1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Beaumont</w:t>
            </w:r>
          </w:p>
        </w:tc>
        <w:tc>
          <w:tcPr>
            <w:tcW w:w="1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Texas</w:t>
            </w:r>
          </w:p>
        </w:tc>
        <w:tc>
          <w:tcPr>
            <w:tcW w:w="740" w:type="dxa"/>
            <w:vAlign w:val="bottom"/>
          </w:tcPr>
          <w:p>
            <w:pPr>
              <w:ind w:left="240"/>
              <w:spacing w:after="0"/>
              <w:rPr>
                <w:sz w:val="20"/>
                <w:szCs w:val="20"/>
                <w:color w:val="auto"/>
              </w:rPr>
            </w:pPr>
            <w:r>
              <w:rPr>
                <w:rFonts w:ascii="Times New Roman" w:cs="Times New Roman" w:eastAsia="Times New Roman" w:hAnsi="Times New Roman"/>
                <w:sz w:val="22"/>
                <w:szCs w:val="22"/>
                <w:color w:val="FE000C"/>
              </w:rPr>
              <w:t xml:space="preserve">■ </w:t>
            </w:r>
            <w:r>
              <w:rPr>
                <w:rFonts w:ascii="Times New Roman" w:cs="Times New Roman" w:eastAsia="Times New Roman" w:hAnsi="Times New Roman"/>
                <w:sz w:val="17"/>
                <w:szCs w:val="17"/>
                <w:color w:val="008000"/>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25"/>
                <w:szCs w:val="25"/>
                <w:color w:val="0C479D"/>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3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612</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0.9</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1"/>
        </w:trPr>
        <w:tc>
          <w:tcPr>
            <w:tcW w:w="1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Corpus Christi</w:t>
            </w:r>
          </w:p>
        </w:tc>
        <w:tc>
          <w:tcPr>
            <w:tcW w:w="1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Texas</w:t>
            </w:r>
          </w:p>
        </w:tc>
        <w:tc>
          <w:tcPr>
            <w:tcW w:w="7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5"/>
                <w:szCs w:val="25"/>
                <w:color w:val="0C479D"/>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3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0.9</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31"/>
        </w:trPr>
        <w:tc>
          <w:tcPr>
            <w:tcW w:w="1540" w:type="dxa"/>
            <w:vAlign w:val="bottom"/>
            <w:tcBorders>
              <w:bottom w:val="single" w:sz="8" w:color="0C479D"/>
            </w:tcBorders>
          </w:tcPr>
          <w:p>
            <w:pPr>
              <w:ind w:left="120"/>
              <w:spacing w:after="0"/>
              <w:rPr>
                <w:sz w:val="20"/>
                <w:szCs w:val="20"/>
                <w:color w:val="auto"/>
              </w:rPr>
            </w:pPr>
            <w:r>
              <w:rPr>
                <w:rFonts w:ascii="Times New Roman" w:cs="Times New Roman" w:eastAsia="Times New Roman" w:hAnsi="Times New Roman"/>
                <w:sz w:val="18"/>
                <w:szCs w:val="18"/>
                <w:color w:val="auto"/>
              </w:rPr>
              <w:t>Mont Belvieu</w:t>
            </w:r>
          </w:p>
        </w:tc>
        <w:tc>
          <w:tcPr>
            <w:tcW w:w="1580" w:type="dxa"/>
            <w:vAlign w:val="bottom"/>
            <w:tcBorders>
              <w:bottom w:val="single" w:sz="8" w:color="0C479D"/>
            </w:tcBorders>
          </w:tcPr>
          <w:p>
            <w:pPr>
              <w:ind w:left="120"/>
              <w:spacing w:after="0"/>
              <w:rPr>
                <w:sz w:val="20"/>
                <w:szCs w:val="20"/>
                <w:color w:val="auto"/>
              </w:rPr>
            </w:pPr>
            <w:r>
              <w:rPr>
                <w:rFonts w:ascii="Times New Roman" w:cs="Times New Roman" w:eastAsia="Times New Roman" w:hAnsi="Times New Roman"/>
                <w:sz w:val="18"/>
                <w:szCs w:val="18"/>
                <w:color w:val="auto"/>
              </w:rPr>
              <w:t>Texas</w:t>
            </w:r>
          </w:p>
        </w:tc>
        <w:tc>
          <w:tcPr>
            <w:tcW w:w="740" w:type="dxa"/>
            <w:vAlign w:val="bottom"/>
            <w:tcBorders>
              <w:bottom w:val="single" w:sz="8" w:color="0C479D"/>
            </w:tcBorders>
          </w:tcPr>
          <w:p>
            <w:pPr>
              <w:spacing w:after="0"/>
              <w:rPr>
                <w:sz w:val="24"/>
                <w:szCs w:val="24"/>
                <w:color w:val="auto"/>
              </w:rPr>
            </w:pPr>
          </w:p>
        </w:tc>
        <w:tc>
          <w:tcPr>
            <w:tcW w:w="3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25"/>
                <w:szCs w:val="25"/>
                <w:color w:val="0C479D"/>
              </w:rPr>
              <w:t>●</w:t>
            </w:r>
          </w:p>
        </w:tc>
        <w:tc>
          <w:tcPr>
            <w:tcW w:w="1000" w:type="dxa"/>
            <w:vAlign w:val="bottom"/>
            <w:tcBorders>
              <w:bottom w:val="single" w:sz="8" w:color="0C479D"/>
            </w:tcBorders>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320" w:type="dxa"/>
            <w:vAlign w:val="bottom"/>
            <w:tcBorders>
              <w:bottom w:val="single" w:sz="8" w:color="0C479D"/>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0C479D"/>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0C479D"/>
            </w:tcBorders>
          </w:tcPr>
          <w:p>
            <w:pPr>
              <w:jc w:val="right"/>
              <w:ind w:right="11"/>
              <w:spacing w:after="0"/>
              <w:rPr>
                <w:sz w:val="20"/>
                <w:szCs w:val="20"/>
                <w:color w:val="auto"/>
              </w:rPr>
            </w:pPr>
            <w:r>
              <w:rPr>
                <w:rFonts w:ascii="Times New Roman" w:cs="Times New Roman" w:eastAsia="Times New Roman" w:hAnsi="Times New Roman"/>
                <w:sz w:val="18"/>
                <w:szCs w:val="18"/>
                <w:color w:val="auto"/>
              </w:rPr>
              <w:t>2.3</w:t>
            </w:r>
          </w:p>
        </w:tc>
        <w:tc>
          <w:tcPr>
            <w:tcW w:w="11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154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color w:val="auto"/>
              </w:rPr>
              <w:t>Total United States</w:t>
            </w:r>
          </w:p>
        </w:tc>
        <w:tc>
          <w:tcPr>
            <w:tcW w:w="1580" w:type="dxa"/>
            <w:vAlign w:val="bottom"/>
            <w:tcBorders>
              <w:bottom w:val="single" w:sz="8" w:color="0C479D"/>
            </w:tcBorders>
          </w:tcPr>
          <w:p>
            <w:pPr>
              <w:spacing w:after="0"/>
              <w:rPr>
                <w:sz w:val="19"/>
                <w:szCs w:val="19"/>
                <w:color w:val="auto"/>
              </w:rPr>
            </w:pPr>
          </w:p>
        </w:tc>
        <w:tc>
          <w:tcPr>
            <w:tcW w:w="740" w:type="dxa"/>
            <w:vAlign w:val="bottom"/>
            <w:tcBorders>
              <w:bottom w:val="single" w:sz="8" w:color="0C479D"/>
            </w:tcBorders>
          </w:tcPr>
          <w:p>
            <w:pPr>
              <w:spacing w:after="0"/>
              <w:rPr>
                <w:sz w:val="19"/>
                <w:szCs w:val="19"/>
                <w:color w:val="auto"/>
              </w:rPr>
            </w:pPr>
          </w:p>
        </w:tc>
        <w:tc>
          <w:tcPr>
            <w:tcW w:w="300" w:type="dxa"/>
            <w:vAlign w:val="bottom"/>
            <w:tcBorders>
              <w:bottom w:val="single" w:sz="8" w:color="0C479D"/>
            </w:tcBorders>
          </w:tcPr>
          <w:p>
            <w:pPr>
              <w:spacing w:after="0"/>
              <w:rPr>
                <w:sz w:val="19"/>
                <w:szCs w:val="19"/>
                <w:color w:val="auto"/>
              </w:rPr>
            </w:pPr>
          </w:p>
        </w:tc>
        <w:tc>
          <w:tcPr>
            <w:tcW w:w="1000" w:type="dxa"/>
            <w:vAlign w:val="bottom"/>
            <w:tcBorders>
              <w:bottom w:val="single" w:sz="8" w:color="0C479D"/>
            </w:tcBorders>
          </w:tcPr>
          <w:p>
            <w:pPr>
              <w:spacing w:after="0"/>
              <w:rPr>
                <w:sz w:val="19"/>
                <w:szCs w:val="19"/>
                <w:color w:val="auto"/>
              </w:rPr>
            </w:pPr>
          </w:p>
        </w:tc>
        <w:tc>
          <w:tcPr>
            <w:tcW w:w="1320" w:type="dxa"/>
            <w:vAlign w:val="bottom"/>
            <w:tcBorders>
              <w:bottom w:val="single" w:sz="8" w:color="0C479D"/>
            </w:tcBorders>
          </w:tcPr>
          <w:p>
            <w:pPr>
              <w:jc w:val="right"/>
              <w:ind w:right="73"/>
              <w:spacing w:after="0"/>
              <w:rPr>
                <w:sz w:val="20"/>
                <w:szCs w:val="20"/>
                <w:color w:val="auto"/>
              </w:rPr>
            </w:pPr>
            <w:r>
              <w:rPr>
                <w:rFonts w:ascii="Times New Roman" w:cs="Times New Roman" w:eastAsia="Times New Roman" w:hAnsi="Times New Roman"/>
                <w:sz w:val="18"/>
                <w:szCs w:val="18"/>
                <w:color w:val="auto"/>
              </w:rPr>
              <w:t>1,964</w:t>
            </w:r>
          </w:p>
        </w:tc>
        <w:tc>
          <w:tcPr>
            <w:tcW w:w="980" w:type="dxa"/>
            <w:vAlign w:val="bottom"/>
            <w:tcBorders>
              <w:bottom w:val="single" w:sz="8" w:color="0C479D"/>
            </w:tcBorders>
          </w:tcPr>
          <w:p>
            <w:pPr>
              <w:jc w:val="right"/>
              <w:ind w:right="31"/>
              <w:spacing w:after="0"/>
              <w:rPr>
                <w:sz w:val="20"/>
                <w:szCs w:val="20"/>
                <w:color w:val="auto"/>
              </w:rPr>
            </w:pPr>
            <w:r>
              <w:rPr>
                <w:rFonts w:ascii="Times New Roman" w:cs="Times New Roman" w:eastAsia="Times New Roman" w:hAnsi="Times New Roman"/>
                <w:sz w:val="18"/>
                <w:szCs w:val="18"/>
                <w:color w:val="auto"/>
              </w:rPr>
              <w:t>6.9</w:t>
            </w:r>
          </w:p>
        </w:tc>
        <w:tc>
          <w:tcPr>
            <w:tcW w:w="1060" w:type="dxa"/>
            <w:vAlign w:val="bottom"/>
            <w:tcBorders>
              <w:bottom w:val="single" w:sz="8" w:color="0C479D"/>
            </w:tcBorders>
          </w:tcPr>
          <w:p>
            <w:pPr>
              <w:jc w:val="right"/>
              <w:ind w:right="11"/>
              <w:spacing w:after="0"/>
              <w:rPr>
                <w:sz w:val="20"/>
                <w:szCs w:val="20"/>
                <w:color w:val="auto"/>
              </w:rPr>
            </w:pPr>
            <w:r>
              <w:rPr>
                <w:rFonts w:ascii="Times New Roman" w:cs="Times New Roman" w:eastAsia="Times New Roman" w:hAnsi="Times New Roman"/>
                <w:sz w:val="18"/>
                <w:szCs w:val="18"/>
                <w:color w:val="auto"/>
              </w:rPr>
              <w:t>6.0</w:t>
            </w:r>
          </w:p>
        </w:tc>
        <w:tc>
          <w:tcPr>
            <w:tcW w:w="11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63"/>
        </w:trPr>
        <w:tc>
          <w:tcPr>
            <w:tcW w:w="1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Canada</w:t>
            </w:r>
          </w:p>
        </w:tc>
        <w:tc>
          <w:tcPr>
            <w:tcW w:w="1580" w:type="dxa"/>
            <w:vAlign w:val="bottom"/>
          </w:tcPr>
          <w:p>
            <w:pPr>
              <w:spacing w:after="0"/>
              <w:rPr>
                <w:sz w:val="22"/>
                <w:szCs w:val="22"/>
                <w:color w:val="auto"/>
              </w:rPr>
            </w:pPr>
          </w:p>
        </w:tc>
        <w:tc>
          <w:tcPr>
            <w:tcW w:w="74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FE000C"/>
              </w:rPr>
              <w:t>■</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Strathcona</w:t>
            </w:r>
          </w:p>
        </w:tc>
        <w:tc>
          <w:tcPr>
            <w:tcW w:w="1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Alberta</w:t>
            </w:r>
          </w:p>
        </w:tc>
        <w:tc>
          <w:tcPr>
            <w:tcW w:w="74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69.6</w:t>
            </w:r>
          </w:p>
        </w:tc>
        <w:tc>
          <w:tcPr>
            <w:tcW w:w="13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197</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2"/>
        </w:trPr>
        <w:tc>
          <w:tcPr>
            <w:tcW w:w="1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Nanticoke</w:t>
            </w:r>
          </w:p>
        </w:tc>
        <w:tc>
          <w:tcPr>
            <w:tcW w:w="1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Ontario</w:t>
            </w:r>
          </w:p>
        </w:tc>
        <w:tc>
          <w:tcPr>
            <w:tcW w:w="740" w:type="dxa"/>
            <w:vAlign w:val="bottom"/>
          </w:tcPr>
          <w:p>
            <w:pPr>
              <w:ind w:left="240"/>
              <w:spacing w:after="0"/>
              <w:rPr>
                <w:sz w:val="20"/>
                <w:szCs w:val="20"/>
                <w:color w:val="auto"/>
              </w:rPr>
            </w:pPr>
            <w:r>
              <w:rPr>
                <w:rFonts w:ascii="Times New Roman" w:cs="Times New Roman" w:eastAsia="Times New Roman" w:hAnsi="Times New Roman"/>
                <w:sz w:val="22"/>
                <w:szCs w:val="22"/>
                <w:color w:val="FE000C"/>
              </w:rPr>
              <w: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25"/>
                <w:szCs w:val="25"/>
                <w:color w:val="0C479D"/>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69.6</w:t>
            </w:r>
          </w:p>
        </w:tc>
        <w:tc>
          <w:tcPr>
            <w:tcW w:w="13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113</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9"/>
        </w:trPr>
        <w:tc>
          <w:tcPr>
            <w:tcW w:w="1540" w:type="dxa"/>
            <w:vAlign w:val="bottom"/>
            <w:tcBorders>
              <w:bottom w:val="single" w:sz="8" w:color="0C479D"/>
            </w:tcBorders>
          </w:tcPr>
          <w:p>
            <w:pPr>
              <w:ind w:left="140"/>
              <w:spacing w:after="0"/>
              <w:rPr>
                <w:sz w:val="20"/>
                <w:szCs w:val="20"/>
                <w:color w:val="auto"/>
              </w:rPr>
            </w:pPr>
            <w:r>
              <w:rPr>
                <w:rFonts w:ascii="Times New Roman" w:cs="Times New Roman" w:eastAsia="Times New Roman" w:hAnsi="Times New Roman"/>
                <w:sz w:val="18"/>
                <w:szCs w:val="18"/>
                <w:color w:val="auto"/>
              </w:rPr>
              <w:t>Sarnia</w:t>
            </w:r>
          </w:p>
        </w:tc>
        <w:tc>
          <w:tcPr>
            <w:tcW w:w="1580" w:type="dxa"/>
            <w:vAlign w:val="bottom"/>
            <w:tcBorders>
              <w:bottom w:val="single" w:sz="8" w:color="0C479D"/>
            </w:tcBorders>
          </w:tcPr>
          <w:p>
            <w:pPr>
              <w:ind w:left="120"/>
              <w:spacing w:after="0"/>
              <w:rPr>
                <w:sz w:val="20"/>
                <w:szCs w:val="20"/>
                <w:color w:val="auto"/>
              </w:rPr>
            </w:pPr>
            <w:r>
              <w:rPr>
                <w:rFonts w:ascii="Times New Roman" w:cs="Times New Roman" w:eastAsia="Times New Roman" w:hAnsi="Times New Roman"/>
                <w:sz w:val="18"/>
                <w:szCs w:val="18"/>
                <w:color w:val="auto"/>
              </w:rPr>
              <w:t>Ontario</w:t>
            </w:r>
          </w:p>
        </w:tc>
        <w:tc>
          <w:tcPr>
            <w:tcW w:w="740" w:type="dxa"/>
            <w:vAlign w:val="bottom"/>
            <w:tcBorders>
              <w:bottom w:val="single" w:sz="8" w:color="0C479D"/>
            </w:tcBorders>
          </w:tcPr>
          <w:p>
            <w:pPr>
              <w:ind w:left="240"/>
              <w:spacing w:after="0"/>
              <w:rPr>
                <w:sz w:val="20"/>
                <w:szCs w:val="20"/>
                <w:color w:val="auto"/>
              </w:rPr>
            </w:pPr>
            <w:r>
              <w:rPr>
                <w:rFonts w:ascii="Times New Roman" w:cs="Times New Roman" w:eastAsia="Times New Roman" w:hAnsi="Times New Roman"/>
                <w:sz w:val="22"/>
                <w:szCs w:val="22"/>
                <w:color w:val="FE000C"/>
              </w:rPr>
              <w:t>■</w:t>
            </w:r>
          </w:p>
        </w:tc>
        <w:tc>
          <w:tcPr>
            <w:tcW w:w="300" w:type="dxa"/>
            <w:vAlign w:val="bottom"/>
            <w:tcBorders>
              <w:bottom w:val="single" w:sz="8" w:color="0C479D"/>
            </w:tcBorders>
            <w:vMerge w:val="continue"/>
          </w:tcPr>
          <w:p>
            <w:pPr>
              <w:spacing w:after="0"/>
              <w:rPr>
                <w:sz w:val="24"/>
                <w:szCs w:val="24"/>
                <w:color w:val="auto"/>
              </w:rPr>
            </w:pPr>
          </w:p>
        </w:tc>
        <w:tc>
          <w:tcPr>
            <w:tcW w:w="1000" w:type="dxa"/>
            <w:vAlign w:val="bottom"/>
            <w:tcBorders>
              <w:bottom w:val="single" w:sz="8" w:color="0C479D"/>
            </w:tcBorders>
          </w:tcPr>
          <w:p>
            <w:pPr>
              <w:jc w:val="center"/>
              <w:spacing w:after="0"/>
              <w:rPr>
                <w:sz w:val="20"/>
                <w:szCs w:val="20"/>
                <w:color w:val="auto"/>
              </w:rPr>
            </w:pPr>
            <w:r>
              <w:rPr>
                <w:rFonts w:ascii="Times New Roman" w:cs="Times New Roman" w:eastAsia="Times New Roman" w:hAnsi="Times New Roman"/>
                <w:sz w:val="18"/>
                <w:szCs w:val="18"/>
                <w:color w:val="auto"/>
              </w:rPr>
              <w:t>69.6</w:t>
            </w:r>
          </w:p>
        </w:tc>
        <w:tc>
          <w:tcPr>
            <w:tcW w:w="1320" w:type="dxa"/>
            <w:vAlign w:val="bottom"/>
            <w:tcBorders>
              <w:bottom w:val="single" w:sz="8" w:color="0C479D"/>
            </w:tcBorders>
          </w:tcPr>
          <w:p>
            <w:pPr>
              <w:jc w:val="right"/>
              <w:ind w:right="73"/>
              <w:spacing w:after="0"/>
              <w:rPr>
                <w:sz w:val="20"/>
                <w:szCs w:val="20"/>
                <w:color w:val="auto"/>
              </w:rPr>
            </w:pPr>
            <w:r>
              <w:rPr>
                <w:rFonts w:ascii="Times New Roman" w:cs="Times New Roman" w:eastAsia="Times New Roman" w:hAnsi="Times New Roman"/>
                <w:sz w:val="18"/>
                <w:szCs w:val="18"/>
                <w:color w:val="auto"/>
              </w:rPr>
              <w:t>124</w:t>
            </w:r>
          </w:p>
        </w:tc>
        <w:tc>
          <w:tcPr>
            <w:tcW w:w="980" w:type="dxa"/>
            <w:vAlign w:val="bottom"/>
            <w:tcBorders>
              <w:bottom w:val="single" w:sz="8" w:color="0C479D"/>
            </w:tcBorders>
          </w:tcPr>
          <w:p>
            <w:pPr>
              <w:jc w:val="right"/>
              <w:ind w:right="31"/>
              <w:spacing w:after="0"/>
              <w:rPr>
                <w:sz w:val="20"/>
                <w:szCs w:val="20"/>
                <w:color w:val="auto"/>
              </w:rPr>
            </w:pPr>
            <w:r>
              <w:rPr>
                <w:rFonts w:ascii="Times New Roman" w:cs="Times New Roman" w:eastAsia="Times New Roman" w:hAnsi="Times New Roman"/>
                <w:sz w:val="18"/>
                <w:szCs w:val="18"/>
                <w:color w:val="auto"/>
              </w:rPr>
              <w:t>0.3</w:t>
            </w:r>
          </w:p>
        </w:tc>
        <w:tc>
          <w:tcPr>
            <w:tcW w:w="1060" w:type="dxa"/>
            <w:vAlign w:val="bottom"/>
            <w:tcBorders>
              <w:bottom w:val="single" w:sz="8" w:color="0C479D"/>
            </w:tcBorders>
          </w:tcPr>
          <w:p>
            <w:pPr>
              <w:jc w:val="right"/>
              <w:ind w:right="11"/>
              <w:spacing w:after="0"/>
              <w:rPr>
                <w:sz w:val="20"/>
                <w:szCs w:val="20"/>
                <w:color w:val="auto"/>
              </w:rPr>
            </w:pPr>
            <w:r>
              <w:rPr>
                <w:rFonts w:ascii="Times New Roman" w:cs="Times New Roman" w:eastAsia="Times New Roman" w:hAnsi="Times New Roman"/>
                <w:sz w:val="18"/>
                <w:szCs w:val="18"/>
                <w:color w:val="auto"/>
              </w:rPr>
              <w:t>0.5</w:t>
            </w:r>
          </w:p>
        </w:tc>
        <w:tc>
          <w:tcPr>
            <w:tcW w:w="11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154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color w:val="auto"/>
              </w:rPr>
              <w:t>Total Canada</w:t>
            </w:r>
          </w:p>
        </w:tc>
        <w:tc>
          <w:tcPr>
            <w:tcW w:w="1580" w:type="dxa"/>
            <w:vAlign w:val="bottom"/>
            <w:tcBorders>
              <w:bottom w:val="single" w:sz="8" w:color="0C479D"/>
            </w:tcBorders>
          </w:tcPr>
          <w:p>
            <w:pPr>
              <w:spacing w:after="0"/>
              <w:rPr>
                <w:sz w:val="19"/>
                <w:szCs w:val="19"/>
                <w:color w:val="auto"/>
              </w:rPr>
            </w:pPr>
          </w:p>
        </w:tc>
        <w:tc>
          <w:tcPr>
            <w:tcW w:w="740" w:type="dxa"/>
            <w:vAlign w:val="bottom"/>
            <w:tcBorders>
              <w:bottom w:val="single" w:sz="8" w:color="0C479D"/>
            </w:tcBorders>
          </w:tcPr>
          <w:p>
            <w:pPr>
              <w:spacing w:after="0"/>
              <w:rPr>
                <w:sz w:val="19"/>
                <w:szCs w:val="19"/>
                <w:color w:val="auto"/>
              </w:rPr>
            </w:pPr>
          </w:p>
        </w:tc>
        <w:tc>
          <w:tcPr>
            <w:tcW w:w="300" w:type="dxa"/>
            <w:vAlign w:val="bottom"/>
            <w:tcBorders>
              <w:bottom w:val="single" w:sz="8" w:color="0C479D"/>
            </w:tcBorders>
          </w:tcPr>
          <w:p>
            <w:pPr>
              <w:spacing w:after="0"/>
              <w:rPr>
                <w:sz w:val="19"/>
                <w:szCs w:val="19"/>
                <w:color w:val="auto"/>
              </w:rPr>
            </w:pPr>
          </w:p>
        </w:tc>
        <w:tc>
          <w:tcPr>
            <w:tcW w:w="1000" w:type="dxa"/>
            <w:vAlign w:val="bottom"/>
            <w:tcBorders>
              <w:bottom w:val="single" w:sz="8" w:color="0C479D"/>
            </w:tcBorders>
          </w:tcPr>
          <w:p>
            <w:pPr>
              <w:spacing w:after="0"/>
              <w:rPr>
                <w:sz w:val="19"/>
                <w:szCs w:val="19"/>
                <w:color w:val="auto"/>
              </w:rPr>
            </w:pPr>
          </w:p>
        </w:tc>
        <w:tc>
          <w:tcPr>
            <w:tcW w:w="1320" w:type="dxa"/>
            <w:vAlign w:val="bottom"/>
            <w:tcBorders>
              <w:bottom w:val="single" w:sz="8" w:color="0C479D"/>
            </w:tcBorders>
          </w:tcPr>
          <w:p>
            <w:pPr>
              <w:jc w:val="right"/>
              <w:ind w:right="73"/>
              <w:spacing w:after="0"/>
              <w:rPr>
                <w:sz w:val="20"/>
                <w:szCs w:val="20"/>
                <w:color w:val="auto"/>
              </w:rPr>
            </w:pPr>
            <w:r>
              <w:rPr>
                <w:rFonts w:ascii="Times New Roman" w:cs="Times New Roman" w:eastAsia="Times New Roman" w:hAnsi="Times New Roman"/>
                <w:sz w:val="18"/>
                <w:szCs w:val="18"/>
                <w:color w:val="auto"/>
              </w:rPr>
              <w:t>434</w:t>
            </w:r>
          </w:p>
        </w:tc>
        <w:tc>
          <w:tcPr>
            <w:tcW w:w="980" w:type="dxa"/>
            <w:vAlign w:val="bottom"/>
            <w:tcBorders>
              <w:bottom w:val="single" w:sz="8" w:color="0C479D"/>
            </w:tcBorders>
          </w:tcPr>
          <w:p>
            <w:pPr>
              <w:jc w:val="right"/>
              <w:ind w:right="31"/>
              <w:spacing w:after="0"/>
              <w:rPr>
                <w:sz w:val="20"/>
                <w:szCs w:val="20"/>
                <w:color w:val="auto"/>
              </w:rPr>
            </w:pPr>
            <w:r>
              <w:rPr>
                <w:rFonts w:ascii="Times New Roman" w:cs="Times New Roman" w:eastAsia="Times New Roman" w:hAnsi="Times New Roman"/>
                <w:sz w:val="18"/>
                <w:szCs w:val="18"/>
                <w:color w:val="auto"/>
              </w:rPr>
              <w:t>0.3</w:t>
            </w:r>
          </w:p>
        </w:tc>
        <w:tc>
          <w:tcPr>
            <w:tcW w:w="1060" w:type="dxa"/>
            <w:vAlign w:val="bottom"/>
            <w:tcBorders>
              <w:bottom w:val="single" w:sz="8" w:color="0C479D"/>
            </w:tcBorders>
          </w:tcPr>
          <w:p>
            <w:pPr>
              <w:jc w:val="right"/>
              <w:ind w:right="11"/>
              <w:spacing w:after="0"/>
              <w:rPr>
                <w:sz w:val="20"/>
                <w:szCs w:val="20"/>
                <w:color w:val="auto"/>
              </w:rPr>
            </w:pPr>
            <w:r>
              <w:rPr>
                <w:rFonts w:ascii="Times New Roman" w:cs="Times New Roman" w:eastAsia="Times New Roman" w:hAnsi="Times New Roman"/>
                <w:sz w:val="18"/>
                <w:szCs w:val="18"/>
                <w:color w:val="auto"/>
              </w:rPr>
              <w:t>0.5</w:t>
            </w:r>
          </w:p>
        </w:tc>
        <w:tc>
          <w:tcPr>
            <w:tcW w:w="11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1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1580" w:type="dxa"/>
            <w:vAlign w:val="bottom"/>
          </w:tcPr>
          <w:p>
            <w:pPr>
              <w:spacing w:after="0"/>
              <w:rPr>
                <w:sz w:val="22"/>
                <w:szCs w:val="22"/>
                <w:color w:val="auto"/>
              </w:rPr>
            </w:pPr>
          </w:p>
        </w:tc>
        <w:tc>
          <w:tcPr>
            <w:tcW w:w="74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FE000C"/>
              </w:rPr>
              <w: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25"/>
                <w:szCs w:val="25"/>
                <w:color w:val="0C479D"/>
              </w:rPr>
              <w:t>●</w:t>
            </w:r>
          </w:p>
        </w:tc>
        <w:tc>
          <w:tcPr>
            <w:tcW w:w="10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1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Antwerp</w:t>
            </w:r>
          </w:p>
        </w:tc>
        <w:tc>
          <w:tcPr>
            <w:tcW w:w="1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Belgium</w:t>
            </w:r>
          </w:p>
        </w:tc>
        <w:tc>
          <w:tcPr>
            <w:tcW w:w="740" w:type="dxa"/>
            <w:vAlign w:val="bottom"/>
            <w:vMerge w:val="continue"/>
          </w:tcPr>
          <w:p>
            <w:pPr>
              <w:spacing w:after="0"/>
              <w:rPr>
                <w:sz w:val="24"/>
                <w:szCs w:val="24"/>
                <w:color w:val="auto"/>
              </w:rPr>
            </w:pPr>
          </w:p>
        </w:tc>
        <w:tc>
          <w:tcPr>
            <w:tcW w:w="300" w:type="dxa"/>
            <w:vAlign w:val="bottom"/>
            <w:vMerge w:val="continue"/>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3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309</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0"/>
        </w:trPr>
        <w:tc>
          <w:tcPr>
            <w:tcW w:w="1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Meerhout</w:t>
            </w:r>
          </w:p>
        </w:tc>
        <w:tc>
          <w:tcPr>
            <w:tcW w:w="1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Belgium</w:t>
            </w:r>
          </w:p>
        </w:tc>
        <w:tc>
          <w:tcPr>
            <w:tcW w:w="7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5"/>
                <w:szCs w:val="25"/>
                <w:color w:val="0C479D"/>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3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0.5</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9"/>
        </w:trPr>
        <w:tc>
          <w:tcPr>
            <w:tcW w:w="1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Gravenchon</w:t>
            </w:r>
          </w:p>
        </w:tc>
        <w:tc>
          <w:tcPr>
            <w:tcW w:w="1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France</w:t>
            </w:r>
          </w:p>
        </w:tc>
        <w:tc>
          <w:tcPr>
            <w:tcW w:w="740" w:type="dxa"/>
            <w:vAlign w:val="bottom"/>
          </w:tcPr>
          <w:p>
            <w:pPr>
              <w:ind w:left="240"/>
              <w:spacing w:after="0"/>
              <w:rPr>
                <w:sz w:val="20"/>
                <w:szCs w:val="20"/>
                <w:color w:val="auto"/>
              </w:rPr>
            </w:pPr>
            <w:r>
              <w:rPr>
                <w:rFonts w:ascii="Times New Roman" w:cs="Times New Roman" w:eastAsia="Times New Roman" w:hAnsi="Times New Roman"/>
                <w:sz w:val="22"/>
                <w:szCs w:val="22"/>
                <w:color w:val="FE000C"/>
              </w:rPr>
              <w:t xml:space="preserve">■ </w:t>
            </w:r>
            <w:r>
              <w:rPr>
                <w:rFonts w:ascii="Times New Roman" w:cs="Times New Roman" w:eastAsia="Times New Roman" w:hAnsi="Times New Roman"/>
                <w:sz w:val="17"/>
                <w:szCs w:val="17"/>
                <w:color w:val="008000"/>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25"/>
                <w:szCs w:val="25"/>
                <w:color w:val="0C479D"/>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82.9/100 </w:t>
            </w:r>
            <w:r>
              <w:rPr>
                <w:rFonts w:ascii="Times New Roman" w:cs="Times New Roman" w:eastAsia="Times New Roman" w:hAnsi="Times New Roman"/>
                <w:sz w:val="9"/>
                <w:szCs w:val="9"/>
                <w:i w:val="1"/>
                <w:iCs w:val="1"/>
                <w:color w:val="auto"/>
                <w:w w:val="99"/>
              </w:rPr>
              <w:t>(3)</w:t>
            </w:r>
          </w:p>
        </w:tc>
        <w:tc>
          <w:tcPr>
            <w:tcW w:w="13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244</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1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Karlsruhe </w:t>
            </w:r>
            <w:r>
              <w:rPr>
                <w:rFonts w:ascii="Times New Roman" w:cs="Times New Roman" w:eastAsia="Times New Roman" w:hAnsi="Times New Roman"/>
                <w:sz w:val="23"/>
                <w:szCs w:val="23"/>
                <w:i w:val="1"/>
                <w:iCs w:val="1"/>
                <w:color w:val="auto"/>
                <w:vertAlign w:val="superscript"/>
              </w:rPr>
              <w:t>(4)</w:t>
            </w:r>
          </w:p>
        </w:tc>
        <w:tc>
          <w:tcPr>
            <w:tcW w:w="1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Germany</w:t>
            </w:r>
          </w:p>
        </w:tc>
        <w:tc>
          <w:tcPr>
            <w:tcW w:w="740" w:type="dxa"/>
            <w:vAlign w:val="bottom"/>
          </w:tcPr>
          <w:p>
            <w:pPr>
              <w:ind w:left="240"/>
              <w:spacing w:after="0"/>
              <w:rPr>
                <w:sz w:val="20"/>
                <w:szCs w:val="20"/>
                <w:color w:val="auto"/>
              </w:rPr>
            </w:pPr>
            <w:r>
              <w:rPr>
                <w:rFonts w:ascii="Times New Roman" w:cs="Times New Roman" w:eastAsia="Times New Roman" w:hAnsi="Times New Roman"/>
                <w:sz w:val="22"/>
                <w:szCs w:val="22"/>
                <w:color w:val="FE000C"/>
              </w:rPr>
              <w: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25"/>
                <w:szCs w:val="25"/>
                <w:color w:val="0C479D"/>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13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78</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8"/>
        </w:trPr>
        <w:tc>
          <w:tcPr>
            <w:tcW w:w="1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Rotterdam</w:t>
            </w:r>
          </w:p>
        </w:tc>
        <w:tc>
          <w:tcPr>
            <w:tcW w:w="1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Netherlands</w:t>
            </w:r>
          </w:p>
        </w:tc>
        <w:tc>
          <w:tcPr>
            <w:tcW w:w="740" w:type="dxa"/>
            <w:vAlign w:val="bottom"/>
          </w:tcPr>
          <w:p>
            <w:pPr>
              <w:ind w:left="240"/>
              <w:spacing w:after="0"/>
              <w:rPr>
                <w:sz w:val="20"/>
                <w:szCs w:val="20"/>
                <w:color w:val="auto"/>
              </w:rPr>
            </w:pPr>
            <w:r>
              <w:rPr>
                <w:rFonts w:ascii="Times New Roman" w:cs="Times New Roman" w:eastAsia="Times New Roman" w:hAnsi="Times New Roman"/>
                <w:sz w:val="22"/>
                <w:szCs w:val="22"/>
                <w:color w:val="FE000C"/>
              </w:rPr>
              <w:t xml:space="preserve">■ </w:t>
            </w:r>
            <w:r>
              <w:rPr>
                <w:rFonts w:ascii="Times New Roman" w:cs="Times New Roman" w:eastAsia="Times New Roman" w:hAnsi="Times New Roman"/>
                <w:sz w:val="17"/>
                <w:szCs w:val="17"/>
                <w:color w:val="008000"/>
              </w:rPr>
              <w:t>▲</w:t>
            </w:r>
          </w:p>
        </w:tc>
        <w:tc>
          <w:tcPr>
            <w:tcW w:w="300" w:type="dxa"/>
            <w:vAlign w:val="bottom"/>
            <w:vMerge w:val="continue"/>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3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192</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1"/>
        </w:trPr>
        <w:tc>
          <w:tcPr>
            <w:tcW w:w="1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Fawley</w:t>
            </w:r>
          </w:p>
        </w:tc>
        <w:tc>
          <w:tcPr>
            <w:tcW w:w="1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Kingdom</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FE000C"/>
              </w:rPr>
              <w:t xml:space="preserve">■ </w:t>
            </w:r>
            <w:r>
              <w:rPr>
                <w:rFonts w:ascii="Times New Roman" w:cs="Times New Roman" w:eastAsia="Times New Roman" w:hAnsi="Times New Roman"/>
                <w:sz w:val="17"/>
                <w:szCs w:val="17"/>
                <w:color w:val="008000"/>
              </w:rPr>
              <w:t>▲</w:t>
            </w:r>
            <w:r>
              <w:rPr>
                <w:rFonts w:ascii="Times New Roman" w:cs="Times New Roman" w:eastAsia="Times New Roman" w:hAnsi="Times New Roman"/>
                <w:sz w:val="22"/>
                <w:szCs w:val="22"/>
                <w:color w:val="FE000C"/>
              </w:rPr>
              <w:t xml:space="preserve"> </w:t>
            </w:r>
            <w:r>
              <w:rPr>
                <w:rFonts w:ascii="Times New Roman" w:cs="Times New Roman" w:eastAsia="Times New Roman" w:hAnsi="Times New Roman"/>
                <w:sz w:val="25"/>
                <w:szCs w:val="25"/>
                <w:color w:val="0C479D"/>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3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262</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31"/>
        </w:trPr>
        <w:tc>
          <w:tcPr>
            <w:tcW w:w="1540" w:type="dxa"/>
            <w:vAlign w:val="bottom"/>
            <w:tcBorders>
              <w:bottom w:val="single" w:sz="8" w:color="0C479D"/>
            </w:tcBorders>
          </w:tcPr>
          <w:p>
            <w:pPr>
              <w:ind w:left="140"/>
              <w:spacing w:after="0"/>
              <w:rPr>
                <w:sz w:val="20"/>
                <w:szCs w:val="20"/>
                <w:color w:val="auto"/>
              </w:rPr>
            </w:pPr>
            <w:r>
              <w:rPr>
                <w:rFonts w:ascii="Times New Roman" w:cs="Times New Roman" w:eastAsia="Times New Roman" w:hAnsi="Times New Roman"/>
                <w:sz w:val="18"/>
                <w:szCs w:val="18"/>
                <w:color w:val="auto"/>
              </w:rPr>
              <w:t>Fife</w:t>
            </w:r>
          </w:p>
        </w:tc>
        <w:tc>
          <w:tcPr>
            <w:tcW w:w="1580" w:type="dxa"/>
            <w:vAlign w:val="bottom"/>
            <w:tcBorders>
              <w:bottom w:val="single" w:sz="8" w:color="0C479D"/>
            </w:tcBorders>
          </w:tcPr>
          <w:p>
            <w:pPr>
              <w:ind w:left="120"/>
              <w:spacing w:after="0"/>
              <w:rPr>
                <w:sz w:val="20"/>
                <w:szCs w:val="20"/>
                <w:color w:val="auto"/>
              </w:rPr>
            </w:pPr>
            <w:r>
              <w:rPr>
                <w:rFonts w:ascii="Times New Roman" w:cs="Times New Roman" w:eastAsia="Times New Roman" w:hAnsi="Times New Roman"/>
                <w:sz w:val="18"/>
                <w:szCs w:val="18"/>
                <w:color w:val="auto"/>
              </w:rPr>
              <w:t>United Kingdom</w:t>
            </w:r>
          </w:p>
        </w:tc>
        <w:tc>
          <w:tcPr>
            <w:tcW w:w="740" w:type="dxa"/>
            <w:vAlign w:val="bottom"/>
            <w:tcBorders>
              <w:bottom w:val="single" w:sz="8" w:color="0C479D"/>
            </w:tcBorders>
          </w:tcPr>
          <w:p>
            <w:pPr>
              <w:spacing w:after="0"/>
              <w:rPr>
                <w:sz w:val="24"/>
                <w:szCs w:val="24"/>
                <w:color w:val="auto"/>
              </w:rPr>
            </w:pPr>
          </w:p>
        </w:tc>
        <w:tc>
          <w:tcPr>
            <w:tcW w:w="3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25"/>
                <w:szCs w:val="25"/>
                <w:color w:val="0C479D"/>
              </w:rPr>
              <w:t>●</w:t>
            </w:r>
          </w:p>
        </w:tc>
        <w:tc>
          <w:tcPr>
            <w:tcW w:w="1000" w:type="dxa"/>
            <w:vAlign w:val="bottom"/>
            <w:tcBorders>
              <w:bottom w:val="single" w:sz="8" w:color="0C479D"/>
            </w:tcBorders>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320" w:type="dxa"/>
            <w:vAlign w:val="bottom"/>
            <w:tcBorders>
              <w:bottom w:val="single" w:sz="8" w:color="0C479D"/>
            </w:tcBorders>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0C479D"/>
            </w:tcBorders>
          </w:tcPr>
          <w:p>
            <w:pPr>
              <w:jc w:val="right"/>
              <w:ind w:right="31"/>
              <w:spacing w:after="0"/>
              <w:rPr>
                <w:sz w:val="20"/>
                <w:szCs w:val="20"/>
                <w:color w:val="auto"/>
              </w:rPr>
            </w:pPr>
            <w:r>
              <w:rPr>
                <w:rFonts w:ascii="Times New Roman" w:cs="Times New Roman" w:eastAsia="Times New Roman" w:hAnsi="Times New Roman"/>
                <w:sz w:val="18"/>
                <w:szCs w:val="18"/>
                <w:color w:val="auto"/>
              </w:rPr>
              <w:t>0.4</w:t>
            </w:r>
          </w:p>
        </w:tc>
        <w:tc>
          <w:tcPr>
            <w:tcW w:w="1060" w:type="dxa"/>
            <w:vAlign w:val="bottom"/>
            <w:tcBorders>
              <w:bottom w:val="single" w:sz="8" w:color="0C479D"/>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6"/>
        </w:trPr>
        <w:tc>
          <w:tcPr>
            <w:tcW w:w="154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color w:val="auto"/>
              </w:rPr>
              <w:t>Total Europe</w:t>
            </w:r>
          </w:p>
        </w:tc>
        <w:tc>
          <w:tcPr>
            <w:tcW w:w="1580" w:type="dxa"/>
            <w:vAlign w:val="bottom"/>
            <w:tcBorders>
              <w:bottom w:val="single" w:sz="8" w:color="0C479D"/>
            </w:tcBorders>
          </w:tcPr>
          <w:p>
            <w:pPr>
              <w:spacing w:after="0"/>
              <w:rPr>
                <w:sz w:val="19"/>
                <w:szCs w:val="19"/>
                <w:color w:val="auto"/>
              </w:rPr>
            </w:pPr>
          </w:p>
        </w:tc>
        <w:tc>
          <w:tcPr>
            <w:tcW w:w="740" w:type="dxa"/>
            <w:vAlign w:val="bottom"/>
            <w:tcBorders>
              <w:bottom w:val="single" w:sz="8" w:color="0C479D"/>
            </w:tcBorders>
          </w:tcPr>
          <w:p>
            <w:pPr>
              <w:spacing w:after="0"/>
              <w:rPr>
                <w:sz w:val="19"/>
                <w:szCs w:val="19"/>
                <w:color w:val="auto"/>
              </w:rPr>
            </w:pPr>
          </w:p>
        </w:tc>
        <w:tc>
          <w:tcPr>
            <w:tcW w:w="300" w:type="dxa"/>
            <w:vAlign w:val="bottom"/>
            <w:tcBorders>
              <w:bottom w:val="single" w:sz="8" w:color="0C479D"/>
            </w:tcBorders>
          </w:tcPr>
          <w:p>
            <w:pPr>
              <w:spacing w:after="0"/>
              <w:rPr>
                <w:sz w:val="19"/>
                <w:szCs w:val="19"/>
                <w:color w:val="auto"/>
              </w:rPr>
            </w:pPr>
          </w:p>
        </w:tc>
        <w:tc>
          <w:tcPr>
            <w:tcW w:w="1000" w:type="dxa"/>
            <w:vAlign w:val="bottom"/>
            <w:tcBorders>
              <w:bottom w:val="single" w:sz="8" w:color="0C479D"/>
            </w:tcBorders>
          </w:tcPr>
          <w:p>
            <w:pPr>
              <w:spacing w:after="0"/>
              <w:rPr>
                <w:sz w:val="19"/>
                <w:szCs w:val="19"/>
                <w:color w:val="auto"/>
              </w:rPr>
            </w:pPr>
          </w:p>
        </w:tc>
        <w:tc>
          <w:tcPr>
            <w:tcW w:w="1320" w:type="dxa"/>
            <w:vAlign w:val="bottom"/>
            <w:tcBorders>
              <w:bottom w:val="single" w:sz="8" w:color="0C479D"/>
            </w:tcBorders>
          </w:tcPr>
          <w:p>
            <w:pPr>
              <w:jc w:val="right"/>
              <w:ind w:right="73"/>
              <w:spacing w:after="0"/>
              <w:rPr>
                <w:sz w:val="20"/>
                <w:szCs w:val="20"/>
                <w:color w:val="auto"/>
              </w:rPr>
            </w:pPr>
            <w:r>
              <w:rPr>
                <w:rFonts w:ascii="Times New Roman" w:cs="Times New Roman" w:eastAsia="Times New Roman" w:hAnsi="Times New Roman"/>
                <w:sz w:val="18"/>
                <w:szCs w:val="18"/>
                <w:color w:val="auto"/>
              </w:rPr>
              <w:t>1,085</w:t>
            </w:r>
          </w:p>
        </w:tc>
        <w:tc>
          <w:tcPr>
            <w:tcW w:w="980" w:type="dxa"/>
            <w:vAlign w:val="bottom"/>
            <w:tcBorders>
              <w:bottom w:val="single" w:sz="8" w:color="0C479D"/>
            </w:tcBorders>
          </w:tcPr>
          <w:p>
            <w:pPr>
              <w:jc w:val="right"/>
              <w:ind w:right="31"/>
              <w:spacing w:after="0"/>
              <w:rPr>
                <w:sz w:val="20"/>
                <w:szCs w:val="20"/>
                <w:color w:val="auto"/>
              </w:rPr>
            </w:pPr>
            <w:r>
              <w:rPr>
                <w:rFonts w:ascii="Times New Roman" w:cs="Times New Roman" w:eastAsia="Times New Roman" w:hAnsi="Times New Roman"/>
                <w:sz w:val="18"/>
                <w:szCs w:val="18"/>
                <w:color w:val="auto"/>
              </w:rPr>
              <w:t>0.4</w:t>
            </w:r>
          </w:p>
        </w:tc>
        <w:tc>
          <w:tcPr>
            <w:tcW w:w="1060" w:type="dxa"/>
            <w:vAlign w:val="bottom"/>
            <w:tcBorders>
              <w:bottom w:val="single" w:sz="8" w:color="0C479D"/>
            </w:tcBorders>
          </w:tcPr>
          <w:p>
            <w:pPr>
              <w:jc w:val="right"/>
              <w:ind w:right="11"/>
              <w:spacing w:after="0"/>
              <w:rPr>
                <w:sz w:val="20"/>
                <w:szCs w:val="20"/>
                <w:color w:val="auto"/>
              </w:rPr>
            </w:pPr>
            <w:r>
              <w:rPr>
                <w:rFonts w:ascii="Times New Roman" w:cs="Times New Roman" w:eastAsia="Times New Roman" w:hAnsi="Times New Roman"/>
                <w:sz w:val="18"/>
                <w:szCs w:val="18"/>
                <w:color w:val="auto"/>
              </w:rPr>
              <w:t>0.9</w:t>
            </w:r>
          </w:p>
        </w:tc>
        <w:tc>
          <w:tcPr>
            <w:tcW w:w="11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4"/>
        </w:trPr>
        <w:tc>
          <w:tcPr>
            <w:tcW w:w="1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Asia Pacific</w:t>
            </w:r>
          </w:p>
        </w:tc>
        <w:tc>
          <w:tcPr>
            <w:tcW w:w="1580" w:type="dxa"/>
            <w:vAlign w:val="bottom"/>
          </w:tcPr>
          <w:p>
            <w:pPr>
              <w:spacing w:after="0"/>
              <w:rPr>
                <w:sz w:val="22"/>
                <w:szCs w:val="22"/>
                <w:color w:val="auto"/>
              </w:rPr>
            </w:pPr>
          </w:p>
        </w:tc>
        <w:tc>
          <w:tcPr>
            <w:tcW w:w="74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FE000C"/>
              </w:rPr>
              <w: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25"/>
                <w:szCs w:val="25"/>
                <w:color w:val="0C479D"/>
              </w:rPr>
              <w:t>●</w:t>
            </w:r>
          </w:p>
        </w:tc>
        <w:tc>
          <w:tcPr>
            <w:tcW w:w="10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1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Fujian</w:t>
            </w:r>
          </w:p>
        </w:tc>
        <w:tc>
          <w:tcPr>
            <w:tcW w:w="1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740" w:type="dxa"/>
            <w:vAlign w:val="bottom"/>
            <w:vMerge w:val="continue"/>
          </w:tcPr>
          <w:p>
            <w:pPr>
              <w:spacing w:after="0"/>
              <w:rPr>
                <w:sz w:val="24"/>
                <w:szCs w:val="24"/>
                <w:color w:val="auto"/>
              </w:rPr>
            </w:pPr>
          </w:p>
        </w:tc>
        <w:tc>
          <w:tcPr>
            <w:tcW w:w="300" w:type="dxa"/>
            <w:vAlign w:val="bottom"/>
            <w:vMerge w:val="continue"/>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13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67</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0.3</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331"/>
        </w:trPr>
        <w:tc>
          <w:tcPr>
            <w:tcW w:w="1540" w:type="dxa"/>
            <w:vAlign w:val="bottom"/>
            <w:tcBorders>
              <w:bottom w:val="single" w:sz="8" w:color="0C479D"/>
            </w:tcBorders>
          </w:tcPr>
          <w:p>
            <w:pPr>
              <w:ind w:left="120"/>
              <w:spacing w:after="0"/>
              <w:rPr>
                <w:sz w:val="20"/>
                <w:szCs w:val="20"/>
                <w:color w:val="auto"/>
              </w:rPr>
            </w:pPr>
            <w:r>
              <w:rPr>
                <w:rFonts w:ascii="Times New Roman" w:cs="Times New Roman" w:eastAsia="Times New Roman" w:hAnsi="Times New Roman"/>
                <w:sz w:val="18"/>
                <w:szCs w:val="18"/>
                <w:color w:val="auto"/>
              </w:rPr>
              <w:t>Singapore</w:t>
            </w:r>
          </w:p>
        </w:tc>
        <w:tc>
          <w:tcPr>
            <w:tcW w:w="1580" w:type="dxa"/>
            <w:vAlign w:val="bottom"/>
            <w:tcBorders>
              <w:bottom w:val="single" w:sz="8" w:color="0C479D"/>
            </w:tcBorders>
          </w:tcPr>
          <w:p>
            <w:pPr>
              <w:ind w:left="120"/>
              <w:spacing w:after="0"/>
              <w:rPr>
                <w:sz w:val="20"/>
                <w:szCs w:val="20"/>
                <w:color w:val="auto"/>
              </w:rPr>
            </w:pPr>
            <w:r>
              <w:rPr>
                <w:rFonts w:ascii="Times New Roman" w:cs="Times New Roman" w:eastAsia="Times New Roman" w:hAnsi="Times New Roman"/>
                <w:sz w:val="18"/>
                <w:szCs w:val="18"/>
                <w:color w:val="auto"/>
              </w:rPr>
              <w:t>Singapore</w:t>
            </w:r>
          </w:p>
        </w:tc>
        <w:tc>
          <w:tcPr>
            <w:tcW w:w="740" w:type="dxa"/>
            <w:vAlign w:val="bottom"/>
            <w:tcBorders>
              <w:bottom w:val="single" w:sz="8" w:color="0C479D"/>
            </w:tcBorders>
          </w:tcPr>
          <w:p>
            <w:pPr>
              <w:ind w:left="240"/>
              <w:spacing w:after="0"/>
              <w:rPr>
                <w:sz w:val="20"/>
                <w:szCs w:val="20"/>
                <w:color w:val="auto"/>
              </w:rPr>
            </w:pPr>
            <w:r>
              <w:rPr>
                <w:rFonts w:ascii="Times New Roman" w:cs="Times New Roman" w:eastAsia="Times New Roman" w:hAnsi="Times New Roman"/>
                <w:sz w:val="22"/>
                <w:szCs w:val="22"/>
                <w:color w:val="FE000C"/>
              </w:rPr>
              <w:t xml:space="preserve">■ </w:t>
            </w:r>
            <w:r>
              <w:rPr>
                <w:rFonts w:ascii="Times New Roman" w:cs="Times New Roman" w:eastAsia="Times New Roman" w:hAnsi="Times New Roman"/>
                <w:sz w:val="17"/>
                <w:szCs w:val="17"/>
                <w:color w:val="008000"/>
              </w:rPr>
              <w:t>▲</w:t>
            </w:r>
          </w:p>
        </w:tc>
        <w:tc>
          <w:tcPr>
            <w:tcW w:w="3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25"/>
                <w:szCs w:val="25"/>
                <w:color w:val="0C479D"/>
              </w:rPr>
              <w:t>●</w:t>
            </w:r>
          </w:p>
        </w:tc>
        <w:tc>
          <w:tcPr>
            <w:tcW w:w="1000" w:type="dxa"/>
            <w:vAlign w:val="bottom"/>
            <w:tcBorders>
              <w:bottom w:val="single" w:sz="8" w:color="0C479D"/>
            </w:tcBorders>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320" w:type="dxa"/>
            <w:vAlign w:val="bottom"/>
            <w:tcBorders>
              <w:bottom w:val="single" w:sz="8" w:color="0C479D"/>
            </w:tcBorders>
          </w:tcPr>
          <w:p>
            <w:pPr>
              <w:jc w:val="right"/>
              <w:ind w:right="73"/>
              <w:spacing w:after="0"/>
              <w:rPr>
                <w:sz w:val="20"/>
                <w:szCs w:val="20"/>
                <w:color w:val="auto"/>
              </w:rPr>
            </w:pPr>
            <w:r>
              <w:rPr>
                <w:rFonts w:ascii="Times New Roman" w:cs="Times New Roman" w:eastAsia="Times New Roman" w:hAnsi="Times New Roman"/>
                <w:sz w:val="18"/>
                <w:szCs w:val="18"/>
                <w:color w:val="auto"/>
              </w:rPr>
              <w:t>592</w:t>
            </w:r>
          </w:p>
        </w:tc>
        <w:tc>
          <w:tcPr>
            <w:tcW w:w="980" w:type="dxa"/>
            <w:vAlign w:val="bottom"/>
            <w:tcBorders>
              <w:bottom w:val="single" w:sz="8" w:color="0C479D"/>
            </w:tcBorders>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c>
          <w:tcPr>
            <w:tcW w:w="1060" w:type="dxa"/>
            <w:vAlign w:val="bottom"/>
            <w:tcBorders>
              <w:bottom w:val="single" w:sz="8" w:color="0C479D"/>
            </w:tcBorders>
          </w:tcPr>
          <w:p>
            <w:pPr>
              <w:jc w:val="right"/>
              <w:ind w:right="11"/>
              <w:spacing w:after="0"/>
              <w:rPr>
                <w:sz w:val="20"/>
                <w:szCs w:val="20"/>
                <w:color w:val="auto"/>
              </w:rPr>
            </w:pPr>
            <w:r>
              <w:rPr>
                <w:rFonts w:ascii="Times New Roman" w:cs="Times New Roman" w:eastAsia="Times New Roman" w:hAnsi="Times New Roman"/>
                <w:sz w:val="18"/>
                <w:szCs w:val="18"/>
                <w:color w:val="auto"/>
              </w:rPr>
              <w:t>1.9</w:t>
            </w:r>
          </w:p>
        </w:tc>
        <w:tc>
          <w:tcPr>
            <w:tcW w:w="11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6"/>
        </w:trPr>
        <w:tc>
          <w:tcPr>
            <w:tcW w:w="154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color w:val="auto"/>
              </w:rPr>
              <w:t>Total Asia Pacific</w:t>
            </w:r>
          </w:p>
        </w:tc>
        <w:tc>
          <w:tcPr>
            <w:tcW w:w="1580" w:type="dxa"/>
            <w:vAlign w:val="bottom"/>
            <w:tcBorders>
              <w:bottom w:val="single" w:sz="8" w:color="0C479D"/>
            </w:tcBorders>
          </w:tcPr>
          <w:p>
            <w:pPr>
              <w:spacing w:after="0"/>
              <w:rPr>
                <w:sz w:val="19"/>
                <w:szCs w:val="19"/>
                <w:color w:val="auto"/>
              </w:rPr>
            </w:pPr>
          </w:p>
        </w:tc>
        <w:tc>
          <w:tcPr>
            <w:tcW w:w="740" w:type="dxa"/>
            <w:vAlign w:val="bottom"/>
            <w:tcBorders>
              <w:bottom w:val="single" w:sz="8" w:color="0C479D"/>
            </w:tcBorders>
          </w:tcPr>
          <w:p>
            <w:pPr>
              <w:spacing w:after="0"/>
              <w:rPr>
                <w:sz w:val="19"/>
                <w:szCs w:val="19"/>
                <w:color w:val="auto"/>
              </w:rPr>
            </w:pPr>
          </w:p>
        </w:tc>
        <w:tc>
          <w:tcPr>
            <w:tcW w:w="300" w:type="dxa"/>
            <w:vAlign w:val="bottom"/>
            <w:tcBorders>
              <w:bottom w:val="single" w:sz="8" w:color="0C479D"/>
            </w:tcBorders>
          </w:tcPr>
          <w:p>
            <w:pPr>
              <w:spacing w:after="0"/>
              <w:rPr>
                <w:sz w:val="19"/>
                <w:szCs w:val="19"/>
                <w:color w:val="auto"/>
              </w:rPr>
            </w:pPr>
          </w:p>
        </w:tc>
        <w:tc>
          <w:tcPr>
            <w:tcW w:w="1000" w:type="dxa"/>
            <w:vAlign w:val="bottom"/>
            <w:tcBorders>
              <w:bottom w:val="single" w:sz="8" w:color="0C479D"/>
            </w:tcBorders>
          </w:tcPr>
          <w:p>
            <w:pPr>
              <w:spacing w:after="0"/>
              <w:rPr>
                <w:sz w:val="19"/>
                <w:szCs w:val="19"/>
                <w:color w:val="auto"/>
              </w:rPr>
            </w:pPr>
          </w:p>
        </w:tc>
        <w:tc>
          <w:tcPr>
            <w:tcW w:w="1320" w:type="dxa"/>
            <w:vAlign w:val="bottom"/>
            <w:tcBorders>
              <w:bottom w:val="single" w:sz="8" w:color="0C479D"/>
            </w:tcBorders>
          </w:tcPr>
          <w:p>
            <w:pPr>
              <w:jc w:val="right"/>
              <w:ind w:right="73"/>
              <w:spacing w:after="0"/>
              <w:rPr>
                <w:sz w:val="20"/>
                <w:szCs w:val="20"/>
                <w:color w:val="auto"/>
              </w:rPr>
            </w:pPr>
            <w:r>
              <w:rPr>
                <w:rFonts w:ascii="Times New Roman" w:cs="Times New Roman" w:eastAsia="Times New Roman" w:hAnsi="Times New Roman"/>
                <w:sz w:val="18"/>
                <w:szCs w:val="18"/>
                <w:color w:val="auto"/>
              </w:rPr>
              <w:t>659</w:t>
            </w:r>
          </w:p>
        </w:tc>
        <w:tc>
          <w:tcPr>
            <w:tcW w:w="980" w:type="dxa"/>
            <w:vAlign w:val="bottom"/>
            <w:tcBorders>
              <w:bottom w:val="single" w:sz="8" w:color="0C479D"/>
            </w:tcBorders>
          </w:tcPr>
          <w:p>
            <w:pPr>
              <w:jc w:val="right"/>
              <w:ind w:right="31"/>
              <w:spacing w:after="0"/>
              <w:rPr>
                <w:sz w:val="20"/>
                <w:szCs w:val="20"/>
                <w:color w:val="auto"/>
              </w:rPr>
            </w:pPr>
            <w:r>
              <w:rPr>
                <w:rFonts w:ascii="Times New Roman" w:cs="Times New Roman" w:eastAsia="Times New Roman" w:hAnsi="Times New Roman"/>
                <w:sz w:val="18"/>
                <w:szCs w:val="18"/>
                <w:color w:val="auto"/>
              </w:rPr>
              <w:t>2.2</w:t>
            </w:r>
          </w:p>
        </w:tc>
        <w:tc>
          <w:tcPr>
            <w:tcW w:w="1060" w:type="dxa"/>
            <w:vAlign w:val="bottom"/>
            <w:tcBorders>
              <w:bottom w:val="single" w:sz="8" w:color="0C479D"/>
            </w:tcBorders>
          </w:tcPr>
          <w:p>
            <w:pPr>
              <w:jc w:val="right"/>
              <w:ind w:right="11"/>
              <w:spacing w:after="0"/>
              <w:rPr>
                <w:sz w:val="20"/>
                <w:szCs w:val="20"/>
                <w:color w:val="auto"/>
              </w:rPr>
            </w:pPr>
            <w:r>
              <w:rPr>
                <w:rFonts w:ascii="Times New Roman" w:cs="Times New Roman" w:eastAsia="Times New Roman" w:hAnsi="Times New Roman"/>
                <w:sz w:val="18"/>
                <w:szCs w:val="18"/>
                <w:color w:val="auto"/>
              </w:rPr>
              <w:t>2.1</w:t>
            </w:r>
          </w:p>
        </w:tc>
        <w:tc>
          <w:tcPr>
            <w:tcW w:w="11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59"/>
        </w:trPr>
        <w:tc>
          <w:tcPr>
            <w:tcW w:w="1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Middle East</w:t>
            </w:r>
          </w:p>
        </w:tc>
        <w:tc>
          <w:tcPr>
            <w:tcW w:w="1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25"/>
                <w:szCs w:val="25"/>
                <w:color w:val="0C479D"/>
              </w:rPr>
              <w:t>●</w:t>
            </w:r>
          </w:p>
        </w:tc>
        <w:tc>
          <w:tcPr>
            <w:tcW w:w="10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2"/>
        </w:trPr>
        <w:tc>
          <w:tcPr>
            <w:tcW w:w="1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 Jubail</w:t>
            </w:r>
          </w:p>
        </w:tc>
        <w:tc>
          <w:tcPr>
            <w:tcW w:w="1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Saudi Arabia</w:t>
            </w:r>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color w:val="008000"/>
              </w:rPr>
              <w:t>▲</w:t>
            </w:r>
          </w:p>
        </w:tc>
        <w:tc>
          <w:tcPr>
            <w:tcW w:w="300" w:type="dxa"/>
            <w:vAlign w:val="bottom"/>
            <w:vMerge w:val="continue"/>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3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0.7</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31"/>
        </w:trPr>
        <w:tc>
          <w:tcPr>
            <w:tcW w:w="1540" w:type="dxa"/>
            <w:vAlign w:val="bottom"/>
            <w:tcBorders>
              <w:bottom w:val="single" w:sz="8" w:color="0C479D"/>
            </w:tcBorders>
          </w:tcPr>
          <w:p>
            <w:pPr>
              <w:ind w:left="140"/>
              <w:spacing w:after="0"/>
              <w:rPr>
                <w:sz w:val="20"/>
                <w:szCs w:val="20"/>
                <w:color w:val="auto"/>
              </w:rPr>
            </w:pPr>
            <w:r>
              <w:rPr>
                <w:rFonts w:ascii="Times New Roman" w:cs="Times New Roman" w:eastAsia="Times New Roman" w:hAnsi="Times New Roman"/>
                <w:sz w:val="18"/>
                <w:szCs w:val="18"/>
                <w:color w:val="auto"/>
              </w:rPr>
              <w:t>Yanbu</w:t>
            </w:r>
          </w:p>
        </w:tc>
        <w:tc>
          <w:tcPr>
            <w:tcW w:w="1580" w:type="dxa"/>
            <w:vAlign w:val="bottom"/>
            <w:tcBorders>
              <w:bottom w:val="single" w:sz="8" w:color="0C479D"/>
            </w:tcBorders>
          </w:tcPr>
          <w:p>
            <w:pPr>
              <w:ind w:left="120"/>
              <w:spacing w:after="0"/>
              <w:rPr>
                <w:sz w:val="20"/>
                <w:szCs w:val="20"/>
                <w:color w:val="auto"/>
              </w:rPr>
            </w:pPr>
            <w:r>
              <w:rPr>
                <w:rFonts w:ascii="Times New Roman" w:cs="Times New Roman" w:eastAsia="Times New Roman" w:hAnsi="Times New Roman"/>
                <w:sz w:val="18"/>
                <w:szCs w:val="18"/>
                <w:color w:val="auto"/>
              </w:rPr>
              <w:t>Saudi Arabia</w:t>
            </w:r>
          </w:p>
        </w:tc>
        <w:tc>
          <w:tcPr>
            <w:tcW w:w="740" w:type="dxa"/>
            <w:vAlign w:val="bottom"/>
            <w:tcBorders>
              <w:bottom w:val="single" w:sz="8" w:color="0C479D"/>
            </w:tcBorders>
          </w:tcPr>
          <w:p>
            <w:pPr>
              <w:ind w:left="240"/>
              <w:spacing w:after="0"/>
              <w:rPr>
                <w:sz w:val="20"/>
                <w:szCs w:val="20"/>
                <w:color w:val="auto"/>
              </w:rPr>
            </w:pPr>
            <w:r>
              <w:rPr>
                <w:rFonts w:ascii="Times New Roman" w:cs="Times New Roman" w:eastAsia="Times New Roman" w:hAnsi="Times New Roman"/>
                <w:sz w:val="22"/>
                <w:szCs w:val="22"/>
                <w:color w:val="FE000C"/>
              </w:rPr>
              <w:t>■</w:t>
            </w:r>
          </w:p>
        </w:tc>
        <w:tc>
          <w:tcPr>
            <w:tcW w:w="3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25"/>
                <w:szCs w:val="25"/>
                <w:color w:val="0C479D"/>
              </w:rPr>
              <w:t>●</w:t>
            </w:r>
          </w:p>
        </w:tc>
        <w:tc>
          <w:tcPr>
            <w:tcW w:w="1000" w:type="dxa"/>
            <w:vAlign w:val="bottom"/>
            <w:tcBorders>
              <w:bottom w:val="single" w:sz="8" w:color="0C479D"/>
            </w:tcBorders>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320" w:type="dxa"/>
            <w:vAlign w:val="bottom"/>
            <w:tcBorders>
              <w:bottom w:val="single" w:sz="8" w:color="0C479D"/>
            </w:tcBorders>
          </w:tcPr>
          <w:p>
            <w:pPr>
              <w:jc w:val="right"/>
              <w:ind w:right="73"/>
              <w:spacing w:after="0"/>
              <w:rPr>
                <w:sz w:val="20"/>
                <w:szCs w:val="20"/>
                <w:color w:val="auto"/>
              </w:rPr>
            </w:pPr>
            <w:r>
              <w:rPr>
                <w:rFonts w:ascii="Times New Roman" w:cs="Times New Roman" w:eastAsia="Times New Roman" w:hAnsi="Times New Roman"/>
                <w:sz w:val="18"/>
                <w:szCs w:val="18"/>
                <w:color w:val="auto"/>
              </w:rPr>
              <w:t>200</w:t>
            </w:r>
          </w:p>
        </w:tc>
        <w:tc>
          <w:tcPr>
            <w:tcW w:w="980" w:type="dxa"/>
            <w:vAlign w:val="bottom"/>
            <w:tcBorders>
              <w:bottom w:val="single" w:sz="8" w:color="0C479D"/>
            </w:tcBorders>
          </w:tcPr>
          <w:p>
            <w:pPr>
              <w:jc w:val="right"/>
              <w:ind w:right="31"/>
              <w:spacing w:after="0"/>
              <w:rPr>
                <w:sz w:val="20"/>
                <w:szCs w:val="20"/>
                <w:color w:val="auto"/>
              </w:rPr>
            </w:pPr>
            <w:r>
              <w:rPr>
                <w:rFonts w:ascii="Times New Roman" w:cs="Times New Roman" w:eastAsia="Times New Roman" w:hAnsi="Times New Roman"/>
                <w:sz w:val="18"/>
                <w:szCs w:val="18"/>
                <w:color w:val="auto"/>
              </w:rPr>
              <w:t>1.0</w:t>
            </w:r>
          </w:p>
        </w:tc>
        <w:tc>
          <w:tcPr>
            <w:tcW w:w="1060" w:type="dxa"/>
            <w:vAlign w:val="bottom"/>
            <w:tcBorders>
              <w:bottom w:val="single" w:sz="8" w:color="0C479D"/>
            </w:tcBorders>
          </w:tcPr>
          <w:p>
            <w:pPr>
              <w:jc w:val="right"/>
              <w:ind w:right="11"/>
              <w:spacing w:after="0"/>
              <w:rPr>
                <w:sz w:val="20"/>
                <w:szCs w:val="20"/>
                <w:color w:val="auto"/>
              </w:rPr>
            </w:pPr>
            <w:r>
              <w:rPr>
                <w:rFonts w:ascii="Times New Roman" w:cs="Times New Roman" w:eastAsia="Times New Roman" w:hAnsi="Times New Roman"/>
                <w:sz w:val="18"/>
                <w:szCs w:val="18"/>
                <w:color w:val="auto"/>
              </w:rPr>
              <w:t>0.7</w:t>
            </w:r>
          </w:p>
        </w:tc>
        <w:tc>
          <w:tcPr>
            <w:tcW w:w="11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5"/>
        </w:trPr>
        <w:tc>
          <w:tcPr>
            <w:tcW w:w="154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color w:val="auto"/>
              </w:rPr>
              <w:t>Total Middle East</w:t>
            </w:r>
          </w:p>
        </w:tc>
        <w:tc>
          <w:tcPr>
            <w:tcW w:w="1580" w:type="dxa"/>
            <w:vAlign w:val="bottom"/>
            <w:tcBorders>
              <w:bottom w:val="single" w:sz="8" w:color="0C479D"/>
            </w:tcBorders>
          </w:tcPr>
          <w:p>
            <w:pPr>
              <w:spacing w:after="0"/>
              <w:rPr>
                <w:sz w:val="19"/>
                <w:szCs w:val="19"/>
                <w:color w:val="auto"/>
              </w:rPr>
            </w:pPr>
          </w:p>
        </w:tc>
        <w:tc>
          <w:tcPr>
            <w:tcW w:w="740" w:type="dxa"/>
            <w:vAlign w:val="bottom"/>
            <w:tcBorders>
              <w:bottom w:val="single" w:sz="8" w:color="0C479D"/>
            </w:tcBorders>
          </w:tcPr>
          <w:p>
            <w:pPr>
              <w:spacing w:after="0"/>
              <w:rPr>
                <w:sz w:val="19"/>
                <w:szCs w:val="19"/>
                <w:color w:val="auto"/>
              </w:rPr>
            </w:pPr>
          </w:p>
        </w:tc>
        <w:tc>
          <w:tcPr>
            <w:tcW w:w="300" w:type="dxa"/>
            <w:vAlign w:val="bottom"/>
            <w:tcBorders>
              <w:bottom w:val="single" w:sz="8" w:color="0C479D"/>
            </w:tcBorders>
          </w:tcPr>
          <w:p>
            <w:pPr>
              <w:spacing w:after="0"/>
              <w:rPr>
                <w:sz w:val="19"/>
                <w:szCs w:val="19"/>
                <w:color w:val="auto"/>
              </w:rPr>
            </w:pPr>
          </w:p>
        </w:tc>
        <w:tc>
          <w:tcPr>
            <w:tcW w:w="1000" w:type="dxa"/>
            <w:vAlign w:val="bottom"/>
            <w:tcBorders>
              <w:bottom w:val="single" w:sz="8" w:color="0C479D"/>
            </w:tcBorders>
          </w:tcPr>
          <w:p>
            <w:pPr>
              <w:spacing w:after="0"/>
              <w:rPr>
                <w:sz w:val="19"/>
                <w:szCs w:val="19"/>
                <w:color w:val="auto"/>
              </w:rPr>
            </w:pPr>
          </w:p>
        </w:tc>
        <w:tc>
          <w:tcPr>
            <w:tcW w:w="1320" w:type="dxa"/>
            <w:vAlign w:val="bottom"/>
            <w:tcBorders>
              <w:bottom w:val="single" w:sz="8" w:color="0C479D"/>
            </w:tcBorders>
          </w:tcPr>
          <w:p>
            <w:pPr>
              <w:jc w:val="right"/>
              <w:ind w:right="73"/>
              <w:spacing w:after="0"/>
              <w:rPr>
                <w:sz w:val="20"/>
                <w:szCs w:val="20"/>
                <w:color w:val="auto"/>
              </w:rPr>
            </w:pPr>
            <w:r>
              <w:rPr>
                <w:rFonts w:ascii="Times New Roman" w:cs="Times New Roman" w:eastAsia="Times New Roman" w:hAnsi="Times New Roman"/>
                <w:sz w:val="18"/>
                <w:szCs w:val="18"/>
                <w:color w:val="auto"/>
              </w:rPr>
              <w:t>200</w:t>
            </w:r>
          </w:p>
        </w:tc>
        <w:tc>
          <w:tcPr>
            <w:tcW w:w="980" w:type="dxa"/>
            <w:vAlign w:val="bottom"/>
            <w:tcBorders>
              <w:bottom w:val="single" w:sz="8" w:color="0C479D"/>
            </w:tcBorders>
          </w:tcPr>
          <w:p>
            <w:pPr>
              <w:jc w:val="right"/>
              <w:ind w:right="31"/>
              <w:spacing w:after="0"/>
              <w:rPr>
                <w:sz w:val="20"/>
                <w:szCs w:val="20"/>
                <w:color w:val="auto"/>
              </w:rPr>
            </w:pPr>
            <w:r>
              <w:rPr>
                <w:rFonts w:ascii="Times New Roman" w:cs="Times New Roman" w:eastAsia="Times New Roman" w:hAnsi="Times New Roman"/>
                <w:sz w:val="18"/>
                <w:szCs w:val="18"/>
                <w:color w:val="auto"/>
              </w:rPr>
              <w:t>1.7</w:t>
            </w:r>
          </w:p>
        </w:tc>
        <w:tc>
          <w:tcPr>
            <w:tcW w:w="1060" w:type="dxa"/>
            <w:vAlign w:val="bottom"/>
            <w:tcBorders>
              <w:bottom w:val="single" w:sz="8" w:color="0C479D"/>
            </w:tcBorders>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c>
          <w:tcPr>
            <w:tcW w:w="11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8"/>
        </w:trPr>
        <w:tc>
          <w:tcPr>
            <w:tcW w:w="1540" w:type="dxa"/>
            <w:vAlign w:val="bottom"/>
            <w:tcBorders>
              <w:bottom w:val="single" w:sz="8" w:color="0C479D"/>
            </w:tcBorders>
          </w:tcPr>
          <w:p>
            <w:pPr>
              <w:spacing w:after="0"/>
              <w:rPr>
                <w:sz w:val="2"/>
                <w:szCs w:val="2"/>
                <w:color w:val="auto"/>
              </w:rPr>
            </w:pPr>
          </w:p>
        </w:tc>
        <w:tc>
          <w:tcPr>
            <w:tcW w:w="1580" w:type="dxa"/>
            <w:vAlign w:val="bottom"/>
            <w:tcBorders>
              <w:bottom w:val="single" w:sz="8" w:color="0C479D"/>
            </w:tcBorders>
          </w:tcPr>
          <w:p>
            <w:pPr>
              <w:spacing w:after="0"/>
              <w:rPr>
                <w:sz w:val="2"/>
                <w:szCs w:val="2"/>
                <w:color w:val="auto"/>
              </w:rPr>
            </w:pPr>
          </w:p>
        </w:tc>
        <w:tc>
          <w:tcPr>
            <w:tcW w:w="740" w:type="dxa"/>
            <w:vAlign w:val="bottom"/>
            <w:tcBorders>
              <w:bottom w:val="single" w:sz="8" w:color="0C479D"/>
            </w:tcBorders>
          </w:tcPr>
          <w:p>
            <w:pPr>
              <w:spacing w:after="0"/>
              <w:rPr>
                <w:sz w:val="2"/>
                <w:szCs w:val="2"/>
                <w:color w:val="auto"/>
              </w:rPr>
            </w:pPr>
          </w:p>
        </w:tc>
        <w:tc>
          <w:tcPr>
            <w:tcW w:w="300" w:type="dxa"/>
            <w:vAlign w:val="bottom"/>
            <w:tcBorders>
              <w:bottom w:val="single" w:sz="8" w:color="0C479D"/>
            </w:tcBorders>
          </w:tcPr>
          <w:p>
            <w:pPr>
              <w:spacing w:after="0"/>
              <w:rPr>
                <w:sz w:val="2"/>
                <w:szCs w:val="2"/>
                <w:color w:val="auto"/>
              </w:rPr>
            </w:pPr>
          </w:p>
        </w:tc>
        <w:tc>
          <w:tcPr>
            <w:tcW w:w="1000" w:type="dxa"/>
            <w:vAlign w:val="bottom"/>
            <w:tcBorders>
              <w:bottom w:val="single" w:sz="8" w:color="0C479D"/>
            </w:tcBorders>
          </w:tcPr>
          <w:p>
            <w:pPr>
              <w:spacing w:after="0"/>
              <w:rPr>
                <w:sz w:val="2"/>
                <w:szCs w:val="2"/>
                <w:color w:val="auto"/>
              </w:rPr>
            </w:pPr>
          </w:p>
        </w:tc>
        <w:tc>
          <w:tcPr>
            <w:tcW w:w="1320" w:type="dxa"/>
            <w:vAlign w:val="bottom"/>
            <w:tcBorders>
              <w:bottom w:val="single" w:sz="8" w:color="0C479D"/>
            </w:tcBorders>
          </w:tcPr>
          <w:p>
            <w:pPr>
              <w:spacing w:after="0"/>
              <w:rPr>
                <w:sz w:val="2"/>
                <w:szCs w:val="2"/>
                <w:color w:val="auto"/>
              </w:rPr>
            </w:pPr>
          </w:p>
        </w:tc>
        <w:tc>
          <w:tcPr>
            <w:tcW w:w="980" w:type="dxa"/>
            <w:vAlign w:val="bottom"/>
            <w:tcBorders>
              <w:bottom w:val="single" w:sz="8" w:color="0C479D"/>
            </w:tcBorders>
          </w:tcPr>
          <w:p>
            <w:pPr>
              <w:spacing w:after="0"/>
              <w:rPr>
                <w:sz w:val="2"/>
                <w:szCs w:val="2"/>
                <w:color w:val="auto"/>
              </w:rPr>
            </w:pPr>
          </w:p>
        </w:tc>
        <w:tc>
          <w:tcPr>
            <w:tcW w:w="1060" w:type="dxa"/>
            <w:vAlign w:val="bottom"/>
            <w:tcBorders>
              <w:bottom w:val="single" w:sz="8" w:color="0C479D"/>
            </w:tcBorders>
          </w:tcPr>
          <w:p>
            <w:pPr>
              <w:spacing w:after="0"/>
              <w:rPr>
                <w:sz w:val="2"/>
                <w:szCs w:val="2"/>
                <w:color w:val="auto"/>
              </w:rPr>
            </w:pPr>
          </w:p>
        </w:tc>
        <w:tc>
          <w:tcPr>
            <w:tcW w:w="1100" w:type="dxa"/>
            <w:vAlign w:val="bottom"/>
            <w:tcBorders>
              <w:bottom w:val="single" w:sz="8" w:color="0C479D"/>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154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b w:val="1"/>
                <w:bCs w:val="1"/>
                <w:color w:val="auto"/>
              </w:rPr>
              <w:t>Total Worldwide</w:t>
            </w:r>
          </w:p>
        </w:tc>
        <w:tc>
          <w:tcPr>
            <w:tcW w:w="1580" w:type="dxa"/>
            <w:vAlign w:val="bottom"/>
            <w:tcBorders>
              <w:bottom w:val="single" w:sz="8" w:color="0C479D"/>
            </w:tcBorders>
          </w:tcPr>
          <w:p>
            <w:pPr>
              <w:spacing w:after="0"/>
              <w:rPr>
                <w:sz w:val="20"/>
                <w:szCs w:val="20"/>
                <w:color w:val="auto"/>
              </w:rPr>
            </w:pPr>
          </w:p>
        </w:tc>
        <w:tc>
          <w:tcPr>
            <w:tcW w:w="740" w:type="dxa"/>
            <w:vAlign w:val="bottom"/>
            <w:tcBorders>
              <w:bottom w:val="single" w:sz="8" w:color="0C479D"/>
            </w:tcBorders>
          </w:tcPr>
          <w:p>
            <w:pPr>
              <w:spacing w:after="0"/>
              <w:rPr>
                <w:sz w:val="20"/>
                <w:szCs w:val="20"/>
                <w:color w:val="auto"/>
              </w:rPr>
            </w:pPr>
          </w:p>
        </w:tc>
        <w:tc>
          <w:tcPr>
            <w:tcW w:w="300" w:type="dxa"/>
            <w:vAlign w:val="bottom"/>
            <w:tcBorders>
              <w:bottom w:val="single" w:sz="8" w:color="0C479D"/>
            </w:tcBorders>
          </w:tcPr>
          <w:p>
            <w:pPr>
              <w:spacing w:after="0"/>
              <w:rPr>
                <w:sz w:val="20"/>
                <w:szCs w:val="20"/>
                <w:color w:val="auto"/>
              </w:rPr>
            </w:pPr>
          </w:p>
        </w:tc>
        <w:tc>
          <w:tcPr>
            <w:tcW w:w="1000" w:type="dxa"/>
            <w:vAlign w:val="bottom"/>
            <w:tcBorders>
              <w:bottom w:val="single" w:sz="8" w:color="0C479D"/>
            </w:tcBorders>
          </w:tcPr>
          <w:p>
            <w:pPr>
              <w:spacing w:after="0"/>
              <w:rPr>
                <w:sz w:val="20"/>
                <w:szCs w:val="20"/>
                <w:color w:val="auto"/>
              </w:rPr>
            </w:pPr>
          </w:p>
        </w:tc>
        <w:tc>
          <w:tcPr>
            <w:tcW w:w="1320" w:type="dxa"/>
            <w:vAlign w:val="bottom"/>
            <w:tcBorders>
              <w:bottom w:val="single" w:sz="8" w:color="0C479D"/>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4,342</w:t>
            </w:r>
          </w:p>
        </w:tc>
        <w:tc>
          <w:tcPr>
            <w:tcW w:w="980" w:type="dxa"/>
            <w:vAlign w:val="bottom"/>
            <w:tcBorders>
              <w:bottom w:val="single" w:sz="8" w:color="0C479D"/>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11.5</w:t>
            </w:r>
          </w:p>
        </w:tc>
        <w:tc>
          <w:tcPr>
            <w:tcW w:w="1060" w:type="dxa"/>
            <w:vAlign w:val="bottom"/>
            <w:tcBorders>
              <w:bottom w:val="single" w:sz="8" w:color="0C479D"/>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10.8</w:t>
            </w:r>
          </w:p>
        </w:tc>
        <w:tc>
          <w:tcPr>
            <w:tcW w:w="11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1000" w:hanging="171"/>
        <w:spacing w:after="0"/>
        <w:tabs>
          <w:tab w:leader="none" w:pos="1000" w:val="left"/>
        </w:tabs>
        <w:numPr>
          <w:ilvl w:val="0"/>
          <w:numId w:val="9"/>
        </w:numPr>
        <w:rPr>
          <w:rFonts w:ascii="Times New Roman" w:cs="Times New Roman" w:eastAsia="Times New Roman" w:hAnsi="Times New Roman"/>
          <w:sz w:val="22"/>
          <w:szCs w:val="22"/>
          <w:color w:val="FE000C"/>
        </w:rPr>
      </w:pPr>
      <w:r>
        <w:rPr>
          <w:rFonts w:ascii="Times New Roman" w:cs="Times New Roman" w:eastAsia="Times New Roman" w:hAnsi="Times New Roman"/>
          <w:sz w:val="18"/>
          <w:szCs w:val="18"/>
          <w:color w:val="auto"/>
        </w:rPr>
        <w:t xml:space="preserve">Energy Products </w:t>
      </w:r>
      <w:r>
        <w:rPr>
          <w:rFonts w:ascii="Times New Roman" w:cs="Times New Roman" w:eastAsia="Times New Roman" w:hAnsi="Times New Roman"/>
          <w:sz w:val="18"/>
          <w:szCs w:val="18"/>
          <w:color w:val="008000"/>
        </w:rPr>
        <w:t>▲</w:t>
      </w:r>
      <w:r>
        <w:rPr>
          <w:rFonts w:ascii="Times New Roman" w:cs="Times New Roman" w:eastAsia="Times New Roman" w:hAnsi="Times New Roman"/>
          <w:sz w:val="18"/>
          <w:szCs w:val="18"/>
          <w:color w:val="auto"/>
        </w:rPr>
        <w:t xml:space="preserve"> Specialty Products </w:t>
      </w:r>
      <w:r>
        <w:rPr>
          <w:rFonts w:ascii="Times New Roman" w:cs="Times New Roman" w:eastAsia="Times New Roman" w:hAnsi="Times New Roman"/>
          <w:sz w:val="25"/>
          <w:szCs w:val="25"/>
          <w:color w:val="0C479D"/>
        </w:rPr>
        <w:t>●</w:t>
      </w:r>
      <w:r>
        <w:rPr>
          <w:rFonts w:ascii="Times New Roman" w:cs="Times New Roman" w:eastAsia="Times New Roman" w:hAnsi="Times New Roman"/>
          <w:sz w:val="18"/>
          <w:szCs w:val="18"/>
          <w:color w:val="auto"/>
        </w:rPr>
        <w:t xml:space="preserve"> Chemical Products</w:t>
      </w:r>
    </w:p>
    <w:p>
      <w:pPr>
        <w:spacing w:after="0" w:line="156" w:lineRule="exact"/>
        <w:rPr>
          <w:sz w:val="20"/>
          <w:szCs w:val="20"/>
          <w:color w:val="auto"/>
        </w:rPr>
      </w:pPr>
    </w:p>
    <w:p>
      <w:pPr>
        <w:ind w:left="820" w:right="820" w:firstLine="9"/>
        <w:spacing w:after="0" w:line="251" w:lineRule="auto"/>
        <w:tabs>
          <w:tab w:leader="none" w:pos="965" w:val="left"/>
        </w:tabs>
        <w:numPr>
          <w:ilvl w:val="0"/>
          <w:numId w:val="10"/>
        </w:numPr>
        <w:rPr>
          <w:rFonts w:ascii="Times New Roman" w:cs="Times New Roman" w:eastAsia="Times New Roman" w:hAnsi="Times New Roman"/>
          <w:sz w:val="17"/>
          <w:szCs w:val="17"/>
          <w:i w:val="1"/>
          <w:iCs w:val="1"/>
          <w:color w:val="auto"/>
          <w:vertAlign w:val="superscript"/>
        </w:rPr>
      </w:pPr>
      <w:r>
        <w:rPr>
          <w:rFonts w:ascii="Times New Roman" w:cs="Times New Roman" w:eastAsia="Times New Roman" w:hAnsi="Times New Roman"/>
          <w:sz w:val="13"/>
          <w:szCs w:val="13"/>
          <w:i w:val="1"/>
          <w:iCs w:val="1"/>
          <w:color w:val="auto"/>
        </w:rPr>
        <w:t>ExxonMobil share reflects 100 percent for operations of ExxonMobil and majority-owned subsidiaries. For companies owned 50 percent or less, ExxonMobil share is the greater of ExxonMobil’s interest or that portion of distillation capacity normally available to ExxonMobil.</w:t>
      </w:r>
    </w:p>
    <w:p>
      <w:pPr>
        <w:spacing w:after="0" w:line="44" w:lineRule="exact"/>
        <w:rPr>
          <w:rFonts w:ascii="Times New Roman" w:cs="Times New Roman" w:eastAsia="Times New Roman" w:hAnsi="Times New Roman"/>
          <w:sz w:val="17"/>
          <w:szCs w:val="17"/>
          <w:i w:val="1"/>
          <w:iCs w:val="1"/>
          <w:color w:val="auto"/>
          <w:vertAlign w:val="superscript"/>
        </w:rPr>
      </w:pPr>
    </w:p>
    <w:p>
      <w:pPr>
        <w:jc w:val="both"/>
        <w:ind w:left="820" w:right="820" w:firstLine="9"/>
        <w:spacing w:after="0" w:line="263" w:lineRule="auto"/>
        <w:tabs>
          <w:tab w:leader="none" w:pos="966" w:val="left"/>
        </w:tabs>
        <w:numPr>
          <w:ilvl w:val="0"/>
          <w:numId w:val="10"/>
        </w:numPr>
        <w:rPr>
          <w:rFonts w:ascii="Times New Roman" w:cs="Times New Roman" w:eastAsia="Times New Roman" w:hAnsi="Times New Roman"/>
          <w:sz w:val="17"/>
          <w:szCs w:val="17"/>
          <w:i w:val="1"/>
          <w:iCs w:val="1"/>
          <w:color w:val="auto"/>
          <w:vertAlign w:val="superscript"/>
        </w:rPr>
      </w:pPr>
      <w:r>
        <w:rPr>
          <w:rFonts w:ascii="Times New Roman" w:cs="Times New Roman" w:eastAsia="Times New Roman" w:hAnsi="Times New Roman"/>
          <w:sz w:val="13"/>
          <w:szCs w:val="13"/>
          <w:i w:val="1"/>
          <w:iCs w:val="1"/>
          <w:color w:val="auto"/>
        </w:rPr>
        <w:t>Refining capacity data is based on 100 percent of rated refinery process unit stream-day capacities to process inputs to atmospheric distillation units under normal operating conditions, less the impact of shutdowns for regular repair and maintenance activities, averaged over an extended period of time. The listing excludes refining capacity for a minor interest held through equity securities in the Laffan Refinery in Qatar for which results are reported in the Upstream segment.</w:t>
      </w:r>
    </w:p>
    <w:p>
      <w:pPr>
        <w:spacing w:after="0" w:line="25" w:lineRule="exact"/>
        <w:rPr>
          <w:rFonts w:ascii="Times New Roman" w:cs="Times New Roman" w:eastAsia="Times New Roman" w:hAnsi="Times New Roman"/>
          <w:sz w:val="17"/>
          <w:szCs w:val="17"/>
          <w:i w:val="1"/>
          <w:iCs w:val="1"/>
          <w:color w:val="auto"/>
          <w:vertAlign w:val="superscript"/>
        </w:rPr>
      </w:pPr>
    </w:p>
    <w:p>
      <w:pPr>
        <w:ind w:left="820" w:right="820" w:firstLine="9"/>
        <w:spacing w:after="0" w:line="251" w:lineRule="auto"/>
        <w:tabs>
          <w:tab w:leader="none" w:pos="967" w:val="left"/>
        </w:tabs>
        <w:numPr>
          <w:ilvl w:val="0"/>
          <w:numId w:val="10"/>
        </w:numPr>
        <w:rPr>
          <w:rFonts w:ascii="Times New Roman" w:cs="Times New Roman" w:eastAsia="Times New Roman" w:hAnsi="Times New Roman"/>
          <w:sz w:val="17"/>
          <w:szCs w:val="17"/>
          <w:i w:val="1"/>
          <w:iCs w:val="1"/>
          <w:color w:val="auto"/>
          <w:vertAlign w:val="superscript"/>
        </w:rPr>
      </w:pPr>
      <w:r>
        <w:rPr>
          <w:rFonts w:ascii="Times New Roman" w:cs="Times New Roman" w:eastAsia="Times New Roman" w:hAnsi="Times New Roman"/>
          <w:sz w:val="13"/>
          <w:szCs w:val="13"/>
          <w:i w:val="1"/>
          <w:iCs w:val="1"/>
          <w:color w:val="auto"/>
        </w:rPr>
        <w:t>ExxonMobil ownership in Gravenchon is split 82.9 percent and 100 percent between the refining and chemical operations, respectively. In 2024, the Company shut down a portion of its Gravenchon chemical operations including the steamcracker and related derivatives units.</w:t>
      </w:r>
    </w:p>
    <w:p>
      <w:pPr>
        <w:spacing w:after="0" w:line="15" w:lineRule="exact"/>
        <w:rPr>
          <w:rFonts w:ascii="Times New Roman" w:cs="Times New Roman" w:eastAsia="Times New Roman" w:hAnsi="Times New Roman"/>
          <w:sz w:val="17"/>
          <w:szCs w:val="17"/>
          <w:i w:val="1"/>
          <w:iCs w:val="1"/>
          <w:color w:val="auto"/>
          <w:vertAlign w:val="superscript"/>
        </w:rPr>
      </w:pPr>
    </w:p>
    <w:p>
      <w:pPr>
        <w:ind w:left="980" w:hanging="151"/>
        <w:spacing w:after="0"/>
        <w:tabs>
          <w:tab w:leader="none" w:pos="980" w:val="left"/>
        </w:tabs>
        <w:numPr>
          <w:ilvl w:val="0"/>
          <w:numId w:val="10"/>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The Corporation announced a sales agreement relating to ExxonMobil's ownership interest in this asset and expects the transaction to close in 2025.</w:t>
      </w:r>
    </w:p>
    <w:p>
      <w:pPr>
        <w:spacing w:after="0" w:line="5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4"/>
          <w:szCs w:val="14"/>
          <w:i w:val="1"/>
          <w:iCs w:val="1"/>
          <w:color w:val="auto"/>
        </w:rPr>
        <w:t>Due to rounding, numbers presented above may not add up precisely to the totals indicated.</w:t>
      </w:r>
    </w:p>
    <w:p>
      <w:pPr>
        <w:sectPr>
          <w:pgSz w:w="11900" w:h="16838" w:orient="portrait"/>
          <w:cols w:equalWidth="0" w:num="1">
            <w:col w:w="11240"/>
          </w:cols>
          <w:pgMar w:left="320" w:top="995" w:right="339" w:bottom="866"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866"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0C479D"/>
        </w:rPr>
        <w:t>Information with regard to retail fuel sites: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Within the Energy Products segment, retail fuels sites sell products and services throughout the world through our </w:t>
      </w:r>
      <w:r>
        <w:rPr>
          <w:rFonts w:ascii="Times New Roman" w:cs="Times New Roman" w:eastAsia="Times New Roman" w:hAnsi="Times New Roman"/>
          <w:sz w:val="18"/>
          <w:szCs w:val="18"/>
          <w:i w:val="1"/>
          <w:iCs w:val="1"/>
          <w:color w:val="auto"/>
        </w:rPr>
        <w:t>Exxon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Esso,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Mobil</w:t>
      </w:r>
      <w:r>
        <w:rPr>
          <w:rFonts w:ascii="Times New Roman" w:cs="Times New Roman" w:eastAsia="Times New Roman" w:hAnsi="Times New Roman"/>
          <w:sz w:val="18"/>
          <w:szCs w:val="18"/>
          <w:color w:val="auto"/>
        </w:rPr>
        <w:t xml:space="preserve"> brands.</w:t>
      </w:r>
    </w:p>
    <w:p>
      <w:pPr>
        <w:spacing w:after="0" w:line="15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0C479D"/>
        </w:rPr>
        <w:t>Number of Retail Fuel Sites At Year-End 2024</w:t>
      </w:r>
    </w:p>
    <w:p>
      <w:pPr>
        <w:spacing w:after="0" w:line="112" w:lineRule="exact"/>
        <w:rPr>
          <w:sz w:val="20"/>
          <w:szCs w:val="20"/>
          <w:color w:val="auto"/>
        </w:rPr>
      </w:pPr>
    </w:p>
    <w:tbl>
      <w:tblPr>
        <w:tblLayout w:type="fixed"/>
        <w:tblInd w:w="800" w:type="dxa"/>
        <w:tblCellMar>
          <w:top w:w="0" w:type="dxa"/>
          <w:left w:w="0" w:type="dxa"/>
          <w:bottom w:w="0" w:type="dxa"/>
          <w:right w:w="0" w:type="dxa"/>
        </w:tblCellMar>
      </w:tblPr>
      <w:tr>
        <w:trPr>
          <w:trHeight w:val="270"/>
        </w:trPr>
        <w:tc>
          <w:tcPr>
            <w:tcW w:w="2640" w:type="dxa"/>
            <w:vAlign w:val="bottom"/>
            <w:shd w:val="clear" w:color="auto" w:fill="0C479D"/>
          </w:tcPr>
          <w:p>
            <w:pPr>
              <w:spacing w:after="0"/>
              <w:rPr>
                <w:sz w:val="23"/>
                <w:szCs w:val="23"/>
                <w:color w:val="auto"/>
              </w:rPr>
            </w:pPr>
          </w:p>
        </w:tc>
        <w:tc>
          <w:tcPr>
            <w:tcW w:w="2680" w:type="dxa"/>
            <w:vAlign w:val="bottom"/>
            <w:shd w:val="clear" w:color="auto" w:fill="0C479D"/>
          </w:tcPr>
          <w:p>
            <w:pPr>
              <w:jc w:val="right"/>
              <w:ind w:right="290"/>
              <w:spacing w:after="0"/>
              <w:rPr>
                <w:sz w:val="20"/>
                <w:szCs w:val="20"/>
                <w:color w:val="auto"/>
              </w:rPr>
            </w:pPr>
            <w:r>
              <w:rPr>
                <w:rFonts w:ascii="Times New Roman" w:cs="Times New Roman" w:eastAsia="Times New Roman" w:hAnsi="Times New Roman"/>
                <w:sz w:val="18"/>
                <w:szCs w:val="18"/>
                <w:b w:val="1"/>
                <w:bCs w:val="1"/>
                <w:color w:val="FFFFFF"/>
              </w:rPr>
              <w:t>Owned/leased</w:t>
            </w:r>
          </w:p>
        </w:tc>
        <w:tc>
          <w:tcPr>
            <w:tcW w:w="2880" w:type="dxa"/>
            <w:vAlign w:val="bottom"/>
            <w:shd w:val="clear" w:color="auto" w:fill="0C479D"/>
          </w:tcPr>
          <w:p>
            <w:pPr>
              <w:jc w:val="right"/>
              <w:ind w:right="790"/>
              <w:spacing w:after="0"/>
              <w:rPr>
                <w:sz w:val="20"/>
                <w:szCs w:val="20"/>
                <w:color w:val="auto"/>
              </w:rPr>
            </w:pPr>
            <w:r>
              <w:rPr>
                <w:rFonts w:ascii="Times New Roman" w:cs="Times New Roman" w:eastAsia="Times New Roman" w:hAnsi="Times New Roman"/>
                <w:sz w:val="18"/>
                <w:szCs w:val="18"/>
                <w:b w:val="1"/>
                <w:bCs w:val="1"/>
                <w:color w:val="FFFFFF"/>
              </w:rPr>
              <w:t>Distributors/resellers</w:t>
            </w:r>
          </w:p>
        </w:tc>
        <w:tc>
          <w:tcPr>
            <w:tcW w:w="1480" w:type="dxa"/>
            <w:vAlign w:val="bottom"/>
            <w:shd w:val="clear" w:color="auto" w:fill="0C479D"/>
          </w:tcPr>
          <w:p>
            <w:pPr>
              <w:jc w:val="right"/>
              <w:spacing w:after="0"/>
              <w:rPr>
                <w:sz w:val="20"/>
                <w:szCs w:val="20"/>
                <w:color w:val="auto"/>
              </w:rPr>
            </w:pPr>
            <w:r>
              <w:rPr>
                <w:rFonts w:ascii="Times New Roman" w:cs="Times New Roman" w:eastAsia="Times New Roman" w:hAnsi="Times New Roman"/>
                <w:sz w:val="18"/>
                <w:szCs w:val="18"/>
                <w:b w:val="1"/>
                <w:bCs w:val="1"/>
                <w:color w:val="FFFFFF"/>
              </w:rPr>
              <w:t>Total</w:t>
            </w:r>
          </w:p>
        </w:tc>
      </w:tr>
      <w:tr>
        <w:trPr>
          <w:trHeight w:val="297"/>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6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288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10,573</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10,573</w:t>
            </w: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26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288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2,598</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2,598</w:t>
            </w: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26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169</w:t>
            </w:r>
          </w:p>
        </w:tc>
        <w:tc>
          <w:tcPr>
            <w:tcW w:w="288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3,958</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4,127</w:t>
            </w: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26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264</w:t>
            </w:r>
          </w:p>
        </w:tc>
        <w:tc>
          <w:tcPr>
            <w:tcW w:w="288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864</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1,128</w:t>
            </w: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Latin America</w:t>
            </w:r>
          </w:p>
        </w:tc>
        <w:tc>
          <w:tcPr>
            <w:tcW w:w="26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288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555</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555</w:t>
            </w:r>
          </w:p>
        </w:tc>
      </w:tr>
      <w:tr>
        <w:trPr>
          <w:trHeight w:val="270"/>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Middle East/Africa</w:t>
            </w:r>
          </w:p>
        </w:tc>
        <w:tc>
          <w:tcPr>
            <w:tcW w:w="26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169</w:t>
            </w:r>
          </w:p>
        </w:tc>
        <w:tc>
          <w:tcPr>
            <w:tcW w:w="288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294</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463</w:t>
            </w:r>
          </w:p>
        </w:tc>
      </w:tr>
      <w:tr>
        <w:trPr>
          <w:trHeight w:val="27"/>
        </w:trPr>
        <w:tc>
          <w:tcPr>
            <w:tcW w:w="2640" w:type="dxa"/>
            <w:vAlign w:val="bottom"/>
            <w:tcBorders>
              <w:bottom w:val="single" w:sz="8" w:color="0C479D"/>
            </w:tcBorders>
          </w:tcPr>
          <w:p>
            <w:pPr>
              <w:spacing w:after="0"/>
              <w:rPr>
                <w:sz w:val="2"/>
                <w:szCs w:val="2"/>
                <w:color w:val="auto"/>
              </w:rPr>
            </w:pPr>
          </w:p>
        </w:tc>
        <w:tc>
          <w:tcPr>
            <w:tcW w:w="2680" w:type="dxa"/>
            <w:vAlign w:val="bottom"/>
            <w:tcBorders>
              <w:bottom w:val="single" w:sz="8" w:color="0C479D"/>
            </w:tcBorders>
          </w:tcPr>
          <w:p>
            <w:pPr>
              <w:spacing w:after="0"/>
              <w:rPr>
                <w:sz w:val="2"/>
                <w:szCs w:val="2"/>
                <w:color w:val="auto"/>
              </w:rPr>
            </w:pPr>
          </w:p>
        </w:tc>
        <w:tc>
          <w:tcPr>
            <w:tcW w:w="2880" w:type="dxa"/>
            <w:vAlign w:val="bottom"/>
            <w:tcBorders>
              <w:bottom w:val="single" w:sz="8" w:color="0C479D"/>
            </w:tcBorders>
          </w:tcPr>
          <w:p>
            <w:pPr>
              <w:spacing w:after="0"/>
              <w:rPr>
                <w:sz w:val="2"/>
                <w:szCs w:val="2"/>
                <w:color w:val="auto"/>
              </w:rPr>
            </w:pPr>
          </w:p>
        </w:tc>
        <w:tc>
          <w:tcPr>
            <w:tcW w:w="1480" w:type="dxa"/>
            <w:vAlign w:val="bottom"/>
            <w:tcBorders>
              <w:bottom w:val="single" w:sz="8" w:color="0C479D"/>
            </w:tcBorders>
          </w:tcPr>
          <w:p>
            <w:pPr>
              <w:spacing w:after="0"/>
              <w:rPr>
                <w:sz w:val="2"/>
                <w:szCs w:val="2"/>
                <w:color w:val="auto"/>
              </w:rPr>
            </w:pPr>
          </w:p>
        </w:tc>
      </w:tr>
      <w:tr>
        <w:trPr>
          <w:trHeight w:val="243"/>
        </w:trPr>
        <w:tc>
          <w:tcPr>
            <w:tcW w:w="264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b w:val="1"/>
                <w:bCs w:val="1"/>
                <w:color w:val="auto"/>
              </w:rPr>
              <w:t>Worldwide</w:t>
            </w:r>
          </w:p>
        </w:tc>
        <w:tc>
          <w:tcPr>
            <w:tcW w:w="2680" w:type="dxa"/>
            <w:vAlign w:val="bottom"/>
            <w:tcBorders>
              <w:bottom w:val="single" w:sz="8" w:color="0C479D"/>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602</w:t>
            </w:r>
          </w:p>
        </w:tc>
        <w:tc>
          <w:tcPr>
            <w:tcW w:w="2880" w:type="dxa"/>
            <w:vAlign w:val="bottom"/>
            <w:tcBorders>
              <w:bottom w:val="single" w:sz="8" w:color="0C479D"/>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18,842</w:t>
            </w:r>
          </w:p>
        </w:tc>
        <w:tc>
          <w:tcPr>
            <w:tcW w:w="1480" w:type="dxa"/>
            <w:vAlign w:val="bottom"/>
            <w:tcBorders>
              <w:bottom w:val="single" w:sz="8" w:color="0C479D"/>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19,444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0C479D"/>
        </w:rPr>
        <w:t>ITEM 3.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ExxonMobil has elected to use a $1 million threshold for disclosing environmental proceedings.</w:t>
      </w:r>
    </w:p>
    <w:p>
      <w:pPr>
        <w:spacing w:after="0" w:line="1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reported in the Corporation’s Form 10-Q for the third quarter of 2024, XTO Energy, Inc. (XTO) received a Notice of Violation from the United States Environmental Protection Agency (EPA) on March 9, 2022 regarding certain well pad production facility sites in Butler County, Pennsylvania, alleging violations of certain federal New Source Performance Standards (NSPS) and Pennsylvania’s Title V operating permit regulations. In October 2024, XTO entered into a consent decree with the Department of Justice (DOJ) and the Department of Environmental Protection of Pennsylvania to resolve these alleged violations upon payment of a $4.0 million penalty. On December 13, 2024, the United States District Court for the Western District of Pennsylvania entered the consent decree, and XTO paid the civil penalty of $4.0 million.</w:t>
      </w:r>
    </w:p>
    <w:p>
      <w:pPr>
        <w:spacing w:after="0" w:line="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reported in the Corporation’s Form 10-Q for the first quarter of 2024, on August 4, 2022, XTO received a letter from the DOJ notifying XTO of the EPA’s request to initiate a potential civil action against XTO regarding the Schnegg well in Powhatan Point, Ohio. The EPA alleged XTO breached its duty under the General Duty Clause of the Clean Air Act for the Schnegg well, and such breaches resulted in the 2018 well blowout. In December 2024, XTO signed a consent decree with the DOJ to resolve these alleged violations upon payment of an $8.0 million penalty, which XTO intends to pay in March 2025.</w:t>
      </w:r>
    </w:p>
    <w:p>
      <w:pPr>
        <w:spacing w:after="0" w:line="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reported in the Corporation’s Form 10-Q for the first quarter of 2023, ExxonMobil appealed to the U.S. Court of Appeals for the Fifth Circuit a judgment of the United States District Court for the Southern District of Texas (Texas District Court) entered on April 26, 2017, in a citizen suit captioned Environment Texas Citizen Lobby, Inc. et al. v. Exxon Mobil Corporation, relating to alleged Clean Air Act and other violations at the Baytown complex. The Texas District Court had awarded approximately $20 million in civil penalties, payable to the United States Treasury. On July 29, 2020, the Fifth Circuit vacated the Texas District Court’s penalty award and remanded the case back to the Texas District Court for further proceedings. On March 2, 2021, the Texas District Court awarded $14.25 million in civil penalties, payable to the United States Treasury. ExxonMobil filed its appeal of the judgment in the U.S. Court of Appeals for the Fifth Circuit on April 12, 2021. On August 30, 2022, the Fifth Circuit affirmed the Texas District Court’s revised penalty award of $14.25 million. On February 17, 2023, the Fifth Circuit granted ExxonMobil’s motion for rehearing en banc. On December 11, 2024, the Fifth Circuit affirmed the Texas District Court’s judgment assessing a $14.25 million penalty against ExxonMobil. ExxonMobil is continuing to evaluate its available options, including seeking review in the U.S. Supreme Court.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the relevant portions of </w:t>
      </w:r>
      <w:r>
        <w:rPr>
          <w:rFonts w:ascii="Times New Roman" w:cs="Times New Roman" w:eastAsia="Times New Roman" w:hAnsi="Times New Roman"/>
          <w:sz w:val="18"/>
          <w:szCs w:val="18"/>
          <w:color w:val="0000FF"/>
        </w:rPr>
        <w:t>Note 16</w:t>
      </w:r>
      <w:r>
        <w:rPr>
          <w:rFonts w:ascii="Times New Roman" w:cs="Times New Roman" w:eastAsia="Times New Roman" w:hAnsi="Times New Roman"/>
          <w:sz w:val="18"/>
          <w:szCs w:val="18"/>
          <w:color w:val="auto"/>
        </w:rPr>
        <w:t xml:space="preserve"> of the Financial Section of this report for additional information on legal proceedings.</w:t>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0C479D"/>
        </w:rPr>
        <w:t>ITEM 4. 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7" w:name="page28"/>
    <w:bookmarkEnd w:id="27"/>
    <w:p>
      <w:pPr>
        <w:ind w:left="780"/>
        <w:spacing w:after="0"/>
        <w:rPr>
          <w:sz w:val="20"/>
          <w:szCs w:val="20"/>
          <w:color w:val="auto"/>
        </w:rPr>
      </w:pPr>
      <w:r>
        <w:rPr>
          <w:rFonts w:ascii="Times New Roman" w:cs="Times New Roman" w:eastAsia="Times New Roman" w:hAnsi="Times New Roman"/>
          <w:sz w:val="18"/>
          <w:szCs w:val="18"/>
          <w:b w:val="1"/>
          <w:bCs w:val="1"/>
          <w:color w:val="auto"/>
        </w:rPr>
        <w:t xml:space="preserve">Information about our Executive Officers </w:t>
      </w:r>
      <w:r>
        <w:rPr>
          <w:rFonts w:ascii="Times New Roman" w:cs="Times New Roman" w:eastAsia="Times New Roman" w:hAnsi="Times New Roman"/>
          <w:sz w:val="18"/>
          <w:szCs w:val="18"/>
          <w:color w:val="auto"/>
        </w:rPr>
        <w:t>(positions and ages as of February 19, 2025)</w:t>
      </w:r>
    </w:p>
    <w:p>
      <w:pPr>
        <w:spacing w:after="0" w:line="342" w:lineRule="exact"/>
        <w:rPr>
          <w:sz w:val="20"/>
          <w:szCs w:val="20"/>
          <w:color w:val="auto"/>
        </w:rPr>
      </w:pPr>
    </w:p>
    <w:tbl>
      <w:tblPr>
        <w:tblLayout w:type="fixed"/>
        <w:tblInd w:w="780" w:type="dxa"/>
        <w:tblCellMar>
          <w:top w:w="0" w:type="dxa"/>
          <w:left w:w="0" w:type="dxa"/>
          <w:bottom w:w="0" w:type="dxa"/>
          <w:right w:w="0" w:type="dxa"/>
        </w:tblCellMar>
      </w:tblPr>
      <w:tr>
        <w:trPr>
          <w:trHeight w:val="270"/>
        </w:trPr>
        <w:tc>
          <w:tcPr>
            <w:tcW w:w="1720" w:type="dxa"/>
            <w:vAlign w:val="bottom"/>
            <w:shd w:val="clear" w:color="auto" w:fill="0C479D"/>
          </w:tcPr>
          <w:p>
            <w:pPr>
              <w:spacing w:after="0"/>
              <w:rPr>
                <w:sz w:val="20"/>
                <w:szCs w:val="20"/>
                <w:color w:val="auto"/>
              </w:rPr>
            </w:pPr>
            <w:r>
              <w:rPr>
                <w:rFonts w:ascii="Times New Roman" w:cs="Times New Roman" w:eastAsia="Times New Roman" w:hAnsi="Times New Roman"/>
                <w:sz w:val="18"/>
                <w:szCs w:val="18"/>
                <w:b w:val="1"/>
                <w:bCs w:val="1"/>
                <w:color w:val="FFFFFF"/>
              </w:rPr>
              <w:t>Name</w:t>
            </w:r>
          </w:p>
        </w:tc>
        <w:tc>
          <w:tcPr>
            <w:tcW w:w="520" w:type="dxa"/>
            <w:vAlign w:val="bottom"/>
            <w:shd w:val="clear" w:color="auto" w:fill="0C479D"/>
          </w:tcPr>
          <w:p>
            <w:pPr>
              <w:jc w:val="center"/>
              <w:ind w:left="10"/>
              <w:spacing w:after="0"/>
              <w:rPr>
                <w:sz w:val="20"/>
                <w:szCs w:val="20"/>
                <w:color w:val="auto"/>
              </w:rPr>
            </w:pPr>
            <w:r>
              <w:rPr>
                <w:rFonts w:ascii="Times New Roman" w:cs="Times New Roman" w:eastAsia="Times New Roman" w:hAnsi="Times New Roman"/>
                <w:sz w:val="18"/>
                <w:szCs w:val="18"/>
                <w:b w:val="1"/>
                <w:bCs w:val="1"/>
                <w:color w:val="FFFFFF"/>
                <w:w w:val="99"/>
              </w:rPr>
              <w:t>Age</w:t>
            </w:r>
          </w:p>
        </w:tc>
        <w:tc>
          <w:tcPr>
            <w:tcW w:w="7460" w:type="dxa"/>
            <w:vAlign w:val="bottom"/>
            <w:shd w:val="clear" w:color="auto" w:fill="0C479D"/>
          </w:tcPr>
          <w:p>
            <w:pPr>
              <w:ind w:left="80"/>
              <w:spacing w:after="0"/>
              <w:rPr>
                <w:sz w:val="20"/>
                <w:szCs w:val="20"/>
                <w:color w:val="auto"/>
              </w:rPr>
            </w:pPr>
            <w:r>
              <w:rPr>
                <w:rFonts w:ascii="Times New Roman" w:cs="Times New Roman" w:eastAsia="Times New Roman" w:hAnsi="Times New Roman"/>
                <w:sz w:val="18"/>
                <w:szCs w:val="18"/>
                <w:b w:val="1"/>
                <w:bCs w:val="1"/>
                <w:color w:val="FFFFFF"/>
              </w:rPr>
              <w:t>Current and Prior Positions (up to five years)</w:t>
            </w:r>
          </w:p>
        </w:tc>
      </w:tr>
      <w:tr>
        <w:trPr>
          <w:trHeight w:val="234"/>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0C479D"/>
              </w:rPr>
              <w:t>Darren W. Woods</w:t>
            </w:r>
          </w:p>
        </w:tc>
        <w:tc>
          <w:tcPr>
            <w:tcW w:w="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60</w:t>
            </w:r>
          </w:p>
        </w:tc>
        <w:tc>
          <w:tcPr>
            <w:tcW w:w="74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0C479D"/>
              </w:rPr>
              <w:t xml:space="preserve">Chairman of the Board and Chief Executive Officer </w:t>
            </w:r>
            <w:r>
              <w:rPr>
                <w:rFonts w:ascii="Times New Roman" w:cs="Times New Roman" w:eastAsia="Times New Roman" w:hAnsi="Times New Roman"/>
                <w:sz w:val="18"/>
                <w:szCs w:val="18"/>
                <w:color w:val="000000"/>
              </w:rPr>
              <w:t>(since January 1, 2017)</w:t>
            </w:r>
          </w:p>
        </w:tc>
      </w:tr>
      <w:tr>
        <w:trPr>
          <w:trHeight w:val="238"/>
        </w:trPr>
        <w:tc>
          <w:tcPr>
            <w:tcW w:w="1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0C479D"/>
              </w:rPr>
              <w:t xml:space="preserve">Director and President </w:t>
            </w:r>
            <w:r>
              <w:rPr>
                <w:rFonts w:ascii="Times New Roman" w:cs="Times New Roman" w:eastAsia="Times New Roman" w:hAnsi="Times New Roman"/>
                <w:sz w:val="18"/>
                <w:szCs w:val="18"/>
                <w:color w:val="000000"/>
              </w:rPr>
              <w:t>(since January 1, 2016)</w:t>
            </w:r>
          </w:p>
        </w:tc>
      </w:tr>
      <w:tr>
        <w:trPr>
          <w:trHeight w:val="94"/>
        </w:trPr>
        <w:tc>
          <w:tcPr>
            <w:tcW w:w="1720" w:type="dxa"/>
            <w:vAlign w:val="bottom"/>
            <w:tcBorders>
              <w:bottom w:val="single" w:sz="8" w:color="0C479D"/>
            </w:tcBorders>
          </w:tcPr>
          <w:p>
            <w:pPr>
              <w:spacing w:after="0"/>
              <w:rPr>
                <w:sz w:val="8"/>
                <w:szCs w:val="8"/>
                <w:color w:val="auto"/>
              </w:rPr>
            </w:pPr>
          </w:p>
        </w:tc>
        <w:tc>
          <w:tcPr>
            <w:tcW w:w="520" w:type="dxa"/>
            <w:vAlign w:val="bottom"/>
            <w:tcBorders>
              <w:bottom w:val="single" w:sz="8" w:color="0C479D"/>
            </w:tcBorders>
          </w:tcPr>
          <w:p>
            <w:pPr>
              <w:spacing w:after="0"/>
              <w:rPr>
                <w:sz w:val="8"/>
                <w:szCs w:val="8"/>
                <w:color w:val="auto"/>
              </w:rPr>
            </w:pPr>
          </w:p>
        </w:tc>
        <w:tc>
          <w:tcPr>
            <w:tcW w:w="7460" w:type="dxa"/>
            <w:vAlign w:val="bottom"/>
            <w:tcBorders>
              <w:bottom w:val="single" w:sz="8" w:color="0C479D"/>
            </w:tcBorders>
          </w:tcPr>
          <w:p>
            <w:pPr>
              <w:spacing w:after="0"/>
              <w:rPr>
                <w:sz w:val="8"/>
                <w:szCs w:val="8"/>
                <w:color w:val="auto"/>
              </w:rPr>
            </w:pPr>
          </w:p>
        </w:tc>
      </w:tr>
      <w:tr>
        <w:trPr>
          <w:trHeight w:val="237"/>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0C479D"/>
              </w:rPr>
              <w:t>Neil A. Chapman</w:t>
            </w:r>
          </w:p>
        </w:tc>
        <w:tc>
          <w:tcPr>
            <w:tcW w:w="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62</w:t>
            </w:r>
          </w:p>
        </w:tc>
        <w:tc>
          <w:tcPr>
            <w:tcW w:w="74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0C479D"/>
              </w:rPr>
              <w:t xml:space="preserve">Senior Vice President </w:t>
            </w:r>
            <w:r>
              <w:rPr>
                <w:rFonts w:ascii="Times New Roman" w:cs="Times New Roman" w:eastAsia="Times New Roman" w:hAnsi="Times New Roman"/>
                <w:sz w:val="18"/>
                <w:szCs w:val="18"/>
                <w:color w:val="000000"/>
              </w:rPr>
              <w:t>(since January 1, 2018)</w:t>
            </w:r>
          </w:p>
        </w:tc>
      </w:tr>
      <w:tr>
        <w:trPr>
          <w:trHeight w:val="94"/>
        </w:trPr>
        <w:tc>
          <w:tcPr>
            <w:tcW w:w="1720" w:type="dxa"/>
            <w:vAlign w:val="bottom"/>
            <w:tcBorders>
              <w:bottom w:val="single" w:sz="8" w:color="0C479D"/>
            </w:tcBorders>
          </w:tcPr>
          <w:p>
            <w:pPr>
              <w:spacing w:after="0"/>
              <w:rPr>
                <w:sz w:val="8"/>
                <w:szCs w:val="8"/>
                <w:color w:val="auto"/>
              </w:rPr>
            </w:pPr>
          </w:p>
        </w:tc>
        <w:tc>
          <w:tcPr>
            <w:tcW w:w="520" w:type="dxa"/>
            <w:vAlign w:val="bottom"/>
            <w:tcBorders>
              <w:bottom w:val="single" w:sz="8" w:color="0C479D"/>
            </w:tcBorders>
          </w:tcPr>
          <w:p>
            <w:pPr>
              <w:spacing w:after="0"/>
              <w:rPr>
                <w:sz w:val="8"/>
                <w:szCs w:val="8"/>
                <w:color w:val="auto"/>
              </w:rPr>
            </w:pPr>
          </w:p>
        </w:tc>
        <w:tc>
          <w:tcPr>
            <w:tcW w:w="7460" w:type="dxa"/>
            <w:vAlign w:val="bottom"/>
            <w:tcBorders>
              <w:bottom w:val="single" w:sz="8" w:color="0C479D"/>
            </w:tcBorders>
          </w:tcPr>
          <w:p>
            <w:pPr>
              <w:spacing w:after="0"/>
              <w:rPr>
                <w:sz w:val="8"/>
                <w:szCs w:val="8"/>
                <w:color w:val="auto"/>
              </w:rPr>
            </w:pPr>
          </w:p>
        </w:tc>
      </w:tr>
      <w:tr>
        <w:trPr>
          <w:trHeight w:val="178"/>
        </w:trPr>
        <w:tc>
          <w:tcPr>
            <w:tcW w:w="1720" w:type="dxa"/>
            <w:vAlign w:val="bottom"/>
          </w:tcPr>
          <w:p>
            <w:pPr>
              <w:spacing w:after="0" w:line="177" w:lineRule="exact"/>
              <w:rPr>
                <w:sz w:val="20"/>
                <w:szCs w:val="20"/>
                <w:color w:val="auto"/>
              </w:rPr>
            </w:pPr>
            <w:r>
              <w:rPr>
                <w:rFonts w:ascii="Times New Roman" w:cs="Times New Roman" w:eastAsia="Times New Roman" w:hAnsi="Times New Roman"/>
                <w:sz w:val="18"/>
                <w:szCs w:val="18"/>
                <w:b w:val="1"/>
                <w:bCs w:val="1"/>
                <w:color w:val="0C479D"/>
              </w:rPr>
              <w:t>Kathryn A. Mikells</w:t>
            </w:r>
          </w:p>
        </w:tc>
        <w:tc>
          <w:tcPr>
            <w:tcW w:w="520" w:type="dxa"/>
            <w:vAlign w:val="bottom"/>
          </w:tcPr>
          <w:p>
            <w:pPr>
              <w:jc w:val="center"/>
              <w:ind w:left="10"/>
              <w:spacing w:after="0" w:line="177" w:lineRule="exact"/>
              <w:rPr>
                <w:sz w:val="20"/>
                <w:szCs w:val="20"/>
                <w:color w:val="auto"/>
              </w:rPr>
            </w:pPr>
            <w:r>
              <w:rPr>
                <w:rFonts w:ascii="Times New Roman" w:cs="Times New Roman" w:eastAsia="Times New Roman" w:hAnsi="Times New Roman"/>
                <w:sz w:val="18"/>
                <w:szCs w:val="18"/>
                <w:color w:val="auto"/>
                <w:w w:val="99"/>
              </w:rPr>
              <w:t>59</w:t>
            </w:r>
          </w:p>
        </w:tc>
        <w:tc>
          <w:tcPr>
            <w:tcW w:w="746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b w:val="1"/>
                <w:bCs w:val="1"/>
                <w:color w:val="0C479D"/>
              </w:rPr>
              <w:t xml:space="preserve">Senior Vice President and Chief Financial Officer </w:t>
            </w:r>
            <w:r>
              <w:rPr>
                <w:rFonts w:ascii="Times New Roman" w:cs="Times New Roman" w:eastAsia="Times New Roman" w:hAnsi="Times New Roman"/>
                <w:sz w:val="18"/>
                <w:szCs w:val="18"/>
                <w:color w:val="000000"/>
              </w:rPr>
              <w:t>(since August 9, 2021)</w:t>
            </w:r>
          </w:p>
        </w:tc>
      </w:tr>
      <w:tr>
        <w:trPr>
          <w:trHeight w:val="180"/>
        </w:trPr>
        <w:tc>
          <w:tcPr>
            <w:tcW w:w="1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6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Chief Financial Officer and a member of the board of directors for Diageo plc</w:t>
            </w:r>
          </w:p>
        </w:tc>
      </w:tr>
      <w:tr>
        <w:trPr>
          <w:trHeight w:val="234"/>
        </w:trPr>
        <w:tc>
          <w:tcPr>
            <w:tcW w:w="1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(November 2015 - June 2021)</w:t>
            </w:r>
          </w:p>
        </w:tc>
      </w:tr>
      <w:tr>
        <w:trPr>
          <w:trHeight w:val="117"/>
        </w:trPr>
        <w:tc>
          <w:tcPr>
            <w:tcW w:w="1720" w:type="dxa"/>
            <w:vAlign w:val="bottom"/>
            <w:tcBorders>
              <w:bottom w:val="single" w:sz="8" w:color="0C479D"/>
            </w:tcBorders>
          </w:tcPr>
          <w:p>
            <w:pPr>
              <w:spacing w:after="0"/>
              <w:rPr>
                <w:sz w:val="10"/>
                <w:szCs w:val="10"/>
                <w:color w:val="auto"/>
              </w:rPr>
            </w:pPr>
          </w:p>
        </w:tc>
        <w:tc>
          <w:tcPr>
            <w:tcW w:w="520" w:type="dxa"/>
            <w:vAlign w:val="bottom"/>
            <w:tcBorders>
              <w:bottom w:val="single" w:sz="8" w:color="0C479D"/>
            </w:tcBorders>
          </w:tcPr>
          <w:p>
            <w:pPr>
              <w:spacing w:after="0"/>
              <w:rPr>
                <w:sz w:val="10"/>
                <w:szCs w:val="10"/>
                <w:color w:val="auto"/>
              </w:rPr>
            </w:pPr>
          </w:p>
        </w:tc>
        <w:tc>
          <w:tcPr>
            <w:tcW w:w="7460" w:type="dxa"/>
            <w:vAlign w:val="bottom"/>
            <w:tcBorders>
              <w:bottom w:val="single" w:sz="8" w:color="0C479D"/>
            </w:tcBorders>
          </w:tcPr>
          <w:p>
            <w:pPr>
              <w:spacing w:after="0"/>
              <w:rPr>
                <w:sz w:val="10"/>
                <w:szCs w:val="10"/>
                <w:color w:val="auto"/>
              </w:rPr>
            </w:pPr>
          </w:p>
        </w:tc>
      </w:tr>
      <w:tr>
        <w:trPr>
          <w:trHeight w:val="232"/>
        </w:trPr>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0C479D"/>
              </w:rPr>
              <w:t>Jack P. Williams, Jr.</w:t>
            </w:r>
          </w:p>
        </w:tc>
        <w:tc>
          <w:tcPr>
            <w:tcW w:w="52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61</w:t>
            </w:r>
          </w:p>
        </w:tc>
        <w:tc>
          <w:tcPr>
            <w:tcW w:w="74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0C479D"/>
              </w:rPr>
              <w:t xml:space="preserve">Senior Vice President </w:t>
            </w:r>
            <w:r>
              <w:rPr>
                <w:rFonts w:ascii="Times New Roman" w:cs="Times New Roman" w:eastAsia="Times New Roman" w:hAnsi="Times New Roman"/>
                <w:sz w:val="18"/>
                <w:szCs w:val="18"/>
                <w:color w:val="000000"/>
              </w:rPr>
              <w:t>(since June 1, 2014)</w:t>
            </w:r>
          </w:p>
        </w:tc>
      </w:tr>
      <w:tr>
        <w:trPr>
          <w:trHeight w:val="99"/>
        </w:trPr>
        <w:tc>
          <w:tcPr>
            <w:tcW w:w="1720" w:type="dxa"/>
            <w:vAlign w:val="bottom"/>
            <w:tcBorders>
              <w:bottom w:val="single" w:sz="8" w:color="0C479D"/>
            </w:tcBorders>
          </w:tcPr>
          <w:p>
            <w:pPr>
              <w:spacing w:after="0"/>
              <w:rPr>
                <w:sz w:val="8"/>
                <w:szCs w:val="8"/>
                <w:color w:val="auto"/>
              </w:rPr>
            </w:pPr>
          </w:p>
        </w:tc>
        <w:tc>
          <w:tcPr>
            <w:tcW w:w="520" w:type="dxa"/>
            <w:vAlign w:val="bottom"/>
            <w:tcBorders>
              <w:bottom w:val="single" w:sz="8" w:color="0C479D"/>
            </w:tcBorders>
          </w:tcPr>
          <w:p>
            <w:pPr>
              <w:spacing w:after="0"/>
              <w:rPr>
                <w:sz w:val="8"/>
                <w:szCs w:val="8"/>
                <w:color w:val="auto"/>
              </w:rPr>
            </w:pPr>
          </w:p>
        </w:tc>
        <w:tc>
          <w:tcPr>
            <w:tcW w:w="7460" w:type="dxa"/>
            <w:vAlign w:val="bottom"/>
            <w:tcBorders>
              <w:bottom w:val="single" w:sz="8" w:color="0C479D"/>
            </w:tcBorders>
          </w:tcPr>
          <w:p>
            <w:pPr>
              <w:spacing w:after="0"/>
              <w:rPr>
                <w:sz w:val="8"/>
                <w:szCs w:val="8"/>
                <w:color w:val="auto"/>
              </w:rPr>
            </w:pPr>
          </w:p>
        </w:tc>
      </w:tr>
      <w:tr>
        <w:trPr>
          <w:trHeight w:val="178"/>
        </w:trPr>
        <w:tc>
          <w:tcPr>
            <w:tcW w:w="1720" w:type="dxa"/>
            <w:vAlign w:val="bottom"/>
          </w:tcPr>
          <w:p>
            <w:pPr>
              <w:spacing w:after="0" w:line="177" w:lineRule="exact"/>
              <w:rPr>
                <w:sz w:val="20"/>
                <w:szCs w:val="20"/>
                <w:color w:val="auto"/>
              </w:rPr>
            </w:pPr>
            <w:r>
              <w:rPr>
                <w:rFonts w:ascii="Times New Roman" w:cs="Times New Roman" w:eastAsia="Times New Roman" w:hAnsi="Times New Roman"/>
                <w:sz w:val="18"/>
                <w:szCs w:val="18"/>
                <w:b w:val="1"/>
                <w:bCs w:val="1"/>
                <w:color w:val="0C479D"/>
              </w:rPr>
              <w:t>Daniel L. Ammann</w:t>
            </w:r>
          </w:p>
        </w:tc>
        <w:tc>
          <w:tcPr>
            <w:tcW w:w="520" w:type="dxa"/>
            <w:vAlign w:val="bottom"/>
          </w:tcPr>
          <w:p>
            <w:pPr>
              <w:jc w:val="center"/>
              <w:ind w:left="10"/>
              <w:spacing w:after="0" w:line="177" w:lineRule="exact"/>
              <w:rPr>
                <w:sz w:val="20"/>
                <w:szCs w:val="20"/>
                <w:color w:val="auto"/>
              </w:rPr>
            </w:pPr>
            <w:r>
              <w:rPr>
                <w:rFonts w:ascii="Times New Roman" w:cs="Times New Roman" w:eastAsia="Times New Roman" w:hAnsi="Times New Roman"/>
                <w:sz w:val="18"/>
                <w:szCs w:val="18"/>
                <w:color w:val="auto"/>
                <w:w w:val="99"/>
              </w:rPr>
              <w:t>52</w:t>
            </w:r>
          </w:p>
        </w:tc>
        <w:tc>
          <w:tcPr>
            <w:tcW w:w="746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b w:val="1"/>
                <w:bCs w:val="1"/>
                <w:color w:val="0C479D"/>
              </w:rPr>
              <w:t xml:space="preserve">Vice President </w:t>
            </w:r>
            <w:r>
              <w:rPr>
                <w:rFonts w:ascii="Times New Roman" w:cs="Times New Roman" w:eastAsia="Times New Roman" w:hAnsi="Times New Roman"/>
                <w:sz w:val="18"/>
                <w:szCs w:val="18"/>
                <w:color w:val="000000"/>
              </w:rPr>
              <w:t>(since May 1, 2022)</w:t>
            </w:r>
          </w:p>
        </w:tc>
      </w:tr>
      <w:tr>
        <w:trPr>
          <w:trHeight w:val="180"/>
        </w:trPr>
        <w:tc>
          <w:tcPr>
            <w:tcW w:w="1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6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President, ExxonMobil Upstream Company (since February 1, 2025)</w:t>
            </w:r>
          </w:p>
        </w:tc>
      </w:tr>
      <w:tr>
        <w:trPr>
          <w:trHeight w:val="176"/>
        </w:trPr>
        <w:tc>
          <w:tcPr>
            <w:tcW w:w="1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6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President, Low Carbon Solutions (May 1, 2022 - December 31, 2024)</w:t>
            </w:r>
          </w:p>
        </w:tc>
      </w:tr>
      <w:tr>
        <w:trPr>
          <w:trHeight w:val="234"/>
        </w:trPr>
        <w:tc>
          <w:tcPr>
            <w:tcW w:w="1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Executive Officer, Cruise LLC (January 2019 - December 2021)</w:t>
            </w:r>
          </w:p>
        </w:tc>
      </w:tr>
      <w:tr>
        <w:trPr>
          <w:trHeight w:val="117"/>
        </w:trPr>
        <w:tc>
          <w:tcPr>
            <w:tcW w:w="1720" w:type="dxa"/>
            <w:vAlign w:val="bottom"/>
            <w:tcBorders>
              <w:bottom w:val="single" w:sz="8" w:color="0C479D"/>
            </w:tcBorders>
          </w:tcPr>
          <w:p>
            <w:pPr>
              <w:spacing w:after="0"/>
              <w:rPr>
                <w:sz w:val="10"/>
                <w:szCs w:val="10"/>
                <w:color w:val="auto"/>
              </w:rPr>
            </w:pPr>
          </w:p>
        </w:tc>
        <w:tc>
          <w:tcPr>
            <w:tcW w:w="520" w:type="dxa"/>
            <w:vAlign w:val="bottom"/>
            <w:tcBorders>
              <w:bottom w:val="single" w:sz="8" w:color="0C479D"/>
            </w:tcBorders>
          </w:tcPr>
          <w:p>
            <w:pPr>
              <w:spacing w:after="0"/>
              <w:rPr>
                <w:sz w:val="10"/>
                <w:szCs w:val="10"/>
                <w:color w:val="auto"/>
              </w:rPr>
            </w:pPr>
          </w:p>
        </w:tc>
        <w:tc>
          <w:tcPr>
            <w:tcW w:w="7460" w:type="dxa"/>
            <w:vAlign w:val="bottom"/>
            <w:tcBorders>
              <w:bottom w:val="single" w:sz="8" w:color="0C479D"/>
            </w:tcBorders>
          </w:tcPr>
          <w:p>
            <w:pPr>
              <w:spacing w:after="0"/>
              <w:rPr>
                <w:sz w:val="10"/>
                <w:szCs w:val="10"/>
                <w:color w:val="auto"/>
              </w:rPr>
            </w:pPr>
          </w:p>
        </w:tc>
      </w:tr>
      <w:tr>
        <w:trPr>
          <w:trHeight w:val="178"/>
        </w:trPr>
        <w:tc>
          <w:tcPr>
            <w:tcW w:w="1720" w:type="dxa"/>
            <w:vAlign w:val="bottom"/>
          </w:tcPr>
          <w:p>
            <w:pPr>
              <w:spacing w:after="0" w:line="177" w:lineRule="exact"/>
              <w:rPr>
                <w:sz w:val="20"/>
                <w:szCs w:val="20"/>
                <w:color w:val="auto"/>
              </w:rPr>
            </w:pPr>
            <w:r>
              <w:rPr>
                <w:rFonts w:ascii="Times New Roman" w:cs="Times New Roman" w:eastAsia="Times New Roman" w:hAnsi="Times New Roman"/>
                <w:sz w:val="18"/>
                <w:szCs w:val="18"/>
                <w:b w:val="1"/>
                <w:bCs w:val="1"/>
                <w:color w:val="0C479D"/>
              </w:rPr>
              <w:t>James R. Chapman</w:t>
            </w:r>
          </w:p>
        </w:tc>
        <w:tc>
          <w:tcPr>
            <w:tcW w:w="520" w:type="dxa"/>
            <w:vAlign w:val="bottom"/>
          </w:tcPr>
          <w:p>
            <w:pPr>
              <w:jc w:val="center"/>
              <w:ind w:left="10"/>
              <w:spacing w:after="0" w:line="177" w:lineRule="exact"/>
              <w:rPr>
                <w:sz w:val="20"/>
                <w:szCs w:val="20"/>
                <w:color w:val="auto"/>
              </w:rPr>
            </w:pPr>
            <w:r>
              <w:rPr>
                <w:rFonts w:ascii="Times New Roman" w:cs="Times New Roman" w:eastAsia="Times New Roman" w:hAnsi="Times New Roman"/>
                <w:sz w:val="18"/>
                <w:szCs w:val="18"/>
                <w:color w:val="auto"/>
                <w:w w:val="99"/>
              </w:rPr>
              <w:t>55</w:t>
            </w:r>
          </w:p>
        </w:tc>
        <w:tc>
          <w:tcPr>
            <w:tcW w:w="746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b w:val="1"/>
                <w:bCs w:val="1"/>
                <w:color w:val="0C479D"/>
              </w:rPr>
              <w:t xml:space="preserve">Vice President, Treasurer and Investor Relations </w:t>
            </w:r>
            <w:r>
              <w:rPr>
                <w:rFonts w:ascii="Times New Roman" w:cs="Times New Roman" w:eastAsia="Times New Roman" w:hAnsi="Times New Roman"/>
                <w:sz w:val="18"/>
                <w:szCs w:val="18"/>
                <w:color w:val="000000"/>
              </w:rPr>
              <w:t>(since May 1, 2024)</w:t>
            </w:r>
          </w:p>
        </w:tc>
      </w:tr>
      <w:tr>
        <w:trPr>
          <w:trHeight w:val="180"/>
        </w:trPr>
        <w:tc>
          <w:tcPr>
            <w:tcW w:w="1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6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Vice President, Tax and Treasurer (November 28, 2022 - April 30, 2024)</w:t>
            </w:r>
          </w:p>
        </w:tc>
      </w:tr>
      <w:tr>
        <w:trPr>
          <w:trHeight w:val="175"/>
        </w:trPr>
        <w:tc>
          <w:tcPr>
            <w:tcW w:w="1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6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Dominion Energy, Inc. (prior to November 28, 2022):</w:t>
            </w:r>
          </w:p>
        </w:tc>
      </w:tr>
      <w:tr>
        <w:trPr>
          <w:trHeight w:val="234"/>
        </w:trPr>
        <w:tc>
          <w:tcPr>
            <w:tcW w:w="1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 (January 2019 - November 2022)</w:t>
            </w:r>
          </w:p>
        </w:tc>
      </w:tr>
      <w:tr>
        <w:trPr>
          <w:trHeight w:val="171"/>
        </w:trPr>
        <w:tc>
          <w:tcPr>
            <w:tcW w:w="1720" w:type="dxa"/>
            <w:vAlign w:val="bottom"/>
            <w:tcBorders>
              <w:bottom w:val="single" w:sz="8" w:color="0C479D"/>
            </w:tcBorders>
          </w:tcPr>
          <w:p>
            <w:pPr>
              <w:spacing w:after="0"/>
              <w:rPr>
                <w:sz w:val="14"/>
                <w:szCs w:val="14"/>
                <w:color w:val="auto"/>
              </w:rPr>
            </w:pPr>
          </w:p>
        </w:tc>
        <w:tc>
          <w:tcPr>
            <w:tcW w:w="520" w:type="dxa"/>
            <w:vAlign w:val="bottom"/>
            <w:tcBorders>
              <w:bottom w:val="single" w:sz="8" w:color="0C479D"/>
            </w:tcBorders>
          </w:tcPr>
          <w:p>
            <w:pPr>
              <w:spacing w:after="0"/>
              <w:rPr>
                <w:sz w:val="14"/>
                <w:szCs w:val="14"/>
                <w:color w:val="auto"/>
              </w:rPr>
            </w:pPr>
          </w:p>
        </w:tc>
        <w:tc>
          <w:tcPr>
            <w:tcW w:w="7460" w:type="dxa"/>
            <w:vAlign w:val="bottom"/>
            <w:tcBorders>
              <w:bottom w:val="single" w:sz="8" w:color="0C479D"/>
            </w:tcBorders>
          </w:tcPr>
          <w:p>
            <w:pPr>
              <w:spacing w:after="0"/>
              <w:rPr>
                <w:sz w:val="14"/>
                <w:szCs w:val="14"/>
                <w:color w:val="auto"/>
              </w:rPr>
            </w:pPr>
          </w:p>
        </w:tc>
      </w:tr>
      <w:tr>
        <w:trPr>
          <w:trHeight w:val="178"/>
        </w:trPr>
        <w:tc>
          <w:tcPr>
            <w:tcW w:w="1720" w:type="dxa"/>
            <w:vAlign w:val="bottom"/>
          </w:tcPr>
          <w:p>
            <w:pPr>
              <w:spacing w:after="0" w:line="177" w:lineRule="exact"/>
              <w:rPr>
                <w:sz w:val="20"/>
                <w:szCs w:val="20"/>
                <w:color w:val="auto"/>
              </w:rPr>
            </w:pPr>
            <w:r>
              <w:rPr>
                <w:rFonts w:ascii="Times New Roman" w:cs="Times New Roman" w:eastAsia="Times New Roman" w:hAnsi="Times New Roman"/>
                <w:sz w:val="18"/>
                <w:szCs w:val="18"/>
                <w:b w:val="1"/>
                <w:bCs w:val="1"/>
                <w:color w:val="0C479D"/>
              </w:rPr>
              <w:t>Len M. Fox</w:t>
            </w:r>
          </w:p>
        </w:tc>
        <w:tc>
          <w:tcPr>
            <w:tcW w:w="520" w:type="dxa"/>
            <w:vAlign w:val="bottom"/>
          </w:tcPr>
          <w:p>
            <w:pPr>
              <w:jc w:val="center"/>
              <w:ind w:left="10"/>
              <w:spacing w:after="0" w:line="177" w:lineRule="exact"/>
              <w:rPr>
                <w:sz w:val="20"/>
                <w:szCs w:val="20"/>
                <w:color w:val="auto"/>
              </w:rPr>
            </w:pPr>
            <w:r>
              <w:rPr>
                <w:rFonts w:ascii="Times New Roman" w:cs="Times New Roman" w:eastAsia="Times New Roman" w:hAnsi="Times New Roman"/>
                <w:sz w:val="18"/>
                <w:szCs w:val="18"/>
                <w:color w:val="auto"/>
                <w:w w:val="99"/>
              </w:rPr>
              <w:t>61</w:t>
            </w:r>
          </w:p>
        </w:tc>
        <w:tc>
          <w:tcPr>
            <w:tcW w:w="746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b w:val="1"/>
                <w:bCs w:val="1"/>
                <w:color w:val="0C479D"/>
              </w:rPr>
              <w:t xml:space="preserve">Vice President, Controller and Tax </w:t>
            </w:r>
            <w:r>
              <w:rPr>
                <w:rFonts w:ascii="Times New Roman" w:cs="Times New Roman" w:eastAsia="Times New Roman" w:hAnsi="Times New Roman"/>
                <w:sz w:val="18"/>
                <w:szCs w:val="18"/>
                <w:color w:val="000000"/>
              </w:rPr>
              <w:t>(since May 1, 2024)</w:t>
            </w:r>
          </w:p>
        </w:tc>
      </w:tr>
      <w:tr>
        <w:trPr>
          <w:trHeight w:val="180"/>
        </w:trPr>
        <w:tc>
          <w:tcPr>
            <w:tcW w:w="1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6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Vice President and Controller (March 1, 2021 - April 30, 2024)</w:t>
            </w:r>
          </w:p>
        </w:tc>
      </w:tr>
      <w:tr>
        <w:trPr>
          <w:trHeight w:val="175"/>
        </w:trPr>
        <w:tc>
          <w:tcPr>
            <w:tcW w:w="1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6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Assistant Treasurer, Exxon Mobil Corporation (February 1, 2020 - December 31, 2020)</w:t>
            </w:r>
          </w:p>
        </w:tc>
      </w:tr>
      <w:tr>
        <w:trPr>
          <w:trHeight w:val="234"/>
        </w:trPr>
        <w:tc>
          <w:tcPr>
            <w:tcW w:w="1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Vice President, Chemical Business Services and Treasurer (June 1, 2015 - January 31, 2020)</w:t>
            </w:r>
          </w:p>
        </w:tc>
      </w:tr>
      <w:tr>
        <w:trPr>
          <w:trHeight w:val="171"/>
        </w:trPr>
        <w:tc>
          <w:tcPr>
            <w:tcW w:w="1720" w:type="dxa"/>
            <w:vAlign w:val="bottom"/>
            <w:tcBorders>
              <w:bottom w:val="single" w:sz="8" w:color="0C479D"/>
            </w:tcBorders>
          </w:tcPr>
          <w:p>
            <w:pPr>
              <w:spacing w:after="0"/>
              <w:rPr>
                <w:sz w:val="14"/>
                <w:szCs w:val="14"/>
                <w:color w:val="auto"/>
              </w:rPr>
            </w:pPr>
          </w:p>
        </w:tc>
        <w:tc>
          <w:tcPr>
            <w:tcW w:w="520" w:type="dxa"/>
            <w:vAlign w:val="bottom"/>
            <w:tcBorders>
              <w:bottom w:val="single" w:sz="8" w:color="0C479D"/>
            </w:tcBorders>
          </w:tcPr>
          <w:p>
            <w:pPr>
              <w:spacing w:after="0"/>
              <w:rPr>
                <w:sz w:val="14"/>
                <w:szCs w:val="14"/>
                <w:color w:val="auto"/>
              </w:rPr>
            </w:pPr>
          </w:p>
        </w:tc>
        <w:tc>
          <w:tcPr>
            <w:tcW w:w="7460" w:type="dxa"/>
            <w:vAlign w:val="bottom"/>
            <w:tcBorders>
              <w:bottom w:val="single" w:sz="8" w:color="0C479D"/>
            </w:tcBorders>
          </w:tcPr>
          <w:p>
            <w:pPr>
              <w:spacing w:after="0"/>
              <w:rPr>
                <w:sz w:val="14"/>
                <w:szCs w:val="14"/>
                <w:color w:val="auto"/>
              </w:rPr>
            </w:pPr>
          </w:p>
        </w:tc>
      </w:tr>
      <w:tr>
        <w:trPr>
          <w:trHeight w:val="178"/>
        </w:trPr>
        <w:tc>
          <w:tcPr>
            <w:tcW w:w="1720" w:type="dxa"/>
            <w:vAlign w:val="bottom"/>
          </w:tcPr>
          <w:p>
            <w:pPr>
              <w:spacing w:after="0" w:line="177" w:lineRule="exact"/>
              <w:rPr>
                <w:sz w:val="20"/>
                <w:szCs w:val="20"/>
                <w:color w:val="auto"/>
              </w:rPr>
            </w:pPr>
            <w:r>
              <w:rPr>
                <w:rFonts w:ascii="Times New Roman" w:cs="Times New Roman" w:eastAsia="Times New Roman" w:hAnsi="Times New Roman"/>
                <w:sz w:val="18"/>
                <w:szCs w:val="18"/>
                <w:b w:val="1"/>
                <w:bCs w:val="1"/>
                <w:color w:val="0C479D"/>
              </w:rPr>
              <w:t>Jon M. Gibbs</w:t>
            </w:r>
          </w:p>
        </w:tc>
        <w:tc>
          <w:tcPr>
            <w:tcW w:w="520" w:type="dxa"/>
            <w:vAlign w:val="bottom"/>
          </w:tcPr>
          <w:p>
            <w:pPr>
              <w:jc w:val="center"/>
              <w:ind w:left="10"/>
              <w:spacing w:after="0" w:line="177" w:lineRule="exact"/>
              <w:rPr>
                <w:sz w:val="20"/>
                <w:szCs w:val="20"/>
                <w:color w:val="auto"/>
              </w:rPr>
            </w:pPr>
            <w:r>
              <w:rPr>
                <w:rFonts w:ascii="Times New Roman" w:cs="Times New Roman" w:eastAsia="Times New Roman" w:hAnsi="Times New Roman"/>
                <w:sz w:val="18"/>
                <w:szCs w:val="18"/>
                <w:color w:val="auto"/>
                <w:w w:val="99"/>
              </w:rPr>
              <w:t>53</w:t>
            </w:r>
          </w:p>
        </w:tc>
        <w:tc>
          <w:tcPr>
            <w:tcW w:w="746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b w:val="1"/>
                <w:bCs w:val="1"/>
                <w:color w:val="0C479D"/>
              </w:rPr>
              <w:t xml:space="preserve">President, ExxonMobil Global Projects Company </w:t>
            </w:r>
            <w:r>
              <w:rPr>
                <w:rFonts w:ascii="Times New Roman" w:cs="Times New Roman" w:eastAsia="Times New Roman" w:hAnsi="Times New Roman"/>
                <w:sz w:val="18"/>
                <w:szCs w:val="18"/>
                <w:color w:val="000000"/>
              </w:rPr>
              <w:t>(since April 1, 2021)</w:t>
            </w:r>
          </w:p>
        </w:tc>
      </w:tr>
      <w:tr>
        <w:trPr>
          <w:trHeight w:val="180"/>
        </w:trPr>
        <w:tc>
          <w:tcPr>
            <w:tcW w:w="1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6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Senior Vice President, Global Project Delivery, ExxonMobil Global Projects Company</w:t>
            </w:r>
          </w:p>
        </w:tc>
      </w:tr>
      <w:tr>
        <w:trPr>
          <w:trHeight w:val="175"/>
        </w:trPr>
        <w:tc>
          <w:tcPr>
            <w:tcW w:w="1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6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(July 1, 2020 - March 31, 2021)</w:t>
            </w:r>
          </w:p>
        </w:tc>
      </w:tr>
      <w:tr>
        <w:trPr>
          <w:trHeight w:val="234"/>
        </w:trPr>
        <w:tc>
          <w:tcPr>
            <w:tcW w:w="1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President, ExxonMobil Global Services Company (April 1, 2019 - June 30, 2020)</w:t>
            </w:r>
          </w:p>
        </w:tc>
      </w:tr>
      <w:tr>
        <w:trPr>
          <w:trHeight w:val="117"/>
        </w:trPr>
        <w:tc>
          <w:tcPr>
            <w:tcW w:w="1720" w:type="dxa"/>
            <w:vAlign w:val="bottom"/>
            <w:tcBorders>
              <w:bottom w:val="single" w:sz="8" w:color="0C479D"/>
            </w:tcBorders>
          </w:tcPr>
          <w:p>
            <w:pPr>
              <w:spacing w:after="0"/>
              <w:rPr>
                <w:sz w:val="10"/>
                <w:szCs w:val="10"/>
                <w:color w:val="auto"/>
              </w:rPr>
            </w:pPr>
          </w:p>
        </w:tc>
        <w:tc>
          <w:tcPr>
            <w:tcW w:w="520" w:type="dxa"/>
            <w:vAlign w:val="bottom"/>
            <w:tcBorders>
              <w:bottom w:val="single" w:sz="8" w:color="0C479D"/>
            </w:tcBorders>
          </w:tcPr>
          <w:p>
            <w:pPr>
              <w:spacing w:after="0"/>
              <w:rPr>
                <w:sz w:val="10"/>
                <w:szCs w:val="10"/>
                <w:color w:val="auto"/>
              </w:rPr>
            </w:pPr>
          </w:p>
        </w:tc>
        <w:tc>
          <w:tcPr>
            <w:tcW w:w="7460" w:type="dxa"/>
            <w:vAlign w:val="bottom"/>
            <w:tcBorders>
              <w:bottom w:val="single" w:sz="8" w:color="0C479D"/>
            </w:tcBorders>
          </w:tcPr>
          <w:p>
            <w:pPr>
              <w:spacing w:after="0"/>
              <w:rPr>
                <w:sz w:val="10"/>
                <w:szCs w:val="10"/>
                <w:color w:val="auto"/>
              </w:rPr>
            </w:pPr>
          </w:p>
        </w:tc>
      </w:tr>
      <w:tr>
        <w:trPr>
          <w:trHeight w:val="178"/>
        </w:trPr>
        <w:tc>
          <w:tcPr>
            <w:tcW w:w="1720" w:type="dxa"/>
            <w:vAlign w:val="bottom"/>
          </w:tcPr>
          <w:p>
            <w:pPr>
              <w:spacing w:after="0" w:line="177" w:lineRule="exact"/>
              <w:rPr>
                <w:sz w:val="20"/>
                <w:szCs w:val="20"/>
                <w:color w:val="auto"/>
              </w:rPr>
            </w:pPr>
            <w:r>
              <w:rPr>
                <w:rFonts w:ascii="Times New Roman" w:cs="Times New Roman" w:eastAsia="Times New Roman" w:hAnsi="Times New Roman"/>
                <w:sz w:val="18"/>
                <w:szCs w:val="18"/>
                <w:b w:val="1"/>
                <w:bCs w:val="1"/>
                <w:color w:val="0C479D"/>
              </w:rPr>
              <w:t>Karen T. McKee</w:t>
            </w:r>
          </w:p>
        </w:tc>
        <w:tc>
          <w:tcPr>
            <w:tcW w:w="520" w:type="dxa"/>
            <w:vAlign w:val="bottom"/>
          </w:tcPr>
          <w:p>
            <w:pPr>
              <w:jc w:val="center"/>
              <w:ind w:left="10"/>
              <w:spacing w:after="0" w:line="177" w:lineRule="exact"/>
              <w:rPr>
                <w:sz w:val="20"/>
                <w:szCs w:val="20"/>
                <w:color w:val="auto"/>
              </w:rPr>
            </w:pPr>
            <w:r>
              <w:rPr>
                <w:rFonts w:ascii="Times New Roman" w:cs="Times New Roman" w:eastAsia="Times New Roman" w:hAnsi="Times New Roman"/>
                <w:sz w:val="18"/>
                <w:szCs w:val="18"/>
                <w:color w:val="auto"/>
                <w:w w:val="99"/>
              </w:rPr>
              <w:t>58</w:t>
            </w:r>
          </w:p>
        </w:tc>
        <w:tc>
          <w:tcPr>
            <w:tcW w:w="746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b w:val="1"/>
                <w:bCs w:val="1"/>
                <w:color w:val="0C479D"/>
              </w:rPr>
              <w:t xml:space="preserve">Vice President </w:t>
            </w:r>
            <w:r>
              <w:rPr>
                <w:rFonts w:ascii="Times New Roman" w:cs="Times New Roman" w:eastAsia="Times New Roman" w:hAnsi="Times New Roman"/>
                <w:sz w:val="18"/>
                <w:szCs w:val="18"/>
                <w:color w:val="000000"/>
              </w:rPr>
              <w:t>(since April 1, 2019)</w:t>
            </w:r>
          </w:p>
        </w:tc>
      </w:tr>
      <w:tr>
        <w:trPr>
          <w:trHeight w:val="180"/>
        </w:trPr>
        <w:tc>
          <w:tcPr>
            <w:tcW w:w="1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6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President, ExxonMobil Product Solutions Company (since April 1, 2022)</w:t>
            </w:r>
          </w:p>
        </w:tc>
      </w:tr>
      <w:tr>
        <w:trPr>
          <w:trHeight w:val="234"/>
        </w:trPr>
        <w:tc>
          <w:tcPr>
            <w:tcW w:w="1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President, ExxonMobil Chemical Company (April 1, 2019 - March 31, 2022)</w:t>
            </w:r>
          </w:p>
        </w:tc>
      </w:tr>
      <w:tr>
        <w:trPr>
          <w:trHeight w:val="117"/>
        </w:trPr>
        <w:tc>
          <w:tcPr>
            <w:tcW w:w="1720" w:type="dxa"/>
            <w:vAlign w:val="bottom"/>
            <w:tcBorders>
              <w:bottom w:val="single" w:sz="8" w:color="0C479D"/>
            </w:tcBorders>
          </w:tcPr>
          <w:p>
            <w:pPr>
              <w:spacing w:after="0"/>
              <w:rPr>
                <w:sz w:val="10"/>
                <w:szCs w:val="10"/>
                <w:color w:val="auto"/>
              </w:rPr>
            </w:pPr>
          </w:p>
        </w:tc>
        <w:tc>
          <w:tcPr>
            <w:tcW w:w="520" w:type="dxa"/>
            <w:vAlign w:val="bottom"/>
            <w:tcBorders>
              <w:bottom w:val="single" w:sz="8" w:color="0C479D"/>
            </w:tcBorders>
          </w:tcPr>
          <w:p>
            <w:pPr>
              <w:spacing w:after="0"/>
              <w:rPr>
                <w:sz w:val="10"/>
                <w:szCs w:val="10"/>
                <w:color w:val="auto"/>
              </w:rPr>
            </w:pPr>
          </w:p>
        </w:tc>
        <w:tc>
          <w:tcPr>
            <w:tcW w:w="7460" w:type="dxa"/>
            <w:vAlign w:val="bottom"/>
            <w:tcBorders>
              <w:bottom w:val="single" w:sz="8" w:color="0C479D"/>
            </w:tcBorders>
          </w:tcPr>
          <w:p>
            <w:pPr>
              <w:spacing w:after="0"/>
              <w:rPr>
                <w:sz w:val="10"/>
                <w:szCs w:val="10"/>
                <w:color w:val="auto"/>
              </w:rPr>
            </w:pPr>
          </w:p>
        </w:tc>
      </w:tr>
      <w:tr>
        <w:trPr>
          <w:trHeight w:val="178"/>
        </w:trPr>
        <w:tc>
          <w:tcPr>
            <w:tcW w:w="1720" w:type="dxa"/>
            <w:vAlign w:val="bottom"/>
          </w:tcPr>
          <w:p>
            <w:pPr>
              <w:spacing w:after="0" w:line="177" w:lineRule="exact"/>
              <w:rPr>
                <w:sz w:val="20"/>
                <w:szCs w:val="20"/>
                <w:color w:val="auto"/>
              </w:rPr>
            </w:pPr>
            <w:r>
              <w:rPr>
                <w:rFonts w:ascii="Times New Roman" w:cs="Times New Roman" w:eastAsia="Times New Roman" w:hAnsi="Times New Roman"/>
                <w:sz w:val="18"/>
                <w:szCs w:val="18"/>
                <w:b w:val="1"/>
                <w:bCs w:val="1"/>
                <w:color w:val="0C479D"/>
              </w:rPr>
              <w:t>Darrin L. Talley</w:t>
            </w:r>
          </w:p>
        </w:tc>
        <w:tc>
          <w:tcPr>
            <w:tcW w:w="520" w:type="dxa"/>
            <w:vAlign w:val="bottom"/>
          </w:tcPr>
          <w:p>
            <w:pPr>
              <w:jc w:val="center"/>
              <w:ind w:left="10"/>
              <w:spacing w:after="0" w:line="177" w:lineRule="exact"/>
              <w:rPr>
                <w:sz w:val="20"/>
                <w:szCs w:val="20"/>
                <w:color w:val="auto"/>
              </w:rPr>
            </w:pPr>
            <w:r>
              <w:rPr>
                <w:rFonts w:ascii="Times New Roman" w:cs="Times New Roman" w:eastAsia="Times New Roman" w:hAnsi="Times New Roman"/>
                <w:sz w:val="18"/>
                <w:szCs w:val="18"/>
                <w:color w:val="auto"/>
                <w:w w:val="99"/>
              </w:rPr>
              <w:t>60</w:t>
            </w:r>
          </w:p>
        </w:tc>
        <w:tc>
          <w:tcPr>
            <w:tcW w:w="746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b w:val="1"/>
                <w:bCs w:val="1"/>
                <w:color w:val="0C479D"/>
              </w:rPr>
              <w:t xml:space="preserve">Vice President, Corporate Strategic Planning </w:t>
            </w:r>
            <w:r>
              <w:rPr>
                <w:rFonts w:ascii="Times New Roman" w:cs="Times New Roman" w:eastAsia="Times New Roman" w:hAnsi="Times New Roman"/>
                <w:sz w:val="18"/>
                <w:szCs w:val="18"/>
                <w:color w:val="000000"/>
              </w:rPr>
              <w:t>(since April 1, 2022)</w:t>
            </w:r>
          </w:p>
        </w:tc>
      </w:tr>
      <w:tr>
        <w:trPr>
          <w:trHeight w:val="180"/>
        </w:trPr>
        <w:tc>
          <w:tcPr>
            <w:tcW w:w="1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6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President, ExxonMobil Research and Engineering Company (April 1, 2020 - March 31, 2022)</w:t>
            </w:r>
          </w:p>
        </w:tc>
      </w:tr>
      <w:tr>
        <w:trPr>
          <w:trHeight w:val="234"/>
        </w:trPr>
        <w:tc>
          <w:tcPr>
            <w:tcW w:w="1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Manager, Corporate Strategy, Corporate Strategic Planning (March 15, 2017 - March 31, 2020)</w:t>
            </w:r>
          </w:p>
        </w:tc>
      </w:tr>
      <w:tr>
        <w:trPr>
          <w:trHeight w:val="117"/>
        </w:trPr>
        <w:tc>
          <w:tcPr>
            <w:tcW w:w="1720" w:type="dxa"/>
            <w:vAlign w:val="bottom"/>
            <w:tcBorders>
              <w:bottom w:val="single" w:sz="8" w:color="0C479D"/>
            </w:tcBorders>
          </w:tcPr>
          <w:p>
            <w:pPr>
              <w:spacing w:after="0"/>
              <w:rPr>
                <w:sz w:val="10"/>
                <w:szCs w:val="10"/>
                <w:color w:val="auto"/>
              </w:rPr>
            </w:pPr>
          </w:p>
        </w:tc>
        <w:tc>
          <w:tcPr>
            <w:tcW w:w="520" w:type="dxa"/>
            <w:vAlign w:val="bottom"/>
            <w:tcBorders>
              <w:bottom w:val="single" w:sz="8" w:color="0C479D"/>
            </w:tcBorders>
          </w:tcPr>
          <w:p>
            <w:pPr>
              <w:spacing w:after="0"/>
              <w:rPr>
                <w:sz w:val="10"/>
                <w:szCs w:val="10"/>
                <w:color w:val="auto"/>
              </w:rPr>
            </w:pPr>
          </w:p>
        </w:tc>
        <w:tc>
          <w:tcPr>
            <w:tcW w:w="7460" w:type="dxa"/>
            <w:vAlign w:val="bottom"/>
            <w:tcBorders>
              <w:bottom w:val="single" w:sz="8" w:color="0C479D"/>
            </w:tcBorders>
          </w:tcPr>
          <w:p>
            <w:pPr>
              <w:spacing w:after="0"/>
              <w:rPr>
                <w:sz w:val="10"/>
                <w:szCs w:val="10"/>
                <w:color w:val="auto"/>
              </w:rPr>
            </w:pPr>
          </w:p>
        </w:tc>
      </w:tr>
      <w:tr>
        <w:trPr>
          <w:trHeight w:val="178"/>
        </w:trPr>
        <w:tc>
          <w:tcPr>
            <w:tcW w:w="1720" w:type="dxa"/>
            <w:vAlign w:val="bottom"/>
          </w:tcPr>
          <w:p>
            <w:pPr>
              <w:spacing w:after="0" w:line="177" w:lineRule="exact"/>
              <w:rPr>
                <w:sz w:val="20"/>
                <w:szCs w:val="20"/>
                <w:color w:val="auto"/>
              </w:rPr>
            </w:pPr>
            <w:r>
              <w:rPr>
                <w:rFonts w:ascii="Times New Roman" w:cs="Times New Roman" w:eastAsia="Times New Roman" w:hAnsi="Times New Roman"/>
                <w:sz w:val="18"/>
                <w:szCs w:val="18"/>
                <w:b w:val="1"/>
                <w:bCs w:val="1"/>
                <w:color w:val="0C479D"/>
              </w:rPr>
              <w:t>Jeffrey A. Taylor</w:t>
            </w:r>
          </w:p>
        </w:tc>
        <w:tc>
          <w:tcPr>
            <w:tcW w:w="520" w:type="dxa"/>
            <w:vAlign w:val="bottom"/>
          </w:tcPr>
          <w:p>
            <w:pPr>
              <w:jc w:val="center"/>
              <w:ind w:left="10"/>
              <w:spacing w:after="0" w:line="177" w:lineRule="exact"/>
              <w:rPr>
                <w:sz w:val="20"/>
                <w:szCs w:val="20"/>
                <w:color w:val="auto"/>
              </w:rPr>
            </w:pPr>
            <w:r>
              <w:rPr>
                <w:rFonts w:ascii="Times New Roman" w:cs="Times New Roman" w:eastAsia="Times New Roman" w:hAnsi="Times New Roman"/>
                <w:sz w:val="18"/>
                <w:szCs w:val="18"/>
                <w:color w:val="auto"/>
                <w:w w:val="99"/>
              </w:rPr>
              <w:t>60</w:t>
            </w:r>
          </w:p>
        </w:tc>
        <w:tc>
          <w:tcPr>
            <w:tcW w:w="7460" w:type="dxa"/>
            <w:vAlign w:val="bottom"/>
          </w:tcPr>
          <w:p>
            <w:pPr>
              <w:ind w:left="80"/>
              <w:spacing w:after="0" w:line="177" w:lineRule="exact"/>
              <w:rPr>
                <w:sz w:val="20"/>
                <w:szCs w:val="20"/>
                <w:color w:val="auto"/>
              </w:rPr>
            </w:pPr>
            <w:r>
              <w:rPr>
                <w:rFonts w:ascii="Times New Roman" w:cs="Times New Roman" w:eastAsia="Times New Roman" w:hAnsi="Times New Roman"/>
                <w:sz w:val="18"/>
                <w:szCs w:val="18"/>
                <w:b w:val="1"/>
                <w:bCs w:val="1"/>
                <w:color w:val="0C479D"/>
              </w:rPr>
              <w:t xml:space="preserve">Vice President, General Counsel and Corporate Secretary </w:t>
            </w:r>
            <w:r>
              <w:rPr>
                <w:rFonts w:ascii="Times New Roman" w:cs="Times New Roman" w:eastAsia="Times New Roman" w:hAnsi="Times New Roman"/>
                <w:sz w:val="18"/>
                <w:szCs w:val="18"/>
                <w:color w:val="000000"/>
              </w:rPr>
              <w:t>(since July 1, 2024)</w:t>
            </w:r>
          </w:p>
        </w:tc>
      </w:tr>
      <w:tr>
        <w:trPr>
          <w:trHeight w:val="195"/>
        </w:trPr>
        <w:tc>
          <w:tcPr>
            <w:tcW w:w="1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60" w:type="dxa"/>
            <w:vAlign w:val="bottom"/>
          </w:tcPr>
          <w:p>
            <w:pPr>
              <w:ind w:left="80"/>
              <w:spacing w:after="0" w:line="195" w:lineRule="exact"/>
              <w:rPr>
                <w:sz w:val="20"/>
                <w:szCs w:val="20"/>
                <w:color w:val="auto"/>
              </w:rPr>
            </w:pPr>
            <w:r>
              <w:rPr>
                <w:rFonts w:ascii="Times New Roman" w:cs="Times New Roman" w:eastAsia="Times New Roman" w:hAnsi="Times New Roman"/>
                <w:sz w:val="18"/>
                <w:szCs w:val="18"/>
                <w:color w:val="auto"/>
              </w:rPr>
              <w:t>Deputy General Counsel (May 9, 2024 - June 30, 2024)</w:t>
            </w:r>
          </w:p>
        </w:tc>
      </w:tr>
    </w:tbl>
    <w:p>
      <w:pPr>
        <w:ind w:left="3100"/>
        <w:spacing w:after="0" w:line="203" w:lineRule="auto"/>
        <w:rPr>
          <w:sz w:val="20"/>
          <w:szCs w:val="20"/>
          <w:color w:val="auto"/>
        </w:rPr>
      </w:pPr>
      <w:r>
        <w:rPr>
          <w:rFonts w:ascii="Times New Roman" w:cs="Times New Roman" w:eastAsia="Times New Roman" w:hAnsi="Times New Roman"/>
          <w:sz w:val="18"/>
          <w:szCs w:val="18"/>
          <w:color w:val="auto"/>
        </w:rPr>
        <w:t>Executive Vice President and General Counsel, Fox Corporation (March 1, 2021 - May 8, 2024)</w:t>
      </w:r>
    </w:p>
    <w:p>
      <w:pPr>
        <w:ind w:left="3100"/>
        <w:spacing w:after="0" w:line="219" w:lineRule="auto"/>
        <w:rPr>
          <w:sz w:val="20"/>
          <w:szCs w:val="20"/>
          <w:color w:val="auto"/>
        </w:rPr>
      </w:pPr>
      <w:r>
        <w:rPr>
          <w:rFonts w:ascii="Times New Roman" w:cs="Times New Roman" w:eastAsia="Times New Roman" w:hAnsi="Times New Roman"/>
          <w:sz w:val="18"/>
          <w:szCs w:val="18"/>
          <w:color w:val="auto"/>
        </w:rPr>
        <w:t>Executive Vice President and Chief Litigation Counsel, Fox Corporation</w:t>
      </w:r>
    </w:p>
    <w:p>
      <w:pPr>
        <w:spacing w:after="0" w:line="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(March 1, 2019 - February 28,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81915</wp:posOffset>
            </wp:positionV>
            <wp:extent cx="616331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6331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Officers are generally elected by the Board of Directors at its meeting on the day of each annual election of directors, with each such officer serving until a successor has been elected and qualified. The above-named officers are required to file reports under Section 16 of the Securities Exchange Act of 1934.</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25"/>
          <w:szCs w:val="25"/>
          <w:b w:val="1"/>
          <w:bCs w:val="1"/>
          <w:color w:val="0C479D"/>
        </w:rPr>
        <w:t>PART II</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920" w:right="720" w:hanging="890"/>
        <w:spacing w:after="0" w:line="238" w:lineRule="auto"/>
        <w:rPr>
          <w:sz w:val="20"/>
          <w:szCs w:val="20"/>
          <w:color w:val="auto"/>
        </w:rPr>
      </w:pPr>
      <w:r>
        <w:rPr>
          <w:rFonts w:ascii="Times New Roman" w:cs="Times New Roman" w:eastAsia="Times New Roman" w:hAnsi="Times New Roman"/>
          <w:sz w:val="22"/>
          <w:szCs w:val="22"/>
          <w:b w:val="1"/>
          <w:bCs w:val="1"/>
          <w:color w:val="0C479D"/>
        </w:rPr>
        <w:t>ITEM 5. MARKET FOR REGISTRANT'S COMMON EQUITY, RELATED STOCKHOLDER MATTERS AND 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principal market where ExxonMobil common stock (XOM) is traded is the New York Stock Exchange, although the stock is traded on other exchanges in and outside the United States.</w:t>
      </w:r>
    </w:p>
    <w:p>
      <w:pPr>
        <w:spacing w:after="0" w:line="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287,749 registered shareholders of ExxonMobil common stock at December 31, 2024. At January 31, 2025, the registered shareholders of ExxonMobil common stock numbered 286,233.</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31, 2025, the Corporation declared a $0.99 dividend per common share, payable March 10, 2025.</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Reference is made to </w:t>
      </w:r>
      <w:r>
        <w:rPr>
          <w:rFonts w:ascii="Times New Roman" w:cs="Times New Roman" w:eastAsia="Times New Roman" w:hAnsi="Times New Roman"/>
          <w:sz w:val="18"/>
          <w:szCs w:val="18"/>
          <w:u w:val="single" w:color="auto"/>
          <w:color w:val="0000FF"/>
        </w:rPr>
        <w:t>Item 12</w:t>
      </w:r>
      <w:r>
        <w:rPr>
          <w:rFonts w:ascii="Times New Roman" w:cs="Times New Roman" w:eastAsia="Times New Roman" w:hAnsi="Times New Roman"/>
          <w:sz w:val="18"/>
          <w:szCs w:val="18"/>
          <w:color w:val="auto"/>
        </w:rPr>
        <w:t xml:space="preserve"> in Part III of this report.</w:t>
      </w:r>
    </w:p>
    <w:p>
      <w:pPr>
        <w:spacing w:after="0" w:line="208"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0C479D"/>
        </w:rPr>
        <w:t>Issuer Purchases of Equity Securities for Quarter Ended December 31, 2024</w:t>
      </w:r>
    </w:p>
    <w:p>
      <w:pPr>
        <w:spacing w:after="0" w:line="58" w:lineRule="exact"/>
        <w:rPr>
          <w:sz w:val="20"/>
          <w:szCs w:val="20"/>
          <w:color w:val="auto"/>
        </w:rPr>
      </w:pPr>
    </w:p>
    <w:tbl>
      <w:tblPr>
        <w:tblLayout w:type="fixed"/>
        <w:tblInd w:w="1340" w:type="dxa"/>
        <w:tblCellMar>
          <w:top w:w="0" w:type="dxa"/>
          <w:left w:w="0" w:type="dxa"/>
          <w:bottom w:w="0" w:type="dxa"/>
          <w:right w:w="0" w:type="dxa"/>
        </w:tblCellMar>
      </w:tblPr>
      <w:tr>
        <w:trPr>
          <w:trHeight w:val="338"/>
        </w:trPr>
        <w:tc>
          <w:tcPr>
            <w:tcW w:w="1380" w:type="dxa"/>
            <w:vAlign w:val="bottom"/>
            <w:shd w:val="clear" w:color="auto" w:fill="0C479D"/>
          </w:tcPr>
          <w:p>
            <w:pPr>
              <w:spacing w:after="0"/>
              <w:rPr>
                <w:sz w:val="24"/>
                <w:szCs w:val="24"/>
                <w:color w:val="auto"/>
              </w:rPr>
            </w:pPr>
          </w:p>
        </w:tc>
        <w:tc>
          <w:tcPr>
            <w:tcW w:w="1820" w:type="dxa"/>
            <w:vAlign w:val="bottom"/>
            <w:shd w:val="clear" w:color="auto" w:fill="0C479D"/>
          </w:tcPr>
          <w:p>
            <w:pPr>
              <w:spacing w:after="0"/>
              <w:rPr>
                <w:sz w:val="24"/>
                <w:szCs w:val="24"/>
                <w:color w:val="auto"/>
              </w:rPr>
            </w:pPr>
          </w:p>
        </w:tc>
        <w:tc>
          <w:tcPr>
            <w:tcW w:w="1440" w:type="dxa"/>
            <w:vAlign w:val="bottom"/>
            <w:shd w:val="clear" w:color="auto" w:fill="0C479D"/>
          </w:tcPr>
          <w:p>
            <w:pPr>
              <w:spacing w:after="0"/>
              <w:rPr>
                <w:sz w:val="24"/>
                <w:szCs w:val="24"/>
                <w:color w:val="auto"/>
              </w:rPr>
            </w:pPr>
          </w:p>
        </w:tc>
        <w:tc>
          <w:tcPr>
            <w:tcW w:w="1940" w:type="dxa"/>
            <w:vAlign w:val="bottom"/>
            <w:gridSpan w:val="2"/>
            <w:vMerge w:val="restart"/>
            <w:shd w:val="clear" w:color="auto" w:fill="0C479D"/>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Total Number of Shares</w:t>
            </w:r>
          </w:p>
        </w:tc>
        <w:tc>
          <w:tcPr>
            <w:tcW w:w="204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Approximate Dollar</w:t>
            </w:r>
          </w:p>
        </w:tc>
        <w:tc>
          <w:tcPr>
            <w:tcW w:w="0" w:type="dxa"/>
            <w:vAlign w:val="bottom"/>
          </w:tcPr>
          <w:p>
            <w:pPr>
              <w:spacing w:after="0"/>
              <w:rPr>
                <w:sz w:val="1"/>
                <w:szCs w:val="1"/>
                <w:color w:val="auto"/>
              </w:rPr>
            </w:pPr>
          </w:p>
        </w:tc>
      </w:tr>
      <w:tr>
        <w:trPr>
          <w:trHeight w:val="176"/>
        </w:trPr>
        <w:tc>
          <w:tcPr>
            <w:tcW w:w="1380" w:type="dxa"/>
            <w:vAlign w:val="bottom"/>
            <w:shd w:val="clear" w:color="auto" w:fill="0C479D"/>
          </w:tcPr>
          <w:p>
            <w:pPr>
              <w:spacing w:after="0"/>
              <w:rPr>
                <w:sz w:val="15"/>
                <w:szCs w:val="15"/>
                <w:color w:val="auto"/>
              </w:rPr>
            </w:pPr>
          </w:p>
        </w:tc>
        <w:tc>
          <w:tcPr>
            <w:tcW w:w="1820" w:type="dxa"/>
            <w:vAlign w:val="bottom"/>
            <w:vMerge w:val="restart"/>
            <w:shd w:val="clear" w:color="auto" w:fill="0C479D"/>
          </w:tcPr>
          <w:p>
            <w:pPr>
              <w:jc w:val="center"/>
              <w:ind w:left="50"/>
              <w:spacing w:after="0"/>
              <w:rPr>
                <w:sz w:val="20"/>
                <w:szCs w:val="20"/>
                <w:color w:val="auto"/>
              </w:rPr>
            </w:pPr>
            <w:r>
              <w:rPr>
                <w:rFonts w:ascii="Times New Roman" w:cs="Times New Roman" w:eastAsia="Times New Roman" w:hAnsi="Times New Roman"/>
                <w:sz w:val="18"/>
                <w:szCs w:val="18"/>
                <w:b w:val="1"/>
                <w:bCs w:val="1"/>
                <w:color w:val="FFFFFF"/>
                <w:w w:val="99"/>
              </w:rPr>
              <w:t>Total Number of</w:t>
            </w:r>
          </w:p>
        </w:tc>
        <w:tc>
          <w:tcPr>
            <w:tcW w:w="1440" w:type="dxa"/>
            <w:vAlign w:val="bottom"/>
            <w:vMerge w:val="restart"/>
            <w:shd w:val="clear" w:color="auto" w:fill="0C479D"/>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Average Price</w:t>
            </w:r>
          </w:p>
        </w:tc>
        <w:tc>
          <w:tcPr>
            <w:tcW w:w="1940" w:type="dxa"/>
            <w:vAlign w:val="bottom"/>
            <w:gridSpan w:val="2"/>
            <w:vMerge w:val="continue"/>
            <w:shd w:val="clear" w:color="auto" w:fill="0C479D"/>
          </w:tcPr>
          <w:p>
            <w:pPr>
              <w:spacing w:after="0"/>
              <w:rPr>
                <w:sz w:val="15"/>
                <w:szCs w:val="15"/>
                <w:color w:val="auto"/>
              </w:rPr>
            </w:pPr>
          </w:p>
        </w:tc>
        <w:tc>
          <w:tcPr>
            <w:tcW w:w="2040" w:type="dxa"/>
            <w:vAlign w:val="bottom"/>
            <w:shd w:val="clear" w:color="auto" w:fill="0C479D"/>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FFFFFF"/>
                <w:w w:val="98"/>
              </w:rPr>
              <w:t>Value of Shares that May</w:t>
            </w:r>
          </w:p>
        </w:tc>
        <w:tc>
          <w:tcPr>
            <w:tcW w:w="0" w:type="dxa"/>
            <w:vAlign w:val="bottom"/>
          </w:tcPr>
          <w:p>
            <w:pPr>
              <w:spacing w:after="0"/>
              <w:rPr>
                <w:sz w:val="1"/>
                <w:szCs w:val="1"/>
                <w:color w:val="auto"/>
              </w:rPr>
            </w:pPr>
          </w:p>
        </w:tc>
      </w:tr>
      <w:tr>
        <w:trPr>
          <w:trHeight w:val="94"/>
        </w:trPr>
        <w:tc>
          <w:tcPr>
            <w:tcW w:w="1380" w:type="dxa"/>
            <w:vAlign w:val="bottom"/>
            <w:shd w:val="clear" w:color="auto" w:fill="0C479D"/>
          </w:tcPr>
          <w:p>
            <w:pPr>
              <w:spacing w:after="0"/>
              <w:rPr>
                <w:sz w:val="8"/>
                <w:szCs w:val="8"/>
                <w:color w:val="auto"/>
              </w:rPr>
            </w:pPr>
          </w:p>
        </w:tc>
        <w:tc>
          <w:tcPr>
            <w:tcW w:w="1820" w:type="dxa"/>
            <w:vAlign w:val="bottom"/>
            <w:vMerge w:val="continue"/>
            <w:shd w:val="clear" w:color="auto" w:fill="0C479D"/>
          </w:tcPr>
          <w:p>
            <w:pPr>
              <w:spacing w:after="0"/>
              <w:rPr>
                <w:sz w:val="8"/>
                <w:szCs w:val="8"/>
                <w:color w:val="auto"/>
              </w:rPr>
            </w:pPr>
          </w:p>
        </w:tc>
        <w:tc>
          <w:tcPr>
            <w:tcW w:w="1440" w:type="dxa"/>
            <w:vAlign w:val="bottom"/>
            <w:vMerge w:val="continue"/>
            <w:shd w:val="clear" w:color="auto" w:fill="0C479D"/>
          </w:tcPr>
          <w:p>
            <w:pPr>
              <w:spacing w:after="0"/>
              <w:rPr>
                <w:sz w:val="8"/>
                <w:szCs w:val="8"/>
                <w:color w:val="auto"/>
              </w:rPr>
            </w:pPr>
          </w:p>
        </w:tc>
        <w:tc>
          <w:tcPr>
            <w:tcW w:w="1940" w:type="dxa"/>
            <w:vAlign w:val="bottom"/>
            <w:gridSpan w:val="2"/>
            <w:shd w:val="clear" w:color="auto" w:fill="0C479D"/>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FFFFFF"/>
              </w:rPr>
              <w:t>Purchased as Part of</w:t>
            </w:r>
          </w:p>
        </w:tc>
        <w:tc>
          <w:tcPr>
            <w:tcW w:w="2040" w:type="dxa"/>
            <w:vAlign w:val="bottom"/>
            <w:vMerge w:val="restart"/>
            <w:shd w:val="clear" w:color="auto" w:fill="0C479D"/>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Yet Be Purchased Under</w:t>
            </w:r>
          </w:p>
        </w:tc>
        <w:tc>
          <w:tcPr>
            <w:tcW w:w="0" w:type="dxa"/>
            <w:vAlign w:val="bottom"/>
          </w:tcPr>
          <w:p>
            <w:pPr>
              <w:spacing w:after="0"/>
              <w:rPr>
                <w:sz w:val="1"/>
                <w:szCs w:val="1"/>
                <w:color w:val="auto"/>
              </w:rPr>
            </w:pPr>
          </w:p>
        </w:tc>
      </w:tr>
      <w:tr>
        <w:trPr>
          <w:trHeight w:val="189"/>
        </w:trPr>
        <w:tc>
          <w:tcPr>
            <w:tcW w:w="1380" w:type="dxa"/>
            <w:vAlign w:val="bottom"/>
            <w:shd w:val="clear" w:color="auto" w:fill="0C479D"/>
          </w:tcPr>
          <w:p>
            <w:pPr>
              <w:spacing w:after="0"/>
              <w:rPr>
                <w:sz w:val="16"/>
                <w:szCs w:val="16"/>
                <w:color w:val="auto"/>
              </w:rPr>
            </w:pPr>
          </w:p>
        </w:tc>
        <w:tc>
          <w:tcPr>
            <w:tcW w:w="1820" w:type="dxa"/>
            <w:vAlign w:val="bottom"/>
            <w:shd w:val="clear" w:color="auto" w:fill="0C479D"/>
          </w:tcPr>
          <w:p>
            <w:pPr>
              <w:jc w:val="center"/>
              <w:ind w:left="50"/>
              <w:spacing w:after="0" w:line="189" w:lineRule="exact"/>
              <w:rPr>
                <w:sz w:val="20"/>
                <w:szCs w:val="20"/>
                <w:color w:val="auto"/>
              </w:rPr>
            </w:pPr>
            <w:r>
              <w:rPr>
                <w:rFonts w:ascii="Times New Roman" w:cs="Times New Roman" w:eastAsia="Times New Roman" w:hAnsi="Times New Roman"/>
                <w:sz w:val="18"/>
                <w:szCs w:val="18"/>
                <w:b w:val="1"/>
                <w:bCs w:val="1"/>
                <w:color w:val="FFFFFF"/>
                <w:w w:val="99"/>
              </w:rPr>
              <w:t xml:space="preserve">Shares Purchased </w:t>
            </w:r>
            <w:r>
              <w:rPr>
                <w:rFonts w:ascii="Times New Roman" w:cs="Times New Roman" w:eastAsia="Times New Roman" w:hAnsi="Times New Roman"/>
                <w:sz w:val="9"/>
                <w:szCs w:val="9"/>
                <w:i w:val="1"/>
                <w:iCs w:val="1"/>
                <w:color w:val="FFFFFF"/>
                <w:w w:val="99"/>
              </w:rPr>
              <w:t>(1)</w:t>
            </w:r>
          </w:p>
        </w:tc>
        <w:tc>
          <w:tcPr>
            <w:tcW w:w="1440" w:type="dxa"/>
            <w:vAlign w:val="bottom"/>
            <w:shd w:val="clear" w:color="auto" w:fill="0C479D"/>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FFFFFF"/>
                <w:w w:val="98"/>
              </w:rPr>
              <w:t xml:space="preserve">Paid per Share </w:t>
            </w:r>
            <w:r>
              <w:rPr>
                <w:rFonts w:ascii="Times New Roman" w:cs="Times New Roman" w:eastAsia="Times New Roman" w:hAnsi="Times New Roman"/>
                <w:sz w:val="9"/>
                <w:szCs w:val="9"/>
                <w:i w:val="1"/>
                <w:iCs w:val="1"/>
                <w:color w:val="FFFFFF"/>
                <w:w w:val="98"/>
              </w:rPr>
              <w:t>(2)</w:t>
            </w:r>
          </w:p>
        </w:tc>
        <w:tc>
          <w:tcPr>
            <w:tcW w:w="1940" w:type="dxa"/>
            <w:vAlign w:val="bottom"/>
            <w:gridSpan w:val="2"/>
            <w:shd w:val="clear" w:color="auto" w:fill="0C479D"/>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FFFFFF"/>
                <w:w w:val="98"/>
              </w:rPr>
              <w:t>Publicly Announced</w:t>
            </w:r>
          </w:p>
        </w:tc>
        <w:tc>
          <w:tcPr>
            <w:tcW w:w="2040" w:type="dxa"/>
            <w:vAlign w:val="bottom"/>
            <w:vMerge w:val="continue"/>
            <w:shd w:val="clear" w:color="auto" w:fill="0C479D"/>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380" w:type="dxa"/>
            <w:vAlign w:val="bottom"/>
            <w:shd w:val="clear" w:color="auto" w:fill="0C479D"/>
          </w:tcPr>
          <w:p>
            <w:pPr>
              <w:spacing w:after="0"/>
              <w:rPr>
                <w:sz w:val="10"/>
                <w:szCs w:val="10"/>
                <w:color w:val="auto"/>
              </w:rPr>
            </w:pPr>
          </w:p>
        </w:tc>
        <w:tc>
          <w:tcPr>
            <w:tcW w:w="1820" w:type="dxa"/>
            <w:vAlign w:val="bottom"/>
            <w:shd w:val="clear" w:color="auto" w:fill="0C479D"/>
          </w:tcPr>
          <w:p>
            <w:pPr>
              <w:spacing w:after="0"/>
              <w:rPr>
                <w:sz w:val="10"/>
                <w:szCs w:val="10"/>
                <w:color w:val="auto"/>
              </w:rPr>
            </w:pPr>
          </w:p>
        </w:tc>
        <w:tc>
          <w:tcPr>
            <w:tcW w:w="1440" w:type="dxa"/>
            <w:vAlign w:val="bottom"/>
            <w:shd w:val="clear" w:color="auto" w:fill="0C479D"/>
          </w:tcPr>
          <w:p>
            <w:pPr>
              <w:spacing w:after="0"/>
              <w:rPr>
                <w:sz w:val="10"/>
                <w:szCs w:val="10"/>
                <w:color w:val="auto"/>
              </w:rPr>
            </w:pPr>
          </w:p>
        </w:tc>
        <w:tc>
          <w:tcPr>
            <w:tcW w:w="1660" w:type="dxa"/>
            <w:vAlign w:val="bottom"/>
            <w:vMerge w:val="restart"/>
            <w:shd w:val="clear" w:color="auto" w:fill="0C479D"/>
          </w:tcPr>
          <w:p>
            <w:pPr>
              <w:ind w:left="200"/>
              <w:spacing w:after="0"/>
              <w:rPr>
                <w:sz w:val="20"/>
                <w:szCs w:val="20"/>
                <w:color w:val="auto"/>
              </w:rPr>
            </w:pPr>
            <w:r>
              <w:rPr>
                <w:rFonts w:ascii="Times New Roman" w:cs="Times New Roman" w:eastAsia="Times New Roman" w:hAnsi="Times New Roman"/>
                <w:sz w:val="18"/>
                <w:szCs w:val="18"/>
                <w:b w:val="1"/>
                <w:bCs w:val="1"/>
                <w:color w:val="FFFFFF"/>
                <w:w w:val="99"/>
              </w:rPr>
              <w:t>Plans or Programs</w:t>
            </w:r>
          </w:p>
        </w:tc>
        <w:tc>
          <w:tcPr>
            <w:tcW w:w="280" w:type="dxa"/>
            <w:vAlign w:val="bottom"/>
            <w:shd w:val="clear" w:color="auto" w:fill="0C479D"/>
          </w:tcPr>
          <w:p>
            <w:pPr>
              <w:jc w:val="right"/>
              <w:ind w:right="113"/>
              <w:spacing w:after="0"/>
              <w:rPr>
                <w:sz w:val="20"/>
                <w:szCs w:val="20"/>
                <w:color w:val="auto"/>
              </w:rPr>
            </w:pPr>
            <w:r>
              <w:rPr>
                <w:rFonts w:ascii="Times New Roman" w:cs="Times New Roman" w:eastAsia="Times New Roman" w:hAnsi="Times New Roman"/>
                <w:sz w:val="9"/>
                <w:szCs w:val="9"/>
                <w:i w:val="1"/>
                <w:iCs w:val="1"/>
                <w:color w:val="FFFFFF"/>
                <w:w w:val="94"/>
              </w:rPr>
              <w:t>(3)</w:t>
            </w:r>
          </w:p>
        </w:tc>
        <w:tc>
          <w:tcPr>
            <w:tcW w:w="2040" w:type="dxa"/>
            <w:vAlign w:val="bottom"/>
            <w:shd w:val="clear" w:color="auto" w:fill="0C479D"/>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FFFFFF"/>
              </w:rPr>
              <w:t>the Program</w:t>
            </w:r>
          </w:p>
        </w:tc>
        <w:tc>
          <w:tcPr>
            <w:tcW w:w="0" w:type="dxa"/>
            <w:vAlign w:val="bottom"/>
          </w:tcPr>
          <w:p>
            <w:pPr>
              <w:spacing w:after="0"/>
              <w:rPr>
                <w:sz w:val="1"/>
                <w:szCs w:val="1"/>
                <w:color w:val="auto"/>
              </w:rPr>
            </w:pPr>
          </w:p>
        </w:tc>
      </w:tr>
      <w:tr>
        <w:trPr>
          <w:trHeight w:val="238"/>
        </w:trPr>
        <w:tc>
          <w:tcPr>
            <w:tcW w:w="1380" w:type="dxa"/>
            <w:vAlign w:val="bottom"/>
            <w:shd w:val="clear" w:color="auto" w:fill="0C479D"/>
          </w:tcPr>
          <w:p>
            <w:pPr>
              <w:spacing w:after="0"/>
              <w:rPr>
                <w:sz w:val="20"/>
                <w:szCs w:val="20"/>
                <w:color w:val="auto"/>
              </w:rPr>
            </w:pPr>
          </w:p>
        </w:tc>
        <w:tc>
          <w:tcPr>
            <w:tcW w:w="1820" w:type="dxa"/>
            <w:vAlign w:val="bottom"/>
            <w:shd w:val="clear" w:color="auto" w:fill="0C479D"/>
          </w:tcPr>
          <w:p>
            <w:pPr>
              <w:spacing w:after="0"/>
              <w:rPr>
                <w:sz w:val="20"/>
                <w:szCs w:val="20"/>
                <w:color w:val="auto"/>
              </w:rPr>
            </w:pPr>
          </w:p>
        </w:tc>
        <w:tc>
          <w:tcPr>
            <w:tcW w:w="1440" w:type="dxa"/>
            <w:vAlign w:val="bottom"/>
            <w:shd w:val="clear" w:color="auto" w:fill="0C479D"/>
          </w:tcPr>
          <w:p>
            <w:pPr>
              <w:spacing w:after="0"/>
              <w:rPr>
                <w:sz w:val="20"/>
                <w:szCs w:val="20"/>
                <w:color w:val="auto"/>
              </w:rPr>
            </w:pPr>
          </w:p>
        </w:tc>
        <w:tc>
          <w:tcPr>
            <w:tcW w:w="1660" w:type="dxa"/>
            <w:vAlign w:val="bottom"/>
            <w:vMerge w:val="continue"/>
            <w:shd w:val="clear" w:color="auto" w:fill="0C479D"/>
          </w:tcPr>
          <w:p>
            <w:pPr>
              <w:spacing w:after="0"/>
              <w:rPr>
                <w:sz w:val="20"/>
                <w:szCs w:val="20"/>
                <w:color w:val="auto"/>
              </w:rPr>
            </w:pPr>
          </w:p>
        </w:tc>
        <w:tc>
          <w:tcPr>
            <w:tcW w:w="280" w:type="dxa"/>
            <w:vAlign w:val="bottom"/>
            <w:shd w:val="clear" w:color="auto" w:fill="0C479D"/>
          </w:tcPr>
          <w:p>
            <w:pPr>
              <w:spacing w:after="0"/>
              <w:rPr>
                <w:sz w:val="20"/>
                <w:szCs w:val="20"/>
                <w:color w:val="auto"/>
              </w:rPr>
            </w:pPr>
          </w:p>
        </w:tc>
        <w:tc>
          <w:tcPr>
            <w:tcW w:w="204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 xml:space="preserve">(Billions of dollars) </w:t>
            </w:r>
            <w:r>
              <w:rPr>
                <w:rFonts w:ascii="Times New Roman" w:cs="Times New Roman" w:eastAsia="Times New Roman" w:hAnsi="Times New Roman"/>
                <w:sz w:val="9"/>
                <w:szCs w:val="9"/>
                <w:i w:val="1"/>
                <w:iCs w:val="1"/>
                <w:color w:val="FFFFFF"/>
                <w:w w:val="99"/>
              </w:rPr>
              <w:t>(4)</w:t>
            </w:r>
          </w:p>
        </w:tc>
        <w:tc>
          <w:tcPr>
            <w:tcW w:w="0" w:type="dxa"/>
            <w:vAlign w:val="bottom"/>
          </w:tcPr>
          <w:p>
            <w:pPr>
              <w:spacing w:after="0"/>
              <w:rPr>
                <w:sz w:val="1"/>
                <w:szCs w:val="1"/>
                <w:color w:val="auto"/>
              </w:rPr>
            </w:pPr>
          </w:p>
        </w:tc>
      </w:tr>
      <w:tr>
        <w:trPr>
          <w:trHeight w:val="126"/>
        </w:trPr>
        <w:tc>
          <w:tcPr>
            <w:tcW w:w="1380" w:type="dxa"/>
            <w:vAlign w:val="bottom"/>
            <w:shd w:val="clear" w:color="auto" w:fill="0C479D"/>
          </w:tcPr>
          <w:p>
            <w:pPr>
              <w:spacing w:after="0"/>
              <w:rPr>
                <w:sz w:val="10"/>
                <w:szCs w:val="10"/>
                <w:color w:val="auto"/>
              </w:rPr>
            </w:pPr>
          </w:p>
        </w:tc>
        <w:tc>
          <w:tcPr>
            <w:tcW w:w="1820" w:type="dxa"/>
            <w:vAlign w:val="bottom"/>
            <w:shd w:val="clear" w:color="auto" w:fill="0C479D"/>
          </w:tcPr>
          <w:p>
            <w:pPr>
              <w:spacing w:after="0"/>
              <w:rPr>
                <w:sz w:val="10"/>
                <w:szCs w:val="10"/>
                <w:color w:val="auto"/>
              </w:rPr>
            </w:pPr>
          </w:p>
        </w:tc>
        <w:tc>
          <w:tcPr>
            <w:tcW w:w="1440" w:type="dxa"/>
            <w:vAlign w:val="bottom"/>
            <w:shd w:val="clear" w:color="auto" w:fill="0C479D"/>
          </w:tcPr>
          <w:p>
            <w:pPr>
              <w:spacing w:after="0"/>
              <w:rPr>
                <w:sz w:val="10"/>
                <w:szCs w:val="10"/>
                <w:color w:val="auto"/>
              </w:rPr>
            </w:pPr>
          </w:p>
        </w:tc>
        <w:tc>
          <w:tcPr>
            <w:tcW w:w="1660" w:type="dxa"/>
            <w:vAlign w:val="bottom"/>
            <w:shd w:val="clear" w:color="auto" w:fill="0C479D"/>
          </w:tcPr>
          <w:p>
            <w:pPr>
              <w:spacing w:after="0"/>
              <w:rPr>
                <w:sz w:val="10"/>
                <w:szCs w:val="10"/>
                <w:color w:val="auto"/>
              </w:rPr>
            </w:pPr>
          </w:p>
        </w:tc>
        <w:tc>
          <w:tcPr>
            <w:tcW w:w="280" w:type="dxa"/>
            <w:vAlign w:val="bottom"/>
            <w:shd w:val="clear" w:color="auto" w:fill="0C479D"/>
          </w:tcPr>
          <w:p>
            <w:pPr>
              <w:spacing w:after="0"/>
              <w:rPr>
                <w:sz w:val="10"/>
                <w:szCs w:val="10"/>
                <w:color w:val="auto"/>
              </w:rPr>
            </w:pPr>
          </w:p>
        </w:tc>
        <w:tc>
          <w:tcPr>
            <w:tcW w:w="2040" w:type="dxa"/>
            <w:vAlign w:val="bottom"/>
            <w:shd w:val="clear" w:color="auto" w:fill="0C479D"/>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2024</w:t>
            </w:r>
          </w:p>
        </w:tc>
        <w:tc>
          <w:tcPr>
            <w:tcW w:w="18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16,386,165</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$120.90</w:t>
            </w:r>
          </w:p>
        </w:tc>
        <w:tc>
          <w:tcPr>
            <w:tcW w:w="1660" w:type="dxa"/>
            <w:vAlign w:val="bottom"/>
          </w:tcPr>
          <w:p>
            <w:pPr>
              <w:jc w:val="center"/>
              <w:ind w:left="235"/>
              <w:spacing w:after="0"/>
              <w:rPr>
                <w:sz w:val="20"/>
                <w:szCs w:val="20"/>
                <w:color w:val="auto"/>
              </w:rPr>
            </w:pPr>
            <w:r>
              <w:rPr>
                <w:rFonts w:ascii="Times New Roman" w:cs="Times New Roman" w:eastAsia="Times New Roman" w:hAnsi="Times New Roman"/>
                <w:sz w:val="18"/>
                <w:szCs w:val="18"/>
                <w:color w:val="auto"/>
              </w:rPr>
              <w:t>16,385,148</w:t>
            </w:r>
          </w:p>
        </w:tc>
        <w:tc>
          <w:tcPr>
            <w:tcW w:w="280" w:type="dxa"/>
            <w:vAlign w:val="bottom"/>
          </w:tcPr>
          <w:p>
            <w:pPr>
              <w:spacing w:after="0"/>
              <w:rPr>
                <w:sz w:val="23"/>
                <w:szCs w:val="23"/>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$23.5</w:t>
            </w:r>
          </w:p>
        </w:tc>
        <w:tc>
          <w:tcPr>
            <w:tcW w:w="0" w:type="dxa"/>
            <w:vAlign w:val="bottom"/>
          </w:tcPr>
          <w:p>
            <w:pPr>
              <w:spacing w:after="0"/>
              <w:rPr>
                <w:sz w:val="1"/>
                <w:szCs w:val="1"/>
                <w:color w:val="auto"/>
              </w:rPr>
            </w:pPr>
          </w:p>
        </w:tc>
      </w:tr>
      <w:tr>
        <w:trPr>
          <w:trHeight w:val="270"/>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2024</w:t>
            </w:r>
          </w:p>
        </w:tc>
        <w:tc>
          <w:tcPr>
            <w:tcW w:w="18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15,628,883</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$119.95</w:t>
            </w:r>
          </w:p>
        </w:tc>
        <w:tc>
          <w:tcPr>
            <w:tcW w:w="1660" w:type="dxa"/>
            <w:vAlign w:val="bottom"/>
          </w:tcPr>
          <w:p>
            <w:pPr>
              <w:jc w:val="center"/>
              <w:ind w:left="235"/>
              <w:spacing w:after="0"/>
              <w:rPr>
                <w:sz w:val="20"/>
                <w:szCs w:val="20"/>
                <w:color w:val="auto"/>
              </w:rPr>
            </w:pPr>
            <w:r>
              <w:rPr>
                <w:rFonts w:ascii="Times New Roman" w:cs="Times New Roman" w:eastAsia="Times New Roman" w:hAnsi="Times New Roman"/>
                <w:sz w:val="18"/>
                <w:szCs w:val="18"/>
                <w:color w:val="auto"/>
              </w:rPr>
              <w:t>14,378,425</w:t>
            </w:r>
          </w:p>
        </w:tc>
        <w:tc>
          <w:tcPr>
            <w:tcW w:w="280" w:type="dxa"/>
            <w:vAlign w:val="bottom"/>
          </w:tcPr>
          <w:p>
            <w:pPr>
              <w:spacing w:after="0"/>
              <w:rPr>
                <w:sz w:val="23"/>
                <w:szCs w:val="23"/>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$21.8</w:t>
            </w:r>
          </w:p>
        </w:tc>
        <w:tc>
          <w:tcPr>
            <w:tcW w:w="0" w:type="dxa"/>
            <w:vAlign w:val="bottom"/>
          </w:tcPr>
          <w:p>
            <w:pPr>
              <w:spacing w:after="0"/>
              <w:rPr>
                <w:sz w:val="1"/>
                <w:szCs w:val="1"/>
                <w:color w:val="auto"/>
              </w:rPr>
            </w:pPr>
          </w:p>
        </w:tc>
      </w:tr>
      <w:tr>
        <w:trPr>
          <w:trHeight w:val="270"/>
        </w:trPr>
        <w:tc>
          <w:tcPr>
            <w:tcW w:w="138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December 2024</w:t>
            </w:r>
          </w:p>
        </w:tc>
        <w:tc>
          <w:tcPr>
            <w:tcW w:w="1820" w:type="dxa"/>
            <w:vAlign w:val="bottom"/>
            <w:tcBorders>
              <w:bottom w:val="single" w:sz="8" w:color="0C479D"/>
            </w:tcBorders>
          </w:tcPr>
          <w:p>
            <w:pPr>
              <w:jc w:val="center"/>
              <w:ind w:left="50"/>
              <w:spacing w:after="0"/>
              <w:rPr>
                <w:sz w:val="20"/>
                <w:szCs w:val="20"/>
                <w:color w:val="auto"/>
              </w:rPr>
            </w:pPr>
            <w:r>
              <w:rPr>
                <w:rFonts w:ascii="Times New Roman" w:cs="Times New Roman" w:eastAsia="Times New Roman" w:hAnsi="Times New Roman"/>
                <w:sz w:val="18"/>
                <w:szCs w:val="18"/>
                <w:color w:val="auto"/>
                <w:w w:val="98"/>
              </w:rPr>
              <w:t>17,398,455</w:t>
            </w:r>
          </w:p>
        </w:tc>
        <w:tc>
          <w:tcPr>
            <w:tcW w:w="1440" w:type="dxa"/>
            <w:vAlign w:val="bottom"/>
            <w:tcBorders>
              <w:bottom w:val="single" w:sz="8" w:color="0C479D"/>
            </w:tcBorders>
          </w:tcPr>
          <w:p>
            <w:pPr>
              <w:jc w:val="center"/>
              <w:spacing w:after="0"/>
              <w:rPr>
                <w:sz w:val="20"/>
                <w:szCs w:val="20"/>
                <w:color w:val="auto"/>
              </w:rPr>
            </w:pPr>
            <w:r>
              <w:rPr>
                <w:rFonts w:ascii="Times New Roman" w:cs="Times New Roman" w:eastAsia="Times New Roman" w:hAnsi="Times New Roman"/>
                <w:sz w:val="18"/>
                <w:szCs w:val="18"/>
                <w:color w:val="auto"/>
                <w:w w:val="99"/>
              </w:rPr>
              <w:t>$110.56</w:t>
            </w:r>
          </w:p>
        </w:tc>
        <w:tc>
          <w:tcPr>
            <w:tcW w:w="1660" w:type="dxa"/>
            <w:vAlign w:val="bottom"/>
            <w:tcBorders>
              <w:bottom w:val="single" w:sz="8" w:color="0C479D"/>
            </w:tcBorders>
          </w:tcPr>
          <w:p>
            <w:pPr>
              <w:jc w:val="center"/>
              <w:ind w:left="235"/>
              <w:spacing w:after="0"/>
              <w:rPr>
                <w:sz w:val="20"/>
                <w:szCs w:val="20"/>
                <w:color w:val="auto"/>
              </w:rPr>
            </w:pPr>
            <w:r>
              <w:rPr>
                <w:rFonts w:ascii="Times New Roman" w:cs="Times New Roman" w:eastAsia="Times New Roman" w:hAnsi="Times New Roman"/>
                <w:sz w:val="18"/>
                <w:szCs w:val="18"/>
                <w:color w:val="auto"/>
              </w:rPr>
              <w:t>16,425,659</w:t>
            </w:r>
          </w:p>
        </w:tc>
        <w:tc>
          <w:tcPr>
            <w:tcW w:w="280" w:type="dxa"/>
            <w:vAlign w:val="bottom"/>
            <w:tcBorders>
              <w:bottom w:val="single" w:sz="8" w:color="0C479D"/>
            </w:tcBorders>
          </w:tcPr>
          <w:p>
            <w:pPr>
              <w:spacing w:after="0"/>
              <w:rPr>
                <w:sz w:val="23"/>
                <w:szCs w:val="23"/>
                <w:color w:val="auto"/>
              </w:rPr>
            </w:pPr>
          </w:p>
        </w:tc>
        <w:tc>
          <w:tcPr>
            <w:tcW w:w="2040" w:type="dxa"/>
            <w:vAlign w:val="bottom"/>
            <w:tcBorders>
              <w:bottom w:val="single" w:sz="8" w:color="0C479D"/>
            </w:tcBorders>
          </w:tcPr>
          <w:p>
            <w:pPr>
              <w:jc w:val="center"/>
              <w:spacing w:after="0"/>
              <w:rPr>
                <w:sz w:val="20"/>
                <w:szCs w:val="20"/>
                <w:color w:val="auto"/>
              </w:rPr>
            </w:pPr>
            <w:r>
              <w:rPr>
                <w:rFonts w:ascii="Times New Roman" w:cs="Times New Roman" w:eastAsia="Times New Roman" w:hAnsi="Times New Roman"/>
                <w:sz w:val="18"/>
                <w:szCs w:val="18"/>
                <w:color w:val="auto"/>
                <w:w w:val="98"/>
              </w:rPr>
              <w:t>$40.0</w:t>
            </w:r>
          </w:p>
        </w:tc>
        <w:tc>
          <w:tcPr>
            <w:tcW w:w="0" w:type="dxa"/>
            <w:vAlign w:val="bottom"/>
          </w:tcPr>
          <w:p>
            <w:pPr>
              <w:spacing w:after="0"/>
              <w:rPr>
                <w:sz w:val="1"/>
                <w:szCs w:val="1"/>
                <w:color w:val="auto"/>
              </w:rPr>
            </w:pPr>
          </w:p>
        </w:tc>
      </w:tr>
      <w:tr>
        <w:trPr>
          <w:trHeight w:val="244"/>
        </w:trPr>
        <w:tc>
          <w:tcPr>
            <w:tcW w:w="138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20" w:type="dxa"/>
            <w:vAlign w:val="bottom"/>
            <w:tcBorders>
              <w:bottom w:val="single" w:sz="8" w:color="0C479D"/>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49,413,503</w:t>
            </w:r>
          </w:p>
        </w:tc>
        <w:tc>
          <w:tcPr>
            <w:tcW w:w="1440" w:type="dxa"/>
            <w:vAlign w:val="bottom"/>
            <w:tcBorders>
              <w:bottom w:val="single" w:sz="8" w:color="0C479D"/>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$116.96</w:t>
            </w:r>
          </w:p>
        </w:tc>
        <w:tc>
          <w:tcPr>
            <w:tcW w:w="1660" w:type="dxa"/>
            <w:vAlign w:val="bottom"/>
            <w:tcBorders>
              <w:bottom w:val="single" w:sz="8" w:color="0C479D"/>
            </w:tcBorders>
          </w:tcPr>
          <w:p>
            <w:pPr>
              <w:jc w:val="center"/>
              <w:ind w:left="235"/>
              <w:spacing w:after="0"/>
              <w:rPr>
                <w:sz w:val="20"/>
                <w:szCs w:val="20"/>
                <w:color w:val="auto"/>
              </w:rPr>
            </w:pPr>
            <w:r>
              <w:rPr>
                <w:rFonts w:ascii="Times New Roman" w:cs="Times New Roman" w:eastAsia="Times New Roman" w:hAnsi="Times New Roman"/>
                <w:sz w:val="18"/>
                <w:szCs w:val="18"/>
                <w:b w:val="1"/>
                <w:bCs w:val="1"/>
                <w:color w:val="auto"/>
              </w:rPr>
              <w:t>47,189,232</w:t>
            </w:r>
          </w:p>
        </w:tc>
        <w:tc>
          <w:tcPr>
            <w:tcW w:w="280" w:type="dxa"/>
            <w:vAlign w:val="bottom"/>
            <w:tcBorders>
              <w:bottom w:val="single" w:sz="8" w:color="0C479D"/>
            </w:tcBorders>
          </w:tcPr>
          <w:p>
            <w:pPr>
              <w:spacing w:after="0"/>
              <w:rPr>
                <w:sz w:val="21"/>
                <w:szCs w:val="21"/>
                <w:color w:val="auto"/>
              </w:rPr>
            </w:pPr>
          </w:p>
        </w:tc>
        <w:tc>
          <w:tcPr>
            <w:tcW w:w="2040" w:type="dxa"/>
            <w:vAlign w:val="bottom"/>
            <w:tcBorders>
              <w:bottom w:val="single" w:sz="8" w:color="0C479D"/>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1500" w:hanging="149"/>
        <w:spacing w:after="0"/>
        <w:tabs>
          <w:tab w:leader="none" w:pos="1500" w:val="left"/>
        </w:tabs>
        <w:numPr>
          <w:ilvl w:val="0"/>
          <w:numId w:val="11"/>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Includes shares withheld from participants in the Company's incentive program for personal income taxes.</w:t>
      </w:r>
    </w:p>
    <w:p>
      <w:pPr>
        <w:spacing w:after="0" w:line="55" w:lineRule="exact"/>
        <w:rPr>
          <w:rFonts w:ascii="Times New Roman" w:cs="Times New Roman" w:eastAsia="Times New Roman" w:hAnsi="Times New Roman"/>
          <w:sz w:val="19"/>
          <w:szCs w:val="19"/>
          <w:i w:val="1"/>
          <w:iCs w:val="1"/>
          <w:color w:val="auto"/>
          <w:vertAlign w:val="superscript"/>
        </w:rPr>
      </w:pPr>
    </w:p>
    <w:p>
      <w:pPr>
        <w:ind w:left="1480" w:hanging="129"/>
        <w:spacing w:after="0" w:line="227" w:lineRule="auto"/>
        <w:tabs>
          <w:tab w:leader="none" w:pos="1480" w:val="left"/>
        </w:tabs>
        <w:numPr>
          <w:ilvl w:val="0"/>
          <w:numId w:val="11"/>
        </w:numPr>
        <w:rPr>
          <w:rFonts w:ascii="Times New Roman" w:cs="Times New Roman" w:eastAsia="Times New Roman" w:hAnsi="Times New Roman"/>
          <w:sz w:val="16"/>
          <w:szCs w:val="16"/>
          <w:i w:val="1"/>
          <w:iCs w:val="1"/>
          <w:color w:val="auto"/>
          <w:vertAlign w:val="superscript"/>
        </w:rPr>
      </w:pPr>
      <w:r>
        <w:rPr>
          <w:rFonts w:ascii="Times New Roman" w:cs="Times New Roman" w:eastAsia="Times New Roman" w:hAnsi="Times New Roman"/>
          <w:sz w:val="12"/>
          <w:szCs w:val="12"/>
          <w:i w:val="1"/>
          <w:iCs w:val="1"/>
          <w:color w:val="auto"/>
        </w:rPr>
        <w:t>Excludes 1% U.S. excise tax on stock repurchases.</w:t>
      </w:r>
    </w:p>
    <w:p>
      <w:pPr>
        <w:spacing w:after="0" w:line="55" w:lineRule="exact"/>
        <w:rPr>
          <w:rFonts w:ascii="Times New Roman" w:cs="Times New Roman" w:eastAsia="Times New Roman" w:hAnsi="Times New Roman"/>
          <w:sz w:val="16"/>
          <w:szCs w:val="16"/>
          <w:i w:val="1"/>
          <w:iCs w:val="1"/>
          <w:color w:val="auto"/>
          <w:vertAlign w:val="superscript"/>
        </w:rPr>
      </w:pPr>
    </w:p>
    <w:p>
      <w:pPr>
        <w:ind w:left="1480" w:hanging="129"/>
        <w:spacing w:after="0" w:line="227" w:lineRule="auto"/>
        <w:tabs>
          <w:tab w:leader="none" w:pos="1480" w:val="left"/>
        </w:tabs>
        <w:numPr>
          <w:ilvl w:val="0"/>
          <w:numId w:val="11"/>
        </w:numPr>
        <w:rPr>
          <w:rFonts w:ascii="Times New Roman" w:cs="Times New Roman" w:eastAsia="Times New Roman" w:hAnsi="Times New Roman"/>
          <w:sz w:val="16"/>
          <w:szCs w:val="16"/>
          <w:i w:val="1"/>
          <w:iCs w:val="1"/>
          <w:color w:val="auto"/>
          <w:vertAlign w:val="superscript"/>
        </w:rPr>
      </w:pPr>
      <w:r>
        <w:rPr>
          <w:rFonts w:ascii="Times New Roman" w:cs="Times New Roman" w:eastAsia="Times New Roman" w:hAnsi="Times New Roman"/>
          <w:sz w:val="12"/>
          <w:szCs w:val="12"/>
          <w:i w:val="1"/>
          <w:iCs w:val="1"/>
          <w:color w:val="auto"/>
        </w:rPr>
        <w:t>Purchases were made under terms intended to qualify for exemption under Rules 10b-18 and 10b5-1.</w:t>
      </w:r>
    </w:p>
    <w:p>
      <w:pPr>
        <w:spacing w:after="0" w:line="55" w:lineRule="exact"/>
        <w:rPr>
          <w:rFonts w:ascii="Times New Roman" w:cs="Times New Roman" w:eastAsia="Times New Roman" w:hAnsi="Times New Roman"/>
          <w:sz w:val="16"/>
          <w:szCs w:val="16"/>
          <w:i w:val="1"/>
          <w:iCs w:val="1"/>
          <w:color w:val="auto"/>
          <w:vertAlign w:val="superscript"/>
        </w:rPr>
      </w:pPr>
    </w:p>
    <w:p>
      <w:pPr>
        <w:jc w:val="both"/>
        <w:ind w:left="1360" w:right="1300" w:hanging="9"/>
        <w:spacing w:after="0" w:line="233" w:lineRule="auto"/>
        <w:tabs>
          <w:tab w:leader="none" w:pos="1518" w:val="left"/>
        </w:tabs>
        <w:numPr>
          <w:ilvl w:val="0"/>
          <w:numId w:val="11"/>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The Corporation continued its share repurchase program, originally initiated in 2022. This includes $15 billion of repurchases in 2022, $17.5 billion in 2023, and $19.1 billion in 2024. In its 2024 Corporate Plan Update released December 11, 2024, the Corporation stated that it expects to continue its share repurchase program with a $20 billion repurchase pace per year through 2026, assuming reasonable market conditions.</w:t>
      </w:r>
    </w:p>
    <w:p>
      <w:pPr>
        <w:spacing w:after="0" w:line="1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During the fourth quarter, the Corporation did not issue or sell any unregistered equity securities.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920" w:right="680" w:hanging="890"/>
        <w:spacing w:after="0" w:line="238" w:lineRule="auto"/>
        <w:rPr>
          <w:sz w:val="20"/>
          <w:szCs w:val="20"/>
          <w:color w:val="auto"/>
        </w:rPr>
      </w:pPr>
      <w:r>
        <w:rPr>
          <w:rFonts w:ascii="Times New Roman" w:cs="Times New Roman" w:eastAsia="Times New Roman" w:hAnsi="Times New Roman"/>
          <w:sz w:val="22"/>
          <w:szCs w:val="22"/>
          <w:b w:val="1"/>
          <w:bCs w:val="1"/>
          <w:color w:val="0C479D"/>
        </w:rPr>
        <w:t>ITEM 7.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Reference is made to the section entitled “Management’s Discussion and Analysis of Financial Condition and Results of Operations” in the Financial Section of this report.</w:t>
      </w:r>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0C479D"/>
        </w:rPr>
        <w:t>ITEM 7A. 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Reference is made to the section entitled “</w:t>
      </w:r>
      <w:r>
        <w:rPr>
          <w:rFonts w:ascii="Times New Roman" w:cs="Times New Roman" w:eastAsia="Times New Roman" w:hAnsi="Times New Roman"/>
          <w:sz w:val="18"/>
          <w:szCs w:val="18"/>
          <w:color w:val="0000FF"/>
        </w:rPr>
        <w:t>Market Risks</w:t>
      </w:r>
      <w:r>
        <w:rPr>
          <w:rFonts w:ascii="Times New Roman" w:cs="Times New Roman" w:eastAsia="Times New Roman" w:hAnsi="Times New Roman"/>
          <w:sz w:val="18"/>
          <w:szCs w:val="18"/>
          <w:color w:val="auto"/>
        </w:rPr>
        <w:t>” in the Financial Section of this report. All statements, other than historical information incorporated in this Item 7A, are forward-looking statements. The actual impact of future market changes could differ materially due to, among other things, factors discussed in this report.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4" w:right="339" w:bottom="1440" w:gutter="0" w:footer="0" w:header="0"/>
        </w:sectPr>
      </w:pPr>
    </w:p>
    <w:bookmarkStart w:id="29" w:name="page30"/>
    <w:bookmarkEnd w:id="29"/>
    <w:p>
      <w:pPr>
        <w:ind w:left="20"/>
        <w:spacing w:after="0"/>
        <w:rPr>
          <w:sz w:val="20"/>
          <w:szCs w:val="20"/>
          <w:color w:val="auto"/>
        </w:rPr>
      </w:pPr>
      <w:r>
        <w:rPr>
          <w:rFonts w:ascii="Times New Roman" w:cs="Times New Roman" w:eastAsia="Times New Roman" w:hAnsi="Times New Roman"/>
          <w:sz w:val="22"/>
          <w:szCs w:val="22"/>
          <w:b w:val="1"/>
          <w:bCs w:val="1"/>
          <w:color w:val="0C479D"/>
        </w:rPr>
        <w:t>ITEM 8. FINANCIAL STATEMENTS AND SUPPLEMENTARY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is made to the following in the Financial Section of this report:</w:t>
      </w:r>
    </w:p>
    <w:p>
      <w:pPr>
        <w:spacing w:after="0" w:line="90" w:lineRule="exact"/>
        <w:rPr>
          <w:sz w:val="20"/>
          <w:szCs w:val="20"/>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FF"/>
        </w:rPr>
        <w:t>Consolidated financial statements</w:t>
      </w:r>
      <w:r>
        <w:rPr>
          <w:rFonts w:ascii="Times New Roman" w:cs="Times New Roman" w:eastAsia="Times New Roman" w:hAnsi="Times New Roman"/>
          <w:sz w:val="18"/>
          <w:szCs w:val="18"/>
          <w:color w:val="000000"/>
        </w:rPr>
        <w:t>, together with the report thereon of PricewaterhouseCoopers LLP (PCAOB ID 238) dated February 19, 2025,</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beginning with the section entitled “</w:t>
      </w:r>
      <w:r>
        <w:rPr>
          <w:rFonts w:ascii="Times New Roman" w:cs="Times New Roman" w:eastAsia="Times New Roman" w:hAnsi="Times New Roman"/>
          <w:sz w:val="18"/>
          <w:szCs w:val="18"/>
          <w:color w:val="0000FF"/>
        </w:rPr>
        <w:t>Report of Independent Registered Public Accounting Firm</w:t>
      </w:r>
      <w:r>
        <w:rPr>
          <w:rFonts w:ascii="Times New Roman" w:cs="Times New Roman" w:eastAsia="Times New Roman" w:hAnsi="Times New Roman"/>
          <w:sz w:val="18"/>
          <w:szCs w:val="18"/>
          <w:color w:val="000000"/>
        </w:rPr>
        <w:t xml:space="preserve">” and continuing through </w:t>
      </w:r>
      <w:r>
        <w:rPr>
          <w:rFonts w:ascii="Times New Roman" w:cs="Times New Roman" w:eastAsia="Times New Roman" w:hAnsi="Times New Roman"/>
          <w:sz w:val="18"/>
          <w:szCs w:val="18"/>
          <w:color w:val="0000FF"/>
        </w:rPr>
        <w:t>Note 21</w:t>
      </w:r>
      <w:r>
        <w:rPr>
          <w:rFonts w:ascii="Times New Roman" w:cs="Times New Roman" w:eastAsia="Times New Roman" w:hAnsi="Times New Roman"/>
          <w:sz w:val="18"/>
          <w:szCs w:val="18"/>
          <w:color w:val="000000"/>
        </w:rPr>
        <w:t>;</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FF"/>
        </w:rPr>
        <w:t>Supplemental Information on Oil and Gas Exploration and Production Activities</w:t>
      </w:r>
      <w:r>
        <w:rPr>
          <w:rFonts w:ascii="Times New Roman" w:cs="Times New Roman" w:eastAsia="Times New Roman" w:hAnsi="Times New Roman"/>
          <w:sz w:val="18"/>
          <w:szCs w:val="18"/>
          <w:color w:val="auto"/>
        </w:rPr>
        <w:t>” (unaudited);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FF"/>
        </w:rPr>
        <w:t>Frequently Used Terms</w:t>
      </w:r>
      <w:r>
        <w:rPr>
          <w:rFonts w:ascii="Times New Roman" w:cs="Times New Roman" w:eastAsia="Times New Roman" w:hAnsi="Times New Roman"/>
          <w:sz w:val="18"/>
          <w:szCs w:val="18"/>
          <w:color w:val="auto"/>
        </w:rPr>
        <w:t>” (unaudited).</w:t>
      </w:r>
    </w:p>
    <w:p>
      <w:pPr>
        <w:spacing w:after="0" w:line="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Statement Schedules have been omitted because they are not applicable or the required information is shown in the consolidated financial statements or notes thereto.</w:t>
      </w:r>
    </w:p>
    <w:p>
      <w:pPr>
        <w:spacing w:after="0" w:line="200" w:lineRule="exact"/>
        <w:rPr>
          <w:sz w:val="20"/>
          <w:szCs w:val="20"/>
          <w:color w:val="auto"/>
        </w:rPr>
      </w:pPr>
    </w:p>
    <w:p>
      <w:pPr>
        <w:spacing w:after="0" w:line="367" w:lineRule="exact"/>
        <w:rPr>
          <w:sz w:val="20"/>
          <w:szCs w:val="20"/>
          <w:color w:val="auto"/>
        </w:rPr>
      </w:pPr>
    </w:p>
    <w:p>
      <w:pPr>
        <w:ind w:left="920" w:right="420" w:hanging="890"/>
        <w:spacing w:after="0" w:line="238" w:lineRule="auto"/>
        <w:rPr>
          <w:sz w:val="20"/>
          <w:szCs w:val="20"/>
          <w:color w:val="auto"/>
        </w:rPr>
      </w:pPr>
      <w:r>
        <w:rPr>
          <w:rFonts w:ascii="Times New Roman" w:cs="Times New Roman" w:eastAsia="Times New Roman" w:hAnsi="Times New Roman"/>
          <w:sz w:val="22"/>
          <w:szCs w:val="22"/>
          <w:b w:val="1"/>
          <w:bCs w:val="1"/>
          <w:color w:val="0C479D"/>
        </w:rPr>
        <w:t>ITEM 9. CHANGES IN AND DISAGREEMENTS WITH ACCOUNTANTS ON ACCOUNTING AND FINANCIAL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0C479D"/>
        </w:rPr>
        <w:t>ITEM 9A.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479D"/>
        </w:rPr>
        <w:t>Management’s Evaluation of Disclosure Controls and Procedures</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indicated in the certifications in Exhibit 31 of this report, the Corporation’s Chief Executive Officer, Chief Financial Officer, and Principal Accounting Officer have evaluated the Corporation’s disclosure controls and procedures as of December 31, 2024. Based on that evaluation, these officers have concluded that the Corporation’s disclosure controls and procedures are effective in ensuring that information required to be disclosed by the Corporation in the reports that it files or submits under the Securities Exchange Act of 1934, as amended, is accumulated and communicated to them in a manner that allows for timely decisions regarding required disclosures and are effective in ensuring that such information is recorded, processed, summarized and reported within the time periods specified in the Securities and Exchange Commission’s rules and forms.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479D"/>
        </w:rPr>
        <w:t>Management’s Report on Internal Control over Financial Reporting</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Management, including the Corporation’s Chief Executive Officer, Chief Financial Officer, and Principal Accounting Officer, is responsible for establishing and maintaining adequate internal control over the Corporation’s financial reporting. Management conducted an evaluation of the effectiveness of internal control over financial reporting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Based on this evaluation, management concluded that Exxon Mobil Corporation’s internal control over financial reporting was effective as of December 31, 2024.</w:t>
      </w:r>
    </w:p>
    <w:p>
      <w:pPr>
        <w:spacing w:after="0" w:line="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Corporation excluded Pioneer from our assessment of internal control over financial reporting as of December 31, 2024, because it was acquired by the Corporation in a business combination during 2024. Total assets and total revenues of Pioneer, a wholly owned subsidiary, represent nineteen percent and four percent, respectively, of the related consolidated financial statement amounts as of and for the year ended December 31, 2024.</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PricewaterhouseCoopers LLP, an independent registered public accounting firm, audited the effectiveness of the Corporation’s internal control over financial reporting as of December 31, 2024, as stated in their report included in the Financial Section of this report.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479D"/>
        </w:rPr>
        <w:t>Changes in Internal Control over Financial Reporting</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during the Corporation’s last fiscal quarter that materially affected, or are reasonably likely to materially affect, the Corporation’s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30" w:name="page31"/>
    <w:bookmarkEnd w:id="30"/>
    <w:p>
      <w:pPr>
        <w:ind w:left="20"/>
        <w:spacing w:after="0"/>
        <w:rPr>
          <w:sz w:val="20"/>
          <w:szCs w:val="20"/>
          <w:color w:val="auto"/>
        </w:rPr>
      </w:pPr>
      <w:r>
        <w:rPr>
          <w:rFonts w:ascii="Times New Roman" w:cs="Times New Roman" w:eastAsia="Times New Roman" w:hAnsi="Times New Roman"/>
          <w:sz w:val="22"/>
          <w:szCs w:val="22"/>
          <w:b w:val="1"/>
          <w:bCs w:val="1"/>
          <w:color w:val="0C479D"/>
        </w:rPr>
        <w:t>ITEM 9B.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2024, none of the Company’s directors or officers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3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0C479D"/>
        </w:rPr>
        <w:t>ITEM 9C. DISCLOSURE REGARDING FOREIGN JURISDICTIONS THAT PREVENT INSPECTIONS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0C479D"/>
        </w:rPr>
        <w:t>PART III</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0C479D"/>
        </w:rPr>
        <w:t>ITEM 10. DIRECTORS, EXECUTIVE OFFICERS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is made to the section of this report titled “Information about our Executive Officers”.</w:t>
      </w:r>
    </w:p>
    <w:p>
      <w:pPr>
        <w:spacing w:after="0" w:line="9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Incorporated by reference to the following from the registrant’s definitive proxy statement for the 2025 annual meeting of shareholders (the “2025 Proxy Statement”):</w:t>
      </w:r>
    </w:p>
    <w:p>
      <w:pPr>
        <w:spacing w:after="0" w:line="40"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 entitled “Election of Directors”;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entitled "Delinquent Section 16(a) Reports" of the section entitled "Director and Executive Officer Stock Ownership";</w:t>
      </w:r>
    </w:p>
    <w:p>
      <w:pPr>
        <w:spacing w:after="0" w:line="9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portions entitled “Director Qualifications”, “Director Nomination Process and Board Succession”, and “Code of Ethics and Business Conduct” of the section entitled “Corporate Governance”; and</w:t>
      </w:r>
    </w:p>
    <w:p>
      <w:pPr>
        <w:spacing w:after="0" w:line="4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Independence” portion, “Board Meetings and Annual Meeting Attendance” portion, the membership table of the portion entitled “Board Committees”, the "Nominating and Governance Committee" portion and the "Audit Committee" portion of the section entitled “Corporate Governance”.</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Corporation has adopted an Insider Trading Policy governing the purchase, sale, and/or other dispositions of its securities by its directors, officers and employees, and the Corporation itself, that the Corporation believes is reasonably designed to promote compliance with insider trading laws, rules and regulations and the exchange listing standards applicable to the Corporation. A copy of the Corporation’s Insider Trading Policy is filed as Exhibit 19 to this report.</w:t>
      </w:r>
    </w:p>
    <w:p>
      <w:pPr>
        <w:spacing w:after="0" w:line="200" w:lineRule="exact"/>
        <w:rPr>
          <w:sz w:val="20"/>
          <w:szCs w:val="20"/>
          <w:color w:val="auto"/>
        </w:rPr>
      </w:pPr>
    </w:p>
    <w:p>
      <w:pPr>
        <w:spacing w:after="0" w:line="3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0C479D"/>
        </w:rPr>
        <w:t>ITEM 11.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Incorporated by reference to the sections entitled “Director Compensation”, “Compensation Committee Report”, “Compensation Discussion and Analysis”, “Executive Compensation Tables”, “Pay Ratio”, and "Pay Versus Performance" of the registrant’s 2025 Proxy Statement.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1" w:right="339" w:bottom="1440" w:gutter="0" w:footer="0" w:header="0"/>
        </w:sectPr>
      </w:pPr>
    </w:p>
    <w:bookmarkStart w:id="31" w:name="page32"/>
    <w:bookmarkEnd w:id="31"/>
    <w:p>
      <w:pPr>
        <w:ind w:left="1000" w:right="140" w:hanging="971"/>
        <w:spacing w:after="0" w:line="238" w:lineRule="auto"/>
        <w:rPr>
          <w:sz w:val="20"/>
          <w:szCs w:val="20"/>
          <w:color w:val="auto"/>
        </w:rPr>
      </w:pPr>
      <w:r>
        <w:rPr>
          <w:rFonts w:ascii="Times New Roman" w:cs="Times New Roman" w:eastAsia="Times New Roman" w:hAnsi="Times New Roman"/>
          <w:sz w:val="22"/>
          <w:szCs w:val="22"/>
          <w:b w:val="1"/>
          <w:bCs w:val="1"/>
          <w:color w:val="0C479D"/>
        </w:rPr>
        <w:t>ITEM 12. SECURITY OWNERSHIP OF CERTAIN BENEFICIAL OWNERS AND MANAGEMENT AND RELATED STOCKHOLDER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under Item 403 of Regulation S-K is incorporated by reference to the sections entitled “Certain Beneficial Owners” and “Director and Executive Officer Stock Ownership” of the registrant’s 2025 Proxy Statement.</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C479D"/>
        </w:rPr>
        <w:t>Equity Compensation Plan Information</w:t>
      </w:r>
    </w:p>
    <w:p>
      <w:pPr>
        <w:spacing w:after="0" w:line="31" w:lineRule="exact"/>
        <w:rPr>
          <w:sz w:val="20"/>
          <w:szCs w:val="20"/>
          <w:color w:val="auto"/>
        </w:rPr>
      </w:pPr>
    </w:p>
    <w:tbl>
      <w:tblPr>
        <w:tblLayout w:type="fixed"/>
        <w:tblInd w:w="840" w:type="dxa"/>
        <w:tblCellMar>
          <w:top w:w="0" w:type="dxa"/>
          <w:left w:w="0" w:type="dxa"/>
          <w:bottom w:w="0" w:type="dxa"/>
          <w:right w:w="0" w:type="dxa"/>
        </w:tblCellMar>
      </w:tblPr>
      <w:tr>
        <w:trPr>
          <w:trHeight w:val="204"/>
        </w:trPr>
        <w:tc>
          <w:tcPr>
            <w:tcW w:w="4160" w:type="dxa"/>
            <w:vAlign w:val="bottom"/>
            <w:tcBorders>
              <w:top w:val="single" w:sz="8" w:color="0C479D"/>
            </w:tcBorders>
          </w:tcPr>
          <w:p>
            <w:pPr>
              <w:spacing w:after="0"/>
              <w:rPr>
                <w:sz w:val="17"/>
                <w:szCs w:val="17"/>
                <w:color w:val="auto"/>
              </w:rPr>
            </w:pPr>
          </w:p>
        </w:tc>
        <w:tc>
          <w:tcPr>
            <w:tcW w:w="1320" w:type="dxa"/>
            <w:vAlign w:val="bottom"/>
            <w:tcBorders>
              <w:top w:val="single" w:sz="8" w:color="0C479D"/>
            </w:tcBorders>
          </w:tcPr>
          <w:p>
            <w:pPr>
              <w:jc w:val="center"/>
              <w:ind w:left="372"/>
              <w:spacing w:after="0"/>
              <w:rPr>
                <w:sz w:val="20"/>
                <w:szCs w:val="20"/>
                <w:color w:val="auto"/>
              </w:rPr>
            </w:pPr>
            <w:r>
              <w:rPr>
                <w:rFonts w:ascii="Times New Roman" w:cs="Times New Roman" w:eastAsia="Times New Roman" w:hAnsi="Times New Roman"/>
                <w:sz w:val="14"/>
                <w:szCs w:val="14"/>
                <w:b w:val="1"/>
                <w:bCs w:val="1"/>
                <w:i w:val="1"/>
                <w:iCs w:val="1"/>
                <w:color w:val="0C479D"/>
              </w:rPr>
              <w:t>(a)</w:t>
            </w:r>
          </w:p>
        </w:tc>
        <w:tc>
          <w:tcPr>
            <w:tcW w:w="520" w:type="dxa"/>
            <w:vAlign w:val="bottom"/>
            <w:tcBorders>
              <w:top w:val="single" w:sz="8" w:color="0C479D"/>
            </w:tcBorders>
          </w:tcPr>
          <w:p>
            <w:pPr>
              <w:spacing w:after="0"/>
              <w:rPr>
                <w:sz w:val="17"/>
                <w:szCs w:val="17"/>
                <w:color w:val="auto"/>
              </w:rPr>
            </w:pPr>
          </w:p>
        </w:tc>
        <w:tc>
          <w:tcPr>
            <w:tcW w:w="1440" w:type="dxa"/>
            <w:vAlign w:val="bottom"/>
            <w:tcBorders>
              <w:top w:val="single" w:sz="8" w:color="0C479D"/>
            </w:tcBorders>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0C479D"/>
              </w:rPr>
              <w:t>(b)</w:t>
            </w:r>
          </w:p>
        </w:tc>
        <w:tc>
          <w:tcPr>
            <w:tcW w:w="1300" w:type="dxa"/>
            <w:vAlign w:val="bottom"/>
            <w:tcBorders>
              <w:top w:val="single" w:sz="8" w:color="0C479D"/>
            </w:tcBorders>
          </w:tcPr>
          <w:p>
            <w:pPr>
              <w:jc w:val="center"/>
              <w:ind w:left="772"/>
              <w:spacing w:after="0"/>
              <w:rPr>
                <w:sz w:val="20"/>
                <w:szCs w:val="20"/>
                <w:color w:val="auto"/>
              </w:rPr>
            </w:pPr>
            <w:r>
              <w:rPr>
                <w:rFonts w:ascii="Times New Roman" w:cs="Times New Roman" w:eastAsia="Times New Roman" w:hAnsi="Times New Roman"/>
                <w:sz w:val="14"/>
                <w:szCs w:val="14"/>
                <w:b w:val="1"/>
                <w:bCs w:val="1"/>
                <w:i w:val="1"/>
                <w:iCs w:val="1"/>
                <w:color w:val="0C479D"/>
              </w:rPr>
              <w:t>(c)</w:t>
            </w:r>
          </w:p>
        </w:tc>
        <w:tc>
          <w:tcPr>
            <w:tcW w:w="840" w:type="dxa"/>
            <w:vAlign w:val="bottom"/>
            <w:tcBorders>
              <w:top w:val="single" w:sz="8" w:color="0C479D"/>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160" w:type="dxa"/>
            <w:vAlign w:val="bottom"/>
            <w:shd w:val="clear" w:color="auto" w:fill="0C479D"/>
          </w:tcPr>
          <w:p>
            <w:pPr>
              <w:spacing w:after="0"/>
              <w:rPr>
                <w:sz w:val="17"/>
                <w:szCs w:val="17"/>
                <w:color w:val="auto"/>
              </w:rPr>
            </w:pPr>
          </w:p>
        </w:tc>
        <w:tc>
          <w:tcPr>
            <w:tcW w:w="1840" w:type="dxa"/>
            <w:vAlign w:val="bottom"/>
            <w:gridSpan w:val="2"/>
            <w:vMerge w:val="restart"/>
            <w:shd w:val="clear" w:color="auto" w:fill="0C479D"/>
          </w:tcPr>
          <w:p>
            <w:pPr>
              <w:jc w:val="center"/>
              <w:ind w:right="13"/>
              <w:spacing w:after="0"/>
              <w:rPr>
                <w:sz w:val="20"/>
                <w:szCs w:val="20"/>
                <w:color w:val="auto"/>
              </w:rPr>
            </w:pPr>
            <w:r>
              <w:rPr>
                <w:rFonts w:ascii="Times New Roman" w:cs="Times New Roman" w:eastAsia="Times New Roman" w:hAnsi="Times New Roman"/>
                <w:sz w:val="18"/>
                <w:szCs w:val="18"/>
                <w:b w:val="1"/>
                <w:bCs w:val="1"/>
                <w:color w:val="FFFFFF"/>
                <w:w w:val="99"/>
              </w:rPr>
              <w:t>Number of Securities</w:t>
            </w:r>
          </w:p>
        </w:tc>
        <w:tc>
          <w:tcPr>
            <w:tcW w:w="1440" w:type="dxa"/>
            <w:vAlign w:val="bottom"/>
            <w:shd w:val="clear" w:color="auto" w:fill="0C479D"/>
          </w:tcPr>
          <w:p>
            <w:pPr>
              <w:jc w:val="center"/>
              <w:spacing w:after="0" w:line="199" w:lineRule="exact"/>
              <w:rPr>
                <w:sz w:val="20"/>
                <w:szCs w:val="20"/>
                <w:color w:val="auto"/>
              </w:rPr>
            </w:pPr>
            <w:r>
              <w:rPr>
                <w:rFonts w:ascii="Times New Roman" w:cs="Times New Roman" w:eastAsia="Times New Roman" w:hAnsi="Times New Roman"/>
                <w:sz w:val="18"/>
                <w:szCs w:val="18"/>
                <w:b w:val="1"/>
                <w:bCs w:val="1"/>
                <w:color w:val="FFFFFF"/>
                <w:w w:val="97"/>
              </w:rPr>
              <w:t>Weighted-</w:t>
            </w:r>
          </w:p>
        </w:tc>
        <w:tc>
          <w:tcPr>
            <w:tcW w:w="2140" w:type="dxa"/>
            <w:vAlign w:val="bottom"/>
            <w:gridSpan w:val="2"/>
            <w:shd w:val="clear" w:color="auto" w:fill="0C479D"/>
          </w:tcPr>
          <w:p>
            <w:pPr>
              <w:jc w:val="center"/>
              <w:spacing w:after="0" w:line="199" w:lineRule="exact"/>
              <w:rPr>
                <w:sz w:val="20"/>
                <w:szCs w:val="20"/>
                <w:color w:val="auto"/>
              </w:rPr>
            </w:pPr>
            <w:r>
              <w:rPr>
                <w:rFonts w:ascii="Times New Roman" w:cs="Times New Roman" w:eastAsia="Times New Roman" w:hAnsi="Times New Roman"/>
                <w:sz w:val="18"/>
                <w:szCs w:val="18"/>
                <w:b w:val="1"/>
                <w:bCs w:val="1"/>
                <w:color w:val="FFFFFF"/>
              </w:rPr>
              <w:t>Number of Securities</w:t>
            </w:r>
          </w:p>
        </w:tc>
        <w:tc>
          <w:tcPr>
            <w:tcW w:w="0" w:type="dxa"/>
            <w:vAlign w:val="bottom"/>
          </w:tcPr>
          <w:p>
            <w:pPr>
              <w:spacing w:after="0"/>
              <w:rPr>
                <w:sz w:val="1"/>
                <w:szCs w:val="1"/>
                <w:color w:val="auto"/>
              </w:rPr>
            </w:pPr>
          </w:p>
        </w:tc>
      </w:tr>
      <w:tr>
        <w:trPr>
          <w:trHeight w:val="184"/>
        </w:trPr>
        <w:tc>
          <w:tcPr>
            <w:tcW w:w="4160" w:type="dxa"/>
            <w:vAlign w:val="bottom"/>
            <w:shd w:val="clear" w:color="auto" w:fill="0C479D"/>
          </w:tcPr>
          <w:p>
            <w:pPr>
              <w:spacing w:after="0"/>
              <w:rPr>
                <w:sz w:val="16"/>
                <w:szCs w:val="16"/>
                <w:color w:val="auto"/>
              </w:rPr>
            </w:pPr>
          </w:p>
        </w:tc>
        <w:tc>
          <w:tcPr>
            <w:tcW w:w="1840" w:type="dxa"/>
            <w:vAlign w:val="bottom"/>
            <w:gridSpan w:val="2"/>
            <w:vMerge w:val="continue"/>
            <w:shd w:val="clear" w:color="auto" w:fill="0C479D"/>
          </w:tcPr>
          <w:p>
            <w:pPr>
              <w:spacing w:after="0"/>
              <w:rPr>
                <w:sz w:val="16"/>
                <w:szCs w:val="16"/>
                <w:color w:val="auto"/>
              </w:rPr>
            </w:pPr>
          </w:p>
        </w:tc>
        <w:tc>
          <w:tcPr>
            <w:tcW w:w="1440" w:type="dxa"/>
            <w:vAlign w:val="bottom"/>
            <w:shd w:val="clear" w:color="auto" w:fill="0C479D"/>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FFFFFF"/>
                <w:w w:val="96"/>
              </w:rPr>
              <w:t>Average</w:t>
            </w:r>
          </w:p>
        </w:tc>
        <w:tc>
          <w:tcPr>
            <w:tcW w:w="2140" w:type="dxa"/>
            <w:vAlign w:val="bottom"/>
            <w:gridSpan w:val="2"/>
            <w:shd w:val="clear" w:color="auto" w:fill="0C479D"/>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FFFFFF"/>
                <w:w w:val="99"/>
              </w:rPr>
              <w:t>Remaining Available for</w:t>
            </w:r>
          </w:p>
        </w:tc>
        <w:tc>
          <w:tcPr>
            <w:tcW w:w="0" w:type="dxa"/>
            <w:vAlign w:val="bottom"/>
          </w:tcPr>
          <w:p>
            <w:pPr>
              <w:spacing w:after="0"/>
              <w:rPr>
                <w:sz w:val="1"/>
                <w:szCs w:val="1"/>
                <w:color w:val="auto"/>
              </w:rPr>
            </w:pPr>
          </w:p>
        </w:tc>
      </w:tr>
      <w:tr>
        <w:trPr>
          <w:trHeight w:val="175"/>
        </w:trPr>
        <w:tc>
          <w:tcPr>
            <w:tcW w:w="4160" w:type="dxa"/>
            <w:vAlign w:val="bottom"/>
            <w:vMerge w:val="restart"/>
            <w:shd w:val="clear" w:color="auto" w:fill="0C479D"/>
          </w:tcPr>
          <w:p>
            <w:pPr>
              <w:ind w:left="20"/>
              <w:spacing w:after="0"/>
              <w:rPr>
                <w:sz w:val="20"/>
                <w:szCs w:val="20"/>
                <w:color w:val="auto"/>
              </w:rPr>
            </w:pPr>
            <w:r>
              <w:rPr>
                <w:rFonts w:ascii="Times New Roman" w:cs="Times New Roman" w:eastAsia="Times New Roman" w:hAnsi="Times New Roman"/>
                <w:sz w:val="18"/>
                <w:szCs w:val="18"/>
                <w:b w:val="1"/>
                <w:bCs w:val="1"/>
                <w:color w:val="FFFFFF"/>
              </w:rPr>
              <w:t>Plan Category</w:t>
            </w:r>
          </w:p>
        </w:tc>
        <w:tc>
          <w:tcPr>
            <w:tcW w:w="1840" w:type="dxa"/>
            <w:vAlign w:val="bottom"/>
            <w:gridSpan w:val="2"/>
            <w:shd w:val="clear" w:color="auto" w:fill="0C479D"/>
          </w:tcPr>
          <w:p>
            <w:pPr>
              <w:jc w:val="center"/>
              <w:ind w:right="13"/>
              <w:spacing w:after="0" w:line="176" w:lineRule="exact"/>
              <w:rPr>
                <w:sz w:val="20"/>
                <w:szCs w:val="20"/>
                <w:color w:val="auto"/>
              </w:rPr>
            </w:pPr>
            <w:r>
              <w:rPr>
                <w:rFonts w:ascii="Times New Roman" w:cs="Times New Roman" w:eastAsia="Times New Roman" w:hAnsi="Times New Roman"/>
                <w:sz w:val="18"/>
                <w:szCs w:val="18"/>
                <w:b w:val="1"/>
                <w:bCs w:val="1"/>
                <w:color w:val="FFFFFF"/>
              </w:rPr>
              <w:t>to be Issued Upon</w:t>
            </w:r>
          </w:p>
        </w:tc>
        <w:tc>
          <w:tcPr>
            <w:tcW w:w="1440" w:type="dxa"/>
            <w:vAlign w:val="bottom"/>
            <w:shd w:val="clear" w:color="auto" w:fill="0C479D"/>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FFFFFF"/>
              </w:rPr>
              <w:t>Exercise Price</w:t>
            </w:r>
          </w:p>
        </w:tc>
        <w:tc>
          <w:tcPr>
            <w:tcW w:w="2140" w:type="dxa"/>
            <w:vAlign w:val="bottom"/>
            <w:gridSpan w:val="2"/>
            <w:shd w:val="clear" w:color="auto" w:fill="0C479D"/>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FFFFFF"/>
                <w:w w:val="99"/>
              </w:rPr>
              <w:t>Future Issuance Under</w:t>
            </w:r>
          </w:p>
        </w:tc>
        <w:tc>
          <w:tcPr>
            <w:tcW w:w="0" w:type="dxa"/>
            <w:vAlign w:val="bottom"/>
          </w:tcPr>
          <w:p>
            <w:pPr>
              <w:spacing w:after="0"/>
              <w:rPr>
                <w:sz w:val="1"/>
                <w:szCs w:val="1"/>
                <w:color w:val="auto"/>
              </w:rPr>
            </w:pPr>
          </w:p>
        </w:tc>
      </w:tr>
      <w:tr>
        <w:trPr>
          <w:trHeight w:val="176"/>
        </w:trPr>
        <w:tc>
          <w:tcPr>
            <w:tcW w:w="4160" w:type="dxa"/>
            <w:vAlign w:val="bottom"/>
            <w:vMerge w:val="continue"/>
            <w:shd w:val="clear" w:color="auto" w:fill="0C479D"/>
          </w:tcPr>
          <w:p>
            <w:pPr>
              <w:spacing w:after="0"/>
              <w:rPr>
                <w:sz w:val="15"/>
                <w:szCs w:val="15"/>
                <w:color w:val="auto"/>
              </w:rPr>
            </w:pPr>
          </w:p>
        </w:tc>
        <w:tc>
          <w:tcPr>
            <w:tcW w:w="1320" w:type="dxa"/>
            <w:vAlign w:val="bottom"/>
            <w:shd w:val="clear" w:color="auto" w:fill="0C479D"/>
          </w:tcPr>
          <w:p>
            <w:pPr>
              <w:jc w:val="center"/>
              <w:ind w:left="352"/>
              <w:spacing w:after="0" w:line="176" w:lineRule="exact"/>
              <w:rPr>
                <w:sz w:val="20"/>
                <w:szCs w:val="20"/>
                <w:color w:val="auto"/>
              </w:rPr>
            </w:pPr>
            <w:r>
              <w:rPr>
                <w:rFonts w:ascii="Times New Roman" w:cs="Times New Roman" w:eastAsia="Times New Roman" w:hAnsi="Times New Roman"/>
                <w:sz w:val="18"/>
                <w:szCs w:val="18"/>
                <w:b w:val="1"/>
                <w:bCs w:val="1"/>
                <w:color w:val="FFFFFF"/>
                <w:w w:val="99"/>
              </w:rPr>
              <w:t>Exercise of</w:t>
            </w:r>
          </w:p>
        </w:tc>
        <w:tc>
          <w:tcPr>
            <w:tcW w:w="520" w:type="dxa"/>
            <w:vAlign w:val="bottom"/>
            <w:shd w:val="clear" w:color="auto" w:fill="0C479D"/>
          </w:tcPr>
          <w:p>
            <w:pPr>
              <w:spacing w:after="0"/>
              <w:rPr>
                <w:sz w:val="15"/>
                <w:szCs w:val="15"/>
                <w:color w:val="auto"/>
              </w:rPr>
            </w:pPr>
          </w:p>
        </w:tc>
        <w:tc>
          <w:tcPr>
            <w:tcW w:w="1440" w:type="dxa"/>
            <w:vAlign w:val="bottom"/>
            <w:shd w:val="clear" w:color="auto" w:fill="0C479D"/>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FFFFFF"/>
                <w:w w:val="98"/>
              </w:rPr>
              <w:t>of Outstanding</w:t>
            </w:r>
          </w:p>
        </w:tc>
        <w:tc>
          <w:tcPr>
            <w:tcW w:w="2140" w:type="dxa"/>
            <w:vAlign w:val="bottom"/>
            <w:gridSpan w:val="2"/>
            <w:shd w:val="clear" w:color="auto" w:fill="0C479D"/>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FFFFFF"/>
              </w:rPr>
              <w:t>Equity Compensation</w:t>
            </w:r>
          </w:p>
        </w:tc>
        <w:tc>
          <w:tcPr>
            <w:tcW w:w="0" w:type="dxa"/>
            <w:vAlign w:val="bottom"/>
          </w:tcPr>
          <w:p>
            <w:pPr>
              <w:spacing w:after="0"/>
              <w:rPr>
                <w:sz w:val="1"/>
                <w:szCs w:val="1"/>
                <w:color w:val="auto"/>
              </w:rPr>
            </w:pPr>
          </w:p>
        </w:tc>
      </w:tr>
      <w:tr>
        <w:trPr>
          <w:trHeight w:val="189"/>
        </w:trPr>
        <w:tc>
          <w:tcPr>
            <w:tcW w:w="4160" w:type="dxa"/>
            <w:vAlign w:val="bottom"/>
            <w:shd w:val="clear" w:color="auto" w:fill="0C479D"/>
          </w:tcPr>
          <w:p>
            <w:pPr>
              <w:spacing w:after="0"/>
              <w:rPr>
                <w:sz w:val="16"/>
                <w:szCs w:val="16"/>
                <w:color w:val="auto"/>
              </w:rPr>
            </w:pPr>
          </w:p>
        </w:tc>
        <w:tc>
          <w:tcPr>
            <w:tcW w:w="1840" w:type="dxa"/>
            <w:vAlign w:val="bottom"/>
            <w:gridSpan w:val="2"/>
            <w:shd w:val="clear" w:color="auto" w:fill="0C479D"/>
          </w:tcPr>
          <w:p>
            <w:pPr>
              <w:jc w:val="center"/>
              <w:ind w:right="13"/>
              <w:spacing w:after="0" w:line="189" w:lineRule="exact"/>
              <w:rPr>
                <w:sz w:val="20"/>
                <w:szCs w:val="20"/>
                <w:color w:val="auto"/>
              </w:rPr>
            </w:pPr>
            <w:r>
              <w:rPr>
                <w:rFonts w:ascii="Times New Roman" w:cs="Times New Roman" w:eastAsia="Times New Roman" w:hAnsi="Times New Roman"/>
                <w:sz w:val="18"/>
                <w:szCs w:val="18"/>
                <w:b w:val="1"/>
                <w:bCs w:val="1"/>
                <w:color w:val="FFFFFF"/>
                <w:w w:val="99"/>
              </w:rPr>
              <w:t>Outstanding Options,</w:t>
            </w:r>
          </w:p>
        </w:tc>
        <w:tc>
          <w:tcPr>
            <w:tcW w:w="1440" w:type="dxa"/>
            <w:vAlign w:val="bottom"/>
            <w:shd w:val="clear" w:color="auto" w:fill="0C479D"/>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FFFFFF"/>
              </w:rPr>
              <w:t>Options,</w:t>
            </w:r>
          </w:p>
        </w:tc>
        <w:tc>
          <w:tcPr>
            <w:tcW w:w="2140" w:type="dxa"/>
            <w:vAlign w:val="bottom"/>
            <w:gridSpan w:val="2"/>
            <w:shd w:val="clear" w:color="auto" w:fill="0C479D"/>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FFFFFF"/>
                <w:w w:val="99"/>
              </w:rPr>
              <w:t>Plans [Excluding</w:t>
            </w:r>
          </w:p>
        </w:tc>
        <w:tc>
          <w:tcPr>
            <w:tcW w:w="0" w:type="dxa"/>
            <w:vAlign w:val="bottom"/>
          </w:tcPr>
          <w:p>
            <w:pPr>
              <w:spacing w:after="0"/>
              <w:rPr>
                <w:sz w:val="1"/>
                <w:szCs w:val="1"/>
                <w:color w:val="auto"/>
              </w:rPr>
            </w:pPr>
          </w:p>
        </w:tc>
      </w:tr>
      <w:tr>
        <w:trPr>
          <w:trHeight w:val="175"/>
        </w:trPr>
        <w:tc>
          <w:tcPr>
            <w:tcW w:w="4160" w:type="dxa"/>
            <w:vAlign w:val="bottom"/>
            <w:shd w:val="clear" w:color="auto" w:fill="0C479D"/>
          </w:tcPr>
          <w:p>
            <w:pPr>
              <w:spacing w:after="0"/>
              <w:rPr>
                <w:sz w:val="15"/>
                <w:szCs w:val="15"/>
                <w:color w:val="auto"/>
              </w:rPr>
            </w:pPr>
          </w:p>
        </w:tc>
        <w:tc>
          <w:tcPr>
            <w:tcW w:w="1840" w:type="dxa"/>
            <w:vAlign w:val="bottom"/>
            <w:gridSpan w:val="2"/>
            <w:shd w:val="clear" w:color="auto" w:fill="0C479D"/>
          </w:tcPr>
          <w:p>
            <w:pPr>
              <w:jc w:val="center"/>
              <w:ind w:right="13"/>
              <w:spacing w:after="0" w:line="176" w:lineRule="exact"/>
              <w:rPr>
                <w:sz w:val="20"/>
                <w:szCs w:val="20"/>
                <w:color w:val="auto"/>
              </w:rPr>
            </w:pPr>
            <w:r>
              <w:rPr>
                <w:rFonts w:ascii="Times New Roman" w:cs="Times New Roman" w:eastAsia="Times New Roman" w:hAnsi="Times New Roman"/>
                <w:sz w:val="18"/>
                <w:szCs w:val="18"/>
                <w:b w:val="1"/>
                <w:bCs w:val="1"/>
                <w:color w:val="FFFFFF"/>
                <w:w w:val="99"/>
              </w:rPr>
              <w:t>Warrants and Rights</w:t>
            </w:r>
          </w:p>
        </w:tc>
        <w:tc>
          <w:tcPr>
            <w:tcW w:w="1440" w:type="dxa"/>
            <w:vAlign w:val="bottom"/>
            <w:shd w:val="clear" w:color="auto" w:fill="0C479D"/>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FFFFFF"/>
                <w:w w:val="97"/>
              </w:rPr>
              <w:t>Warrants and</w:t>
            </w:r>
          </w:p>
        </w:tc>
        <w:tc>
          <w:tcPr>
            <w:tcW w:w="2140" w:type="dxa"/>
            <w:vAlign w:val="bottom"/>
            <w:gridSpan w:val="2"/>
            <w:shd w:val="clear" w:color="auto" w:fill="0C479D"/>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FFFFFF"/>
              </w:rPr>
              <w:t>Securities Reflected in</w:t>
            </w:r>
          </w:p>
        </w:tc>
        <w:tc>
          <w:tcPr>
            <w:tcW w:w="0" w:type="dxa"/>
            <w:vAlign w:val="bottom"/>
          </w:tcPr>
          <w:p>
            <w:pPr>
              <w:spacing w:after="0"/>
              <w:rPr>
                <w:sz w:val="1"/>
                <w:szCs w:val="1"/>
                <w:color w:val="auto"/>
              </w:rPr>
            </w:pPr>
          </w:p>
        </w:tc>
      </w:tr>
      <w:tr>
        <w:trPr>
          <w:trHeight w:val="243"/>
        </w:trPr>
        <w:tc>
          <w:tcPr>
            <w:tcW w:w="4160" w:type="dxa"/>
            <w:vAlign w:val="bottom"/>
            <w:shd w:val="clear" w:color="auto" w:fill="0C479D"/>
          </w:tcPr>
          <w:p>
            <w:pPr>
              <w:spacing w:after="0"/>
              <w:rPr>
                <w:sz w:val="21"/>
                <w:szCs w:val="21"/>
                <w:color w:val="auto"/>
              </w:rPr>
            </w:pPr>
          </w:p>
        </w:tc>
        <w:tc>
          <w:tcPr>
            <w:tcW w:w="1320" w:type="dxa"/>
            <w:vAlign w:val="bottom"/>
            <w:shd w:val="clear" w:color="auto" w:fill="0C479D"/>
          </w:tcPr>
          <w:p>
            <w:pPr>
              <w:spacing w:after="0"/>
              <w:rPr>
                <w:sz w:val="21"/>
                <w:szCs w:val="21"/>
                <w:color w:val="auto"/>
              </w:rPr>
            </w:pPr>
          </w:p>
        </w:tc>
        <w:tc>
          <w:tcPr>
            <w:tcW w:w="520" w:type="dxa"/>
            <w:vAlign w:val="bottom"/>
            <w:shd w:val="clear" w:color="auto" w:fill="0C479D"/>
          </w:tcPr>
          <w:p>
            <w:pPr>
              <w:spacing w:after="0"/>
              <w:rPr>
                <w:sz w:val="21"/>
                <w:szCs w:val="21"/>
                <w:color w:val="auto"/>
              </w:rPr>
            </w:pPr>
          </w:p>
        </w:tc>
        <w:tc>
          <w:tcPr>
            <w:tcW w:w="144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Rights</w:t>
            </w:r>
          </w:p>
        </w:tc>
        <w:tc>
          <w:tcPr>
            <w:tcW w:w="2140" w:type="dxa"/>
            <w:vAlign w:val="bottom"/>
            <w:gridSpan w:val="2"/>
            <w:shd w:val="clear" w:color="auto" w:fill="0C479D"/>
          </w:tcPr>
          <w:p>
            <w:pPr>
              <w:jc w:val="center"/>
              <w:spacing w:after="0"/>
              <w:rPr>
                <w:sz w:val="20"/>
                <w:szCs w:val="20"/>
                <w:color w:val="auto"/>
              </w:rPr>
            </w:pPr>
            <w:r>
              <w:rPr>
                <w:rFonts w:ascii="Times New Roman" w:cs="Times New Roman" w:eastAsia="Times New Roman" w:hAnsi="Times New Roman"/>
                <w:sz w:val="18"/>
                <w:szCs w:val="18"/>
                <w:b w:val="1"/>
                <w:bCs w:val="1"/>
                <w:color w:val="FFFFFF"/>
              </w:rPr>
              <w:t>Column (a)]</w:t>
            </w:r>
          </w:p>
        </w:tc>
        <w:tc>
          <w:tcPr>
            <w:tcW w:w="0" w:type="dxa"/>
            <w:vAlign w:val="bottom"/>
          </w:tcPr>
          <w:p>
            <w:pPr>
              <w:spacing w:after="0"/>
              <w:rPr>
                <w:sz w:val="1"/>
                <w:szCs w:val="1"/>
                <w:color w:val="auto"/>
              </w:rPr>
            </w:pPr>
          </w:p>
        </w:tc>
      </w:tr>
      <w:tr>
        <w:trPr>
          <w:trHeight w:val="136"/>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32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rPr>
              <w:t>45,247,799</w:t>
            </w:r>
          </w:p>
        </w:tc>
        <w:tc>
          <w:tcPr>
            <w:tcW w:w="520" w:type="dxa"/>
            <w:vAlign w:val="bottom"/>
          </w:tcPr>
          <w:p>
            <w:pPr>
              <w:jc w:val="right"/>
              <w:ind w:right="353"/>
              <w:spacing w:after="0"/>
              <w:rPr>
                <w:sz w:val="20"/>
                <w:szCs w:val="20"/>
                <w:color w:val="auto"/>
              </w:rPr>
            </w:pPr>
            <w:r>
              <w:rPr>
                <w:rFonts w:ascii="Times New Roman" w:cs="Times New Roman" w:eastAsia="Times New Roman" w:hAnsi="Times New Roman"/>
                <w:sz w:val="9"/>
                <w:szCs w:val="9"/>
                <w:i w:val="1"/>
                <w:iCs w:val="1"/>
                <w:color w:val="auto"/>
                <w:w w:val="94"/>
              </w:rPr>
              <w:t>(1)</w:t>
            </w: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56,689,904</w:t>
            </w:r>
          </w:p>
        </w:tc>
        <w:tc>
          <w:tcPr>
            <w:tcW w:w="840" w:type="dxa"/>
            <w:vAlign w:val="bottom"/>
          </w:tcPr>
          <w:p>
            <w:pPr>
              <w:jc w:val="right"/>
              <w:ind w:right="473"/>
              <w:spacing w:after="0"/>
              <w:rPr>
                <w:sz w:val="20"/>
                <w:szCs w:val="20"/>
                <w:color w:val="auto"/>
              </w:rPr>
            </w:pPr>
            <w:r>
              <w:rPr>
                <w:rFonts w:ascii="Times New Roman" w:cs="Times New Roman" w:eastAsia="Times New Roman" w:hAnsi="Times New Roman"/>
                <w:sz w:val="9"/>
                <w:szCs w:val="9"/>
                <w:i w:val="1"/>
                <w:iCs w:val="1"/>
                <w:color w:val="auto"/>
              </w:rPr>
              <w:t>(2)(3)</w:t>
            </w:r>
          </w:p>
        </w:tc>
        <w:tc>
          <w:tcPr>
            <w:tcW w:w="0" w:type="dxa"/>
            <w:vAlign w:val="bottom"/>
          </w:tcPr>
          <w:p>
            <w:pPr>
              <w:spacing w:after="0"/>
              <w:rPr>
                <w:sz w:val="1"/>
                <w:szCs w:val="1"/>
                <w:color w:val="auto"/>
              </w:rPr>
            </w:pPr>
          </w:p>
        </w:tc>
      </w:tr>
      <w:tr>
        <w:trPr>
          <w:trHeight w:val="107"/>
        </w:trPr>
        <w:tc>
          <w:tcPr>
            <w:tcW w:w="416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41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 by security</w:t>
            </w:r>
          </w:p>
        </w:tc>
        <w:tc>
          <w:tcPr>
            <w:tcW w:w="132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7"/>
                <w:szCs w:val="17"/>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4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holders</w:t>
            </w:r>
          </w:p>
        </w:tc>
        <w:tc>
          <w:tcPr>
            <w:tcW w:w="13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4160" w:type="dxa"/>
            <w:vAlign w:val="bottom"/>
            <w:vMerge w:val="continue"/>
          </w:tcPr>
          <w:p>
            <w:pPr>
              <w:spacing w:after="0"/>
              <w:rPr>
                <w:sz w:val="8"/>
                <w:szCs w:val="8"/>
                <w:color w:val="auto"/>
              </w:rPr>
            </w:pPr>
          </w:p>
        </w:tc>
        <w:tc>
          <w:tcPr>
            <w:tcW w:w="1320" w:type="dxa"/>
            <w:vAlign w:val="bottom"/>
            <w:tcBorders>
              <w:bottom w:val="single" w:sz="8" w:color="0C479D"/>
            </w:tcBorders>
          </w:tcPr>
          <w:p>
            <w:pPr>
              <w:spacing w:after="0"/>
              <w:rPr>
                <w:sz w:val="8"/>
                <w:szCs w:val="8"/>
                <w:color w:val="auto"/>
              </w:rPr>
            </w:pPr>
          </w:p>
        </w:tc>
        <w:tc>
          <w:tcPr>
            <w:tcW w:w="520" w:type="dxa"/>
            <w:vAlign w:val="bottom"/>
            <w:tcBorders>
              <w:bottom w:val="single" w:sz="8" w:color="0C479D"/>
            </w:tcBorders>
          </w:tcPr>
          <w:p>
            <w:pPr>
              <w:spacing w:after="0"/>
              <w:rPr>
                <w:sz w:val="8"/>
                <w:szCs w:val="8"/>
                <w:color w:val="auto"/>
              </w:rPr>
            </w:pPr>
          </w:p>
        </w:tc>
        <w:tc>
          <w:tcPr>
            <w:tcW w:w="1440" w:type="dxa"/>
            <w:vAlign w:val="bottom"/>
            <w:tcBorders>
              <w:bottom w:val="single" w:sz="8" w:color="0C479D"/>
            </w:tcBorders>
          </w:tcPr>
          <w:p>
            <w:pPr>
              <w:spacing w:after="0"/>
              <w:rPr>
                <w:sz w:val="8"/>
                <w:szCs w:val="8"/>
                <w:color w:val="auto"/>
              </w:rPr>
            </w:pPr>
          </w:p>
        </w:tc>
        <w:tc>
          <w:tcPr>
            <w:tcW w:w="1300" w:type="dxa"/>
            <w:vAlign w:val="bottom"/>
            <w:tcBorders>
              <w:bottom w:val="single" w:sz="8" w:color="0C479D"/>
            </w:tcBorders>
          </w:tcPr>
          <w:p>
            <w:pPr>
              <w:spacing w:after="0"/>
              <w:rPr>
                <w:sz w:val="8"/>
                <w:szCs w:val="8"/>
                <w:color w:val="auto"/>
              </w:rPr>
            </w:pPr>
          </w:p>
        </w:tc>
        <w:tc>
          <w:tcPr>
            <w:tcW w:w="840" w:type="dxa"/>
            <w:vAlign w:val="bottom"/>
            <w:tcBorders>
              <w:bottom w:val="single" w:sz="8" w:color="0C479D"/>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16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20" w:type="dxa"/>
            <w:vAlign w:val="bottom"/>
            <w:tcBorders>
              <w:bottom w:val="single" w:sz="8" w:color="0C479D"/>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45,247,799</w:t>
            </w:r>
          </w:p>
        </w:tc>
        <w:tc>
          <w:tcPr>
            <w:tcW w:w="520" w:type="dxa"/>
            <w:vAlign w:val="bottom"/>
            <w:tcBorders>
              <w:bottom w:val="single" w:sz="8" w:color="0C479D"/>
            </w:tcBorders>
          </w:tcPr>
          <w:p>
            <w:pPr>
              <w:spacing w:after="0"/>
              <w:rPr>
                <w:sz w:val="20"/>
                <w:szCs w:val="20"/>
                <w:color w:val="auto"/>
              </w:rPr>
            </w:pPr>
          </w:p>
        </w:tc>
        <w:tc>
          <w:tcPr>
            <w:tcW w:w="1440" w:type="dxa"/>
            <w:vAlign w:val="bottom"/>
            <w:tcBorders>
              <w:bottom w:val="single" w:sz="8" w:color="0C479D"/>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300" w:type="dxa"/>
            <w:vAlign w:val="bottom"/>
            <w:tcBorders>
              <w:bottom w:val="single" w:sz="8" w:color="0C479D"/>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56,689,904</w:t>
            </w:r>
          </w:p>
        </w:tc>
        <w:tc>
          <w:tcPr>
            <w:tcW w:w="840" w:type="dxa"/>
            <w:vAlign w:val="bottom"/>
            <w:tcBorders>
              <w:bottom w:val="single" w:sz="8" w:color="0C479D"/>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1000" w:hanging="144"/>
        <w:spacing w:after="0"/>
        <w:tabs>
          <w:tab w:leader="none" w:pos="1000" w:val="left"/>
        </w:tabs>
        <w:numPr>
          <w:ilvl w:val="0"/>
          <w:numId w:val="14"/>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The number of restricted stock units to be settled in shares.</w:t>
      </w:r>
    </w:p>
    <w:p>
      <w:pPr>
        <w:spacing w:after="0" w:line="95" w:lineRule="exact"/>
        <w:rPr>
          <w:rFonts w:ascii="Times New Roman" w:cs="Times New Roman" w:eastAsia="Times New Roman" w:hAnsi="Times New Roman"/>
          <w:sz w:val="9"/>
          <w:szCs w:val="9"/>
          <w:i w:val="1"/>
          <w:iCs w:val="1"/>
          <w:color w:val="auto"/>
        </w:rPr>
      </w:pPr>
    </w:p>
    <w:p>
      <w:pPr>
        <w:jc w:val="both"/>
        <w:ind w:left="860" w:right="860" w:hanging="4"/>
        <w:spacing w:after="0" w:line="281" w:lineRule="auto"/>
        <w:tabs>
          <w:tab w:leader="none" w:pos="1006" w:val="left"/>
        </w:tabs>
        <w:numPr>
          <w:ilvl w:val="0"/>
          <w:numId w:val="14"/>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Available shares can be granted in the form of restricted stock or other stock-based awards. Includes 47,088,821 shares available for award under the 2003 Incentive Program, 238,700 shares available for award under the 2004 Non-Employee Director Restricted Stock Plan, and 9,362,383 shares available for award under the Pioneer Natural Resources Company Amended and Restated 2006 Long Term Incentive Plan.</w:t>
      </w:r>
    </w:p>
    <w:p>
      <w:pPr>
        <w:spacing w:after="0" w:line="1" w:lineRule="exact"/>
        <w:rPr>
          <w:rFonts w:ascii="Times New Roman" w:cs="Times New Roman" w:eastAsia="Times New Roman" w:hAnsi="Times New Roman"/>
          <w:sz w:val="9"/>
          <w:szCs w:val="9"/>
          <w:i w:val="1"/>
          <w:iCs w:val="1"/>
          <w:color w:val="auto"/>
        </w:rPr>
      </w:pPr>
    </w:p>
    <w:p>
      <w:pPr>
        <w:jc w:val="both"/>
        <w:ind w:left="860" w:right="860" w:hanging="4"/>
        <w:spacing w:after="0" w:line="276" w:lineRule="auto"/>
        <w:tabs>
          <w:tab w:leader="none" w:pos="992" w:val="left"/>
        </w:tabs>
        <w:numPr>
          <w:ilvl w:val="0"/>
          <w:numId w:val="14"/>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Under the 2004 Non-Employee Director Restricted Stock Plan approved by shareholders in May 2004, and the related standing resolution adopted by the Board, each non-employee director automatically receives 8,000 shares of restricted stock when first elected to the Board and, if the director remains in office, an additional 2,500 restricted shares each following year. While on the Board, each non-employee director receives the same cash dividends on restricted shares as a holder of regular common stock, but the director is not allowed to sell the shares. The restricted shares may be forfeited if the director leaves the Board early.</w:t>
      </w:r>
    </w:p>
    <w:p>
      <w:pPr>
        <w:spacing w:after="0" w:line="200" w:lineRule="exact"/>
        <w:rPr>
          <w:sz w:val="20"/>
          <w:szCs w:val="20"/>
          <w:color w:val="auto"/>
        </w:rPr>
      </w:pPr>
    </w:p>
    <w:p>
      <w:pPr>
        <w:spacing w:after="0" w:line="3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0C479D"/>
        </w:rPr>
        <w:t>ITEM 13. CERTAIN RELATIONSHIPS AND RELATED TRANSACTIONS, AND 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Incorporated by reference to the portion entitled “Director Independence” of the section entitled “Corporate Governance” and the portion entitled “Related Person Transactions and Procedures” of the section entitled “Director and Executive Officer Stock Ownership” of the registrant’s 2025 Proxy Statement.</w:t>
      </w:r>
    </w:p>
    <w:p>
      <w:pPr>
        <w:spacing w:after="0" w:line="200" w:lineRule="exact"/>
        <w:rPr>
          <w:sz w:val="20"/>
          <w:szCs w:val="20"/>
          <w:color w:val="auto"/>
        </w:rPr>
      </w:pPr>
    </w:p>
    <w:p>
      <w:pPr>
        <w:spacing w:after="0" w:line="3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0C479D"/>
        </w:rPr>
        <w:t>ITEM 14. PRINCIPAL ACCOUNTANT FEES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Incorporated by reference to the portion entitled “Audit Committee” of the section entitled “Corporate Governance” and the section entitled “Ratification of Independent Auditors” of the registrant’s 2025 Proxy Statement.</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0C479D"/>
        </w:rPr>
        <w:t>PART IV</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0C479D"/>
        </w:rPr>
        <w:t>ITEM 15. EXHIBIT AND 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(1) and (2) Financial Statements:</w:t>
      </w:r>
    </w:p>
    <w:p>
      <w:pPr>
        <w:spacing w:after="0" w:line="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color w:val="0000FF"/>
        </w:rPr>
        <w:t>Table of Contents</w:t>
      </w:r>
      <w:r>
        <w:rPr>
          <w:rFonts w:ascii="Times New Roman" w:cs="Times New Roman" w:eastAsia="Times New Roman" w:hAnsi="Times New Roman"/>
          <w:sz w:val="18"/>
          <w:szCs w:val="18"/>
          <w:color w:val="auto"/>
        </w:rPr>
        <w:t xml:space="preserve"> of the Financial Section of this report.</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 (3) Exhibits:</w:t>
      </w:r>
    </w:p>
    <w:p>
      <w:pPr>
        <w:spacing w:after="0" w:line="1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color w:val="0000FF"/>
        </w:rPr>
        <w:t>Index to Exhibits</w:t>
      </w:r>
      <w:r>
        <w:rPr>
          <w:rFonts w:ascii="Times New Roman" w:cs="Times New Roman" w:eastAsia="Times New Roman" w:hAnsi="Times New Roman"/>
          <w:sz w:val="18"/>
          <w:szCs w:val="18"/>
          <w:color w:val="auto"/>
        </w:rPr>
        <w:t xml:space="preserve"> of this report.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0C479D"/>
        </w:rPr>
        <w:t>ITEM 16. FORM 10-K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240"/>
          </w:cols>
          <w:pgMar w:left="320" w:top="1134"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334"/>
        </w:trPr>
        <w:tc>
          <w:tcPr>
            <w:tcW w:w="700" w:type="dxa"/>
            <w:vAlign w:val="bottom"/>
          </w:tcPr>
          <w:p>
            <w:pPr>
              <w:spacing w:after="0"/>
              <w:rPr>
                <w:sz w:val="24"/>
                <w:szCs w:val="24"/>
                <w:color w:val="auto"/>
              </w:rPr>
            </w:pPr>
          </w:p>
        </w:tc>
        <w:tc>
          <w:tcPr>
            <w:tcW w:w="8680" w:type="dxa"/>
            <w:vAlign w:val="bottom"/>
          </w:tcPr>
          <w:p>
            <w:pPr>
              <w:ind w:left="2820"/>
              <w:spacing w:after="0"/>
              <w:rPr>
                <w:sz w:val="20"/>
                <w:szCs w:val="20"/>
                <w:color w:val="auto"/>
              </w:rPr>
            </w:pPr>
            <w:r>
              <w:rPr>
                <w:rFonts w:ascii="Times New Roman" w:cs="Times New Roman" w:eastAsia="Times New Roman" w:hAnsi="Times New Roman"/>
                <w:sz w:val="25"/>
                <w:szCs w:val="25"/>
                <w:b w:val="1"/>
                <w:bCs w:val="1"/>
                <w:color w:val="0C479D"/>
              </w:rPr>
              <w:t>FINANCIAL SECTION</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0"/>
        </w:trPr>
        <w:tc>
          <w:tcPr>
            <w:tcW w:w="700" w:type="dxa"/>
            <w:vAlign w:val="bottom"/>
            <w:tcBorders>
              <w:bottom w:val="single" w:sz="8" w:color="0C479D"/>
            </w:tcBorders>
          </w:tcPr>
          <w:p>
            <w:pPr>
              <w:spacing w:after="0"/>
              <w:rPr>
                <w:sz w:val="24"/>
                <w:szCs w:val="24"/>
                <w:color w:val="auto"/>
              </w:rPr>
            </w:pPr>
          </w:p>
        </w:tc>
        <w:tc>
          <w:tcPr>
            <w:tcW w:w="8680" w:type="dxa"/>
            <w:vAlign w:val="bottom"/>
            <w:tcBorders>
              <w:bottom w:val="single" w:sz="8" w:color="0C479D"/>
            </w:tcBorders>
          </w:tcPr>
          <w:p>
            <w:pPr>
              <w:ind w:left="2780"/>
              <w:spacing w:after="0"/>
              <w:rPr>
                <w:sz w:val="20"/>
                <w:szCs w:val="20"/>
                <w:color w:val="auto"/>
              </w:rPr>
            </w:pPr>
            <w:r>
              <w:rPr>
                <w:rFonts w:ascii="Times New Roman" w:cs="Times New Roman" w:eastAsia="Times New Roman" w:hAnsi="Times New Roman"/>
                <w:sz w:val="25"/>
                <w:szCs w:val="25"/>
                <w:b w:val="1"/>
                <w:bCs w:val="1"/>
                <w:color w:val="0C479D"/>
              </w:rPr>
              <w:t>TABLE OF CONTENTS</w:t>
            </w:r>
          </w:p>
        </w:tc>
        <w:tc>
          <w:tcPr>
            <w:tcW w:w="80" w:type="dxa"/>
            <w:vAlign w:val="bottom"/>
            <w:tcBorders>
              <w:bottom w:val="single" w:sz="8" w:color="0C479D"/>
            </w:tcBorders>
          </w:tcPr>
          <w:p>
            <w:pPr>
              <w:spacing w:after="0"/>
              <w:rPr>
                <w:sz w:val="24"/>
                <w:szCs w:val="24"/>
                <w:color w:val="auto"/>
              </w:rPr>
            </w:pPr>
          </w:p>
        </w:tc>
        <w:tc>
          <w:tcPr>
            <w:tcW w:w="180" w:type="dxa"/>
            <w:vAlign w:val="bottom"/>
            <w:tcBorders>
              <w:bottom w:val="single" w:sz="8" w:color="0C479D"/>
            </w:tcBorders>
          </w:tcPr>
          <w:p>
            <w:pPr>
              <w:spacing w:after="0"/>
              <w:rPr>
                <w:sz w:val="24"/>
                <w:szCs w:val="24"/>
                <w:color w:val="auto"/>
              </w:rPr>
            </w:pPr>
          </w:p>
        </w:tc>
        <w:tc>
          <w:tcPr>
            <w:tcW w:w="40" w:type="dxa"/>
            <w:vAlign w:val="bottom"/>
            <w:tcBorders>
              <w:bottom w:val="single" w:sz="8" w:color="0C479D"/>
            </w:tcBorders>
          </w:tcPr>
          <w:p>
            <w:pPr>
              <w:spacing w:after="0"/>
              <w:rPr>
                <w:sz w:val="24"/>
                <w:szCs w:val="24"/>
                <w:color w:val="auto"/>
              </w:rPr>
            </w:pPr>
          </w:p>
        </w:tc>
      </w:tr>
      <w:tr>
        <w:trPr>
          <w:trHeight w:val="392"/>
        </w:trPr>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Profile</w:t>
            </w:r>
          </w:p>
        </w:tc>
        <w:tc>
          <w:tcPr>
            <w:tcW w:w="8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c>
          <w:tcPr>
            <w:tcW w:w="40" w:type="dxa"/>
            <w:vAlign w:val="bottom"/>
          </w:tcPr>
          <w:p>
            <w:pPr>
              <w:spacing w:after="0"/>
              <w:rPr>
                <w:sz w:val="24"/>
                <w:szCs w:val="24"/>
                <w:color w:val="auto"/>
              </w:rPr>
            </w:pPr>
          </w:p>
        </w:tc>
      </w:tr>
      <w:tr>
        <w:trPr>
          <w:trHeight w:val="210"/>
        </w:trPr>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Information</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33</w:t>
            </w:r>
          </w:p>
        </w:tc>
        <w:tc>
          <w:tcPr>
            <w:tcW w:w="40" w:type="dxa"/>
            <w:vAlign w:val="bottom"/>
          </w:tcPr>
          <w:p>
            <w:pPr>
              <w:spacing w:after="0"/>
              <w:rPr>
                <w:sz w:val="18"/>
                <w:szCs w:val="18"/>
                <w:color w:val="auto"/>
              </w:rPr>
            </w:pPr>
          </w:p>
        </w:tc>
      </w:tr>
      <w:tr>
        <w:trPr>
          <w:trHeight w:val="209"/>
        </w:trPr>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Frequently Used Terms</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40" w:type="dxa"/>
            <w:vAlign w:val="bottom"/>
          </w:tcPr>
          <w:p>
            <w:pPr>
              <w:spacing w:after="0"/>
              <w:rPr>
                <w:sz w:val="18"/>
                <w:szCs w:val="18"/>
                <w:color w:val="auto"/>
              </w:rPr>
            </w:pPr>
          </w:p>
        </w:tc>
      </w:tr>
      <w:tr>
        <w:trPr>
          <w:trHeight w:val="237"/>
        </w:trPr>
        <w:tc>
          <w:tcPr>
            <w:tcW w:w="70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r>
      <w:tr>
        <w:trPr>
          <w:trHeight w:val="270"/>
        </w:trPr>
        <w:tc>
          <w:tcPr>
            <w:tcW w:w="9380" w:type="dxa"/>
            <w:vAlign w:val="bottom"/>
            <w:gridSpan w:val="2"/>
            <w:shd w:val="clear" w:color="auto" w:fill="0C479D"/>
          </w:tcPr>
          <w:p>
            <w:pPr>
              <w:spacing w:after="0"/>
              <w:rPr>
                <w:sz w:val="20"/>
                <w:szCs w:val="20"/>
                <w:color w:val="auto"/>
              </w:rPr>
            </w:pPr>
            <w:r>
              <w:rPr>
                <w:rFonts w:ascii="Times New Roman" w:cs="Times New Roman" w:eastAsia="Times New Roman" w:hAnsi="Times New Roman"/>
                <w:sz w:val="22"/>
                <w:szCs w:val="22"/>
                <w:color w:val="FFFFFF"/>
              </w:rPr>
              <w:t>Management’s Discussion and Analysis of Financial Condition and Results of Operations</w:t>
            </w:r>
          </w:p>
        </w:tc>
        <w:tc>
          <w:tcPr>
            <w:tcW w:w="80" w:type="dxa"/>
            <w:vAlign w:val="bottom"/>
            <w:shd w:val="clear" w:color="auto" w:fill="0C479D"/>
          </w:tcPr>
          <w:p>
            <w:pPr>
              <w:spacing w:after="0"/>
              <w:rPr>
                <w:sz w:val="23"/>
                <w:szCs w:val="23"/>
                <w:color w:val="auto"/>
              </w:rPr>
            </w:pPr>
          </w:p>
        </w:tc>
        <w:tc>
          <w:tcPr>
            <w:tcW w:w="180" w:type="dxa"/>
            <w:vAlign w:val="bottom"/>
            <w:shd w:val="clear" w:color="auto" w:fill="0C479D"/>
          </w:tcPr>
          <w:p>
            <w:pPr>
              <w:spacing w:after="0"/>
              <w:rPr>
                <w:sz w:val="23"/>
                <w:szCs w:val="23"/>
                <w:color w:val="auto"/>
              </w:rPr>
            </w:pPr>
          </w:p>
        </w:tc>
        <w:tc>
          <w:tcPr>
            <w:tcW w:w="40" w:type="dxa"/>
            <w:vAlign w:val="bottom"/>
            <w:shd w:val="clear" w:color="auto" w:fill="0C479D"/>
          </w:tcPr>
          <w:p>
            <w:pPr>
              <w:spacing w:after="0"/>
              <w:rPr>
                <w:sz w:val="23"/>
                <w:szCs w:val="23"/>
                <w:color w:val="auto"/>
              </w:rPr>
            </w:pPr>
          </w:p>
        </w:tc>
      </w:tr>
      <w:tr>
        <w:trPr>
          <w:trHeight w:val="243"/>
        </w:trPr>
        <w:tc>
          <w:tcPr>
            <w:tcW w:w="9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Forward-Looking Statements</w:t>
            </w:r>
          </w:p>
        </w:tc>
        <w:tc>
          <w:tcPr>
            <w:tcW w:w="80" w:type="dxa"/>
            <w:vAlign w:val="bottom"/>
          </w:tcPr>
          <w:p>
            <w:pPr>
              <w:spacing w:after="0"/>
              <w:rPr>
                <w:sz w:val="21"/>
                <w:szCs w:val="21"/>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40" w:type="dxa"/>
            <w:vAlign w:val="bottom"/>
          </w:tcPr>
          <w:p>
            <w:pPr>
              <w:spacing w:after="0"/>
              <w:rPr>
                <w:sz w:val="21"/>
                <w:szCs w:val="21"/>
                <w:color w:val="auto"/>
              </w:rPr>
            </w:pPr>
          </w:p>
        </w:tc>
      </w:tr>
      <w:tr>
        <w:trPr>
          <w:trHeight w:val="210"/>
        </w:trPr>
        <w:tc>
          <w:tcPr>
            <w:tcW w:w="9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Overview</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c>
          <w:tcPr>
            <w:tcW w:w="40" w:type="dxa"/>
            <w:vAlign w:val="bottom"/>
          </w:tcPr>
          <w:p>
            <w:pPr>
              <w:spacing w:after="0"/>
              <w:rPr>
                <w:sz w:val="18"/>
                <w:szCs w:val="18"/>
                <w:color w:val="auto"/>
              </w:rPr>
            </w:pPr>
          </w:p>
        </w:tc>
      </w:tr>
      <w:tr>
        <w:trPr>
          <w:trHeight w:val="209"/>
        </w:trPr>
        <w:tc>
          <w:tcPr>
            <w:tcW w:w="9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Business Environment</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c>
          <w:tcPr>
            <w:tcW w:w="40" w:type="dxa"/>
            <w:vAlign w:val="bottom"/>
          </w:tcPr>
          <w:p>
            <w:pPr>
              <w:spacing w:after="0"/>
              <w:rPr>
                <w:sz w:val="18"/>
                <w:szCs w:val="18"/>
                <w:color w:val="auto"/>
              </w:rPr>
            </w:pPr>
          </w:p>
        </w:tc>
      </w:tr>
      <w:tr>
        <w:trPr>
          <w:trHeight w:val="209"/>
        </w:trPr>
        <w:tc>
          <w:tcPr>
            <w:tcW w:w="9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Business Results</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47</w:t>
            </w:r>
          </w:p>
        </w:tc>
        <w:tc>
          <w:tcPr>
            <w:tcW w:w="40" w:type="dxa"/>
            <w:vAlign w:val="bottom"/>
          </w:tcPr>
          <w:p>
            <w:pPr>
              <w:spacing w:after="0"/>
              <w:rPr>
                <w:sz w:val="18"/>
                <w:szCs w:val="18"/>
                <w:color w:val="auto"/>
              </w:rPr>
            </w:pPr>
          </w:p>
        </w:tc>
      </w:tr>
      <w:tr>
        <w:trPr>
          <w:trHeight w:val="210"/>
        </w:trPr>
        <w:tc>
          <w:tcPr>
            <w:tcW w:w="9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Liquidity and Capital Resources</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61</w:t>
            </w:r>
          </w:p>
        </w:tc>
        <w:tc>
          <w:tcPr>
            <w:tcW w:w="40" w:type="dxa"/>
            <w:vAlign w:val="bottom"/>
          </w:tcPr>
          <w:p>
            <w:pPr>
              <w:spacing w:after="0"/>
              <w:rPr>
                <w:sz w:val="18"/>
                <w:szCs w:val="18"/>
                <w:color w:val="auto"/>
              </w:rPr>
            </w:pPr>
          </w:p>
        </w:tc>
      </w:tr>
      <w:tr>
        <w:trPr>
          <w:trHeight w:val="209"/>
        </w:trPr>
        <w:tc>
          <w:tcPr>
            <w:tcW w:w="9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Capital and Exploration Expenditures</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64</w:t>
            </w:r>
          </w:p>
        </w:tc>
        <w:tc>
          <w:tcPr>
            <w:tcW w:w="40" w:type="dxa"/>
            <w:vAlign w:val="bottom"/>
          </w:tcPr>
          <w:p>
            <w:pPr>
              <w:spacing w:after="0"/>
              <w:rPr>
                <w:sz w:val="18"/>
                <w:szCs w:val="18"/>
                <w:color w:val="auto"/>
              </w:rPr>
            </w:pPr>
          </w:p>
        </w:tc>
      </w:tr>
      <w:tr>
        <w:trPr>
          <w:trHeight w:val="209"/>
        </w:trPr>
        <w:tc>
          <w:tcPr>
            <w:tcW w:w="9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Taxes</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66</w:t>
            </w:r>
          </w:p>
        </w:tc>
        <w:tc>
          <w:tcPr>
            <w:tcW w:w="40" w:type="dxa"/>
            <w:vAlign w:val="bottom"/>
          </w:tcPr>
          <w:p>
            <w:pPr>
              <w:spacing w:after="0"/>
              <w:rPr>
                <w:sz w:val="18"/>
                <w:szCs w:val="18"/>
                <w:color w:val="auto"/>
              </w:rPr>
            </w:pPr>
          </w:p>
        </w:tc>
      </w:tr>
      <w:tr>
        <w:trPr>
          <w:trHeight w:val="210"/>
        </w:trPr>
        <w:tc>
          <w:tcPr>
            <w:tcW w:w="9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Environmental Matters</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66</w:t>
            </w:r>
          </w:p>
        </w:tc>
        <w:tc>
          <w:tcPr>
            <w:tcW w:w="40" w:type="dxa"/>
            <w:vAlign w:val="bottom"/>
          </w:tcPr>
          <w:p>
            <w:pPr>
              <w:spacing w:after="0"/>
              <w:rPr>
                <w:sz w:val="18"/>
                <w:szCs w:val="18"/>
                <w:color w:val="auto"/>
              </w:rPr>
            </w:pPr>
          </w:p>
        </w:tc>
      </w:tr>
      <w:tr>
        <w:trPr>
          <w:trHeight w:val="209"/>
        </w:trPr>
        <w:tc>
          <w:tcPr>
            <w:tcW w:w="9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Market Risks</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67</w:t>
            </w:r>
          </w:p>
        </w:tc>
        <w:tc>
          <w:tcPr>
            <w:tcW w:w="40" w:type="dxa"/>
            <w:vAlign w:val="bottom"/>
          </w:tcPr>
          <w:p>
            <w:pPr>
              <w:spacing w:after="0"/>
              <w:rPr>
                <w:sz w:val="18"/>
                <w:szCs w:val="18"/>
                <w:color w:val="auto"/>
              </w:rPr>
            </w:pPr>
          </w:p>
        </w:tc>
      </w:tr>
      <w:tr>
        <w:trPr>
          <w:trHeight w:val="210"/>
        </w:trPr>
        <w:tc>
          <w:tcPr>
            <w:tcW w:w="9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Critical Accounting Estimates</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68</w:t>
            </w:r>
          </w:p>
        </w:tc>
        <w:tc>
          <w:tcPr>
            <w:tcW w:w="40" w:type="dxa"/>
            <w:vAlign w:val="bottom"/>
          </w:tcPr>
          <w:p>
            <w:pPr>
              <w:spacing w:after="0"/>
              <w:rPr>
                <w:sz w:val="18"/>
                <w:szCs w:val="18"/>
                <w:color w:val="auto"/>
              </w:rPr>
            </w:pPr>
          </w:p>
        </w:tc>
      </w:tr>
      <w:tr>
        <w:trPr>
          <w:trHeight w:val="425"/>
        </w:trPr>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Management’s Report on Internal Control over Financial Reporting</w:t>
            </w:r>
          </w:p>
        </w:tc>
        <w:tc>
          <w:tcPr>
            <w:tcW w:w="80" w:type="dxa"/>
            <w:vAlign w:val="bottom"/>
          </w:tcPr>
          <w:p>
            <w:pPr>
              <w:spacing w:after="0"/>
              <w:rPr>
                <w:sz w:val="24"/>
                <w:szCs w:val="24"/>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73</w:t>
            </w:r>
          </w:p>
        </w:tc>
        <w:tc>
          <w:tcPr>
            <w:tcW w:w="40" w:type="dxa"/>
            <w:vAlign w:val="bottom"/>
          </w:tcPr>
          <w:p>
            <w:pPr>
              <w:spacing w:after="0"/>
              <w:rPr>
                <w:sz w:val="24"/>
                <w:szCs w:val="24"/>
                <w:color w:val="auto"/>
              </w:rPr>
            </w:pPr>
          </w:p>
        </w:tc>
      </w:tr>
      <w:tr>
        <w:trPr>
          <w:trHeight w:val="210"/>
        </w:trPr>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74</w:t>
            </w:r>
          </w:p>
        </w:tc>
        <w:tc>
          <w:tcPr>
            <w:tcW w:w="40" w:type="dxa"/>
            <w:vAlign w:val="bottom"/>
          </w:tcPr>
          <w:p>
            <w:pPr>
              <w:spacing w:after="0"/>
              <w:rPr>
                <w:sz w:val="18"/>
                <w:szCs w:val="18"/>
                <w:color w:val="auto"/>
              </w:rPr>
            </w:pPr>
          </w:p>
        </w:tc>
      </w:tr>
      <w:tr>
        <w:trPr>
          <w:trHeight w:val="236"/>
        </w:trPr>
        <w:tc>
          <w:tcPr>
            <w:tcW w:w="70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r>
      <w:tr>
        <w:trPr>
          <w:trHeight w:val="270"/>
        </w:trPr>
        <w:tc>
          <w:tcPr>
            <w:tcW w:w="9380" w:type="dxa"/>
            <w:vAlign w:val="bottom"/>
            <w:gridSpan w:val="2"/>
            <w:shd w:val="clear" w:color="auto" w:fill="0C479D"/>
          </w:tcPr>
          <w:p>
            <w:pPr>
              <w:spacing w:after="0"/>
              <w:rPr>
                <w:sz w:val="20"/>
                <w:szCs w:val="20"/>
                <w:color w:val="auto"/>
              </w:rPr>
            </w:pPr>
            <w:r>
              <w:rPr>
                <w:rFonts w:ascii="Times New Roman" w:cs="Times New Roman" w:eastAsia="Times New Roman" w:hAnsi="Times New Roman"/>
                <w:sz w:val="22"/>
                <w:szCs w:val="22"/>
                <w:color w:val="FFFFFF"/>
              </w:rPr>
              <w:t>Consolidated Financial Statements</w:t>
            </w:r>
          </w:p>
        </w:tc>
        <w:tc>
          <w:tcPr>
            <w:tcW w:w="80" w:type="dxa"/>
            <w:vAlign w:val="bottom"/>
            <w:shd w:val="clear" w:color="auto" w:fill="0C479D"/>
          </w:tcPr>
          <w:p>
            <w:pPr>
              <w:spacing w:after="0"/>
              <w:rPr>
                <w:sz w:val="23"/>
                <w:szCs w:val="23"/>
                <w:color w:val="auto"/>
              </w:rPr>
            </w:pPr>
          </w:p>
        </w:tc>
        <w:tc>
          <w:tcPr>
            <w:tcW w:w="180" w:type="dxa"/>
            <w:vAlign w:val="bottom"/>
            <w:shd w:val="clear" w:color="auto" w:fill="0C479D"/>
          </w:tcPr>
          <w:p>
            <w:pPr>
              <w:spacing w:after="0"/>
              <w:rPr>
                <w:sz w:val="23"/>
                <w:szCs w:val="23"/>
                <w:color w:val="auto"/>
              </w:rPr>
            </w:pPr>
          </w:p>
        </w:tc>
        <w:tc>
          <w:tcPr>
            <w:tcW w:w="40" w:type="dxa"/>
            <w:vAlign w:val="bottom"/>
            <w:shd w:val="clear" w:color="auto" w:fill="0C479D"/>
          </w:tcPr>
          <w:p>
            <w:pPr>
              <w:spacing w:after="0"/>
              <w:rPr>
                <w:sz w:val="23"/>
                <w:szCs w:val="23"/>
                <w:color w:val="auto"/>
              </w:rPr>
            </w:pPr>
          </w:p>
        </w:tc>
      </w:tr>
      <w:tr>
        <w:trPr>
          <w:trHeight w:val="243"/>
        </w:trPr>
        <w:tc>
          <w:tcPr>
            <w:tcW w:w="9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Statement of Income</w:t>
            </w:r>
          </w:p>
        </w:tc>
        <w:tc>
          <w:tcPr>
            <w:tcW w:w="80" w:type="dxa"/>
            <w:vAlign w:val="bottom"/>
          </w:tcPr>
          <w:p>
            <w:pPr>
              <w:spacing w:after="0"/>
              <w:rPr>
                <w:sz w:val="21"/>
                <w:szCs w:val="21"/>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77</w:t>
            </w:r>
          </w:p>
        </w:tc>
        <w:tc>
          <w:tcPr>
            <w:tcW w:w="40" w:type="dxa"/>
            <w:vAlign w:val="bottom"/>
          </w:tcPr>
          <w:p>
            <w:pPr>
              <w:spacing w:after="0"/>
              <w:rPr>
                <w:sz w:val="21"/>
                <w:szCs w:val="21"/>
                <w:color w:val="auto"/>
              </w:rPr>
            </w:pPr>
          </w:p>
        </w:tc>
      </w:tr>
      <w:tr>
        <w:trPr>
          <w:trHeight w:val="210"/>
        </w:trPr>
        <w:tc>
          <w:tcPr>
            <w:tcW w:w="9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Statement of Comprehensive Income</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78</w:t>
            </w:r>
          </w:p>
        </w:tc>
        <w:tc>
          <w:tcPr>
            <w:tcW w:w="40" w:type="dxa"/>
            <w:vAlign w:val="bottom"/>
          </w:tcPr>
          <w:p>
            <w:pPr>
              <w:spacing w:after="0"/>
              <w:rPr>
                <w:sz w:val="18"/>
                <w:szCs w:val="18"/>
                <w:color w:val="auto"/>
              </w:rPr>
            </w:pPr>
          </w:p>
        </w:tc>
      </w:tr>
      <w:tr>
        <w:trPr>
          <w:trHeight w:val="209"/>
        </w:trPr>
        <w:tc>
          <w:tcPr>
            <w:tcW w:w="9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Balance Sheet</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79</w:t>
            </w:r>
          </w:p>
        </w:tc>
        <w:tc>
          <w:tcPr>
            <w:tcW w:w="40" w:type="dxa"/>
            <w:vAlign w:val="bottom"/>
          </w:tcPr>
          <w:p>
            <w:pPr>
              <w:spacing w:after="0"/>
              <w:rPr>
                <w:sz w:val="18"/>
                <w:szCs w:val="18"/>
                <w:color w:val="auto"/>
              </w:rPr>
            </w:pPr>
          </w:p>
        </w:tc>
      </w:tr>
      <w:tr>
        <w:trPr>
          <w:trHeight w:val="210"/>
        </w:trPr>
        <w:tc>
          <w:tcPr>
            <w:tcW w:w="9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Statement of Cash Flows</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80</w:t>
            </w:r>
          </w:p>
        </w:tc>
        <w:tc>
          <w:tcPr>
            <w:tcW w:w="40" w:type="dxa"/>
            <w:vAlign w:val="bottom"/>
          </w:tcPr>
          <w:p>
            <w:pPr>
              <w:spacing w:after="0"/>
              <w:rPr>
                <w:sz w:val="18"/>
                <w:szCs w:val="18"/>
                <w:color w:val="auto"/>
              </w:rPr>
            </w:pPr>
          </w:p>
        </w:tc>
      </w:tr>
      <w:tr>
        <w:trPr>
          <w:trHeight w:val="210"/>
        </w:trPr>
        <w:tc>
          <w:tcPr>
            <w:tcW w:w="9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Statement of Changes in Equity</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81</w:t>
            </w:r>
          </w:p>
        </w:tc>
        <w:tc>
          <w:tcPr>
            <w:tcW w:w="40" w:type="dxa"/>
            <w:vAlign w:val="bottom"/>
          </w:tcPr>
          <w:p>
            <w:pPr>
              <w:spacing w:after="0"/>
              <w:rPr>
                <w:sz w:val="18"/>
                <w:szCs w:val="18"/>
                <w:color w:val="auto"/>
              </w:rPr>
            </w:pPr>
          </w:p>
        </w:tc>
      </w:tr>
      <w:tr>
        <w:trPr>
          <w:trHeight w:val="236"/>
        </w:trPr>
        <w:tc>
          <w:tcPr>
            <w:tcW w:w="70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r>
      <w:tr>
        <w:trPr>
          <w:trHeight w:val="270"/>
        </w:trPr>
        <w:tc>
          <w:tcPr>
            <w:tcW w:w="9380" w:type="dxa"/>
            <w:vAlign w:val="bottom"/>
            <w:gridSpan w:val="2"/>
            <w:shd w:val="clear" w:color="auto" w:fill="0C479D"/>
          </w:tcPr>
          <w:p>
            <w:pPr>
              <w:spacing w:after="0"/>
              <w:rPr>
                <w:sz w:val="20"/>
                <w:szCs w:val="20"/>
                <w:color w:val="auto"/>
              </w:rPr>
            </w:pPr>
            <w:r>
              <w:rPr>
                <w:rFonts w:ascii="Times New Roman" w:cs="Times New Roman" w:eastAsia="Times New Roman" w:hAnsi="Times New Roman"/>
                <w:sz w:val="22"/>
                <w:szCs w:val="22"/>
                <w:color w:val="FFFFFF"/>
              </w:rPr>
              <w:t>Notes to Consolidated Financial Statements</w:t>
            </w:r>
          </w:p>
        </w:tc>
        <w:tc>
          <w:tcPr>
            <w:tcW w:w="80" w:type="dxa"/>
            <w:vAlign w:val="bottom"/>
            <w:shd w:val="clear" w:color="auto" w:fill="0C479D"/>
          </w:tcPr>
          <w:p>
            <w:pPr>
              <w:spacing w:after="0"/>
              <w:rPr>
                <w:sz w:val="23"/>
                <w:szCs w:val="23"/>
                <w:color w:val="auto"/>
              </w:rPr>
            </w:pPr>
          </w:p>
        </w:tc>
        <w:tc>
          <w:tcPr>
            <w:tcW w:w="180" w:type="dxa"/>
            <w:vAlign w:val="bottom"/>
            <w:shd w:val="clear" w:color="auto" w:fill="0C479D"/>
          </w:tcPr>
          <w:p>
            <w:pPr>
              <w:spacing w:after="0"/>
              <w:rPr>
                <w:sz w:val="23"/>
                <w:szCs w:val="23"/>
                <w:color w:val="auto"/>
              </w:rPr>
            </w:pPr>
          </w:p>
        </w:tc>
        <w:tc>
          <w:tcPr>
            <w:tcW w:w="40" w:type="dxa"/>
            <w:vAlign w:val="bottom"/>
            <w:shd w:val="clear" w:color="auto" w:fill="0C479D"/>
          </w:tcPr>
          <w:p>
            <w:pPr>
              <w:spacing w:after="0"/>
              <w:rPr>
                <w:sz w:val="23"/>
                <w:szCs w:val="23"/>
                <w:color w:val="auto"/>
              </w:rPr>
            </w:pPr>
          </w:p>
        </w:tc>
      </w:tr>
      <w:tr>
        <w:trPr>
          <w:trHeight w:val="243"/>
        </w:trPr>
        <w:tc>
          <w:tcPr>
            <w:tcW w:w="9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1. Summary of Accounting Policies</w:t>
            </w:r>
          </w:p>
        </w:tc>
        <w:tc>
          <w:tcPr>
            <w:tcW w:w="80" w:type="dxa"/>
            <w:vAlign w:val="bottom"/>
          </w:tcPr>
          <w:p>
            <w:pPr>
              <w:spacing w:after="0"/>
              <w:rPr>
                <w:sz w:val="21"/>
                <w:szCs w:val="21"/>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82</w:t>
            </w:r>
          </w:p>
        </w:tc>
        <w:tc>
          <w:tcPr>
            <w:tcW w:w="40" w:type="dxa"/>
            <w:vAlign w:val="bottom"/>
          </w:tcPr>
          <w:p>
            <w:pPr>
              <w:spacing w:after="0"/>
              <w:rPr>
                <w:sz w:val="21"/>
                <w:szCs w:val="21"/>
                <w:color w:val="auto"/>
              </w:rPr>
            </w:pPr>
          </w:p>
        </w:tc>
      </w:tr>
      <w:tr>
        <w:trPr>
          <w:trHeight w:val="210"/>
        </w:trPr>
        <w:tc>
          <w:tcPr>
            <w:tcW w:w="9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2. Russia</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86</w:t>
            </w:r>
          </w:p>
        </w:tc>
        <w:tc>
          <w:tcPr>
            <w:tcW w:w="40" w:type="dxa"/>
            <w:vAlign w:val="bottom"/>
          </w:tcPr>
          <w:p>
            <w:pPr>
              <w:spacing w:after="0"/>
              <w:rPr>
                <w:sz w:val="18"/>
                <w:szCs w:val="18"/>
                <w:color w:val="auto"/>
              </w:rPr>
            </w:pPr>
          </w:p>
        </w:tc>
      </w:tr>
      <w:tr>
        <w:trPr>
          <w:trHeight w:val="210"/>
        </w:trPr>
        <w:tc>
          <w:tcPr>
            <w:tcW w:w="9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3. Miscellaneous Financial Information</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87</w:t>
            </w:r>
          </w:p>
        </w:tc>
        <w:tc>
          <w:tcPr>
            <w:tcW w:w="40" w:type="dxa"/>
            <w:vAlign w:val="bottom"/>
          </w:tcPr>
          <w:p>
            <w:pPr>
              <w:spacing w:after="0"/>
              <w:rPr>
                <w:sz w:val="18"/>
                <w:szCs w:val="18"/>
                <w:color w:val="auto"/>
              </w:rPr>
            </w:pPr>
          </w:p>
        </w:tc>
      </w:tr>
      <w:tr>
        <w:trPr>
          <w:trHeight w:val="210"/>
        </w:trPr>
        <w:tc>
          <w:tcPr>
            <w:tcW w:w="9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4. Other Comprehensive Income Information</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88</w:t>
            </w:r>
          </w:p>
        </w:tc>
        <w:tc>
          <w:tcPr>
            <w:tcW w:w="40" w:type="dxa"/>
            <w:vAlign w:val="bottom"/>
          </w:tcPr>
          <w:p>
            <w:pPr>
              <w:spacing w:after="0"/>
              <w:rPr>
                <w:sz w:val="18"/>
                <w:szCs w:val="18"/>
                <w:color w:val="auto"/>
              </w:rPr>
            </w:pPr>
          </w:p>
        </w:tc>
      </w:tr>
      <w:tr>
        <w:trPr>
          <w:trHeight w:val="210"/>
        </w:trPr>
        <w:tc>
          <w:tcPr>
            <w:tcW w:w="9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5. Cash Flow Information</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89</w:t>
            </w:r>
          </w:p>
        </w:tc>
        <w:tc>
          <w:tcPr>
            <w:tcW w:w="40" w:type="dxa"/>
            <w:vAlign w:val="bottom"/>
          </w:tcPr>
          <w:p>
            <w:pPr>
              <w:spacing w:after="0"/>
              <w:rPr>
                <w:sz w:val="18"/>
                <w:szCs w:val="18"/>
                <w:color w:val="auto"/>
              </w:rPr>
            </w:pPr>
          </w:p>
        </w:tc>
      </w:tr>
      <w:tr>
        <w:trPr>
          <w:trHeight w:val="209"/>
        </w:trPr>
        <w:tc>
          <w:tcPr>
            <w:tcW w:w="9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6. Additional Working Capital Information</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89</w:t>
            </w:r>
          </w:p>
        </w:tc>
        <w:tc>
          <w:tcPr>
            <w:tcW w:w="40" w:type="dxa"/>
            <w:vAlign w:val="bottom"/>
          </w:tcPr>
          <w:p>
            <w:pPr>
              <w:spacing w:after="0"/>
              <w:rPr>
                <w:sz w:val="18"/>
                <w:szCs w:val="18"/>
                <w:color w:val="auto"/>
              </w:rPr>
            </w:pPr>
          </w:p>
        </w:tc>
      </w:tr>
      <w:tr>
        <w:trPr>
          <w:trHeight w:val="210"/>
        </w:trPr>
        <w:tc>
          <w:tcPr>
            <w:tcW w:w="9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7. Equity Company Information</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90</w:t>
            </w:r>
          </w:p>
        </w:tc>
        <w:tc>
          <w:tcPr>
            <w:tcW w:w="40" w:type="dxa"/>
            <w:vAlign w:val="bottom"/>
          </w:tcPr>
          <w:p>
            <w:pPr>
              <w:spacing w:after="0"/>
              <w:rPr>
                <w:sz w:val="18"/>
                <w:szCs w:val="18"/>
                <w:color w:val="auto"/>
              </w:rPr>
            </w:pPr>
          </w:p>
        </w:tc>
      </w:tr>
      <w:tr>
        <w:trPr>
          <w:trHeight w:val="210"/>
        </w:trPr>
        <w:tc>
          <w:tcPr>
            <w:tcW w:w="9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8. Investments, Advances and Long-Term Receivables</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92</w:t>
            </w:r>
          </w:p>
        </w:tc>
        <w:tc>
          <w:tcPr>
            <w:tcW w:w="40" w:type="dxa"/>
            <w:vAlign w:val="bottom"/>
          </w:tcPr>
          <w:p>
            <w:pPr>
              <w:spacing w:after="0"/>
              <w:rPr>
                <w:sz w:val="18"/>
                <w:szCs w:val="18"/>
                <w:color w:val="auto"/>
              </w:rPr>
            </w:pPr>
          </w:p>
        </w:tc>
      </w:tr>
      <w:tr>
        <w:trPr>
          <w:trHeight w:val="210"/>
        </w:trPr>
        <w:tc>
          <w:tcPr>
            <w:tcW w:w="9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9. Property, Plant and Equipment and Asset Retirement Obligations</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92</w:t>
            </w:r>
          </w:p>
        </w:tc>
        <w:tc>
          <w:tcPr>
            <w:tcW w:w="40" w:type="dxa"/>
            <w:vAlign w:val="bottom"/>
          </w:tcPr>
          <w:p>
            <w:pPr>
              <w:spacing w:after="0"/>
              <w:rPr>
                <w:sz w:val="18"/>
                <w:szCs w:val="18"/>
                <w:color w:val="auto"/>
              </w:rPr>
            </w:pPr>
          </w:p>
        </w:tc>
      </w:tr>
      <w:tr>
        <w:trPr>
          <w:trHeight w:val="209"/>
        </w:trPr>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10.</w:t>
            </w:r>
          </w:p>
        </w:tc>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for Suspended Exploratory Well Costs</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94</w:t>
            </w:r>
          </w:p>
        </w:tc>
        <w:tc>
          <w:tcPr>
            <w:tcW w:w="40" w:type="dxa"/>
            <w:vAlign w:val="bottom"/>
          </w:tcPr>
          <w:p>
            <w:pPr>
              <w:spacing w:after="0"/>
              <w:rPr>
                <w:sz w:val="18"/>
                <w:szCs w:val="18"/>
                <w:color w:val="auto"/>
              </w:rPr>
            </w:pPr>
          </w:p>
        </w:tc>
      </w:tr>
      <w:tr>
        <w:trPr>
          <w:trHeight w:val="210"/>
        </w:trPr>
        <w:tc>
          <w:tcPr>
            <w:tcW w:w="93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11. Leases</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95</w:t>
            </w:r>
          </w:p>
        </w:tc>
        <w:tc>
          <w:tcPr>
            <w:tcW w:w="40" w:type="dxa"/>
            <w:vAlign w:val="bottom"/>
          </w:tcPr>
          <w:p>
            <w:pPr>
              <w:spacing w:after="0"/>
              <w:rPr>
                <w:sz w:val="18"/>
                <w:szCs w:val="18"/>
                <w:color w:val="auto"/>
              </w:rPr>
            </w:pPr>
          </w:p>
        </w:tc>
      </w:tr>
      <w:tr>
        <w:trPr>
          <w:trHeight w:val="210"/>
        </w:trPr>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12.</w:t>
            </w:r>
          </w:p>
        </w:tc>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96</w:t>
            </w:r>
          </w:p>
        </w:tc>
        <w:tc>
          <w:tcPr>
            <w:tcW w:w="40" w:type="dxa"/>
            <w:vAlign w:val="bottom"/>
          </w:tcPr>
          <w:p>
            <w:pPr>
              <w:spacing w:after="0"/>
              <w:rPr>
                <w:sz w:val="18"/>
                <w:szCs w:val="18"/>
                <w:color w:val="auto"/>
              </w:rPr>
            </w:pPr>
          </w:p>
        </w:tc>
      </w:tr>
      <w:tr>
        <w:trPr>
          <w:trHeight w:val="210"/>
        </w:trPr>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13.</w:t>
            </w:r>
          </w:p>
        </w:tc>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Instruments and Derivatives</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97</w:t>
            </w:r>
          </w:p>
        </w:tc>
        <w:tc>
          <w:tcPr>
            <w:tcW w:w="40" w:type="dxa"/>
            <w:vAlign w:val="bottom"/>
          </w:tcPr>
          <w:p>
            <w:pPr>
              <w:spacing w:after="0"/>
              <w:rPr>
                <w:sz w:val="18"/>
                <w:szCs w:val="18"/>
                <w:color w:val="auto"/>
              </w:rPr>
            </w:pPr>
          </w:p>
        </w:tc>
      </w:tr>
      <w:tr>
        <w:trPr>
          <w:trHeight w:val="209"/>
        </w:trPr>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14.</w:t>
            </w:r>
          </w:p>
        </w:tc>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80" w:type="dxa"/>
            <w:vAlign w:val="bottom"/>
          </w:tcPr>
          <w:p>
            <w:pPr>
              <w:spacing w:after="0"/>
              <w:rPr>
                <w:sz w:val="18"/>
                <w:szCs w:val="18"/>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98</w:t>
            </w:r>
          </w:p>
        </w:tc>
        <w:tc>
          <w:tcPr>
            <w:tcW w:w="40" w:type="dxa"/>
            <w:vAlign w:val="bottom"/>
          </w:tcPr>
          <w:p>
            <w:pPr>
              <w:spacing w:after="0"/>
              <w:rPr>
                <w:sz w:val="18"/>
                <w:szCs w:val="18"/>
                <w:color w:val="auto"/>
              </w:rPr>
            </w:pPr>
          </w:p>
        </w:tc>
      </w:tr>
      <w:tr>
        <w:trPr>
          <w:trHeight w:val="210"/>
        </w:trPr>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15.</w:t>
            </w:r>
          </w:p>
        </w:tc>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Incentive Program</w:t>
            </w:r>
          </w:p>
        </w:tc>
        <w:tc>
          <w:tcPr>
            <w:tcW w:w="2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100</w:t>
            </w:r>
          </w:p>
        </w:tc>
        <w:tc>
          <w:tcPr>
            <w:tcW w:w="40" w:type="dxa"/>
            <w:vAlign w:val="bottom"/>
          </w:tcPr>
          <w:p>
            <w:pPr>
              <w:spacing w:after="0"/>
              <w:rPr>
                <w:sz w:val="18"/>
                <w:szCs w:val="18"/>
                <w:color w:val="auto"/>
              </w:rPr>
            </w:pPr>
          </w:p>
        </w:tc>
      </w:tr>
      <w:tr>
        <w:trPr>
          <w:trHeight w:val="210"/>
        </w:trPr>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16.</w:t>
            </w:r>
          </w:p>
        </w:tc>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Litigation and Other Contingencies</w:t>
            </w:r>
          </w:p>
        </w:tc>
        <w:tc>
          <w:tcPr>
            <w:tcW w:w="2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101</w:t>
            </w:r>
          </w:p>
        </w:tc>
        <w:tc>
          <w:tcPr>
            <w:tcW w:w="40" w:type="dxa"/>
            <w:vAlign w:val="bottom"/>
          </w:tcPr>
          <w:p>
            <w:pPr>
              <w:spacing w:after="0"/>
              <w:rPr>
                <w:sz w:val="18"/>
                <w:szCs w:val="18"/>
                <w:color w:val="auto"/>
              </w:rPr>
            </w:pPr>
          </w:p>
        </w:tc>
      </w:tr>
      <w:tr>
        <w:trPr>
          <w:trHeight w:val="209"/>
        </w:trPr>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17.</w:t>
            </w:r>
          </w:p>
        </w:tc>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and Other Postretirement Benefits</w:t>
            </w:r>
          </w:p>
        </w:tc>
        <w:tc>
          <w:tcPr>
            <w:tcW w:w="2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102</w:t>
            </w:r>
          </w:p>
        </w:tc>
        <w:tc>
          <w:tcPr>
            <w:tcW w:w="40" w:type="dxa"/>
            <w:vAlign w:val="bottom"/>
          </w:tcPr>
          <w:p>
            <w:pPr>
              <w:spacing w:after="0"/>
              <w:rPr>
                <w:sz w:val="18"/>
                <w:szCs w:val="18"/>
                <w:color w:val="auto"/>
              </w:rPr>
            </w:pPr>
          </w:p>
        </w:tc>
      </w:tr>
      <w:tr>
        <w:trPr>
          <w:trHeight w:val="210"/>
        </w:trPr>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18.</w:t>
            </w:r>
          </w:p>
        </w:tc>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Disclosures about Segments and Related Information</w:t>
            </w:r>
          </w:p>
        </w:tc>
        <w:tc>
          <w:tcPr>
            <w:tcW w:w="2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108</w:t>
            </w:r>
          </w:p>
        </w:tc>
        <w:tc>
          <w:tcPr>
            <w:tcW w:w="40" w:type="dxa"/>
            <w:vAlign w:val="bottom"/>
          </w:tcPr>
          <w:p>
            <w:pPr>
              <w:spacing w:after="0"/>
              <w:rPr>
                <w:sz w:val="18"/>
                <w:szCs w:val="18"/>
                <w:color w:val="auto"/>
              </w:rPr>
            </w:pPr>
          </w:p>
        </w:tc>
      </w:tr>
      <w:tr>
        <w:trPr>
          <w:trHeight w:val="209"/>
        </w:trPr>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19.</w:t>
            </w:r>
          </w:p>
        </w:tc>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and Other Taxes</w:t>
            </w:r>
          </w:p>
        </w:tc>
        <w:tc>
          <w:tcPr>
            <w:tcW w:w="2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113</w:t>
            </w:r>
          </w:p>
        </w:tc>
        <w:tc>
          <w:tcPr>
            <w:tcW w:w="40" w:type="dxa"/>
            <w:vAlign w:val="bottom"/>
          </w:tcPr>
          <w:p>
            <w:pPr>
              <w:spacing w:after="0"/>
              <w:rPr>
                <w:sz w:val="18"/>
                <w:szCs w:val="18"/>
                <w:color w:val="auto"/>
              </w:rPr>
            </w:pPr>
          </w:p>
        </w:tc>
      </w:tr>
      <w:tr>
        <w:trPr>
          <w:trHeight w:val="210"/>
        </w:trPr>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20.</w:t>
            </w:r>
          </w:p>
        </w:tc>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Divestment Activities</w:t>
            </w:r>
          </w:p>
        </w:tc>
        <w:tc>
          <w:tcPr>
            <w:tcW w:w="2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117</w:t>
            </w:r>
          </w:p>
        </w:tc>
        <w:tc>
          <w:tcPr>
            <w:tcW w:w="40" w:type="dxa"/>
            <w:vAlign w:val="bottom"/>
          </w:tcPr>
          <w:p>
            <w:pPr>
              <w:spacing w:after="0"/>
              <w:rPr>
                <w:sz w:val="18"/>
                <w:szCs w:val="18"/>
                <w:color w:val="auto"/>
              </w:rPr>
            </w:pPr>
          </w:p>
        </w:tc>
      </w:tr>
      <w:tr>
        <w:trPr>
          <w:trHeight w:val="209"/>
        </w:trPr>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21.</w:t>
            </w:r>
          </w:p>
        </w:tc>
        <w:tc>
          <w:tcPr>
            <w:tcW w:w="8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Mergers and Acquisitions</w:t>
            </w:r>
          </w:p>
        </w:tc>
        <w:tc>
          <w:tcPr>
            <w:tcW w:w="2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118</w:t>
            </w:r>
          </w:p>
        </w:tc>
        <w:tc>
          <w:tcPr>
            <w:tcW w:w="40" w:type="dxa"/>
            <w:vAlign w:val="bottom"/>
          </w:tcPr>
          <w:p>
            <w:pPr>
              <w:spacing w:after="0"/>
              <w:rPr>
                <w:sz w:val="18"/>
                <w:szCs w:val="18"/>
                <w:color w:val="auto"/>
              </w:rPr>
            </w:pPr>
          </w:p>
        </w:tc>
      </w:tr>
      <w:tr>
        <w:trPr>
          <w:trHeight w:val="425"/>
        </w:trPr>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Information on Oil and Gas Exploration and Production Activities</w:t>
            </w:r>
          </w:p>
        </w:tc>
        <w:tc>
          <w:tcPr>
            <w:tcW w:w="2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121</w:t>
            </w:r>
          </w:p>
        </w:tc>
        <w:tc>
          <w:tcPr>
            <w:tcW w:w="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9680"/>
          </w:cols>
          <w:pgMar w:left="1120" w:top="934" w:right="1099" w:bottom="1440" w:gutter="0" w:footer="0" w:header="0"/>
        </w:sectPr>
      </w:pP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80"/>
          </w:cols>
          <w:pgMar w:left="1120" w:top="934" w:right="109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25"/>
          <w:szCs w:val="25"/>
          <w:b w:val="1"/>
          <w:bCs w:val="1"/>
          <w:color w:val="0C479D"/>
        </w:rPr>
        <w:t>BUSINESS PROFILE</w:t>
      </w:r>
    </w:p>
    <w:p>
      <w:pPr>
        <w:spacing w:after="0" w:line="200" w:lineRule="exact"/>
        <w:rPr>
          <w:sz w:val="20"/>
          <w:szCs w:val="20"/>
          <w:color w:val="auto"/>
        </w:rPr>
      </w:pPr>
    </w:p>
    <w:p>
      <w:pPr>
        <w:spacing w:after="0" w:line="392" w:lineRule="exact"/>
        <w:rPr>
          <w:sz w:val="20"/>
          <w:szCs w:val="20"/>
          <w:color w:val="auto"/>
        </w:rPr>
      </w:pPr>
    </w:p>
    <w:tbl>
      <w:tblPr>
        <w:tblLayout w:type="fixed"/>
        <w:tblInd w:w="780" w:type="dxa"/>
        <w:tblCellMar>
          <w:top w:w="0" w:type="dxa"/>
          <w:left w:w="0" w:type="dxa"/>
          <w:bottom w:w="0" w:type="dxa"/>
          <w:right w:w="0" w:type="dxa"/>
        </w:tblCellMar>
      </w:tblPr>
      <w:tr>
        <w:trPr>
          <w:trHeight w:val="178"/>
        </w:trPr>
        <w:tc>
          <w:tcPr>
            <w:tcW w:w="2260" w:type="dxa"/>
            <w:vAlign w:val="bottom"/>
            <w:shd w:val="clear" w:color="auto" w:fill="0C479D"/>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2"/>
            <w:vMerge w:val="restart"/>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Earnings (Loss) After</w:t>
            </w:r>
          </w:p>
        </w:tc>
        <w:tc>
          <w:tcPr>
            <w:tcW w:w="120" w:type="dxa"/>
            <w:vAlign w:val="bottom"/>
          </w:tcPr>
          <w:p>
            <w:pPr>
              <w:spacing w:after="0"/>
              <w:rPr>
                <w:sz w:val="15"/>
                <w:szCs w:val="15"/>
                <w:color w:val="auto"/>
              </w:rPr>
            </w:pPr>
          </w:p>
        </w:tc>
        <w:tc>
          <w:tcPr>
            <w:tcW w:w="1800" w:type="dxa"/>
            <w:vAlign w:val="bottom"/>
            <w:gridSpan w:val="2"/>
            <w:vMerge w:val="restart"/>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Average Capital</w:t>
            </w:r>
          </w:p>
        </w:tc>
        <w:tc>
          <w:tcPr>
            <w:tcW w:w="120" w:type="dxa"/>
            <w:vAlign w:val="bottom"/>
          </w:tcPr>
          <w:p>
            <w:pPr>
              <w:spacing w:after="0"/>
              <w:rPr>
                <w:sz w:val="15"/>
                <w:szCs w:val="15"/>
                <w:color w:val="auto"/>
              </w:rPr>
            </w:pPr>
          </w:p>
        </w:tc>
        <w:tc>
          <w:tcPr>
            <w:tcW w:w="1220" w:type="dxa"/>
            <w:vAlign w:val="bottom"/>
            <w:gridSpan w:val="2"/>
            <w:shd w:val="clear" w:color="auto" w:fill="0C479D"/>
          </w:tcPr>
          <w:p>
            <w:pPr>
              <w:jc w:val="center"/>
              <w:ind w:left="355"/>
              <w:spacing w:after="0"/>
              <w:rPr>
                <w:sz w:val="20"/>
                <w:szCs w:val="20"/>
                <w:color w:val="auto"/>
              </w:rPr>
            </w:pPr>
            <w:r>
              <w:rPr>
                <w:rFonts w:ascii="Times New Roman" w:cs="Times New Roman" w:eastAsia="Times New Roman" w:hAnsi="Times New Roman"/>
                <w:sz w:val="14"/>
                <w:szCs w:val="14"/>
                <w:b w:val="1"/>
                <w:bCs w:val="1"/>
                <w:color w:val="FFFFFF"/>
              </w:rPr>
              <w:t>Return on</w:t>
            </w:r>
          </w:p>
        </w:tc>
        <w:tc>
          <w:tcPr>
            <w:tcW w:w="420" w:type="dxa"/>
            <w:vAlign w:val="bottom"/>
            <w:shd w:val="clear" w:color="auto" w:fill="0C479D"/>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2"/>
            <w:vMerge w:val="restart"/>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Capital and</w:t>
            </w:r>
          </w:p>
        </w:tc>
        <w:tc>
          <w:tcPr>
            <w:tcW w:w="0" w:type="dxa"/>
            <w:vAlign w:val="bottom"/>
          </w:tcPr>
          <w:p>
            <w:pPr>
              <w:spacing w:after="0"/>
              <w:rPr>
                <w:sz w:val="1"/>
                <w:szCs w:val="1"/>
                <w:color w:val="auto"/>
              </w:rPr>
            </w:pPr>
          </w:p>
        </w:tc>
      </w:tr>
      <w:tr>
        <w:trPr>
          <w:trHeight w:val="148"/>
        </w:trPr>
        <w:tc>
          <w:tcPr>
            <w:tcW w:w="2260" w:type="dxa"/>
            <w:vAlign w:val="bottom"/>
            <w:shd w:val="clear" w:color="auto" w:fill="0C479D"/>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2"/>
            <w:vMerge w:val="continue"/>
            <w:shd w:val="clear" w:color="auto" w:fill="0C479D"/>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vMerge w:val="continue"/>
            <w:shd w:val="clear" w:color="auto" w:fill="0C479D"/>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3"/>
            <w:shd w:val="clear" w:color="auto" w:fill="0C479D"/>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FFFFFF"/>
              </w:rPr>
              <w:t>Average Capital</w:t>
            </w:r>
          </w:p>
        </w:tc>
        <w:tc>
          <w:tcPr>
            <w:tcW w:w="120" w:type="dxa"/>
            <w:vAlign w:val="bottom"/>
          </w:tcPr>
          <w:p>
            <w:pPr>
              <w:spacing w:after="0"/>
              <w:rPr>
                <w:sz w:val="12"/>
                <w:szCs w:val="12"/>
                <w:color w:val="auto"/>
              </w:rPr>
            </w:pPr>
          </w:p>
        </w:tc>
        <w:tc>
          <w:tcPr>
            <w:tcW w:w="1780" w:type="dxa"/>
            <w:vAlign w:val="bottom"/>
            <w:gridSpan w:val="2"/>
            <w:vMerge w:val="continue"/>
            <w:shd w:val="clear" w:color="auto" w:fill="0C479D"/>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260" w:type="dxa"/>
            <w:vAlign w:val="bottom"/>
            <w:shd w:val="clear" w:color="auto" w:fill="0C479D"/>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2"/>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Income Taxes</w:t>
            </w:r>
          </w:p>
        </w:tc>
        <w:tc>
          <w:tcPr>
            <w:tcW w:w="120" w:type="dxa"/>
            <w:vAlign w:val="bottom"/>
          </w:tcPr>
          <w:p>
            <w:pPr>
              <w:spacing w:after="0"/>
              <w:rPr>
                <w:sz w:val="16"/>
                <w:szCs w:val="16"/>
                <w:color w:val="auto"/>
              </w:rPr>
            </w:pPr>
          </w:p>
        </w:tc>
        <w:tc>
          <w:tcPr>
            <w:tcW w:w="1800" w:type="dxa"/>
            <w:vAlign w:val="bottom"/>
            <w:gridSpan w:val="2"/>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 xml:space="preserve">Employed </w:t>
            </w:r>
            <w:r>
              <w:rPr>
                <w:rFonts w:ascii="Times New Roman" w:cs="Times New Roman" w:eastAsia="Times New Roman" w:hAnsi="Times New Roman"/>
                <w:sz w:val="14"/>
                <w:szCs w:val="14"/>
                <w:color w:val="FFFFFF"/>
              </w:rPr>
              <w:t>(Non-GAAP)</w:t>
            </w:r>
          </w:p>
        </w:tc>
        <w:tc>
          <w:tcPr>
            <w:tcW w:w="120" w:type="dxa"/>
            <w:vAlign w:val="bottom"/>
          </w:tcPr>
          <w:p>
            <w:pPr>
              <w:spacing w:after="0"/>
              <w:rPr>
                <w:sz w:val="16"/>
                <w:szCs w:val="16"/>
                <w:color w:val="auto"/>
              </w:rPr>
            </w:pPr>
          </w:p>
        </w:tc>
        <w:tc>
          <w:tcPr>
            <w:tcW w:w="1640" w:type="dxa"/>
            <w:vAlign w:val="bottom"/>
            <w:gridSpan w:val="3"/>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 xml:space="preserve">Employed </w:t>
            </w:r>
            <w:r>
              <w:rPr>
                <w:rFonts w:ascii="Times New Roman" w:cs="Times New Roman" w:eastAsia="Times New Roman" w:hAnsi="Times New Roman"/>
                <w:sz w:val="14"/>
                <w:szCs w:val="14"/>
                <w:color w:val="FFFFFF"/>
              </w:rPr>
              <w:t>(Non-GAAP)</w:t>
            </w:r>
          </w:p>
        </w:tc>
        <w:tc>
          <w:tcPr>
            <w:tcW w:w="120" w:type="dxa"/>
            <w:vAlign w:val="bottom"/>
          </w:tcPr>
          <w:p>
            <w:pPr>
              <w:spacing w:after="0"/>
              <w:rPr>
                <w:sz w:val="16"/>
                <w:szCs w:val="16"/>
                <w:color w:val="auto"/>
              </w:rPr>
            </w:pPr>
          </w:p>
        </w:tc>
        <w:tc>
          <w:tcPr>
            <w:tcW w:w="1780" w:type="dxa"/>
            <w:vAlign w:val="bottom"/>
            <w:gridSpan w:val="2"/>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Exploration Expenditures</w:t>
            </w:r>
          </w:p>
        </w:tc>
        <w:tc>
          <w:tcPr>
            <w:tcW w:w="0" w:type="dxa"/>
            <w:vAlign w:val="bottom"/>
          </w:tcPr>
          <w:p>
            <w:pPr>
              <w:spacing w:after="0"/>
              <w:rPr>
                <w:sz w:val="1"/>
                <w:szCs w:val="1"/>
                <w:color w:val="auto"/>
              </w:rPr>
            </w:pPr>
          </w:p>
        </w:tc>
      </w:tr>
      <w:tr>
        <w:trPr>
          <w:trHeight w:val="266"/>
        </w:trPr>
        <w:tc>
          <w:tcPr>
            <w:tcW w:w="2260" w:type="dxa"/>
            <w:vAlign w:val="bottom"/>
            <w:shd w:val="clear" w:color="auto" w:fill="0C479D"/>
          </w:tcPr>
          <w:p>
            <w:pPr>
              <w:ind w:left="20"/>
              <w:spacing w:after="0"/>
              <w:rPr>
                <w:sz w:val="20"/>
                <w:szCs w:val="20"/>
                <w:color w:val="auto"/>
              </w:rPr>
            </w:pPr>
            <w:r>
              <w:rPr>
                <w:rFonts w:ascii="Times New Roman" w:cs="Times New Roman" w:eastAsia="Times New Roman" w:hAnsi="Times New Roman"/>
                <w:sz w:val="18"/>
                <w:szCs w:val="18"/>
                <w:b w:val="1"/>
                <w:bCs w:val="1"/>
                <w:color w:val="FFFFFF"/>
              </w:rPr>
              <w:t>Financial</w:t>
            </w:r>
          </w:p>
        </w:tc>
        <w:tc>
          <w:tcPr>
            <w:tcW w:w="120" w:type="dxa"/>
            <w:vAlign w:val="bottom"/>
          </w:tcPr>
          <w:p>
            <w:pPr>
              <w:spacing w:after="0"/>
              <w:rPr>
                <w:sz w:val="23"/>
                <w:szCs w:val="23"/>
                <w:color w:val="auto"/>
              </w:rPr>
            </w:pPr>
          </w:p>
        </w:tc>
        <w:tc>
          <w:tcPr>
            <w:tcW w:w="820" w:type="dxa"/>
            <w:vAlign w:val="bottom"/>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920" w:type="dxa"/>
            <w:vAlign w:val="bottom"/>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120" w:type="dxa"/>
            <w:vAlign w:val="bottom"/>
          </w:tcPr>
          <w:p>
            <w:pPr>
              <w:spacing w:after="0"/>
              <w:rPr>
                <w:sz w:val="23"/>
                <w:szCs w:val="23"/>
                <w:color w:val="auto"/>
              </w:rPr>
            </w:pPr>
          </w:p>
        </w:tc>
        <w:tc>
          <w:tcPr>
            <w:tcW w:w="840" w:type="dxa"/>
            <w:vAlign w:val="bottom"/>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960" w:type="dxa"/>
            <w:vAlign w:val="bottom"/>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120" w:type="dxa"/>
            <w:vAlign w:val="bottom"/>
          </w:tcPr>
          <w:p>
            <w:pPr>
              <w:spacing w:after="0"/>
              <w:rPr>
                <w:sz w:val="23"/>
                <w:szCs w:val="23"/>
                <w:color w:val="auto"/>
              </w:rPr>
            </w:pPr>
          </w:p>
        </w:tc>
        <w:tc>
          <w:tcPr>
            <w:tcW w:w="760" w:type="dxa"/>
            <w:vAlign w:val="bottom"/>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460" w:type="dxa"/>
            <w:vAlign w:val="bottom"/>
            <w:shd w:val="clear" w:color="auto" w:fill="0C479D"/>
          </w:tcPr>
          <w:p>
            <w:pPr>
              <w:spacing w:after="0"/>
              <w:rPr>
                <w:sz w:val="23"/>
                <w:szCs w:val="23"/>
                <w:color w:val="auto"/>
              </w:rPr>
            </w:pPr>
          </w:p>
        </w:tc>
        <w:tc>
          <w:tcPr>
            <w:tcW w:w="420" w:type="dxa"/>
            <w:vAlign w:val="bottom"/>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120" w:type="dxa"/>
            <w:vAlign w:val="bottom"/>
          </w:tcPr>
          <w:p>
            <w:pPr>
              <w:spacing w:after="0"/>
              <w:rPr>
                <w:sz w:val="23"/>
                <w:szCs w:val="23"/>
                <w:color w:val="auto"/>
              </w:rPr>
            </w:pPr>
          </w:p>
        </w:tc>
        <w:tc>
          <w:tcPr>
            <w:tcW w:w="820" w:type="dxa"/>
            <w:vAlign w:val="bottom"/>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960" w:type="dxa"/>
            <w:vAlign w:val="bottom"/>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0" w:type="dxa"/>
            <w:vAlign w:val="bottom"/>
          </w:tcPr>
          <w:p>
            <w:pPr>
              <w:spacing w:after="0"/>
              <w:rPr>
                <w:sz w:val="1"/>
                <w:szCs w:val="1"/>
                <w:color w:val="auto"/>
              </w:rPr>
            </w:pPr>
          </w:p>
        </w:tc>
      </w:tr>
      <w:tr>
        <w:trPr>
          <w:trHeight w:val="206"/>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120" w:type="dxa"/>
            <w:vAlign w:val="bottom"/>
          </w:tcPr>
          <w:p>
            <w:pPr>
              <w:spacing w:after="0"/>
              <w:rPr>
                <w:sz w:val="17"/>
                <w:szCs w:val="17"/>
                <w:color w:val="auto"/>
              </w:rPr>
            </w:pP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120" w:type="dxa"/>
            <w:vAlign w:val="bottom"/>
          </w:tcPr>
          <w:p>
            <w:pPr>
              <w:spacing w:after="0"/>
              <w:rPr>
                <w:sz w:val="17"/>
                <w:szCs w:val="17"/>
                <w:color w:val="auto"/>
              </w:rPr>
            </w:pPr>
          </w:p>
        </w:tc>
        <w:tc>
          <w:tcPr>
            <w:tcW w:w="1220" w:type="dxa"/>
            <w:vAlign w:val="bottom"/>
            <w:gridSpan w:val="2"/>
          </w:tcPr>
          <w:p>
            <w:pPr>
              <w:jc w:val="center"/>
              <w:ind w:left="335"/>
              <w:spacing w:after="0"/>
              <w:rPr>
                <w:sz w:val="20"/>
                <w:szCs w:val="20"/>
                <w:color w:val="auto"/>
              </w:rPr>
            </w:pPr>
            <w:r>
              <w:rPr>
                <w:rFonts w:ascii="Times New Roman" w:cs="Times New Roman" w:eastAsia="Times New Roman" w:hAnsi="Times New Roman"/>
                <w:sz w:val="14"/>
                <w:szCs w:val="14"/>
                <w:i w:val="1"/>
                <w:iCs w:val="1"/>
                <w:color w:val="auto"/>
              </w:rPr>
              <w:t>(percent)</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4"/>
                <w:szCs w:val="14"/>
                <w:i w:val="1"/>
                <w:iCs w:val="1"/>
                <w:color w:val="auto"/>
              </w:rPr>
              <w:t>(millions of dollars)</w:t>
            </w:r>
          </w:p>
        </w:tc>
        <w:tc>
          <w:tcPr>
            <w:tcW w:w="0" w:type="dxa"/>
            <w:vAlign w:val="bottom"/>
          </w:tcPr>
          <w:p>
            <w:pPr>
              <w:spacing w:after="0"/>
              <w:rPr>
                <w:sz w:val="1"/>
                <w:szCs w:val="1"/>
                <w:color w:val="auto"/>
              </w:rPr>
            </w:pPr>
          </w:p>
        </w:tc>
      </w:tr>
      <w:tr>
        <w:trPr>
          <w:trHeight w:val="50"/>
        </w:trPr>
        <w:tc>
          <w:tcPr>
            <w:tcW w:w="2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0C479D"/>
              </w:rPr>
              <w:t>Upstream</w:t>
            </w: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380" w:type="dxa"/>
            <w:vAlign w:val="bottom"/>
            <w:gridSpan w:val="2"/>
            <w:vMerge w:val="continue"/>
          </w:tcPr>
          <w:p>
            <w:pPr>
              <w:spacing w:after="0"/>
              <w:rPr>
                <w:sz w:val="21"/>
                <w:szCs w:val="21"/>
                <w:color w:val="auto"/>
              </w:rPr>
            </w:pPr>
          </w:p>
        </w:tc>
        <w:tc>
          <w:tcPr>
            <w:tcW w:w="820" w:type="dxa"/>
            <w:vAlign w:val="bottom"/>
            <w:shd w:val="clear" w:color="auto" w:fill="F0F0F0"/>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shd w:val="clear" w:color="auto" w:fill="F0F0F0"/>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shd w:val="clear" w:color="auto" w:fill="F0F0F0"/>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shd w:val="clear" w:color="auto" w:fill="F0F0F0"/>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United States</w:t>
            </w:r>
          </w:p>
        </w:tc>
        <w:tc>
          <w:tcPr>
            <w:tcW w:w="8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6,426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4,202</w:t>
            </w:r>
          </w:p>
        </w:tc>
        <w:tc>
          <w:tcPr>
            <w:tcW w:w="120" w:type="dxa"/>
            <w:vAlign w:val="bottom"/>
          </w:tcPr>
          <w:p>
            <w:pPr>
              <w:spacing w:after="0"/>
              <w:rPr>
                <w:sz w:val="22"/>
                <w:szCs w:val="22"/>
                <w:color w:val="auto"/>
              </w:rPr>
            </w:pPr>
          </w:p>
        </w:tc>
        <w:tc>
          <w:tcPr>
            <w:tcW w:w="8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85,285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51,957</w:t>
            </w:r>
          </w:p>
        </w:tc>
        <w:tc>
          <w:tcPr>
            <w:tcW w:w="120" w:type="dxa"/>
            <w:vAlign w:val="bottom"/>
          </w:tcPr>
          <w:p>
            <w:pPr>
              <w:spacing w:after="0"/>
              <w:rPr>
                <w:sz w:val="22"/>
                <w:szCs w:val="22"/>
                <w:color w:val="auto"/>
              </w:rPr>
            </w:pPr>
          </w:p>
        </w:tc>
        <w:tc>
          <w:tcPr>
            <w:tcW w:w="7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6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22"/>
                <w:szCs w:val="22"/>
                <w:color w:val="auto"/>
              </w:rPr>
            </w:pPr>
          </w:p>
        </w:tc>
        <w:tc>
          <w:tcPr>
            <w:tcW w:w="8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11,252</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8,813</w:t>
            </w:r>
          </w:p>
        </w:tc>
        <w:tc>
          <w:tcPr>
            <w:tcW w:w="0" w:type="dxa"/>
            <w:vAlign w:val="bottom"/>
          </w:tcPr>
          <w:p>
            <w:pPr>
              <w:spacing w:after="0"/>
              <w:rPr>
                <w:sz w:val="1"/>
                <w:szCs w:val="1"/>
                <w:color w:val="auto"/>
              </w:rPr>
            </w:pPr>
          </w:p>
        </w:tc>
      </w:tr>
      <w:tr>
        <w:trPr>
          <w:trHeight w:val="263"/>
        </w:trPr>
        <w:tc>
          <w:tcPr>
            <w:tcW w:w="2380" w:type="dxa"/>
            <w:vAlign w:val="bottom"/>
            <w:tcBorders>
              <w:bottom w:val="single" w:sz="8" w:color="0C479D"/>
            </w:tcBorders>
            <w:gridSpan w:val="2"/>
          </w:tcPr>
          <w:p>
            <w:pPr>
              <w:ind w:left="160"/>
              <w:spacing w:after="0"/>
              <w:rPr>
                <w:sz w:val="20"/>
                <w:szCs w:val="20"/>
                <w:color w:val="auto"/>
              </w:rPr>
            </w:pPr>
            <w:r>
              <w:rPr>
                <w:rFonts w:ascii="Times New Roman" w:cs="Times New Roman" w:eastAsia="Times New Roman" w:hAnsi="Times New Roman"/>
                <w:sz w:val="18"/>
                <w:szCs w:val="18"/>
                <w:color w:val="auto"/>
              </w:rPr>
              <w:t>Non-U.S.</w:t>
            </w:r>
          </w:p>
        </w:tc>
        <w:tc>
          <w:tcPr>
            <w:tcW w:w="82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18,964</w:t>
            </w:r>
          </w:p>
        </w:tc>
        <w:tc>
          <w:tcPr>
            <w:tcW w:w="9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17,106</w:t>
            </w:r>
          </w:p>
        </w:tc>
        <w:tc>
          <w:tcPr>
            <w:tcW w:w="120" w:type="dxa"/>
            <w:vAlign w:val="bottom"/>
            <w:tcBorders>
              <w:bottom w:val="single" w:sz="8" w:color="0C479D"/>
            </w:tcBorders>
          </w:tcPr>
          <w:p>
            <w:pPr>
              <w:spacing w:after="0"/>
              <w:rPr>
                <w:sz w:val="22"/>
                <w:szCs w:val="22"/>
                <w:color w:val="auto"/>
              </w:rPr>
            </w:pPr>
          </w:p>
        </w:tc>
        <w:tc>
          <w:tcPr>
            <w:tcW w:w="84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93,390</w:t>
            </w:r>
          </w:p>
        </w:tc>
        <w:tc>
          <w:tcPr>
            <w:tcW w:w="9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91,358</w:t>
            </w:r>
          </w:p>
        </w:tc>
        <w:tc>
          <w:tcPr>
            <w:tcW w:w="120" w:type="dxa"/>
            <w:vAlign w:val="bottom"/>
            <w:tcBorders>
              <w:bottom w:val="single" w:sz="8" w:color="0C479D"/>
            </w:tcBorders>
          </w:tcPr>
          <w:p>
            <w:pPr>
              <w:spacing w:after="0"/>
              <w:rPr>
                <w:sz w:val="22"/>
                <w:szCs w:val="22"/>
                <w:color w:val="auto"/>
              </w:rPr>
            </w:pPr>
          </w:p>
        </w:tc>
        <w:tc>
          <w:tcPr>
            <w:tcW w:w="7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460" w:type="dxa"/>
            <w:vAlign w:val="bottom"/>
            <w:tcBorders>
              <w:bottom w:val="single" w:sz="8" w:color="0C479D"/>
            </w:tcBorders>
          </w:tcPr>
          <w:p>
            <w:pPr>
              <w:spacing w:after="0"/>
              <w:rPr>
                <w:sz w:val="22"/>
                <w:szCs w:val="22"/>
                <w:color w:val="auto"/>
              </w:rPr>
            </w:pPr>
          </w:p>
        </w:tc>
        <w:tc>
          <w:tcPr>
            <w:tcW w:w="4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Borders>
              <w:bottom w:val="single" w:sz="8" w:color="0C479D"/>
            </w:tcBorders>
          </w:tcPr>
          <w:p>
            <w:pPr>
              <w:spacing w:after="0"/>
              <w:rPr>
                <w:sz w:val="22"/>
                <w:szCs w:val="22"/>
                <w:color w:val="auto"/>
              </w:rPr>
            </w:pPr>
          </w:p>
        </w:tc>
        <w:tc>
          <w:tcPr>
            <w:tcW w:w="82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10,596</w:t>
            </w:r>
          </w:p>
        </w:tc>
        <w:tc>
          <w:tcPr>
            <w:tcW w:w="960" w:type="dxa"/>
            <w:vAlign w:val="bottom"/>
            <w:tcBorders>
              <w:bottom w:val="single" w:sz="8" w:color="0C479D"/>
            </w:tcBorders>
          </w:tcPr>
          <w:p>
            <w:pPr>
              <w:jc w:val="right"/>
              <w:ind w:right="11"/>
              <w:spacing w:after="0"/>
              <w:rPr>
                <w:sz w:val="20"/>
                <w:szCs w:val="20"/>
                <w:color w:val="auto"/>
              </w:rPr>
            </w:pPr>
            <w:r>
              <w:rPr>
                <w:rFonts w:ascii="Times New Roman" w:cs="Times New Roman" w:eastAsia="Times New Roman" w:hAnsi="Times New Roman"/>
                <w:sz w:val="18"/>
                <w:szCs w:val="18"/>
                <w:color w:val="auto"/>
              </w:rPr>
              <w:t>10,948</w:t>
            </w:r>
          </w:p>
        </w:tc>
        <w:tc>
          <w:tcPr>
            <w:tcW w:w="0" w:type="dxa"/>
            <w:vAlign w:val="bottom"/>
          </w:tcPr>
          <w:p>
            <w:pPr>
              <w:spacing w:after="0"/>
              <w:rPr>
                <w:sz w:val="1"/>
                <w:szCs w:val="1"/>
                <w:color w:val="auto"/>
              </w:rPr>
            </w:pPr>
          </w:p>
        </w:tc>
      </w:tr>
      <w:tr>
        <w:trPr>
          <w:trHeight w:val="234"/>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25,390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21,308</w:t>
            </w:r>
          </w:p>
        </w:tc>
        <w:tc>
          <w:tcPr>
            <w:tcW w:w="120" w:type="dxa"/>
            <w:vAlign w:val="bottom"/>
          </w:tcPr>
          <w:p>
            <w:pPr>
              <w:spacing w:after="0"/>
              <w:rPr>
                <w:sz w:val="20"/>
                <w:szCs w:val="20"/>
                <w:color w:val="auto"/>
              </w:rPr>
            </w:pPr>
          </w:p>
        </w:tc>
        <w:tc>
          <w:tcPr>
            <w:tcW w:w="8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178,675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143,315</w:t>
            </w:r>
          </w:p>
        </w:tc>
        <w:tc>
          <w:tcPr>
            <w:tcW w:w="120" w:type="dxa"/>
            <w:vAlign w:val="bottom"/>
          </w:tcPr>
          <w:p>
            <w:pPr>
              <w:spacing w:after="0"/>
              <w:rPr>
                <w:sz w:val="20"/>
                <w:szCs w:val="20"/>
                <w:color w:val="auto"/>
              </w:rPr>
            </w:pPr>
          </w:p>
        </w:tc>
        <w:tc>
          <w:tcPr>
            <w:tcW w:w="7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4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Pr>
          <w:p>
            <w:pPr>
              <w:spacing w:after="0"/>
              <w:rPr>
                <w:sz w:val="20"/>
                <w:szCs w:val="20"/>
                <w:color w:val="auto"/>
              </w:rPr>
            </w:pPr>
          </w:p>
        </w:tc>
        <w:tc>
          <w:tcPr>
            <w:tcW w:w="8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21,848</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19,761</w:t>
            </w:r>
          </w:p>
        </w:tc>
        <w:tc>
          <w:tcPr>
            <w:tcW w:w="0" w:type="dxa"/>
            <w:vAlign w:val="bottom"/>
          </w:tcPr>
          <w:p>
            <w:pPr>
              <w:spacing w:after="0"/>
              <w:rPr>
                <w:sz w:val="1"/>
                <w:szCs w:val="1"/>
                <w:color w:val="auto"/>
              </w:rPr>
            </w:pPr>
          </w:p>
        </w:tc>
      </w:tr>
      <w:tr>
        <w:trPr>
          <w:trHeight w:val="306"/>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0C479D"/>
              </w:rPr>
              <w:t>Energy Products</w:t>
            </w:r>
          </w:p>
        </w:tc>
        <w:tc>
          <w:tcPr>
            <w:tcW w:w="820" w:type="dxa"/>
            <w:vAlign w:val="bottom"/>
            <w:shd w:val="clear" w:color="auto" w:fill="F0F0F0"/>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shd w:val="clear" w:color="auto" w:fill="F0F0F0"/>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shd w:val="clear" w:color="auto" w:fill="F0F0F0"/>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shd w:val="clear" w:color="auto" w:fill="F0F0F0"/>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United States</w:t>
            </w:r>
          </w:p>
        </w:tc>
        <w:tc>
          <w:tcPr>
            <w:tcW w:w="8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6,123</w:t>
            </w:r>
          </w:p>
        </w:tc>
        <w:tc>
          <w:tcPr>
            <w:tcW w:w="120" w:type="dxa"/>
            <w:vAlign w:val="bottom"/>
          </w:tcPr>
          <w:p>
            <w:pPr>
              <w:spacing w:after="0"/>
              <w:rPr>
                <w:sz w:val="22"/>
                <w:szCs w:val="22"/>
                <w:color w:val="auto"/>
              </w:rPr>
            </w:pPr>
          </w:p>
        </w:tc>
        <w:tc>
          <w:tcPr>
            <w:tcW w:w="8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13,190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12,540</w:t>
            </w:r>
          </w:p>
        </w:tc>
        <w:tc>
          <w:tcPr>
            <w:tcW w:w="120" w:type="dxa"/>
            <w:vAlign w:val="bottom"/>
          </w:tcPr>
          <w:p>
            <w:pPr>
              <w:spacing w:after="0"/>
              <w:rPr>
                <w:sz w:val="22"/>
                <w:szCs w:val="22"/>
                <w:color w:val="auto"/>
              </w:rPr>
            </w:pPr>
          </w:p>
        </w:tc>
        <w:tc>
          <w:tcPr>
            <w:tcW w:w="7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46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20" w:type="dxa"/>
            <w:vAlign w:val="bottom"/>
          </w:tcPr>
          <w:p>
            <w:pPr>
              <w:spacing w:after="0"/>
              <w:rPr>
                <w:sz w:val="22"/>
                <w:szCs w:val="22"/>
                <w:color w:val="auto"/>
              </w:rPr>
            </w:pPr>
          </w:p>
        </w:tc>
        <w:tc>
          <w:tcPr>
            <w:tcW w:w="8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1,195</w:t>
            </w:r>
          </w:p>
        </w:tc>
        <w:tc>
          <w:tcPr>
            <w:tcW w:w="0" w:type="dxa"/>
            <w:vAlign w:val="bottom"/>
          </w:tcPr>
          <w:p>
            <w:pPr>
              <w:spacing w:after="0"/>
              <w:rPr>
                <w:sz w:val="1"/>
                <w:szCs w:val="1"/>
                <w:color w:val="auto"/>
              </w:rPr>
            </w:pPr>
          </w:p>
        </w:tc>
      </w:tr>
      <w:tr>
        <w:trPr>
          <w:trHeight w:val="263"/>
        </w:trPr>
        <w:tc>
          <w:tcPr>
            <w:tcW w:w="2380" w:type="dxa"/>
            <w:vAlign w:val="bottom"/>
            <w:tcBorders>
              <w:bottom w:val="single" w:sz="8" w:color="0C479D"/>
            </w:tcBorders>
            <w:gridSpan w:val="2"/>
          </w:tcPr>
          <w:p>
            <w:pPr>
              <w:ind w:left="160"/>
              <w:spacing w:after="0"/>
              <w:rPr>
                <w:sz w:val="20"/>
                <w:szCs w:val="20"/>
                <w:color w:val="auto"/>
              </w:rPr>
            </w:pPr>
            <w:r>
              <w:rPr>
                <w:rFonts w:ascii="Times New Roman" w:cs="Times New Roman" w:eastAsia="Times New Roman" w:hAnsi="Times New Roman"/>
                <w:sz w:val="18"/>
                <w:szCs w:val="18"/>
                <w:color w:val="auto"/>
              </w:rPr>
              <w:t>Non-U.S.</w:t>
            </w:r>
          </w:p>
        </w:tc>
        <w:tc>
          <w:tcPr>
            <w:tcW w:w="82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9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6,019</w:t>
            </w:r>
          </w:p>
        </w:tc>
        <w:tc>
          <w:tcPr>
            <w:tcW w:w="120" w:type="dxa"/>
            <w:vAlign w:val="bottom"/>
            <w:tcBorders>
              <w:bottom w:val="single" w:sz="8" w:color="0C479D"/>
            </w:tcBorders>
          </w:tcPr>
          <w:p>
            <w:pPr>
              <w:spacing w:after="0"/>
              <w:rPr>
                <w:sz w:val="22"/>
                <w:szCs w:val="22"/>
                <w:color w:val="auto"/>
              </w:rPr>
            </w:pPr>
          </w:p>
        </w:tc>
        <w:tc>
          <w:tcPr>
            <w:tcW w:w="84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21,135</w:t>
            </w:r>
          </w:p>
        </w:tc>
        <w:tc>
          <w:tcPr>
            <w:tcW w:w="9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20,010</w:t>
            </w:r>
          </w:p>
        </w:tc>
        <w:tc>
          <w:tcPr>
            <w:tcW w:w="120" w:type="dxa"/>
            <w:vAlign w:val="bottom"/>
            <w:tcBorders>
              <w:bottom w:val="single" w:sz="8" w:color="0C479D"/>
            </w:tcBorders>
          </w:tcPr>
          <w:p>
            <w:pPr>
              <w:spacing w:after="0"/>
              <w:rPr>
                <w:sz w:val="22"/>
                <w:szCs w:val="22"/>
                <w:color w:val="auto"/>
              </w:rPr>
            </w:pPr>
          </w:p>
        </w:tc>
        <w:tc>
          <w:tcPr>
            <w:tcW w:w="7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460" w:type="dxa"/>
            <w:vAlign w:val="bottom"/>
            <w:tcBorders>
              <w:bottom w:val="single" w:sz="8" w:color="0C479D"/>
            </w:tcBorders>
          </w:tcPr>
          <w:p>
            <w:pPr>
              <w:spacing w:after="0"/>
              <w:rPr>
                <w:sz w:val="22"/>
                <w:szCs w:val="22"/>
                <w:color w:val="auto"/>
              </w:rPr>
            </w:pPr>
          </w:p>
        </w:tc>
        <w:tc>
          <w:tcPr>
            <w:tcW w:w="4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tcBorders>
              <w:bottom w:val="single" w:sz="8" w:color="0C479D"/>
            </w:tcBorders>
          </w:tcPr>
          <w:p>
            <w:pPr>
              <w:spacing w:after="0"/>
              <w:rPr>
                <w:sz w:val="22"/>
                <w:szCs w:val="22"/>
                <w:color w:val="auto"/>
              </w:rPr>
            </w:pPr>
          </w:p>
        </w:tc>
        <w:tc>
          <w:tcPr>
            <w:tcW w:w="82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960" w:type="dxa"/>
            <w:vAlign w:val="bottom"/>
            <w:tcBorders>
              <w:bottom w:val="single" w:sz="8" w:color="0C479D"/>
            </w:tcBorders>
          </w:tcPr>
          <w:p>
            <w:pPr>
              <w:jc w:val="right"/>
              <w:ind w:right="11"/>
              <w:spacing w:after="0"/>
              <w:rPr>
                <w:sz w:val="20"/>
                <w:szCs w:val="20"/>
                <w:color w:val="auto"/>
              </w:rPr>
            </w:pPr>
            <w:r>
              <w:rPr>
                <w:rFonts w:ascii="Times New Roman" w:cs="Times New Roman" w:eastAsia="Times New Roman" w:hAnsi="Times New Roman"/>
                <w:sz w:val="18"/>
                <w:szCs w:val="18"/>
                <w:color w:val="auto"/>
              </w:rPr>
              <w:t>1,580</w:t>
            </w:r>
          </w:p>
        </w:tc>
        <w:tc>
          <w:tcPr>
            <w:tcW w:w="0" w:type="dxa"/>
            <w:vAlign w:val="bottom"/>
          </w:tcPr>
          <w:p>
            <w:pPr>
              <w:spacing w:after="0"/>
              <w:rPr>
                <w:sz w:val="1"/>
                <w:szCs w:val="1"/>
                <w:color w:val="auto"/>
              </w:rPr>
            </w:pPr>
          </w:p>
        </w:tc>
      </w:tr>
      <w:tr>
        <w:trPr>
          <w:trHeight w:val="234"/>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4,033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12,142</w:t>
            </w:r>
          </w:p>
        </w:tc>
        <w:tc>
          <w:tcPr>
            <w:tcW w:w="120" w:type="dxa"/>
            <w:vAlign w:val="bottom"/>
          </w:tcPr>
          <w:p>
            <w:pPr>
              <w:spacing w:after="0"/>
              <w:rPr>
                <w:sz w:val="20"/>
                <w:szCs w:val="20"/>
                <w:color w:val="auto"/>
              </w:rPr>
            </w:pPr>
          </w:p>
        </w:tc>
        <w:tc>
          <w:tcPr>
            <w:tcW w:w="8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34,325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32,550</w:t>
            </w:r>
          </w:p>
        </w:tc>
        <w:tc>
          <w:tcPr>
            <w:tcW w:w="120" w:type="dxa"/>
            <w:vAlign w:val="bottom"/>
          </w:tcPr>
          <w:p>
            <w:pPr>
              <w:spacing w:after="0"/>
              <w:rPr>
                <w:sz w:val="20"/>
                <w:szCs w:val="20"/>
                <w:color w:val="auto"/>
              </w:rPr>
            </w:pPr>
          </w:p>
        </w:tc>
        <w:tc>
          <w:tcPr>
            <w:tcW w:w="7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4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tcPr>
          <w:p>
            <w:pPr>
              <w:spacing w:after="0"/>
              <w:rPr>
                <w:sz w:val="20"/>
                <w:szCs w:val="20"/>
                <w:color w:val="auto"/>
              </w:rPr>
            </w:pPr>
          </w:p>
        </w:tc>
        <w:tc>
          <w:tcPr>
            <w:tcW w:w="8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2,775</w:t>
            </w:r>
          </w:p>
        </w:tc>
        <w:tc>
          <w:tcPr>
            <w:tcW w:w="0" w:type="dxa"/>
            <w:vAlign w:val="bottom"/>
          </w:tcPr>
          <w:p>
            <w:pPr>
              <w:spacing w:after="0"/>
              <w:rPr>
                <w:sz w:val="1"/>
                <w:szCs w:val="1"/>
                <w:color w:val="auto"/>
              </w:rPr>
            </w:pPr>
          </w:p>
        </w:tc>
      </w:tr>
      <w:tr>
        <w:trPr>
          <w:trHeight w:val="306"/>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0C479D"/>
              </w:rPr>
              <w:t>Chemical Products</w:t>
            </w:r>
          </w:p>
        </w:tc>
        <w:tc>
          <w:tcPr>
            <w:tcW w:w="820" w:type="dxa"/>
            <w:vAlign w:val="bottom"/>
            <w:shd w:val="clear" w:color="auto" w:fill="F0F0F0"/>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shd w:val="clear" w:color="auto" w:fill="F0F0F0"/>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shd w:val="clear" w:color="auto" w:fill="F0F0F0"/>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shd w:val="clear" w:color="auto" w:fill="F0F0F0"/>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United States</w:t>
            </w:r>
          </w:p>
        </w:tc>
        <w:tc>
          <w:tcPr>
            <w:tcW w:w="8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120" w:type="dxa"/>
            <w:vAlign w:val="bottom"/>
          </w:tcPr>
          <w:p>
            <w:pPr>
              <w:spacing w:after="0"/>
              <w:rPr>
                <w:sz w:val="22"/>
                <w:szCs w:val="22"/>
                <w:color w:val="auto"/>
              </w:rPr>
            </w:pPr>
          </w:p>
        </w:tc>
        <w:tc>
          <w:tcPr>
            <w:tcW w:w="8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14,277</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14,702</w:t>
            </w:r>
          </w:p>
        </w:tc>
        <w:tc>
          <w:tcPr>
            <w:tcW w:w="120" w:type="dxa"/>
            <w:vAlign w:val="bottom"/>
          </w:tcPr>
          <w:p>
            <w:pPr>
              <w:spacing w:after="0"/>
              <w:rPr>
                <w:sz w:val="22"/>
                <w:szCs w:val="22"/>
                <w:color w:val="auto"/>
              </w:rPr>
            </w:pPr>
          </w:p>
        </w:tc>
        <w:tc>
          <w:tcPr>
            <w:tcW w:w="7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46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22"/>
                <w:szCs w:val="22"/>
                <w:color w:val="auto"/>
              </w:rPr>
            </w:pPr>
          </w:p>
        </w:tc>
        <w:tc>
          <w:tcPr>
            <w:tcW w:w="8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63"/>
        </w:trPr>
        <w:tc>
          <w:tcPr>
            <w:tcW w:w="2380" w:type="dxa"/>
            <w:vAlign w:val="bottom"/>
            <w:tcBorders>
              <w:bottom w:val="single" w:sz="8" w:color="0C479D"/>
            </w:tcBorders>
            <w:gridSpan w:val="2"/>
          </w:tcPr>
          <w:p>
            <w:pPr>
              <w:ind w:left="160"/>
              <w:spacing w:after="0"/>
              <w:rPr>
                <w:sz w:val="20"/>
                <w:szCs w:val="20"/>
                <w:color w:val="auto"/>
              </w:rPr>
            </w:pPr>
            <w:r>
              <w:rPr>
                <w:rFonts w:ascii="Times New Roman" w:cs="Times New Roman" w:eastAsia="Times New Roman" w:hAnsi="Times New Roman"/>
                <w:sz w:val="18"/>
                <w:szCs w:val="18"/>
                <w:color w:val="auto"/>
              </w:rPr>
              <w:t>Non-U.S.</w:t>
            </w:r>
          </w:p>
        </w:tc>
        <w:tc>
          <w:tcPr>
            <w:tcW w:w="82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9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0C479D"/>
            </w:tcBorders>
          </w:tcPr>
          <w:p>
            <w:pPr>
              <w:spacing w:after="0"/>
              <w:rPr>
                <w:sz w:val="22"/>
                <w:szCs w:val="22"/>
                <w:color w:val="auto"/>
              </w:rPr>
            </w:pPr>
          </w:p>
        </w:tc>
        <w:tc>
          <w:tcPr>
            <w:tcW w:w="84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14,760</w:t>
            </w:r>
          </w:p>
        </w:tc>
        <w:tc>
          <w:tcPr>
            <w:tcW w:w="9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13,859</w:t>
            </w:r>
          </w:p>
        </w:tc>
        <w:tc>
          <w:tcPr>
            <w:tcW w:w="120" w:type="dxa"/>
            <w:vAlign w:val="bottom"/>
            <w:tcBorders>
              <w:bottom w:val="single" w:sz="8" w:color="0C479D"/>
            </w:tcBorders>
          </w:tcPr>
          <w:p>
            <w:pPr>
              <w:spacing w:after="0"/>
              <w:rPr>
                <w:sz w:val="22"/>
                <w:szCs w:val="22"/>
                <w:color w:val="auto"/>
              </w:rPr>
            </w:pPr>
          </w:p>
        </w:tc>
        <w:tc>
          <w:tcPr>
            <w:tcW w:w="7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60" w:type="dxa"/>
            <w:vAlign w:val="bottom"/>
            <w:tcBorders>
              <w:bottom w:val="single" w:sz="8" w:color="0C479D"/>
            </w:tcBorders>
          </w:tcPr>
          <w:p>
            <w:pPr>
              <w:spacing w:after="0"/>
              <w:rPr>
                <w:sz w:val="22"/>
                <w:szCs w:val="22"/>
                <w:color w:val="auto"/>
              </w:rPr>
            </w:pPr>
          </w:p>
        </w:tc>
        <w:tc>
          <w:tcPr>
            <w:tcW w:w="4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0C479D"/>
            </w:tcBorders>
          </w:tcPr>
          <w:p>
            <w:pPr>
              <w:spacing w:after="0"/>
              <w:rPr>
                <w:sz w:val="22"/>
                <w:szCs w:val="22"/>
                <w:color w:val="auto"/>
              </w:rPr>
            </w:pPr>
          </w:p>
        </w:tc>
        <w:tc>
          <w:tcPr>
            <w:tcW w:w="82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960" w:type="dxa"/>
            <w:vAlign w:val="bottom"/>
            <w:tcBorders>
              <w:bottom w:val="single" w:sz="8" w:color="0C479D"/>
            </w:tcBorders>
          </w:tcPr>
          <w:p>
            <w:pPr>
              <w:jc w:val="right"/>
              <w:ind w:right="11"/>
              <w:spacing w:after="0"/>
              <w:rPr>
                <w:sz w:val="20"/>
                <w:szCs w:val="20"/>
                <w:color w:val="auto"/>
              </w:rPr>
            </w:pPr>
            <w:r>
              <w:rPr>
                <w:rFonts w:ascii="Times New Roman" w:cs="Times New Roman" w:eastAsia="Times New Roman" w:hAnsi="Times New Roman"/>
                <w:sz w:val="18"/>
                <w:szCs w:val="18"/>
                <w:color w:val="auto"/>
              </w:rPr>
              <w:t>1,962</w:t>
            </w:r>
          </w:p>
        </w:tc>
        <w:tc>
          <w:tcPr>
            <w:tcW w:w="0" w:type="dxa"/>
            <w:vAlign w:val="bottom"/>
          </w:tcPr>
          <w:p>
            <w:pPr>
              <w:spacing w:after="0"/>
              <w:rPr>
                <w:sz w:val="1"/>
                <w:szCs w:val="1"/>
                <w:color w:val="auto"/>
              </w:rPr>
            </w:pPr>
          </w:p>
        </w:tc>
      </w:tr>
      <w:tr>
        <w:trPr>
          <w:trHeight w:val="234"/>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20" w:type="dxa"/>
            <w:vAlign w:val="bottom"/>
          </w:tcPr>
          <w:p>
            <w:pPr>
              <w:spacing w:after="0"/>
              <w:rPr>
                <w:sz w:val="20"/>
                <w:szCs w:val="20"/>
                <w:color w:val="auto"/>
              </w:rPr>
            </w:pPr>
          </w:p>
        </w:tc>
        <w:tc>
          <w:tcPr>
            <w:tcW w:w="8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29,037</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28,561</w:t>
            </w:r>
          </w:p>
        </w:tc>
        <w:tc>
          <w:tcPr>
            <w:tcW w:w="120" w:type="dxa"/>
            <w:vAlign w:val="bottom"/>
          </w:tcPr>
          <w:p>
            <w:pPr>
              <w:spacing w:after="0"/>
              <w:rPr>
                <w:sz w:val="20"/>
                <w:szCs w:val="20"/>
                <w:color w:val="auto"/>
              </w:rPr>
            </w:pPr>
          </w:p>
        </w:tc>
        <w:tc>
          <w:tcPr>
            <w:tcW w:w="7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4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20"/>
                <w:szCs w:val="20"/>
                <w:color w:val="auto"/>
              </w:rPr>
            </w:pPr>
          </w:p>
        </w:tc>
        <w:tc>
          <w:tcPr>
            <w:tcW w:w="8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2,713</w:t>
            </w:r>
          </w:p>
        </w:tc>
        <w:tc>
          <w:tcPr>
            <w:tcW w:w="0" w:type="dxa"/>
            <w:vAlign w:val="bottom"/>
          </w:tcPr>
          <w:p>
            <w:pPr>
              <w:spacing w:after="0"/>
              <w:rPr>
                <w:sz w:val="1"/>
                <w:szCs w:val="1"/>
                <w:color w:val="auto"/>
              </w:rPr>
            </w:pPr>
          </w:p>
        </w:tc>
      </w:tr>
      <w:tr>
        <w:trPr>
          <w:trHeight w:val="306"/>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0C479D"/>
              </w:rPr>
              <w:t>Specialty Products</w:t>
            </w:r>
          </w:p>
        </w:tc>
        <w:tc>
          <w:tcPr>
            <w:tcW w:w="820" w:type="dxa"/>
            <w:vAlign w:val="bottom"/>
            <w:shd w:val="clear" w:color="auto" w:fill="F0F0F0"/>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shd w:val="clear" w:color="auto" w:fill="F0F0F0"/>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shd w:val="clear" w:color="auto" w:fill="F0F0F0"/>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shd w:val="clear" w:color="auto" w:fill="F0F0F0"/>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United States</w:t>
            </w:r>
          </w:p>
        </w:tc>
        <w:tc>
          <w:tcPr>
            <w:tcW w:w="8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20" w:type="dxa"/>
            <w:vAlign w:val="bottom"/>
          </w:tcPr>
          <w:p>
            <w:pPr>
              <w:spacing w:after="0"/>
              <w:rPr>
                <w:sz w:val="22"/>
                <w:szCs w:val="22"/>
                <w:color w:val="auto"/>
              </w:rPr>
            </w:pPr>
          </w:p>
        </w:tc>
        <w:tc>
          <w:tcPr>
            <w:tcW w:w="8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120" w:type="dxa"/>
            <w:vAlign w:val="bottom"/>
          </w:tcPr>
          <w:p>
            <w:pPr>
              <w:spacing w:after="0"/>
              <w:rPr>
                <w:sz w:val="22"/>
                <w:szCs w:val="22"/>
                <w:color w:val="auto"/>
              </w:rPr>
            </w:pPr>
          </w:p>
        </w:tc>
        <w:tc>
          <w:tcPr>
            <w:tcW w:w="7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46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20" w:type="dxa"/>
            <w:vAlign w:val="bottom"/>
          </w:tcPr>
          <w:p>
            <w:pPr>
              <w:spacing w:after="0"/>
              <w:rPr>
                <w:sz w:val="22"/>
                <w:szCs w:val="22"/>
                <w:color w:val="auto"/>
              </w:rPr>
            </w:pPr>
          </w:p>
        </w:tc>
        <w:tc>
          <w:tcPr>
            <w:tcW w:w="8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63"/>
        </w:trPr>
        <w:tc>
          <w:tcPr>
            <w:tcW w:w="2380" w:type="dxa"/>
            <w:vAlign w:val="bottom"/>
            <w:tcBorders>
              <w:bottom w:val="single" w:sz="8" w:color="0C479D"/>
            </w:tcBorders>
            <w:gridSpan w:val="2"/>
          </w:tcPr>
          <w:p>
            <w:pPr>
              <w:ind w:left="160"/>
              <w:spacing w:after="0"/>
              <w:rPr>
                <w:sz w:val="20"/>
                <w:szCs w:val="20"/>
                <w:color w:val="auto"/>
              </w:rPr>
            </w:pPr>
            <w:r>
              <w:rPr>
                <w:rFonts w:ascii="Times New Roman" w:cs="Times New Roman" w:eastAsia="Times New Roman" w:hAnsi="Times New Roman"/>
                <w:sz w:val="18"/>
                <w:szCs w:val="18"/>
                <w:color w:val="auto"/>
              </w:rPr>
              <w:t>Non-U.S.</w:t>
            </w:r>
          </w:p>
        </w:tc>
        <w:tc>
          <w:tcPr>
            <w:tcW w:w="82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9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20" w:type="dxa"/>
            <w:vAlign w:val="bottom"/>
            <w:tcBorders>
              <w:bottom w:val="single" w:sz="8" w:color="0C479D"/>
            </w:tcBorders>
          </w:tcPr>
          <w:p>
            <w:pPr>
              <w:spacing w:after="0"/>
              <w:rPr>
                <w:sz w:val="22"/>
                <w:szCs w:val="22"/>
                <w:color w:val="auto"/>
              </w:rPr>
            </w:pPr>
          </w:p>
        </w:tc>
        <w:tc>
          <w:tcPr>
            <w:tcW w:w="84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6,183</w:t>
            </w:r>
          </w:p>
        </w:tc>
        <w:tc>
          <w:tcPr>
            <w:tcW w:w="9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6,366</w:t>
            </w:r>
          </w:p>
        </w:tc>
        <w:tc>
          <w:tcPr>
            <w:tcW w:w="120" w:type="dxa"/>
            <w:vAlign w:val="bottom"/>
            <w:tcBorders>
              <w:bottom w:val="single" w:sz="8" w:color="0C479D"/>
            </w:tcBorders>
          </w:tcPr>
          <w:p>
            <w:pPr>
              <w:spacing w:after="0"/>
              <w:rPr>
                <w:sz w:val="22"/>
                <w:szCs w:val="22"/>
                <w:color w:val="auto"/>
              </w:rPr>
            </w:pPr>
          </w:p>
        </w:tc>
        <w:tc>
          <w:tcPr>
            <w:tcW w:w="7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460" w:type="dxa"/>
            <w:vAlign w:val="bottom"/>
            <w:tcBorders>
              <w:bottom w:val="single" w:sz="8" w:color="0C479D"/>
            </w:tcBorders>
          </w:tcPr>
          <w:p>
            <w:pPr>
              <w:spacing w:after="0"/>
              <w:rPr>
                <w:sz w:val="22"/>
                <w:szCs w:val="22"/>
                <w:color w:val="auto"/>
              </w:rPr>
            </w:pPr>
          </w:p>
        </w:tc>
        <w:tc>
          <w:tcPr>
            <w:tcW w:w="4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Borders>
              <w:bottom w:val="single" w:sz="8" w:color="0C479D"/>
            </w:tcBorders>
          </w:tcPr>
          <w:p>
            <w:pPr>
              <w:spacing w:after="0"/>
              <w:rPr>
                <w:sz w:val="22"/>
                <w:szCs w:val="22"/>
                <w:color w:val="auto"/>
              </w:rPr>
            </w:pPr>
          </w:p>
        </w:tc>
        <w:tc>
          <w:tcPr>
            <w:tcW w:w="82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960" w:type="dxa"/>
            <w:vAlign w:val="bottom"/>
            <w:tcBorders>
              <w:bottom w:val="single" w:sz="8" w:color="0C479D"/>
            </w:tcBorders>
          </w:tcPr>
          <w:p>
            <w:pPr>
              <w:jc w:val="right"/>
              <w:ind w:right="11"/>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34"/>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3,052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120" w:type="dxa"/>
            <w:vAlign w:val="bottom"/>
          </w:tcPr>
          <w:p>
            <w:pPr>
              <w:spacing w:after="0"/>
              <w:rPr>
                <w:sz w:val="20"/>
                <w:szCs w:val="20"/>
                <w:color w:val="auto"/>
              </w:rPr>
            </w:pPr>
          </w:p>
        </w:tc>
        <w:tc>
          <w:tcPr>
            <w:tcW w:w="8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8,218</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8,514</w:t>
            </w:r>
          </w:p>
        </w:tc>
        <w:tc>
          <w:tcPr>
            <w:tcW w:w="120" w:type="dxa"/>
            <w:vAlign w:val="bottom"/>
          </w:tcPr>
          <w:p>
            <w:pPr>
              <w:spacing w:after="0"/>
              <w:rPr>
                <w:sz w:val="20"/>
                <w:szCs w:val="20"/>
                <w:color w:val="auto"/>
              </w:rPr>
            </w:pPr>
          </w:p>
        </w:tc>
        <w:tc>
          <w:tcPr>
            <w:tcW w:w="7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4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tcPr>
          <w:p>
            <w:pPr>
              <w:spacing w:after="0"/>
              <w:rPr>
                <w:sz w:val="20"/>
                <w:szCs w:val="20"/>
                <w:color w:val="auto"/>
              </w:rPr>
            </w:pPr>
          </w:p>
        </w:tc>
        <w:tc>
          <w:tcPr>
            <w:tcW w:w="8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9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313"/>
        </w:trPr>
        <w:tc>
          <w:tcPr>
            <w:tcW w:w="2380" w:type="dxa"/>
            <w:vAlign w:val="bottom"/>
            <w:tcBorders>
              <w:bottom w:val="single" w:sz="8" w:color="0C479D"/>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0C479D"/>
              </w:rPr>
              <w:t>Corporate and Financing</w:t>
            </w:r>
          </w:p>
        </w:tc>
        <w:tc>
          <w:tcPr>
            <w:tcW w:w="82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9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120" w:type="dxa"/>
            <w:vAlign w:val="bottom"/>
            <w:tcBorders>
              <w:bottom w:val="single" w:sz="8" w:color="0C479D"/>
            </w:tcBorders>
          </w:tcPr>
          <w:p>
            <w:pPr>
              <w:spacing w:after="0"/>
              <w:rPr>
                <w:sz w:val="24"/>
                <w:szCs w:val="24"/>
                <w:color w:val="auto"/>
              </w:rPr>
            </w:pPr>
          </w:p>
        </w:tc>
        <w:tc>
          <w:tcPr>
            <w:tcW w:w="84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27,847</w:t>
            </w:r>
          </w:p>
        </w:tc>
        <w:tc>
          <w:tcPr>
            <w:tcW w:w="9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30,500</w:t>
            </w:r>
          </w:p>
        </w:tc>
        <w:tc>
          <w:tcPr>
            <w:tcW w:w="120" w:type="dxa"/>
            <w:vAlign w:val="bottom"/>
            <w:tcBorders>
              <w:bottom w:val="single" w:sz="8" w:color="0C479D"/>
            </w:tcBorders>
          </w:tcPr>
          <w:p>
            <w:pPr>
              <w:spacing w:after="0"/>
              <w:rPr>
                <w:sz w:val="24"/>
                <w:szCs w:val="24"/>
                <w:color w:val="auto"/>
              </w:rPr>
            </w:pPr>
          </w:p>
        </w:tc>
        <w:tc>
          <w:tcPr>
            <w:tcW w:w="7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0C479D"/>
            </w:tcBorders>
          </w:tcPr>
          <w:p>
            <w:pPr>
              <w:spacing w:after="0"/>
              <w:rPr>
                <w:sz w:val="24"/>
                <w:szCs w:val="24"/>
                <w:color w:val="auto"/>
              </w:rPr>
            </w:pPr>
          </w:p>
        </w:tc>
        <w:tc>
          <w:tcPr>
            <w:tcW w:w="4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0C479D"/>
            </w:tcBorders>
          </w:tcPr>
          <w:p>
            <w:pPr>
              <w:spacing w:after="0"/>
              <w:rPr>
                <w:sz w:val="24"/>
                <w:szCs w:val="24"/>
                <w:color w:val="auto"/>
              </w:rPr>
            </w:pPr>
          </w:p>
        </w:tc>
        <w:tc>
          <w:tcPr>
            <w:tcW w:w="82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960" w:type="dxa"/>
            <w:vAlign w:val="bottom"/>
            <w:tcBorders>
              <w:bottom w:val="single" w:sz="8" w:color="0C479D"/>
            </w:tcBorders>
          </w:tcPr>
          <w:p>
            <w:pPr>
              <w:jc w:val="right"/>
              <w:ind w:right="11"/>
              <w:spacing w:after="0"/>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r>
        <w:trPr>
          <w:trHeight w:val="237"/>
        </w:trPr>
        <w:tc>
          <w:tcPr>
            <w:tcW w:w="2380" w:type="dxa"/>
            <w:vAlign w:val="bottom"/>
            <w:tcBorders>
              <w:bottom w:val="single" w:sz="8" w:color="0C479D"/>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 total</w:t>
            </w:r>
          </w:p>
        </w:tc>
        <w:tc>
          <w:tcPr>
            <w:tcW w:w="82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33,680</w:t>
            </w:r>
          </w:p>
        </w:tc>
        <w:tc>
          <w:tcPr>
            <w:tcW w:w="9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36,010</w:t>
            </w:r>
          </w:p>
        </w:tc>
        <w:tc>
          <w:tcPr>
            <w:tcW w:w="120" w:type="dxa"/>
            <w:vAlign w:val="bottom"/>
            <w:tcBorders>
              <w:bottom w:val="single" w:sz="8" w:color="0C479D"/>
            </w:tcBorders>
          </w:tcPr>
          <w:p>
            <w:pPr>
              <w:spacing w:after="0"/>
              <w:rPr>
                <w:sz w:val="20"/>
                <w:szCs w:val="20"/>
                <w:color w:val="auto"/>
              </w:rPr>
            </w:pPr>
          </w:p>
        </w:tc>
        <w:tc>
          <w:tcPr>
            <w:tcW w:w="84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278,102</w:t>
            </w:r>
          </w:p>
        </w:tc>
        <w:tc>
          <w:tcPr>
            <w:tcW w:w="9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243,440</w:t>
            </w:r>
          </w:p>
        </w:tc>
        <w:tc>
          <w:tcPr>
            <w:tcW w:w="120" w:type="dxa"/>
            <w:vAlign w:val="bottom"/>
            <w:tcBorders>
              <w:bottom w:val="single" w:sz="8" w:color="0C479D"/>
            </w:tcBorders>
          </w:tcPr>
          <w:p>
            <w:pPr>
              <w:spacing w:after="0"/>
              <w:rPr>
                <w:sz w:val="20"/>
                <w:szCs w:val="20"/>
                <w:color w:val="auto"/>
              </w:rPr>
            </w:pPr>
          </w:p>
        </w:tc>
        <w:tc>
          <w:tcPr>
            <w:tcW w:w="7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12.7</w:t>
            </w:r>
          </w:p>
        </w:tc>
        <w:tc>
          <w:tcPr>
            <w:tcW w:w="460" w:type="dxa"/>
            <w:vAlign w:val="bottom"/>
            <w:tcBorders>
              <w:bottom w:val="single" w:sz="8" w:color="0C479D"/>
            </w:tcBorders>
          </w:tcPr>
          <w:p>
            <w:pPr>
              <w:spacing w:after="0"/>
              <w:rPr>
                <w:sz w:val="20"/>
                <w:szCs w:val="20"/>
                <w:color w:val="auto"/>
              </w:rPr>
            </w:pPr>
          </w:p>
        </w:tc>
        <w:tc>
          <w:tcPr>
            <w:tcW w:w="4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c>
          <w:tcPr>
            <w:tcW w:w="120" w:type="dxa"/>
            <w:vAlign w:val="bottom"/>
            <w:tcBorders>
              <w:bottom w:val="single" w:sz="8" w:color="0C479D"/>
            </w:tcBorders>
          </w:tcPr>
          <w:p>
            <w:pPr>
              <w:spacing w:after="0"/>
              <w:rPr>
                <w:sz w:val="20"/>
                <w:szCs w:val="20"/>
                <w:color w:val="auto"/>
              </w:rPr>
            </w:pPr>
          </w:p>
        </w:tc>
        <w:tc>
          <w:tcPr>
            <w:tcW w:w="82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27,551</w:t>
            </w:r>
          </w:p>
        </w:tc>
        <w:tc>
          <w:tcPr>
            <w:tcW w:w="960" w:type="dxa"/>
            <w:vAlign w:val="bottom"/>
            <w:tcBorders>
              <w:bottom w:val="single" w:sz="8" w:color="0C479D"/>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26,325</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i w:val="1"/>
          <w:iCs w:val="1"/>
          <w:color w:val="auto"/>
        </w:rPr>
        <w:t xml:space="preserve">See </w:t>
      </w:r>
      <w:r>
        <w:rPr>
          <w:rFonts w:ascii="Times New Roman" w:cs="Times New Roman" w:eastAsia="Times New Roman" w:hAnsi="Times New Roman"/>
          <w:sz w:val="14"/>
          <w:szCs w:val="14"/>
          <w:i w:val="1"/>
          <w:iCs w:val="1"/>
          <w:color w:val="0000FF"/>
        </w:rPr>
        <w:t>Frequently Used Terms</w:t>
      </w:r>
      <w:r>
        <w:rPr>
          <w:rFonts w:ascii="Times New Roman" w:cs="Times New Roman" w:eastAsia="Times New Roman" w:hAnsi="Times New Roman"/>
          <w:sz w:val="14"/>
          <w:szCs w:val="14"/>
          <w:i w:val="1"/>
          <w:iCs w:val="1"/>
          <w:color w:val="auto"/>
        </w:rPr>
        <w:t xml:space="preserve"> for a definition and calculation of capital employed and return on average capital employed.</w:t>
      </w:r>
    </w:p>
    <w:p>
      <w:pPr>
        <w:spacing w:after="0" w:line="6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i w:val="1"/>
          <w:iCs w:val="1"/>
          <w:color w:val="auto"/>
        </w:rPr>
        <w:t>Due to rounding, numbers presented may not add up precisely to the totals indicated.</w:t>
      </w:r>
    </w:p>
    <w:p>
      <w:pPr>
        <w:sectPr>
          <w:pgSz w:w="11900" w:h="16838" w:orient="portrait"/>
          <w:cols w:equalWidth="0" w:num="1">
            <w:col w:w="10480"/>
          </w:cols>
          <w:pgMar w:left="320" w:top="259"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780" w:type="dxa"/>
        <w:tblCellMar>
          <w:top w:w="0" w:type="dxa"/>
          <w:left w:w="0" w:type="dxa"/>
          <w:bottom w:w="0" w:type="dxa"/>
          <w:right w:w="0" w:type="dxa"/>
        </w:tblCellMar>
      </w:tblPr>
      <w:tr>
        <w:trPr>
          <w:trHeight w:val="256"/>
        </w:trPr>
        <w:tc>
          <w:tcPr>
            <w:tcW w:w="3300" w:type="dxa"/>
            <w:vAlign w:val="bottom"/>
            <w:shd w:val="clear" w:color="auto" w:fill="0C479D"/>
          </w:tcPr>
          <w:p>
            <w:pPr>
              <w:spacing w:after="0"/>
              <w:rPr>
                <w:sz w:val="20"/>
                <w:szCs w:val="20"/>
                <w:color w:val="auto"/>
              </w:rPr>
            </w:pPr>
            <w:r>
              <w:rPr>
                <w:rFonts w:ascii="Times New Roman" w:cs="Times New Roman" w:eastAsia="Times New Roman" w:hAnsi="Times New Roman"/>
                <w:sz w:val="18"/>
                <w:szCs w:val="18"/>
                <w:b w:val="1"/>
                <w:bCs w:val="1"/>
                <w:color w:val="FFFFFF"/>
              </w:rPr>
              <w:t>Operating</w:t>
            </w:r>
          </w:p>
        </w:tc>
        <w:tc>
          <w:tcPr>
            <w:tcW w:w="760" w:type="dxa"/>
            <w:vAlign w:val="bottom"/>
            <w:tcBorders>
              <w:right w:val="single" w:sz="8" w:color="0C479D"/>
            </w:tcBorders>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880" w:type="dxa"/>
            <w:vAlign w:val="bottom"/>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0" w:type="dxa"/>
            <w:vAlign w:val="bottom"/>
          </w:tcPr>
          <w:p>
            <w:pPr>
              <w:spacing w:after="0"/>
              <w:rPr>
                <w:sz w:val="1"/>
                <w:szCs w:val="1"/>
                <w:color w:val="auto"/>
              </w:rPr>
            </w:pPr>
          </w:p>
        </w:tc>
      </w:tr>
      <w:tr>
        <w:trPr>
          <w:trHeight w:val="178"/>
        </w:trPr>
        <w:tc>
          <w:tcPr>
            <w:tcW w:w="3300" w:type="dxa"/>
            <w:vAlign w:val="bottom"/>
          </w:tcPr>
          <w:p>
            <w:pPr>
              <w:spacing w:after="0" w:line="178" w:lineRule="exact"/>
              <w:rPr>
                <w:sz w:val="20"/>
                <w:szCs w:val="20"/>
                <w:color w:val="auto"/>
              </w:rPr>
            </w:pPr>
            <w:r>
              <w:rPr>
                <w:rFonts w:ascii="Times New Roman" w:cs="Times New Roman" w:eastAsia="Times New Roman" w:hAnsi="Times New Roman"/>
                <w:sz w:val="18"/>
                <w:szCs w:val="18"/>
                <w:b w:val="1"/>
                <w:bCs w:val="1"/>
                <w:color w:val="0C479D"/>
              </w:rPr>
              <w:t>Net liquids production</w:t>
            </w:r>
          </w:p>
        </w:tc>
        <w:tc>
          <w:tcPr>
            <w:tcW w:w="760" w:type="dxa"/>
            <w:vAlign w:val="bottom"/>
            <w:tcBorders>
              <w:right w:val="single" w:sz="8" w:color="F0F0F0"/>
            </w:tcBorders>
            <w:shd w:val="clear" w:color="auto" w:fill="F0F0F0"/>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3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(thousands of barrels daily)</w:t>
            </w:r>
          </w:p>
        </w:tc>
        <w:tc>
          <w:tcPr>
            <w:tcW w:w="760" w:type="dxa"/>
            <w:vAlign w:val="bottom"/>
            <w:tcBorders>
              <w:right w:val="single" w:sz="8" w:color="F0F0F0"/>
            </w:tcBorders>
            <w:shd w:val="clear" w:color="auto" w:fill="F0F0F0"/>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760" w:type="dxa"/>
            <w:vAlign w:val="bottom"/>
            <w:tcBorders>
              <w:right w:val="single" w:sz="8" w:color="F0F0F0"/>
            </w:tcBorders>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color w:val="auto"/>
              </w:rPr>
              <w:t>1,248</w:t>
            </w: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803</w:t>
            </w:r>
          </w:p>
        </w:tc>
        <w:tc>
          <w:tcPr>
            <w:tcW w:w="0" w:type="dxa"/>
            <w:vAlign w:val="bottom"/>
          </w:tcPr>
          <w:p>
            <w:pPr>
              <w:spacing w:after="0"/>
              <w:rPr>
                <w:sz w:val="1"/>
                <w:szCs w:val="1"/>
                <w:color w:val="auto"/>
              </w:rPr>
            </w:pPr>
          </w:p>
        </w:tc>
      </w:tr>
      <w:tr>
        <w:trPr>
          <w:trHeight w:val="263"/>
        </w:trPr>
        <w:tc>
          <w:tcPr>
            <w:tcW w:w="3300" w:type="dxa"/>
            <w:vAlign w:val="bottom"/>
            <w:tcBorders>
              <w:bottom w:val="single" w:sz="8" w:color="0C479D"/>
            </w:tcBorders>
          </w:tcPr>
          <w:p>
            <w:pPr>
              <w:ind w:left="140"/>
              <w:spacing w:after="0"/>
              <w:rPr>
                <w:sz w:val="20"/>
                <w:szCs w:val="20"/>
                <w:color w:val="auto"/>
              </w:rPr>
            </w:pPr>
            <w:r>
              <w:rPr>
                <w:rFonts w:ascii="Times New Roman" w:cs="Times New Roman" w:eastAsia="Times New Roman" w:hAnsi="Times New Roman"/>
                <w:sz w:val="18"/>
                <w:szCs w:val="18"/>
                <w:color w:val="auto"/>
              </w:rPr>
              <w:t>Non-U.S.</w:t>
            </w:r>
          </w:p>
        </w:tc>
        <w:tc>
          <w:tcPr>
            <w:tcW w:w="760" w:type="dxa"/>
            <w:vAlign w:val="bottom"/>
            <w:tcBorders>
              <w:bottom w:val="single" w:sz="8" w:color="0C479D"/>
              <w:right w:val="single" w:sz="8" w:color="F0F0F0"/>
            </w:tcBorders>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color w:val="auto"/>
              </w:rPr>
              <w:t>1,739</w:t>
            </w:r>
          </w:p>
        </w:tc>
        <w:tc>
          <w:tcPr>
            <w:tcW w:w="880" w:type="dxa"/>
            <w:vAlign w:val="bottom"/>
            <w:tcBorders>
              <w:bottom w:val="single" w:sz="8" w:color="0C479D"/>
            </w:tcBorders>
          </w:tcPr>
          <w:p>
            <w:pPr>
              <w:jc w:val="right"/>
              <w:ind w:right="12"/>
              <w:spacing w:after="0"/>
              <w:rPr>
                <w:sz w:val="20"/>
                <w:szCs w:val="20"/>
                <w:color w:val="auto"/>
              </w:rPr>
            </w:pPr>
            <w:r>
              <w:rPr>
                <w:rFonts w:ascii="Times New Roman" w:cs="Times New Roman" w:eastAsia="Times New Roman" w:hAnsi="Times New Roman"/>
                <w:sz w:val="18"/>
                <w:szCs w:val="18"/>
                <w:color w:val="auto"/>
              </w:rPr>
              <w:t>1,646</w:t>
            </w: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tcBorders>
              <w:right w:val="single" w:sz="8" w:color="F0F0F0"/>
            </w:tcBorders>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color w:val="auto"/>
              </w:rPr>
              <w:t>2,987</w:t>
            </w: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2,449</w:t>
            </w:r>
          </w:p>
        </w:tc>
        <w:tc>
          <w:tcPr>
            <w:tcW w:w="0" w:type="dxa"/>
            <w:vAlign w:val="bottom"/>
          </w:tcPr>
          <w:p>
            <w:pPr>
              <w:spacing w:after="0"/>
              <w:rPr>
                <w:sz w:val="1"/>
                <w:szCs w:val="1"/>
                <w:color w:val="auto"/>
              </w:rPr>
            </w:pPr>
          </w:p>
        </w:tc>
      </w:tr>
      <w:tr>
        <w:trPr>
          <w:trHeight w:val="240"/>
        </w:trPr>
        <w:tc>
          <w:tcPr>
            <w:tcW w:w="3300" w:type="dxa"/>
            <w:vAlign w:val="bottom"/>
          </w:tcPr>
          <w:p>
            <w:pPr>
              <w:spacing w:after="0"/>
              <w:rPr>
                <w:sz w:val="20"/>
                <w:szCs w:val="20"/>
                <w:color w:val="auto"/>
              </w:rPr>
            </w:pPr>
            <w:r>
              <w:rPr>
                <w:rFonts w:ascii="Times New Roman" w:cs="Times New Roman" w:eastAsia="Times New Roman" w:hAnsi="Times New Roman"/>
                <w:sz w:val="18"/>
                <w:szCs w:val="18"/>
                <w:b w:val="1"/>
                <w:bCs w:val="1"/>
                <w:color w:val="0C479D"/>
              </w:rPr>
              <w:t>Natural gas production available for sale</w:t>
            </w:r>
          </w:p>
        </w:tc>
        <w:tc>
          <w:tcPr>
            <w:tcW w:w="760" w:type="dxa"/>
            <w:vAlign w:val="bottom"/>
            <w:tcBorders>
              <w:right w:val="single" w:sz="8" w:color="F0F0F0"/>
            </w:tcBorders>
            <w:shd w:val="clear" w:color="auto" w:fill="F0F0F0"/>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33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(millions of cubic feet daily)</w:t>
            </w:r>
          </w:p>
        </w:tc>
        <w:tc>
          <w:tcPr>
            <w:tcW w:w="760" w:type="dxa"/>
            <w:vAlign w:val="bottom"/>
            <w:tcBorders>
              <w:right w:val="single" w:sz="8" w:color="F0F0F0"/>
            </w:tcBorders>
            <w:shd w:val="clear" w:color="auto" w:fill="F0F0F0"/>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760" w:type="dxa"/>
            <w:vAlign w:val="bottom"/>
            <w:tcBorders>
              <w:right w:val="single" w:sz="8" w:color="F0F0F0"/>
            </w:tcBorders>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color w:val="auto"/>
              </w:rPr>
              <w:t>2,887</w:t>
            </w: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2,311</w:t>
            </w:r>
          </w:p>
        </w:tc>
        <w:tc>
          <w:tcPr>
            <w:tcW w:w="0" w:type="dxa"/>
            <w:vAlign w:val="bottom"/>
          </w:tcPr>
          <w:p>
            <w:pPr>
              <w:spacing w:after="0"/>
              <w:rPr>
                <w:sz w:val="1"/>
                <w:szCs w:val="1"/>
                <w:color w:val="auto"/>
              </w:rPr>
            </w:pPr>
          </w:p>
        </w:tc>
      </w:tr>
      <w:tr>
        <w:trPr>
          <w:trHeight w:val="263"/>
        </w:trPr>
        <w:tc>
          <w:tcPr>
            <w:tcW w:w="3300" w:type="dxa"/>
            <w:vAlign w:val="bottom"/>
            <w:tcBorders>
              <w:bottom w:val="single" w:sz="8" w:color="0C479D"/>
            </w:tcBorders>
          </w:tcPr>
          <w:p>
            <w:pPr>
              <w:ind w:left="140"/>
              <w:spacing w:after="0"/>
              <w:rPr>
                <w:sz w:val="20"/>
                <w:szCs w:val="20"/>
                <w:color w:val="auto"/>
              </w:rPr>
            </w:pPr>
            <w:r>
              <w:rPr>
                <w:rFonts w:ascii="Times New Roman" w:cs="Times New Roman" w:eastAsia="Times New Roman" w:hAnsi="Times New Roman"/>
                <w:sz w:val="18"/>
                <w:szCs w:val="18"/>
                <w:color w:val="auto"/>
              </w:rPr>
              <w:t>Non-U.S.</w:t>
            </w:r>
          </w:p>
        </w:tc>
        <w:tc>
          <w:tcPr>
            <w:tcW w:w="760" w:type="dxa"/>
            <w:vAlign w:val="bottom"/>
            <w:tcBorders>
              <w:bottom w:val="single" w:sz="8" w:color="0C479D"/>
              <w:right w:val="single" w:sz="8" w:color="F0F0F0"/>
            </w:tcBorders>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color w:val="auto"/>
              </w:rPr>
              <w:t>5,191</w:t>
            </w:r>
          </w:p>
        </w:tc>
        <w:tc>
          <w:tcPr>
            <w:tcW w:w="880" w:type="dxa"/>
            <w:vAlign w:val="bottom"/>
            <w:tcBorders>
              <w:bottom w:val="single" w:sz="8" w:color="0C479D"/>
            </w:tcBorders>
          </w:tcPr>
          <w:p>
            <w:pPr>
              <w:jc w:val="right"/>
              <w:ind w:right="12"/>
              <w:spacing w:after="0"/>
              <w:rPr>
                <w:sz w:val="20"/>
                <w:szCs w:val="20"/>
                <w:color w:val="auto"/>
              </w:rPr>
            </w:pPr>
            <w:r>
              <w:rPr>
                <w:rFonts w:ascii="Times New Roman" w:cs="Times New Roman" w:eastAsia="Times New Roman" w:hAnsi="Times New Roman"/>
                <w:sz w:val="18"/>
                <w:szCs w:val="18"/>
                <w:color w:val="auto"/>
              </w:rPr>
              <w:t>5,423</w:t>
            </w: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760" w:type="dxa"/>
            <w:vAlign w:val="bottom"/>
            <w:tcBorders>
              <w:right w:val="single" w:sz="8" w:color="F0F0F0"/>
            </w:tcBorders>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color w:val="auto"/>
              </w:rPr>
              <w:t>8,078</w:t>
            </w: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7,734</w:t>
            </w:r>
          </w:p>
        </w:tc>
        <w:tc>
          <w:tcPr>
            <w:tcW w:w="0" w:type="dxa"/>
            <w:vAlign w:val="bottom"/>
          </w:tcPr>
          <w:p>
            <w:pPr>
              <w:spacing w:after="0"/>
              <w:rPr>
                <w:sz w:val="1"/>
                <w:szCs w:val="1"/>
                <w:color w:val="auto"/>
              </w:rPr>
            </w:pPr>
          </w:p>
        </w:tc>
      </w:tr>
      <w:tr>
        <w:trPr>
          <w:trHeight w:val="240"/>
        </w:trPr>
        <w:tc>
          <w:tcPr>
            <w:tcW w:w="3300" w:type="dxa"/>
            <w:vAlign w:val="bottom"/>
          </w:tcPr>
          <w:p>
            <w:pPr>
              <w:spacing w:after="0"/>
              <w:rPr>
                <w:sz w:val="20"/>
                <w:szCs w:val="20"/>
                <w:color w:val="auto"/>
              </w:rPr>
            </w:pPr>
            <w:r>
              <w:rPr>
                <w:rFonts w:ascii="Times New Roman" w:cs="Times New Roman" w:eastAsia="Times New Roman" w:hAnsi="Times New Roman"/>
                <w:sz w:val="18"/>
                <w:szCs w:val="18"/>
                <w:b w:val="1"/>
                <w:bCs w:val="1"/>
                <w:color w:val="0C479D"/>
              </w:rPr>
              <w:t xml:space="preserve">Oil-equivalent production </w:t>
            </w:r>
            <w:r>
              <w:rPr>
                <w:rFonts w:ascii="Times New Roman" w:cs="Times New Roman" w:eastAsia="Times New Roman" w:hAnsi="Times New Roman"/>
                <w:sz w:val="9"/>
                <w:szCs w:val="9"/>
                <w:i w:val="1"/>
                <w:iCs w:val="1"/>
                <w:color w:val="0C479D"/>
              </w:rPr>
              <w:t>(1)</w:t>
            </w:r>
          </w:p>
        </w:tc>
        <w:tc>
          <w:tcPr>
            <w:tcW w:w="760" w:type="dxa"/>
            <w:vAlign w:val="bottom"/>
            <w:tcBorders>
              <w:right w:val="single" w:sz="8" w:color="F0F0F0"/>
            </w:tcBorders>
            <w:vMerge w:val="restart"/>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color w:val="auto"/>
              </w:rPr>
              <w:t>4,333</w:t>
            </w:r>
          </w:p>
        </w:tc>
        <w:tc>
          <w:tcPr>
            <w:tcW w:w="88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3,738</w:t>
            </w:r>
          </w:p>
        </w:tc>
        <w:tc>
          <w:tcPr>
            <w:tcW w:w="0" w:type="dxa"/>
            <w:vAlign w:val="bottom"/>
          </w:tcPr>
          <w:p>
            <w:pPr>
              <w:spacing w:after="0"/>
              <w:rPr>
                <w:sz w:val="1"/>
                <w:szCs w:val="1"/>
                <w:color w:val="auto"/>
              </w:rPr>
            </w:pPr>
          </w:p>
        </w:tc>
      </w:tr>
      <w:tr>
        <w:trPr>
          <w:trHeight w:val="119"/>
        </w:trPr>
        <w:tc>
          <w:tcPr>
            <w:tcW w:w="330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(thousands of oil-equivalent barrels daily)</w:t>
            </w:r>
          </w:p>
        </w:tc>
        <w:tc>
          <w:tcPr>
            <w:tcW w:w="760" w:type="dxa"/>
            <w:vAlign w:val="bottom"/>
            <w:tcBorders>
              <w:right w:val="single" w:sz="8" w:color="F0F0F0"/>
            </w:tcBorders>
            <w:vMerge w:val="continue"/>
            <w:shd w:val="clear" w:color="auto" w:fill="F0F0F0"/>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3300" w:type="dxa"/>
            <w:vAlign w:val="bottom"/>
            <w:vMerge w:val="continue"/>
          </w:tcPr>
          <w:p>
            <w:pPr>
              <w:spacing w:after="0"/>
              <w:rPr>
                <w:sz w:val="6"/>
                <w:szCs w:val="6"/>
                <w:color w:val="auto"/>
              </w:rPr>
            </w:pPr>
          </w:p>
        </w:tc>
        <w:tc>
          <w:tcPr>
            <w:tcW w:w="760" w:type="dxa"/>
            <w:vAlign w:val="bottom"/>
            <w:tcBorders>
              <w:right w:val="single" w:sz="8" w:color="F0F0F0"/>
            </w:tcBorders>
            <w:shd w:val="clear" w:color="auto" w:fill="F0F0F0"/>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1"/>
        </w:trPr>
        <w:tc>
          <w:tcPr>
            <w:tcW w:w="3300" w:type="dxa"/>
            <w:vAlign w:val="bottom"/>
          </w:tcPr>
          <w:p>
            <w:pPr>
              <w:spacing w:after="0"/>
              <w:rPr>
                <w:sz w:val="24"/>
                <w:szCs w:val="24"/>
                <w:color w:val="auto"/>
              </w:rPr>
            </w:pPr>
          </w:p>
        </w:tc>
        <w:tc>
          <w:tcPr>
            <w:tcW w:w="760" w:type="dxa"/>
            <w:vAlign w:val="bottom"/>
            <w:tcBorders>
              <w:right w:val="single" w:sz="8" w:color="F0F0F0"/>
            </w:tcBorders>
            <w:shd w:val="clear" w:color="auto" w:fill="F0F0F0"/>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-8255</wp:posOffset>
            </wp:positionV>
            <wp:extent cx="616331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16331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6"/>
        </w:trPr>
        <w:tc>
          <w:tcPr>
            <w:tcW w:w="2880" w:type="dxa"/>
            <w:vAlign w:val="bottom"/>
            <w:tcBorders>
              <w:bottom w:val="single" w:sz="8" w:color="0C479D"/>
            </w:tcBorders>
            <w:shd w:val="clear" w:color="auto" w:fill="0C479D"/>
          </w:tcPr>
          <w:p>
            <w:pPr>
              <w:spacing w:after="0"/>
              <w:rPr>
                <w:sz w:val="20"/>
                <w:szCs w:val="20"/>
                <w:color w:val="auto"/>
              </w:rPr>
            </w:pPr>
          </w:p>
        </w:tc>
        <w:tc>
          <w:tcPr>
            <w:tcW w:w="780" w:type="dxa"/>
            <w:vAlign w:val="bottom"/>
            <w:tcBorders>
              <w:bottom w:val="single" w:sz="8" w:color="0C479D"/>
            </w:tcBorders>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880" w:type="dxa"/>
            <w:vAlign w:val="bottom"/>
            <w:tcBorders>
              <w:bottom w:val="single" w:sz="8" w:color="0C479D"/>
            </w:tcBorders>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2023</w:t>
            </w:r>
          </w:p>
        </w:tc>
      </w:tr>
      <w:tr>
        <w:trPr>
          <w:trHeight w:val="178"/>
        </w:trPr>
        <w:tc>
          <w:tcPr>
            <w:tcW w:w="2880" w:type="dxa"/>
            <w:vAlign w:val="bottom"/>
          </w:tcPr>
          <w:p>
            <w:pPr>
              <w:ind w:left="20"/>
              <w:spacing w:after="0" w:line="178" w:lineRule="exact"/>
              <w:rPr>
                <w:sz w:val="20"/>
                <w:szCs w:val="20"/>
                <w:color w:val="auto"/>
              </w:rPr>
            </w:pPr>
            <w:r>
              <w:rPr>
                <w:rFonts w:ascii="Times New Roman" w:cs="Times New Roman" w:eastAsia="Times New Roman" w:hAnsi="Times New Roman"/>
                <w:sz w:val="18"/>
                <w:szCs w:val="18"/>
                <w:b w:val="1"/>
                <w:bCs w:val="1"/>
                <w:color w:val="0C479D"/>
              </w:rPr>
              <w:t>Refinery throughput</w:t>
            </w:r>
          </w:p>
        </w:tc>
        <w:tc>
          <w:tcPr>
            <w:tcW w:w="780" w:type="dxa"/>
            <w:vAlign w:val="bottom"/>
            <w:shd w:val="clear" w:color="auto" w:fill="F0F0F0"/>
          </w:tcPr>
          <w:p>
            <w:pPr>
              <w:spacing w:after="0"/>
              <w:rPr>
                <w:sz w:val="15"/>
                <w:szCs w:val="15"/>
                <w:color w:val="auto"/>
              </w:rPr>
            </w:pPr>
          </w:p>
        </w:tc>
        <w:tc>
          <w:tcPr>
            <w:tcW w:w="880" w:type="dxa"/>
            <w:vAlign w:val="bottom"/>
          </w:tcPr>
          <w:p>
            <w:pPr>
              <w:spacing w:after="0"/>
              <w:rPr>
                <w:sz w:val="15"/>
                <w:szCs w:val="15"/>
                <w:color w:val="auto"/>
              </w:rPr>
            </w:pPr>
          </w:p>
        </w:tc>
      </w:tr>
      <w:tr>
        <w:trPr>
          <w:trHeight w:val="190"/>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(thousands of barrels daily)</w:t>
            </w:r>
          </w:p>
        </w:tc>
        <w:tc>
          <w:tcPr>
            <w:tcW w:w="780" w:type="dxa"/>
            <w:vAlign w:val="bottom"/>
            <w:shd w:val="clear" w:color="auto" w:fill="F0F0F0"/>
          </w:tcPr>
          <w:p>
            <w:pPr>
              <w:spacing w:after="0"/>
              <w:rPr>
                <w:sz w:val="16"/>
                <w:szCs w:val="16"/>
                <w:color w:val="auto"/>
              </w:rPr>
            </w:pPr>
          </w:p>
        </w:tc>
        <w:tc>
          <w:tcPr>
            <w:tcW w:w="880" w:type="dxa"/>
            <w:vAlign w:val="bottom"/>
          </w:tcPr>
          <w:p>
            <w:pPr>
              <w:spacing w:after="0"/>
              <w:rPr>
                <w:sz w:val="16"/>
                <w:szCs w:val="16"/>
                <w:color w:val="auto"/>
              </w:rPr>
            </w:pPr>
          </w:p>
        </w:tc>
      </w:tr>
      <w:tr>
        <w:trPr>
          <w:trHeight w:val="253"/>
        </w:trPr>
        <w:tc>
          <w:tcPr>
            <w:tcW w:w="2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w:t>
            </w:r>
          </w:p>
        </w:tc>
        <w:tc>
          <w:tcPr>
            <w:tcW w:w="780" w:type="dxa"/>
            <w:vAlign w:val="bottom"/>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1,865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w:t>
            </w:r>
          </w:p>
        </w:tc>
      </w:tr>
      <w:tr>
        <w:trPr>
          <w:trHeight w:val="263"/>
        </w:trPr>
        <w:tc>
          <w:tcPr>
            <w:tcW w:w="2880" w:type="dxa"/>
            <w:vAlign w:val="bottom"/>
            <w:tcBorders>
              <w:bottom w:val="single" w:sz="8" w:color="0C479D"/>
            </w:tcBorders>
          </w:tcPr>
          <w:p>
            <w:pPr>
              <w:ind w:left="160"/>
              <w:spacing w:after="0"/>
              <w:rPr>
                <w:sz w:val="20"/>
                <w:szCs w:val="20"/>
                <w:color w:val="auto"/>
              </w:rPr>
            </w:pPr>
            <w:r>
              <w:rPr>
                <w:rFonts w:ascii="Times New Roman" w:cs="Times New Roman" w:eastAsia="Times New Roman" w:hAnsi="Times New Roman"/>
                <w:sz w:val="18"/>
                <w:szCs w:val="18"/>
                <w:color w:val="auto"/>
              </w:rPr>
              <w:t>Non-U.S.</w:t>
            </w:r>
          </w:p>
        </w:tc>
        <w:tc>
          <w:tcPr>
            <w:tcW w:w="780" w:type="dxa"/>
            <w:vAlign w:val="bottom"/>
            <w:tcBorders>
              <w:bottom w:val="single" w:sz="8" w:color="0C479D"/>
            </w:tcBorders>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2,035</w:t>
            </w:r>
          </w:p>
        </w:tc>
        <w:tc>
          <w:tcPr>
            <w:tcW w:w="8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2,220</w:t>
            </w:r>
          </w:p>
        </w:tc>
      </w:tr>
      <w:tr>
        <w:trPr>
          <w:trHeight w:val="234"/>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3,900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4,068</w:t>
            </w:r>
          </w:p>
        </w:tc>
      </w:tr>
      <w:tr>
        <w:trPr>
          <w:trHeight w:val="240"/>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C479D"/>
              </w:rPr>
              <w:t xml:space="preserve">Energy Products sales </w:t>
            </w:r>
            <w:r>
              <w:rPr>
                <w:rFonts w:ascii="Times New Roman" w:cs="Times New Roman" w:eastAsia="Times New Roman" w:hAnsi="Times New Roman"/>
                <w:sz w:val="9"/>
                <w:szCs w:val="9"/>
                <w:i w:val="1"/>
                <w:iCs w:val="1"/>
                <w:color w:val="0C479D"/>
              </w:rPr>
              <w:t>(2)</w:t>
            </w:r>
          </w:p>
        </w:tc>
        <w:tc>
          <w:tcPr>
            <w:tcW w:w="780" w:type="dxa"/>
            <w:vAlign w:val="bottom"/>
            <w:shd w:val="clear" w:color="auto" w:fill="F0F0F0"/>
          </w:tcPr>
          <w:p>
            <w:pPr>
              <w:spacing w:after="0"/>
              <w:rPr>
                <w:sz w:val="20"/>
                <w:szCs w:val="20"/>
                <w:color w:val="auto"/>
              </w:rPr>
            </w:pPr>
          </w:p>
        </w:tc>
        <w:tc>
          <w:tcPr>
            <w:tcW w:w="880" w:type="dxa"/>
            <w:vAlign w:val="bottom"/>
          </w:tcPr>
          <w:p>
            <w:pPr>
              <w:spacing w:after="0"/>
              <w:rPr>
                <w:sz w:val="20"/>
                <w:szCs w:val="20"/>
                <w:color w:val="auto"/>
              </w:rPr>
            </w:pPr>
          </w:p>
        </w:tc>
      </w:tr>
      <w:tr>
        <w:trPr>
          <w:trHeight w:val="190"/>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(thousands of barrels daily)</w:t>
            </w:r>
          </w:p>
        </w:tc>
        <w:tc>
          <w:tcPr>
            <w:tcW w:w="780" w:type="dxa"/>
            <w:vAlign w:val="bottom"/>
            <w:shd w:val="clear" w:color="auto" w:fill="F0F0F0"/>
          </w:tcPr>
          <w:p>
            <w:pPr>
              <w:spacing w:after="0"/>
              <w:rPr>
                <w:sz w:val="16"/>
                <w:szCs w:val="16"/>
                <w:color w:val="auto"/>
              </w:rPr>
            </w:pPr>
          </w:p>
        </w:tc>
        <w:tc>
          <w:tcPr>
            <w:tcW w:w="880" w:type="dxa"/>
            <w:vAlign w:val="bottom"/>
          </w:tcPr>
          <w:p>
            <w:pPr>
              <w:spacing w:after="0"/>
              <w:rPr>
                <w:sz w:val="16"/>
                <w:szCs w:val="16"/>
                <w:color w:val="auto"/>
              </w:rPr>
            </w:pPr>
          </w:p>
        </w:tc>
      </w:tr>
      <w:tr>
        <w:trPr>
          <w:trHeight w:val="253"/>
        </w:trPr>
        <w:tc>
          <w:tcPr>
            <w:tcW w:w="2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w:t>
            </w:r>
          </w:p>
        </w:tc>
        <w:tc>
          <w:tcPr>
            <w:tcW w:w="780" w:type="dxa"/>
            <w:vAlign w:val="bottom"/>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2,722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w:t>
            </w:r>
          </w:p>
        </w:tc>
      </w:tr>
      <w:tr>
        <w:trPr>
          <w:trHeight w:val="263"/>
        </w:trPr>
        <w:tc>
          <w:tcPr>
            <w:tcW w:w="2880" w:type="dxa"/>
            <w:vAlign w:val="bottom"/>
            <w:tcBorders>
              <w:bottom w:val="single" w:sz="8" w:color="0C479D"/>
            </w:tcBorders>
          </w:tcPr>
          <w:p>
            <w:pPr>
              <w:ind w:left="160"/>
              <w:spacing w:after="0"/>
              <w:rPr>
                <w:sz w:val="20"/>
                <w:szCs w:val="20"/>
                <w:color w:val="auto"/>
              </w:rPr>
            </w:pPr>
            <w:r>
              <w:rPr>
                <w:rFonts w:ascii="Times New Roman" w:cs="Times New Roman" w:eastAsia="Times New Roman" w:hAnsi="Times New Roman"/>
                <w:sz w:val="18"/>
                <w:szCs w:val="18"/>
                <w:color w:val="auto"/>
              </w:rPr>
              <w:t>Non-U.S.</w:t>
            </w:r>
          </w:p>
        </w:tc>
        <w:tc>
          <w:tcPr>
            <w:tcW w:w="780" w:type="dxa"/>
            <w:vAlign w:val="bottom"/>
            <w:tcBorders>
              <w:bottom w:val="single" w:sz="8" w:color="0C479D"/>
            </w:tcBorders>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2,696</w:t>
            </w:r>
          </w:p>
        </w:tc>
        <w:tc>
          <w:tcPr>
            <w:tcW w:w="8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2,828</w:t>
            </w:r>
          </w:p>
        </w:tc>
      </w:tr>
      <w:tr>
        <w:trPr>
          <w:trHeight w:val="234"/>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5,418</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5,461</w:t>
            </w:r>
          </w:p>
        </w:tc>
      </w:tr>
      <w:tr>
        <w:trPr>
          <w:trHeight w:val="240"/>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C479D"/>
              </w:rPr>
              <w:t xml:space="preserve">Chemical Products sales </w:t>
            </w:r>
            <w:r>
              <w:rPr>
                <w:rFonts w:ascii="Times New Roman" w:cs="Times New Roman" w:eastAsia="Times New Roman" w:hAnsi="Times New Roman"/>
                <w:sz w:val="9"/>
                <w:szCs w:val="9"/>
                <w:i w:val="1"/>
                <w:iCs w:val="1"/>
                <w:color w:val="0C479D"/>
              </w:rPr>
              <w:t>(2)</w:t>
            </w:r>
          </w:p>
        </w:tc>
        <w:tc>
          <w:tcPr>
            <w:tcW w:w="780" w:type="dxa"/>
            <w:vAlign w:val="bottom"/>
            <w:shd w:val="clear" w:color="auto" w:fill="F0F0F0"/>
          </w:tcPr>
          <w:p>
            <w:pPr>
              <w:spacing w:after="0"/>
              <w:rPr>
                <w:sz w:val="20"/>
                <w:szCs w:val="20"/>
                <w:color w:val="auto"/>
              </w:rPr>
            </w:pPr>
          </w:p>
        </w:tc>
        <w:tc>
          <w:tcPr>
            <w:tcW w:w="880" w:type="dxa"/>
            <w:vAlign w:val="bottom"/>
          </w:tcPr>
          <w:p>
            <w:pPr>
              <w:spacing w:after="0"/>
              <w:rPr>
                <w:sz w:val="20"/>
                <w:szCs w:val="20"/>
                <w:color w:val="auto"/>
              </w:rPr>
            </w:pPr>
          </w:p>
        </w:tc>
      </w:tr>
      <w:tr>
        <w:trPr>
          <w:trHeight w:val="190"/>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(thousands of metric tons)</w:t>
            </w:r>
          </w:p>
        </w:tc>
        <w:tc>
          <w:tcPr>
            <w:tcW w:w="780" w:type="dxa"/>
            <w:vAlign w:val="bottom"/>
            <w:shd w:val="clear" w:color="auto" w:fill="F0F0F0"/>
          </w:tcPr>
          <w:p>
            <w:pPr>
              <w:spacing w:after="0"/>
              <w:rPr>
                <w:sz w:val="16"/>
                <w:szCs w:val="16"/>
                <w:color w:val="auto"/>
              </w:rPr>
            </w:pPr>
          </w:p>
        </w:tc>
        <w:tc>
          <w:tcPr>
            <w:tcW w:w="880" w:type="dxa"/>
            <w:vAlign w:val="bottom"/>
          </w:tcPr>
          <w:p>
            <w:pPr>
              <w:spacing w:after="0"/>
              <w:rPr>
                <w:sz w:val="16"/>
                <w:szCs w:val="16"/>
                <w:color w:val="auto"/>
              </w:rPr>
            </w:pPr>
          </w:p>
        </w:tc>
      </w:tr>
      <w:tr>
        <w:trPr>
          <w:trHeight w:val="253"/>
        </w:trPr>
        <w:tc>
          <w:tcPr>
            <w:tcW w:w="2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w:t>
            </w:r>
          </w:p>
        </w:tc>
        <w:tc>
          <w:tcPr>
            <w:tcW w:w="780" w:type="dxa"/>
            <w:vAlign w:val="bottom"/>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7,038</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6,779</w:t>
            </w:r>
          </w:p>
        </w:tc>
      </w:tr>
      <w:tr>
        <w:trPr>
          <w:trHeight w:val="263"/>
        </w:trPr>
        <w:tc>
          <w:tcPr>
            <w:tcW w:w="2880" w:type="dxa"/>
            <w:vAlign w:val="bottom"/>
            <w:tcBorders>
              <w:bottom w:val="single" w:sz="8" w:color="0C479D"/>
            </w:tcBorders>
          </w:tcPr>
          <w:p>
            <w:pPr>
              <w:ind w:left="160"/>
              <w:spacing w:after="0"/>
              <w:rPr>
                <w:sz w:val="20"/>
                <w:szCs w:val="20"/>
                <w:color w:val="auto"/>
              </w:rPr>
            </w:pPr>
            <w:r>
              <w:rPr>
                <w:rFonts w:ascii="Times New Roman" w:cs="Times New Roman" w:eastAsia="Times New Roman" w:hAnsi="Times New Roman"/>
                <w:sz w:val="18"/>
                <w:szCs w:val="18"/>
                <w:color w:val="auto"/>
              </w:rPr>
              <w:t>Non-U.S.</w:t>
            </w:r>
          </w:p>
        </w:tc>
        <w:tc>
          <w:tcPr>
            <w:tcW w:w="780" w:type="dxa"/>
            <w:vAlign w:val="bottom"/>
            <w:tcBorders>
              <w:bottom w:val="single" w:sz="8" w:color="0C479D"/>
            </w:tcBorders>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12,354</w:t>
            </w:r>
          </w:p>
        </w:tc>
        <w:tc>
          <w:tcPr>
            <w:tcW w:w="8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12,603</w:t>
            </w:r>
          </w:p>
        </w:tc>
      </w:tr>
      <w:tr>
        <w:trPr>
          <w:trHeight w:val="234"/>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19,392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19,382</w:t>
            </w:r>
          </w:p>
        </w:tc>
      </w:tr>
      <w:tr>
        <w:trPr>
          <w:trHeight w:val="240"/>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C479D"/>
              </w:rPr>
              <w:t xml:space="preserve">Specialty Products sales </w:t>
            </w:r>
            <w:r>
              <w:rPr>
                <w:rFonts w:ascii="Times New Roman" w:cs="Times New Roman" w:eastAsia="Times New Roman" w:hAnsi="Times New Roman"/>
                <w:sz w:val="9"/>
                <w:szCs w:val="9"/>
                <w:i w:val="1"/>
                <w:iCs w:val="1"/>
                <w:color w:val="0C479D"/>
              </w:rPr>
              <w:t>(2)</w:t>
            </w:r>
          </w:p>
        </w:tc>
        <w:tc>
          <w:tcPr>
            <w:tcW w:w="780" w:type="dxa"/>
            <w:vAlign w:val="bottom"/>
            <w:shd w:val="clear" w:color="auto" w:fill="F0F0F0"/>
          </w:tcPr>
          <w:p>
            <w:pPr>
              <w:spacing w:after="0"/>
              <w:rPr>
                <w:sz w:val="20"/>
                <w:szCs w:val="20"/>
                <w:color w:val="auto"/>
              </w:rPr>
            </w:pPr>
          </w:p>
        </w:tc>
        <w:tc>
          <w:tcPr>
            <w:tcW w:w="880" w:type="dxa"/>
            <w:vAlign w:val="bottom"/>
          </w:tcPr>
          <w:p>
            <w:pPr>
              <w:spacing w:after="0"/>
              <w:rPr>
                <w:sz w:val="20"/>
                <w:szCs w:val="20"/>
                <w:color w:val="auto"/>
              </w:rPr>
            </w:pPr>
          </w:p>
        </w:tc>
      </w:tr>
      <w:tr>
        <w:trPr>
          <w:trHeight w:val="190"/>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(thousands of metric tons)</w:t>
            </w:r>
          </w:p>
        </w:tc>
        <w:tc>
          <w:tcPr>
            <w:tcW w:w="780" w:type="dxa"/>
            <w:vAlign w:val="bottom"/>
            <w:shd w:val="clear" w:color="auto" w:fill="F0F0F0"/>
          </w:tcPr>
          <w:p>
            <w:pPr>
              <w:spacing w:after="0"/>
              <w:rPr>
                <w:sz w:val="16"/>
                <w:szCs w:val="16"/>
                <w:color w:val="auto"/>
              </w:rPr>
            </w:pPr>
          </w:p>
        </w:tc>
        <w:tc>
          <w:tcPr>
            <w:tcW w:w="880" w:type="dxa"/>
            <w:vAlign w:val="bottom"/>
          </w:tcPr>
          <w:p>
            <w:pPr>
              <w:spacing w:after="0"/>
              <w:rPr>
                <w:sz w:val="16"/>
                <w:szCs w:val="16"/>
                <w:color w:val="auto"/>
              </w:rPr>
            </w:pPr>
          </w:p>
        </w:tc>
      </w:tr>
      <w:tr>
        <w:trPr>
          <w:trHeight w:val="253"/>
        </w:trPr>
        <w:tc>
          <w:tcPr>
            <w:tcW w:w="2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w:t>
            </w:r>
          </w:p>
        </w:tc>
        <w:tc>
          <w:tcPr>
            <w:tcW w:w="780" w:type="dxa"/>
            <w:vAlign w:val="bottom"/>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1,922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w:t>
            </w:r>
          </w:p>
        </w:tc>
      </w:tr>
      <w:tr>
        <w:trPr>
          <w:trHeight w:val="264"/>
        </w:trPr>
        <w:tc>
          <w:tcPr>
            <w:tcW w:w="2880" w:type="dxa"/>
            <w:vAlign w:val="bottom"/>
            <w:tcBorders>
              <w:bottom w:val="single" w:sz="8" w:color="0C479D"/>
            </w:tcBorders>
          </w:tcPr>
          <w:p>
            <w:pPr>
              <w:ind w:left="160"/>
              <w:spacing w:after="0"/>
              <w:rPr>
                <w:sz w:val="20"/>
                <w:szCs w:val="20"/>
                <w:color w:val="auto"/>
              </w:rPr>
            </w:pPr>
            <w:r>
              <w:rPr>
                <w:rFonts w:ascii="Times New Roman" w:cs="Times New Roman" w:eastAsia="Times New Roman" w:hAnsi="Times New Roman"/>
                <w:sz w:val="18"/>
                <w:szCs w:val="18"/>
                <w:color w:val="auto"/>
              </w:rPr>
              <w:t>Non-U.S.</w:t>
            </w:r>
          </w:p>
        </w:tc>
        <w:tc>
          <w:tcPr>
            <w:tcW w:w="780" w:type="dxa"/>
            <w:vAlign w:val="bottom"/>
            <w:tcBorders>
              <w:bottom w:val="single" w:sz="8" w:color="0C479D"/>
            </w:tcBorders>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5,745</w:t>
            </w:r>
          </w:p>
        </w:tc>
        <w:tc>
          <w:tcPr>
            <w:tcW w:w="8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5,635</w:t>
            </w:r>
          </w:p>
        </w:tc>
      </w:tr>
      <w:tr>
        <w:trPr>
          <w:trHeight w:val="243"/>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7,666</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7,597</w:t>
            </w:r>
          </w:p>
        </w:tc>
      </w:tr>
    </w:tbl>
    <w:p>
      <w:pPr>
        <w:spacing w:after="0" w:line="97" w:lineRule="exact"/>
        <w:rPr>
          <w:sz w:val="20"/>
          <w:szCs w:val="20"/>
          <w:color w:val="auto"/>
        </w:rPr>
      </w:pPr>
    </w:p>
    <w:p>
      <w:pPr>
        <w:sectPr>
          <w:pgSz w:w="11900" w:h="16838" w:orient="portrait"/>
          <w:cols w:equalWidth="0" w:num="2">
            <w:col w:w="5720" w:space="220"/>
            <w:col w:w="4540"/>
          </w:cols>
          <w:pgMar w:left="320" w:top="259" w:right="1099" w:bottom="1440" w:gutter="0" w:footer="0" w:header="0"/>
          <w:type w:val="continuous"/>
        </w:sectPr>
      </w:pPr>
    </w:p>
    <w:p>
      <w:pPr>
        <w:ind w:left="920" w:hanging="131"/>
        <w:spacing w:after="0"/>
        <w:tabs>
          <w:tab w:leader="none" w:pos="920" w:val="left"/>
        </w:tabs>
        <w:numPr>
          <w:ilvl w:val="0"/>
          <w:numId w:val="15"/>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Natural gas is converted to an oil-equivalent basis at six million cubic feet per one thousand barrels.</w:t>
      </w:r>
    </w:p>
    <w:p>
      <w:pPr>
        <w:spacing w:after="0" w:line="68" w:lineRule="exact"/>
        <w:rPr>
          <w:rFonts w:ascii="Times New Roman" w:cs="Times New Roman" w:eastAsia="Times New Roman" w:hAnsi="Times New Roman"/>
          <w:sz w:val="9"/>
          <w:szCs w:val="9"/>
          <w:i w:val="1"/>
          <w:iCs w:val="1"/>
          <w:color w:val="auto"/>
        </w:rPr>
      </w:pPr>
    </w:p>
    <w:p>
      <w:pPr>
        <w:ind w:left="920" w:hanging="131"/>
        <w:spacing w:after="0"/>
        <w:tabs>
          <w:tab w:leader="none" w:pos="920" w:val="left"/>
        </w:tabs>
        <w:numPr>
          <w:ilvl w:val="0"/>
          <w:numId w:val="15"/>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Data reported net of purchases/sales contracts with the same counterparty.</w:t>
      </w:r>
    </w:p>
    <w:p>
      <w:pPr>
        <w:spacing w:after="0" w:line="6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i w:val="1"/>
          <w:iCs w:val="1"/>
          <w:color w:val="auto"/>
        </w:rPr>
        <w:t>Due to rounding, numbers presented may not add up precisely to the totals indicated.</w:t>
      </w:r>
    </w:p>
    <w:p>
      <w:pPr>
        <w:sectPr>
          <w:pgSz w:w="11900" w:h="16838" w:orient="portrait"/>
          <w:cols w:equalWidth="0" w:num="1">
            <w:col w:w="10480"/>
          </w:cols>
          <w:pgMar w:left="320" w:top="259" w:right="1099" w:bottom="1440" w:gutter="0" w:footer="0" w:header="0"/>
          <w:type w:val="continuous"/>
        </w:sectPr>
      </w:pPr>
    </w:p>
    <w:p>
      <w:pPr>
        <w:spacing w:after="0" w:line="200" w:lineRule="exact"/>
        <w:rPr>
          <w:sz w:val="20"/>
          <w:szCs w:val="20"/>
          <w:color w:val="auto"/>
        </w:rPr>
      </w:pPr>
    </w:p>
    <w:p>
      <w:pPr>
        <w:spacing w:after="0" w:line="37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320" w:top="259" w:right="109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25"/>
          <w:szCs w:val="25"/>
          <w:b w:val="1"/>
          <w:bCs w:val="1"/>
          <w:color w:val="0C479D"/>
        </w:rPr>
        <w:t>FINANCIAL INFORMATION</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820" w:type="dxa"/>
        <w:tblCellMar>
          <w:top w:w="0" w:type="dxa"/>
          <w:left w:w="0" w:type="dxa"/>
          <w:bottom w:w="0" w:type="dxa"/>
          <w:right w:w="0" w:type="dxa"/>
        </w:tblCellMar>
      </w:tblPr>
      <w:tr>
        <w:trPr>
          <w:trHeight w:val="250"/>
        </w:trPr>
        <w:tc>
          <w:tcPr>
            <w:tcW w:w="6300" w:type="dxa"/>
            <w:vAlign w:val="bottom"/>
            <w:tcBorders>
              <w:bottom w:val="single" w:sz="8" w:color="0C479D"/>
            </w:tcBorders>
            <w:shd w:val="clear" w:color="auto" w:fill="0C479D"/>
          </w:tcPr>
          <w:p>
            <w:pPr>
              <w:spacing w:after="0"/>
              <w:rPr>
                <w:sz w:val="20"/>
                <w:szCs w:val="20"/>
                <w:color w:val="auto"/>
              </w:rPr>
            </w:pPr>
            <w:r>
              <w:rPr>
                <w:rFonts w:ascii="Times New Roman" w:cs="Times New Roman" w:eastAsia="Times New Roman" w:hAnsi="Times New Roman"/>
                <w:sz w:val="14"/>
                <w:szCs w:val="14"/>
                <w:i w:val="1"/>
                <w:iCs w:val="1"/>
                <w:color w:val="FFFFFF"/>
              </w:rPr>
              <w:t>(millions of dollars, except where stated otherwise)</w:t>
            </w:r>
          </w:p>
        </w:tc>
        <w:tc>
          <w:tcPr>
            <w:tcW w:w="1020" w:type="dxa"/>
            <w:vAlign w:val="bottom"/>
            <w:tcBorders>
              <w:bottom w:val="single" w:sz="8" w:color="0C479D"/>
            </w:tcBorders>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1380" w:type="dxa"/>
            <w:vAlign w:val="bottom"/>
            <w:tcBorders>
              <w:bottom w:val="single" w:sz="8" w:color="0C479D"/>
            </w:tcBorders>
            <w:shd w:val="clear" w:color="auto" w:fill="0C479D"/>
          </w:tcPr>
          <w:p>
            <w:pPr>
              <w:jc w:val="right"/>
              <w:ind w:right="151"/>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920" w:type="dxa"/>
            <w:vAlign w:val="bottom"/>
            <w:tcBorders>
              <w:bottom w:val="single" w:sz="8" w:color="0C479D"/>
            </w:tcBorders>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2022</w:t>
            </w:r>
          </w:p>
        </w:tc>
      </w:tr>
      <w:tr>
        <w:trPr>
          <w:trHeight w:val="243"/>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Sales and other operating revenue</w:t>
            </w:r>
          </w:p>
        </w:tc>
        <w:tc>
          <w:tcPr>
            <w:tcW w:w="10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339,247</w:t>
            </w:r>
          </w:p>
        </w:tc>
        <w:tc>
          <w:tcPr>
            <w:tcW w:w="138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334,697</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398,675</w:t>
            </w:r>
          </w:p>
        </w:tc>
      </w:tr>
      <w:tr>
        <w:trPr>
          <w:trHeight w:val="27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ExxonMobil</w:t>
            </w:r>
          </w:p>
        </w:tc>
        <w:tc>
          <w:tcPr>
            <w:tcW w:w="10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33,680</w:t>
            </w:r>
          </w:p>
        </w:tc>
        <w:tc>
          <w:tcPr>
            <w:tcW w:w="138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36,010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55,740</w:t>
            </w:r>
          </w:p>
        </w:tc>
      </w:tr>
      <w:tr>
        <w:trPr>
          <w:trHeight w:val="54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 per common share (dollars)</w:t>
            </w:r>
          </w:p>
        </w:tc>
        <w:tc>
          <w:tcPr>
            <w:tcW w:w="10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38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8.89</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r>
      <w:tr>
        <w:trPr>
          <w:trHeight w:val="27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 per common share – assuming dilution (dollars)</w:t>
            </w:r>
          </w:p>
        </w:tc>
        <w:tc>
          <w:tcPr>
            <w:tcW w:w="10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38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8.89</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r>
      <w:tr>
        <w:trPr>
          <w:trHeight w:val="54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 to average ExxonMobil share of equity (percent)</w:t>
            </w:r>
          </w:p>
        </w:tc>
        <w:tc>
          <w:tcPr>
            <w:tcW w:w="10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38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18.0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567"/>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10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21,683</w:t>
            </w:r>
          </w:p>
        </w:tc>
        <w:tc>
          <w:tcPr>
            <w:tcW w:w="138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31,293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28,586</w:t>
            </w:r>
          </w:p>
        </w:tc>
      </w:tr>
      <w:tr>
        <w:trPr>
          <w:trHeight w:val="243"/>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Ratio of current assets to current liabilities (times)</w:t>
            </w:r>
          </w:p>
        </w:tc>
        <w:tc>
          <w:tcPr>
            <w:tcW w:w="10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38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1.48</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567"/>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Additions to property, plant and equipment </w:t>
            </w:r>
            <w:r>
              <w:rPr>
                <w:rFonts w:ascii="Times New Roman" w:cs="Times New Roman" w:eastAsia="Times New Roman" w:hAnsi="Times New Roman"/>
                <w:sz w:val="9"/>
                <w:szCs w:val="9"/>
                <w:i w:val="1"/>
                <w:iCs w:val="1"/>
                <w:color w:val="auto"/>
              </w:rPr>
              <w:t>(1)</w:t>
            </w:r>
          </w:p>
        </w:tc>
        <w:tc>
          <w:tcPr>
            <w:tcW w:w="10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109,332</w:t>
            </w:r>
          </w:p>
        </w:tc>
        <w:tc>
          <w:tcPr>
            <w:tcW w:w="138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29,038</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18,338</w:t>
            </w:r>
          </w:p>
        </w:tc>
      </w:tr>
      <w:tr>
        <w:trPr>
          <w:trHeight w:val="243"/>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less allowances</w:t>
            </w:r>
          </w:p>
        </w:tc>
        <w:tc>
          <w:tcPr>
            <w:tcW w:w="10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294,318</w:t>
            </w:r>
          </w:p>
        </w:tc>
        <w:tc>
          <w:tcPr>
            <w:tcW w:w="138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214,940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204,692</w:t>
            </w:r>
          </w:p>
        </w:tc>
      </w:tr>
      <w:tr>
        <w:trPr>
          <w:trHeight w:val="27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453,475</w:t>
            </w:r>
          </w:p>
        </w:tc>
        <w:tc>
          <w:tcPr>
            <w:tcW w:w="138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376,317</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369,067</w:t>
            </w:r>
          </w:p>
        </w:tc>
      </w:tr>
      <w:tr>
        <w:trPr>
          <w:trHeight w:val="567"/>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Exploration expenses, including dry holes</w:t>
            </w:r>
          </w:p>
        </w:tc>
        <w:tc>
          <w:tcPr>
            <w:tcW w:w="10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38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751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r>
      <w:tr>
        <w:trPr>
          <w:trHeight w:val="243"/>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10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38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879</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r>
      <w:tr>
        <w:trPr>
          <w:trHeight w:val="567"/>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36,755</w:t>
            </w:r>
          </w:p>
        </w:tc>
        <w:tc>
          <w:tcPr>
            <w:tcW w:w="138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37,483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40,559</w:t>
            </w:r>
          </w:p>
        </w:tc>
      </w:tr>
      <w:tr>
        <w:trPr>
          <w:trHeight w:val="243"/>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Total debt</w:t>
            </w:r>
          </w:p>
        </w:tc>
        <w:tc>
          <w:tcPr>
            <w:tcW w:w="10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41,710</w:t>
            </w:r>
          </w:p>
        </w:tc>
        <w:tc>
          <w:tcPr>
            <w:tcW w:w="138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41,573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41,193</w:t>
            </w:r>
          </w:p>
        </w:tc>
      </w:tr>
      <w:tr>
        <w:trPr>
          <w:trHeight w:val="27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Debt to capital (percent)</w:t>
            </w:r>
          </w:p>
        </w:tc>
        <w:tc>
          <w:tcPr>
            <w:tcW w:w="10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38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16.4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97"/>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Net debt to capital (percent) </w:t>
            </w:r>
            <w:r>
              <w:rPr>
                <w:rFonts w:ascii="Times New Roman" w:cs="Times New Roman" w:eastAsia="Times New Roman" w:hAnsi="Times New Roman"/>
                <w:sz w:val="9"/>
                <w:szCs w:val="9"/>
                <w:i w:val="1"/>
                <w:iCs w:val="1"/>
                <w:color w:val="auto"/>
              </w:rPr>
              <w:t>(2)</w:t>
            </w:r>
          </w:p>
        </w:tc>
        <w:tc>
          <w:tcPr>
            <w:tcW w:w="10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38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4.5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54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ExxonMobil share of equity at year-end</w:t>
            </w:r>
          </w:p>
        </w:tc>
        <w:tc>
          <w:tcPr>
            <w:tcW w:w="10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263,705</w:t>
            </w:r>
          </w:p>
        </w:tc>
        <w:tc>
          <w:tcPr>
            <w:tcW w:w="138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204,802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195,049</w:t>
            </w:r>
          </w:p>
        </w:tc>
      </w:tr>
      <w:tr>
        <w:trPr>
          <w:trHeight w:val="243"/>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ExxonMobil share of equity per common share (dollars)</w:t>
            </w:r>
          </w:p>
        </w:tc>
        <w:tc>
          <w:tcPr>
            <w:tcW w:w="10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60.58</w:t>
            </w:r>
          </w:p>
        </w:tc>
        <w:tc>
          <w:tcPr>
            <w:tcW w:w="138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51.57</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47.78</w:t>
            </w:r>
          </w:p>
        </w:tc>
      </w:tr>
      <w:tr>
        <w:trPr>
          <w:trHeight w:val="27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number of common shares outstanding (millions)</w:t>
            </w:r>
          </w:p>
        </w:tc>
        <w:tc>
          <w:tcPr>
            <w:tcW w:w="10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138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4,052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4,205</w:t>
            </w:r>
          </w:p>
        </w:tc>
      </w:tr>
      <w:tr>
        <w:trPr>
          <w:trHeight w:val="560"/>
        </w:trPr>
        <w:tc>
          <w:tcPr>
            <w:tcW w:w="630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color w:val="auto"/>
              </w:rPr>
              <w:t xml:space="preserve">Number of regular employees at year-end (thousands) </w:t>
            </w:r>
            <w:r>
              <w:rPr>
                <w:rFonts w:ascii="Times New Roman" w:cs="Times New Roman" w:eastAsia="Times New Roman" w:hAnsi="Times New Roman"/>
                <w:sz w:val="9"/>
                <w:szCs w:val="9"/>
                <w:i w:val="1"/>
                <w:iCs w:val="1"/>
                <w:color w:val="auto"/>
              </w:rPr>
              <w:t>(3)</w:t>
            </w:r>
          </w:p>
        </w:tc>
        <w:tc>
          <w:tcPr>
            <w:tcW w:w="102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380" w:type="dxa"/>
            <w:vAlign w:val="bottom"/>
            <w:tcBorders>
              <w:bottom w:val="single" w:sz="8" w:color="0C479D"/>
            </w:tcBorders>
          </w:tcPr>
          <w:p>
            <w:pPr>
              <w:jc w:val="right"/>
              <w:ind w:right="231"/>
              <w:spacing w:after="0"/>
              <w:rPr>
                <w:sz w:val="20"/>
                <w:szCs w:val="20"/>
                <w:color w:val="auto"/>
              </w:rPr>
            </w:pPr>
            <w:r>
              <w:rPr>
                <w:rFonts w:ascii="Times New Roman" w:cs="Times New Roman" w:eastAsia="Times New Roman" w:hAnsi="Times New Roman"/>
                <w:sz w:val="18"/>
                <w:szCs w:val="18"/>
                <w:color w:val="auto"/>
              </w:rPr>
              <w:t>61.5</w:t>
            </w:r>
          </w:p>
        </w:tc>
        <w:tc>
          <w:tcPr>
            <w:tcW w:w="9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62.3</w:t>
            </w:r>
          </w:p>
        </w:tc>
      </w:tr>
    </w:tbl>
    <w:p>
      <w:pPr>
        <w:spacing w:after="0" w:line="83" w:lineRule="exact"/>
        <w:rPr>
          <w:sz w:val="20"/>
          <w:szCs w:val="20"/>
          <w:color w:val="auto"/>
        </w:rPr>
      </w:pPr>
    </w:p>
    <w:p>
      <w:pPr>
        <w:ind w:left="980" w:hanging="151"/>
        <w:spacing w:after="0"/>
        <w:tabs>
          <w:tab w:leader="none" w:pos="980" w:val="left"/>
        </w:tabs>
        <w:numPr>
          <w:ilvl w:val="0"/>
          <w:numId w:val="16"/>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 xml:space="preserve">Includes non-cash additions. See </w:t>
      </w:r>
      <w:r>
        <w:rPr>
          <w:rFonts w:ascii="Times New Roman" w:cs="Times New Roman" w:eastAsia="Times New Roman" w:hAnsi="Times New Roman"/>
          <w:sz w:val="14"/>
          <w:szCs w:val="14"/>
          <w:i w:val="1"/>
          <w:iCs w:val="1"/>
          <w:color w:val="0000FF"/>
        </w:rPr>
        <w:t>Note 21</w:t>
      </w:r>
      <w:r>
        <w:rPr>
          <w:rFonts w:ascii="Times New Roman" w:cs="Times New Roman" w:eastAsia="Times New Roman" w:hAnsi="Times New Roman"/>
          <w:sz w:val="14"/>
          <w:szCs w:val="14"/>
          <w:i w:val="1"/>
          <w:iCs w:val="1"/>
          <w:color w:val="auto"/>
        </w:rPr>
        <w:t xml:space="preserve"> for additions resulting from the Pioneer acquisition in 2024.</w:t>
      </w:r>
    </w:p>
    <w:p>
      <w:pPr>
        <w:spacing w:after="0" w:line="68" w:lineRule="exact"/>
        <w:rPr>
          <w:rFonts w:ascii="Times New Roman" w:cs="Times New Roman" w:eastAsia="Times New Roman" w:hAnsi="Times New Roman"/>
          <w:sz w:val="9"/>
          <w:szCs w:val="9"/>
          <w:i w:val="1"/>
          <w:iCs w:val="1"/>
          <w:color w:val="auto"/>
        </w:rPr>
      </w:pPr>
    </w:p>
    <w:p>
      <w:pPr>
        <w:ind w:left="820" w:right="60" w:firstLine="9"/>
        <w:spacing w:after="0" w:line="301" w:lineRule="auto"/>
        <w:tabs>
          <w:tab w:leader="none" w:pos="965" w:val="left"/>
        </w:tabs>
        <w:numPr>
          <w:ilvl w:val="0"/>
          <w:numId w:val="16"/>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Net debt is total debt less cash and cash equivalents excluding restricted cash. Net debt to capital ratio is net debt divided by net debt plus total equity. Total debt is the sum of notes and loans payable and long-term debt, as reported in the Consolidated Balance Sheet.</w:t>
      </w:r>
    </w:p>
    <w:p>
      <w:pPr>
        <w:spacing w:after="0" w:line="1" w:lineRule="exact"/>
        <w:rPr>
          <w:rFonts w:ascii="Times New Roman" w:cs="Times New Roman" w:eastAsia="Times New Roman" w:hAnsi="Times New Roman"/>
          <w:sz w:val="9"/>
          <w:szCs w:val="9"/>
          <w:i w:val="1"/>
          <w:iCs w:val="1"/>
          <w:color w:val="auto"/>
        </w:rPr>
      </w:pPr>
    </w:p>
    <w:p>
      <w:pPr>
        <w:ind w:left="820" w:right="40" w:firstLine="9"/>
        <w:spacing w:after="0" w:line="305" w:lineRule="auto"/>
        <w:tabs>
          <w:tab w:leader="none" w:pos="952" w:val="left"/>
        </w:tabs>
        <w:numPr>
          <w:ilvl w:val="0"/>
          <w:numId w:val="16"/>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Regular employees are defined as active executive, management, professional, technical, administrative, and wage employees who work full time or part time for the Corporation and are covered by the Corporation’s benefit plans and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0"/>
          </w:cols>
          <w:pgMar w:left="320" w:top="259" w:right="11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2"/>
          <w:szCs w:val="22"/>
          <w:b w:val="1"/>
          <w:bCs w:val="1"/>
          <w:color w:val="0C479D"/>
        </w:rPr>
        <w:t>FREQUENTLY USED TERMS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Listed below are definitions of several of ExxonMobil’s key business and financial performance measures. These definitions are provided to facilitate understanding of the terms and their calculations.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479D"/>
        </w:rPr>
        <w:t xml:space="preserve">Cash Flow from Operations and Asset Sales </w:t>
      </w:r>
      <w:r>
        <w:rPr>
          <w:rFonts w:ascii="Times New Roman" w:cs="Times New Roman" w:eastAsia="Times New Roman" w:hAnsi="Times New Roman"/>
          <w:sz w:val="18"/>
          <w:szCs w:val="18"/>
          <w:color w:val="0C479D"/>
        </w:rPr>
        <w:t>(Non-GAAP)</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Cash flow from operations and asset sales is the sum of the net cash provided by operating activities and proceeds from asset sales and returns of investments from the Consolidated Statement of Cash Flows. This cash flow reflects the total sources of cash both from operating the Corporation’s assets and from the divesting of assets. The Corporation employs a long-standing and regular disciplined review process to ensure that assets are contributing to the Corporation’s strategic objectives. Assets are divested when they are no longer meeting these objectives or are worth considerably more to others. Because of the regular nature of this activity, we believe it is useful for investors to consider proceeds associated with asset sales together with cash provided by operating activities when evaluating cash available for investment in the business and financing activities, including shareholder distributions.</w:t>
      </w:r>
    </w:p>
    <w:p>
      <w:pPr>
        <w:spacing w:after="0" w:line="200" w:lineRule="exact"/>
        <w:rPr>
          <w:sz w:val="20"/>
          <w:szCs w:val="20"/>
          <w:color w:val="auto"/>
        </w:rPr>
      </w:pPr>
    </w:p>
    <w:p>
      <w:pPr>
        <w:spacing w:after="0" w:line="235" w:lineRule="exact"/>
        <w:rPr>
          <w:sz w:val="20"/>
          <w:szCs w:val="20"/>
          <w:color w:val="auto"/>
        </w:rPr>
      </w:pPr>
    </w:p>
    <w:tbl>
      <w:tblPr>
        <w:tblLayout w:type="fixed"/>
        <w:tblInd w:w="780" w:type="dxa"/>
        <w:tblCellMar>
          <w:top w:w="0" w:type="dxa"/>
          <w:left w:w="0" w:type="dxa"/>
          <w:bottom w:w="0" w:type="dxa"/>
          <w:right w:w="0" w:type="dxa"/>
        </w:tblCellMar>
      </w:tblPr>
      <w:tr>
        <w:trPr>
          <w:trHeight w:val="216"/>
        </w:trPr>
        <w:tc>
          <w:tcPr>
            <w:tcW w:w="6420" w:type="dxa"/>
            <w:vAlign w:val="bottom"/>
            <w:shd w:val="clear" w:color="auto" w:fill="0C479D"/>
          </w:tcPr>
          <w:p>
            <w:pPr>
              <w:spacing w:after="0"/>
              <w:rPr>
                <w:sz w:val="20"/>
                <w:szCs w:val="20"/>
                <w:color w:val="auto"/>
              </w:rPr>
            </w:pPr>
            <w:r>
              <w:rPr>
                <w:rFonts w:ascii="Times New Roman" w:cs="Times New Roman" w:eastAsia="Times New Roman" w:hAnsi="Times New Roman"/>
                <w:sz w:val="18"/>
                <w:szCs w:val="18"/>
                <w:b w:val="1"/>
                <w:bCs w:val="1"/>
                <w:color w:val="FFFFFF"/>
              </w:rPr>
              <w:t>Cash Flow from Operations and Asset Sales</w:t>
            </w:r>
          </w:p>
        </w:tc>
        <w:tc>
          <w:tcPr>
            <w:tcW w:w="1020" w:type="dxa"/>
            <w:vAlign w:val="bottom"/>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1400" w:type="dxa"/>
            <w:vAlign w:val="bottom"/>
            <w:shd w:val="clear" w:color="auto" w:fill="0C479D"/>
          </w:tcPr>
          <w:p>
            <w:pPr>
              <w:jc w:val="right"/>
              <w:ind w:right="215"/>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860" w:type="dxa"/>
            <w:vAlign w:val="bottom"/>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2022</w:t>
            </w:r>
          </w:p>
        </w:tc>
      </w:tr>
      <w:tr>
        <w:trPr>
          <w:trHeight w:val="162"/>
        </w:trPr>
        <w:tc>
          <w:tcPr>
            <w:tcW w:w="6420" w:type="dxa"/>
            <w:vAlign w:val="bottom"/>
            <w:shd w:val="clear" w:color="auto" w:fill="0C479D"/>
          </w:tcPr>
          <w:p>
            <w:pPr>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1020" w:type="dxa"/>
            <w:vAlign w:val="bottom"/>
            <w:shd w:val="clear" w:color="auto" w:fill="0C479D"/>
          </w:tcPr>
          <w:p>
            <w:pPr>
              <w:spacing w:after="0"/>
              <w:rPr>
                <w:sz w:val="14"/>
                <w:szCs w:val="14"/>
                <w:color w:val="auto"/>
              </w:rPr>
            </w:pPr>
          </w:p>
        </w:tc>
        <w:tc>
          <w:tcPr>
            <w:tcW w:w="1400" w:type="dxa"/>
            <w:vAlign w:val="bottom"/>
            <w:shd w:val="clear" w:color="auto" w:fill="0C479D"/>
          </w:tcPr>
          <w:p>
            <w:pPr>
              <w:spacing w:after="0"/>
              <w:rPr>
                <w:sz w:val="14"/>
                <w:szCs w:val="14"/>
                <w:color w:val="auto"/>
              </w:rPr>
            </w:pPr>
          </w:p>
        </w:tc>
        <w:tc>
          <w:tcPr>
            <w:tcW w:w="860" w:type="dxa"/>
            <w:vAlign w:val="bottom"/>
            <w:shd w:val="clear" w:color="auto" w:fill="0C479D"/>
          </w:tcPr>
          <w:p>
            <w:pPr>
              <w:spacing w:after="0"/>
              <w:rPr>
                <w:sz w:val="14"/>
                <w:szCs w:val="14"/>
                <w:color w:val="auto"/>
              </w:rPr>
            </w:pPr>
          </w:p>
        </w:tc>
      </w:tr>
      <w:tr>
        <w:trPr>
          <w:trHeight w:val="243"/>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20" w:type="dxa"/>
            <w:vAlign w:val="bottom"/>
            <w:shd w:val="clear" w:color="auto" w:fill="F0F0F0"/>
          </w:tcPr>
          <w:p>
            <w:pPr>
              <w:jc w:val="right"/>
              <w:ind w:right="15"/>
              <w:spacing w:after="0"/>
              <w:rPr>
                <w:sz w:val="20"/>
                <w:szCs w:val="20"/>
                <w:color w:val="auto"/>
              </w:rPr>
            </w:pPr>
            <w:r>
              <w:rPr>
                <w:rFonts w:ascii="Times New Roman" w:cs="Times New Roman" w:eastAsia="Times New Roman" w:hAnsi="Times New Roman"/>
                <w:sz w:val="18"/>
                <w:szCs w:val="18"/>
                <w:color w:val="auto"/>
              </w:rPr>
              <w:t>55,022</w:t>
            </w:r>
          </w:p>
        </w:tc>
        <w:tc>
          <w:tcPr>
            <w:tcW w:w="1400" w:type="dxa"/>
            <w:vAlign w:val="bottom"/>
          </w:tcPr>
          <w:p>
            <w:pPr>
              <w:jc w:val="right"/>
              <w:ind w:right="275"/>
              <w:spacing w:after="0"/>
              <w:rPr>
                <w:sz w:val="20"/>
                <w:szCs w:val="20"/>
                <w:color w:val="auto"/>
              </w:rPr>
            </w:pPr>
            <w:r>
              <w:rPr>
                <w:rFonts w:ascii="Times New Roman" w:cs="Times New Roman" w:eastAsia="Times New Roman" w:hAnsi="Times New Roman"/>
                <w:sz w:val="18"/>
                <w:szCs w:val="18"/>
                <w:color w:val="auto"/>
              </w:rPr>
              <w:t>55,369</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76,797</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Proceeds associated with sales of subsidiaries, property, plant and equipment, and sales</w:t>
            </w:r>
          </w:p>
        </w:tc>
        <w:tc>
          <w:tcPr>
            <w:tcW w:w="1020" w:type="dxa"/>
            <w:vAlign w:val="bottom"/>
            <w:shd w:val="clear" w:color="auto" w:fill="F0F0F0"/>
          </w:tcPr>
          <w:p>
            <w:pPr>
              <w:spacing w:after="0"/>
              <w:rPr>
                <w:sz w:val="18"/>
                <w:szCs w:val="18"/>
                <w:color w:val="auto"/>
              </w:rPr>
            </w:pPr>
          </w:p>
        </w:tc>
        <w:tc>
          <w:tcPr>
            <w:tcW w:w="14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43"/>
        </w:trPr>
        <w:tc>
          <w:tcPr>
            <w:tcW w:w="642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color w:val="auto"/>
              </w:rPr>
              <w:t>and returns of investments</w:t>
            </w:r>
          </w:p>
        </w:tc>
        <w:tc>
          <w:tcPr>
            <w:tcW w:w="1020" w:type="dxa"/>
            <w:vAlign w:val="bottom"/>
            <w:tcBorders>
              <w:bottom w:val="single" w:sz="8" w:color="0C479D"/>
            </w:tcBorders>
            <w:shd w:val="clear" w:color="auto" w:fill="F0F0F0"/>
          </w:tcPr>
          <w:p>
            <w:pPr>
              <w:jc w:val="right"/>
              <w:ind w:right="15"/>
              <w:spacing w:after="0"/>
              <w:rPr>
                <w:sz w:val="20"/>
                <w:szCs w:val="20"/>
                <w:color w:val="auto"/>
              </w:rPr>
            </w:pPr>
            <w:r>
              <w:rPr>
                <w:rFonts w:ascii="Times New Roman" w:cs="Times New Roman" w:eastAsia="Times New Roman" w:hAnsi="Times New Roman"/>
                <w:sz w:val="18"/>
                <w:szCs w:val="18"/>
                <w:color w:val="auto"/>
              </w:rPr>
              <w:t>4,987</w:t>
            </w:r>
          </w:p>
        </w:tc>
        <w:tc>
          <w:tcPr>
            <w:tcW w:w="1400" w:type="dxa"/>
            <w:vAlign w:val="bottom"/>
            <w:tcBorders>
              <w:bottom w:val="single" w:sz="8" w:color="0C479D"/>
            </w:tcBorders>
          </w:tcPr>
          <w:p>
            <w:pPr>
              <w:jc w:val="right"/>
              <w:ind w:right="275"/>
              <w:spacing w:after="0"/>
              <w:rPr>
                <w:sz w:val="20"/>
                <w:szCs w:val="20"/>
                <w:color w:val="auto"/>
              </w:rPr>
            </w:pPr>
            <w:r>
              <w:rPr>
                <w:rFonts w:ascii="Times New Roman" w:cs="Times New Roman" w:eastAsia="Times New Roman" w:hAnsi="Times New Roman"/>
                <w:sz w:val="18"/>
                <w:szCs w:val="18"/>
                <w:color w:val="auto"/>
              </w:rPr>
              <w:t>4,078</w:t>
            </w:r>
          </w:p>
        </w:tc>
        <w:tc>
          <w:tcPr>
            <w:tcW w:w="8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5,247</w:t>
            </w:r>
          </w:p>
        </w:tc>
      </w:tr>
      <w:tr>
        <w:trPr>
          <w:trHeight w:val="338"/>
        </w:trPr>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Cash flow from operations and asset sales </w:t>
            </w:r>
            <w:r>
              <w:rPr>
                <w:rFonts w:ascii="Times New Roman" w:cs="Times New Roman" w:eastAsia="Times New Roman" w:hAnsi="Times New Roman"/>
                <w:sz w:val="18"/>
                <w:szCs w:val="18"/>
                <w:color w:val="auto"/>
              </w:rPr>
              <w:t>(Non-GAAP)</w:t>
            </w:r>
          </w:p>
        </w:tc>
        <w:tc>
          <w:tcPr>
            <w:tcW w:w="1020" w:type="dxa"/>
            <w:vAlign w:val="bottom"/>
            <w:tcBorders>
              <w:bottom w:val="single" w:sz="8" w:color="F0F0F0"/>
            </w:tcBorders>
            <w:shd w:val="clear" w:color="auto" w:fill="F0F0F0"/>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60,009</w:t>
            </w:r>
          </w:p>
        </w:tc>
        <w:tc>
          <w:tcPr>
            <w:tcW w:w="1400" w:type="dxa"/>
            <w:vAlign w:val="bottom"/>
          </w:tcPr>
          <w:p>
            <w:pPr>
              <w:jc w:val="right"/>
              <w:ind w:right="275"/>
              <w:spacing w:after="0"/>
              <w:rPr>
                <w:sz w:val="20"/>
                <w:szCs w:val="20"/>
                <w:color w:val="auto"/>
              </w:rPr>
            </w:pPr>
            <w:r>
              <w:rPr>
                <w:rFonts w:ascii="Times New Roman" w:cs="Times New Roman" w:eastAsia="Times New Roman" w:hAnsi="Times New Roman"/>
                <w:sz w:val="18"/>
                <w:szCs w:val="18"/>
                <w:b w:val="1"/>
                <w:bCs w:val="1"/>
                <w:color w:val="auto"/>
              </w:rPr>
              <w:t>59,447</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82,044</w:t>
            </w:r>
          </w:p>
        </w:tc>
      </w:tr>
      <w:tr>
        <w:trPr>
          <w:trHeight w:val="20"/>
        </w:trPr>
        <w:tc>
          <w:tcPr>
            <w:tcW w:w="6420" w:type="dxa"/>
            <w:vAlign w:val="bottom"/>
            <w:shd w:val="clear" w:color="auto" w:fill="0C479D"/>
          </w:tcPr>
          <w:p>
            <w:pPr>
              <w:spacing w:after="0" w:line="20" w:lineRule="exact"/>
              <w:rPr>
                <w:sz w:val="1"/>
                <w:szCs w:val="1"/>
                <w:color w:val="auto"/>
              </w:rPr>
            </w:pPr>
          </w:p>
        </w:tc>
        <w:tc>
          <w:tcPr>
            <w:tcW w:w="1020" w:type="dxa"/>
            <w:vAlign w:val="bottom"/>
            <w:shd w:val="clear" w:color="auto" w:fill="0C479D"/>
          </w:tcPr>
          <w:p>
            <w:pPr>
              <w:spacing w:after="0" w:line="20" w:lineRule="exact"/>
              <w:rPr>
                <w:sz w:val="1"/>
                <w:szCs w:val="1"/>
                <w:color w:val="auto"/>
              </w:rPr>
            </w:pPr>
          </w:p>
        </w:tc>
        <w:tc>
          <w:tcPr>
            <w:tcW w:w="1400" w:type="dxa"/>
            <w:vAlign w:val="bottom"/>
            <w:shd w:val="clear" w:color="auto" w:fill="0C479D"/>
          </w:tcPr>
          <w:p>
            <w:pPr>
              <w:spacing w:after="0" w:line="20" w:lineRule="exact"/>
              <w:rPr>
                <w:sz w:val="1"/>
                <w:szCs w:val="1"/>
                <w:color w:val="auto"/>
              </w:rPr>
            </w:pPr>
          </w:p>
        </w:tc>
        <w:tc>
          <w:tcPr>
            <w:tcW w:w="860" w:type="dxa"/>
            <w:vAlign w:val="bottom"/>
            <w:shd w:val="clear" w:color="auto" w:fill="0C479D"/>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479D"/>
        </w:rPr>
        <w:t xml:space="preserve">Capital Employed </w:t>
      </w:r>
      <w:r>
        <w:rPr>
          <w:rFonts w:ascii="Times New Roman" w:cs="Times New Roman" w:eastAsia="Times New Roman" w:hAnsi="Times New Roman"/>
          <w:sz w:val="18"/>
          <w:szCs w:val="18"/>
          <w:color w:val="0C479D"/>
        </w:rPr>
        <w:t>(Non-GAAP)</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Capital employed is a measure of net investment. When viewed from the perspective of how the capital is used by the businesses, it includes ExxonMobil’s net share of property, plant and equipment and other assets less liabilities, excluding both short-term and long-term debt. When viewed from the perspective of the sources of capital employed in total for the Corporation, it includes ExxonMobil’s share of total debt and equity. Both of these views include ExxonMobil’s share of amounts applicable to equity companies, which the Corporation believes should be included to provide a more comprehensive measure of capital employed.</w:t>
      </w:r>
    </w:p>
    <w:p>
      <w:pPr>
        <w:spacing w:after="0" w:line="200" w:lineRule="exact"/>
        <w:rPr>
          <w:sz w:val="20"/>
          <w:szCs w:val="20"/>
          <w:color w:val="auto"/>
        </w:rPr>
      </w:pPr>
    </w:p>
    <w:p>
      <w:pPr>
        <w:spacing w:after="0" w:line="231" w:lineRule="exact"/>
        <w:rPr>
          <w:sz w:val="20"/>
          <w:szCs w:val="20"/>
          <w:color w:val="auto"/>
        </w:rPr>
      </w:pPr>
    </w:p>
    <w:tbl>
      <w:tblPr>
        <w:tblLayout w:type="fixed"/>
        <w:tblInd w:w="780" w:type="dxa"/>
        <w:tblCellMar>
          <w:top w:w="0" w:type="dxa"/>
          <w:left w:w="0" w:type="dxa"/>
          <w:bottom w:w="0" w:type="dxa"/>
          <w:right w:w="0" w:type="dxa"/>
        </w:tblCellMar>
      </w:tblPr>
      <w:tr>
        <w:trPr>
          <w:trHeight w:val="216"/>
        </w:trPr>
        <w:tc>
          <w:tcPr>
            <w:tcW w:w="6420" w:type="dxa"/>
            <w:vAlign w:val="bottom"/>
            <w:shd w:val="clear" w:color="auto" w:fill="0C479D"/>
          </w:tcPr>
          <w:p>
            <w:pPr>
              <w:spacing w:after="0"/>
              <w:rPr>
                <w:sz w:val="20"/>
                <w:szCs w:val="20"/>
                <w:color w:val="auto"/>
              </w:rPr>
            </w:pPr>
            <w:r>
              <w:rPr>
                <w:rFonts w:ascii="Times New Roman" w:cs="Times New Roman" w:eastAsia="Times New Roman" w:hAnsi="Times New Roman"/>
                <w:sz w:val="18"/>
                <w:szCs w:val="18"/>
                <w:b w:val="1"/>
                <w:bCs w:val="1"/>
                <w:color w:val="FFFFFF"/>
              </w:rPr>
              <w:t>Capital Employed</w:t>
            </w:r>
          </w:p>
        </w:tc>
        <w:tc>
          <w:tcPr>
            <w:tcW w:w="1020" w:type="dxa"/>
            <w:vAlign w:val="bottom"/>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1340" w:type="dxa"/>
            <w:vAlign w:val="bottom"/>
            <w:shd w:val="clear" w:color="auto" w:fill="0C479D"/>
          </w:tcPr>
          <w:p>
            <w:pPr>
              <w:jc w:val="right"/>
              <w:ind w:right="151"/>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920" w:type="dxa"/>
            <w:vAlign w:val="bottom"/>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2022</w:t>
            </w:r>
          </w:p>
        </w:tc>
      </w:tr>
      <w:tr>
        <w:trPr>
          <w:trHeight w:val="162"/>
        </w:trPr>
        <w:tc>
          <w:tcPr>
            <w:tcW w:w="6420" w:type="dxa"/>
            <w:vAlign w:val="bottom"/>
            <w:shd w:val="clear" w:color="auto" w:fill="0C479D"/>
          </w:tcPr>
          <w:p>
            <w:pPr>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1020" w:type="dxa"/>
            <w:vAlign w:val="bottom"/>
            <w:shd w:val="clear" w:color="auto" w:fill="0C479D"/>
          </w:tcPr>
          <w:p>
            <w:pPr>
              <w:spacing w:after="0"/>
              <w:rPr>
                <w:sz w:val="14"/>
                <w:szCs w:val="14"/>
                <w:color w:val="auto"/>
              </w:rPr>
            </w:pPr>
          </w:p>
        </w:tc>
        <w:tc>
          <w:tcPr>
            <w:tcW w:w="1340" w:type="dxa"/>
            <w:vAlign w:val="bottom"/>
            <w:shd w:val="clear" w:color="auto" w:fill="0C479D"/>
          </w:tcPr>
          <w:p>
            <w:pPr>
              <w:spacing w:after="0"/>
              <w:rPr>
                <w:sz w:val="14"/>
                <w:szCs w:val="14"/>
                <w:color w:val="auto"/>
              </w:rPr>
            </w:pPr>
          </w:p>
        </w:tc>
        <w:tc>
          <w:tcPr>
            <w:tcW w:w="920" w:type="dxa"/>
            <w:vAlign w:val="bottom"/>
            <w:shd w:val="clear" w:color="auto" w:fill="0C479D"/>
          </w:tcPr>
          <w:p>
            <w:pPr>
              <w:spacing w:after="0"/>
              <w:rPr>
                <w:sz w:val="14"/>
                <w:szCs w:val="14"/>
                <w:color w:val="auto"/>
              </w:rPr>
            </w:pPr>
          </w:p>
        </w:tc>
      </w:tr>
      <w:tr>
        <w:trPr>
          <w:trHeight w:val="243"/>
        </w:trPr>
        <w:tc>
          <w:tcPr>
            <w:tcW w:w="6420" w:type="dxa"/>
            <w:vAlign w:val="bottom"/>
          </w:tcPr>
          <w:p>
            <w:pPr>
              <w:spacing w:after="0"/>
              <w:rPr>
                <w:sz w:val="20"/>
                <w:szCs w:val="20"/>
                <w:color w:val="auto"/>
              </w:rPr>
            </w:pPr>
            <w:r>
              <w:rPr>
                <w:rFonts w:ascii="Times New Roman" w:cs="Times New Roman" w:eastAsia="Times New Roman" w:hAnsi="Times New Roman"/>
                <w:sz w:val="18"/>
                <w:szCs w:val="18"/>
                <w:b w:val="1"/>
                <w:bCs w:val="1"/>
                <w:color w:val="0C479D"/>
              </w:rPr>
              <w:t>Business uses: asset and liability perspective</w:t>
            </w:r>
          </w:p>
        </w:tc>
        <w:tc>
          <w:tcPr>
            <w:tcW w:w="1020" w:type="dxa"/>
            <w:vAlign w:val="bottom"/>
            <w:shd w:val="clear" w:color="auto" w:fill="F0F0F0"/>
          </w:tcPr>
          <w:p>
            <w:pPr>
              <w:spacing w:after="0"/>
              <w:rPr>
                <w:sz w:val="21"/>
                <w:szCs w:val="21"/>
                <w:color w:val="auto"/>
              </w:rPr>
            </w:pPr>
          </w:p>
        </w:tc>
        <w:tc>
          <w:tcPr>
            <w:tcW w:w="13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0"/>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20" w:type="dxa"/>
            <w:vAlign w:val="bottom"/>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453,475</w:t>
            </w:r>
          </w:p>
        </w:tc>
        <w:tc>
          <w:tcPr>
            <w:tcW w:w="134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376,317</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369,067</w:t>
            </w:r>
          </w:p>
        </w:tc>
      </w:tr>
      <w:tr>
        <w:trPr>
          <w:trHeight w:val="270"/>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Less liabilities and noncontrolling interests share of assets and liabilities</w:t>
            </w:r>
          </w:p>
        </w:tc>
        <w:tc>
          <w:tcPr>
            <w:tcW w:w="1020" w:type="dxa"/>
            <w:vAlign w:val="bottom"/>
            <w:shd w:val="clear" w:color="auto" w:fill="F0F0F0"/>
          </w:tcPr>
          <w:p>
            <w:pPr>
              <w:spacing w:after="0"/>
              <w:rPr>
                <w:sz w:val="23"/>
                <w:szCs w:val="23"/>
                <w:color w:val="auto"/>
              </w:rPr>
            </w:pPr>
          </w:p>
        </w:tc>
        <w:tc>
          <w:tcPr>
            <w:tcW w:w="13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6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current liabilities excluding notes and loans payable</w:t>
            </w:r>
          </w:p>
        </w:tc>
        <w:tc>
          <w:tcPr>
            <w:tcW w:w="10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(65,352)</w:t>
            </w:r>
          </w:p>
        </w:tc>
        <w:tc>
          <w:tcPr>
            <w:tcW w:w="13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(61,226)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(68,411)</w:t>
            </w:r>
          </w:p>
        </w:tc>
      </w:tr>
      <w:tr>
        <w:trPr>
          <w:trHeight w:val="270"/>
        </w:trPr>
        <w:tc>
          <w:tcPr>
            <w:tcW w:w="6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long-term liabilities excluding long-term debt</w:t>
            </w:r>
          </w:p>
        </w:tc>
        <w:tc>
          <w:tcPr>
            <w:tcW w:w="10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(75,807)</w:t>
            </w:r>
          </w:p>
        </w:tc>
        <w:tc>
          <w:tcPr>
            <w:tcW w:w="13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(60,980)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(56,990)</w:t>
            </w:r>
          </w:p>
        </w:tc>
      </w:tr>
      <w:tr>
        <w:trPr>
          <w:trHeight w:val="270"/>
        </w:trPr>
        <w:tc>
          <w:tcPr>
            <w:tcW w:w="6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Noncontrolling interests share of assets and liabilities</w:t>
            </w:r>
          </w:p>
        </w:tc>
        <w:tc>
          <w:tcPr>
            <w:tcW w:w="10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(8,069)</w:t>
            </w:r>
          </w:p>
        </w:tc>
        <w:tc>
          <w:tcPr>
            <w:tcW w:w="13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(8,878)</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(9,205)</w:t>
            </w:r>
          </w:p>
        </w:tc>
      </w:tr>
      <w:tr>
        <w:trPr>
          <w:trHeight w:val="297"/>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Add ExxonMobil share of debt-financed equity company net assets</w:t>
            </w:r>
          </w:p>
        </w:tc>
        <w:tc>
          <w:tcPr>
            <w:tcW w:w="1020" w:type="dxa"/>
            <w:vAlign w:val="bottom"/>
            <w:tcBorders>
              <w:bottom w:val="single" w:sz="8" w:color="F0F0F0"/>
            </w:tcBorders>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3,242</w:t>
            </w:r>
          </w:p>
        </w:tc>
        <w:tc>
          <w:tcPr>
            <w:tcW w:w="134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3,481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w:t>
            </w:r>
          </w:p>
        </w:tc>
      </w:tr>
      <w:tr>
        <w:trPr>
          <w:trHeight w:val="365"/>
        </w:trPr>
        <w:tc>
          <w:tcPr>
            <w:tcW w:w="6420" w:type="dxa"/>
            <w:vAlign w:val="bottom"/>
            <w:tcBorders>
              <w:top w:val="single" w:sz="8" w:color="0C479D"/>
            </w:tcBorders>
          </w:tcPr>
          <w:p>
            <w:pPr>
              <w:spacing w:after="0"/>
              <w:rPr>
                <w:sz w:val="20"/>
                <w:szCs w:val="20"/>
                <w:color w:val="auto"/>
              </w:rPr>
            </w:pPr>
            <w:r>
              <w:rPr>
                <w:rFonts w:ascii="Times New Roman" w:cs="Times New Roman" w:eastAsia="Times New Roman" w:hAnsi="Times New Roman"/>
                <w:sz w:val="18"/>
                <w:szCs w:val="18"/>
                <w:b w:val="1"/>
                <w:bCs w:val="1"/>
                <w:color w:val="auto"/>
              </w:rPr>
              <w:t xml:space="preserve">Total capital employed </w:t>
            </w:r>
            <w:r>
              <w:rPr>
                <w:rFonts w:ascii="Times New Roman" w:cs="Times New Roman" w:eastAsia="Times New Roman" w:hAnsi="Times New Roman"/>
                <w:sz w:val="18"/>
                <w:szCs w:val="18"/>
                <w:color w:val="auto"/>
              </w:rPr>
              <w:t>(Non-GAAP)</w:t>
            </w:r>
          </w:p>
        </w:tc>
        <w:tc>
          <w:tcPr>
            <w:tcW w:w="1020" w:type="dxa"/>
            <w:vAlign w:val="bottom"/>
            <w:tcBorders>
              <w:top w:val="single" w:sz="8" w:color="0C479D"/>
              <w:bottom w:val="single" w:sz="8" w:color="F0F0F0"/>
            </w:tcBorders>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307,489</w:t>
            </w:r>
          </w:p>
        </w:tc>
        <w:tc>
          <w:tcPr>
            <w:tcW w:w="1340" w:type="dxa"/>
            <w:vAlign w:val="bottom"/>
            <w:tcBorders>
              <w:top w:val="single" w:sz="8" w:color="0C479D"/>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248,714</w:t>
            </w:r>
          </w:p>
        </w:tc>
        <w:tc>
          <w:tcPr>
            <w:tcW w:w="920" w:type="dxa"/>
            <w:vAlign w:val="bottom"/>
            <w:tcBorders>
              <w:top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238,166</w:t>
            </w:r>
          </w:p>
        </w:tc>
      </w:tr>
      <w:tr>
        <w:trPr>
          <w:trHeight w:val="527"/>
        </w:trPr>
        <w:tc>
          <w:tcPr>
            <w:tcW w:w="6420" w:type="dxa"/>
            <w:vAlign w:val="bottom"/>
            <w:tcBorders>
              <w:top w:val="single" w:sz="8" w:color="0C479D"/>
            </w:tcBorders>
          </w:tcPr>
          <w:p>
            <w:pPr>
              <w:spacing w:after="0"/>
              <w:rPr>
                <w:sz w:val="20"/>
                <w:szCs w:val="20"/>
                <w:color w:val="auto"/>
              </w:rPr>
            </w:pPr>
            <w:r>
              <w:rPr>
                <w:rFonts w:ascii="Times New Roman" w:cs="Times New Roman" w:eastAsia="Times New Roman" w:hAnsi="Times New Roman"/>
                <w:sz w:val="18"/>
                <w:szCs w:val="18"/>
                <w:b w:val="1"/>
                <w:bCs w:val="1"/>
                <w:color w:val="0C479D"/>
              </w:rPr>
              <w:t>Total corporate sources: debt and equity perspective</w:t>
            </w:r>
          </w:p>
        </w:tc>
        <w:tc>
          <w:tcPr>
            <w:tcW w:w="1020" w:type="dxa"/>
            <w:vAlign w:val="bottom"/>
            <w:tcBorders>
              <w:top w:val="single" w:sz="8" w:color="0C479D"/>
            </w:tcBorders>
            <w:shd w:val="clear" w:color="auto" w:fill="F0F0F0"/>
          </w:tcPr>
          <w:p>
            <w:pPr>
              <w:spacing w:after="0"/>
              <w:rPr>
                <w:sz w:val="24"/>
                <w:szCs w:val="24"/>
                <w:color w:val="auto"/>
              </w:rPr>
            </w:pPr>
          </w:p>
        </w:tc>
        <w:tc>
          <w:tcPr>
            <w:tcW w:w="1340" w:type="dxa"/>
            <w:vAlign w:val="bottom"/>
            <w:tcBorders>
              <w:top w:val="single" w:sz="8" w:color="0C479D"/>
            </w:tcBorders>
          </w:tcPr>
          <w:p>
            <w:pPr>
              <w:spacing w:after="0"/>
              <w:rPr>
                <w:sz w:val="24"/>
                <w:szCs w:val="24"/>
                <w:color w:val="auto"/>
              </w:rPr>
            </w:pPr>
          </w:p>
        </w:tc>
        <w:tc>
          <w:tcPr>
            <w:tcW w:w="920" w:type="dxa"/>
            <w:vAlign w:val="bottom"/>
            <w:tcBorders>
              <w:top w:val="single" w:sz="8" w:color="0C479D"/>
            </w:tcBorders>
          </w:tcPr>
          <w:p>
            <w:pPr>
              <w:spacing w:after="0"/>
              <w:rPr>
                <w:sz w:val="24"/>
                <w:szCs w:val="24"/>
                <w:color w:val="auto"/>
              </w:rPr>
            </w:pPr>
          </w:p>
        </w:tc>
      </w:tr>
      <w:tr>
        <w:trPr>
          <w:trHeight w:val="243"/>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Notes and loans payable</w:t>
            </w:r>
          </w:p>
        </w:tc>
        <w:tc>
          <w:tcPr>
            <w:tcW w:w="1020" w:type="dxa"/>
            <w:vAlign w:val="bottom"/>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4,955</w:t>
            </w:r>
          </w:p>
        </w:tc>
        <w:tc>
          <w:tcPr>
            <w:tcW w:w="134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4,090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r>
      <w:tr>
        <w:trPr>
          <w:trHeight w:val="270"/>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20" w:type="dxa"/>
            <w:vAlign w:val="bottom"/>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36,755</w:t>
            </w:r>
          </w:p>
        </w:tc>
        <w:tc>
          <w:tcPr>
            <w:tcW w:w="134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37,483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40,559</w:t>
            </w:r>
          </w:p>
        </w:tc>
      </w:tr>
      <w:tr>
        <w:trPr>
          <w:trHeight w:val="270"/>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ExxonMobil share of equity</w:t>
            </w:r>
          </w:p>
        </w:tc>
        <w:tc>
          <w:tcPr>
            <w:tcW w:w="1020" w:type="dxa"/>
            <w:vAlign w:val="bottom"/>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263,705</w:t>
            </w:r>
          </w:p>
        </w:tc>
        <w:tc>
          <w:tcPr>
            <w:tcW w:w="134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204,802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195,049</w:t>
            </w:r>
          </w:p>
        </w:tc>
      </w:tr>
      <w:tr>
        <w:trPr>
          <w:trHeight w:val="270"/>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Less noncontrolling interests share of total debt</w:t>
            </w:r>
          </w:p>
        </w:tc>
        <w:tc>
          <w:tcPr>
            <w:tcW w:w="10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34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(1,142)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w:t>
            </w:r>
          </w:p>
        </w:tc>
      </w:tr>
      <w:tr>
        <w:trPr>
          <w:trHeight w:val="297"/>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Add ExxonMobil share of equity company debt</w:t>
            </w:r>
          </w:p>
        </w:tc>
        <w:tc>
          <w:tcPr>
            <w:tcW w:w="1020" w:type="dxa"/>
            <w:vAlign w:val="bottom"/>
            <w:tcBorders>
              <w:bottom w:val="single" w:sz="8" w:color="F0F0F0"/>
            </w:tcBorders>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3,242</w:t>
            </w:r>
          </w:p>
        </w:tc>
        <w:tc>
          <w:tcPr>
            <w:tcW w:w="134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3,481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w:t>
            </w:r>
          </w:p>
        </w:tc>
      </w:tr>
      <w:tr>
        <w:trPr>
          <w:trHeight w:val="338"/>
        </w:trPr>
        <w:tc>
          <w:tcPr>
            <w:tcW w:w="6420" w:type="dxa"/>
            <w:vAlign w:val="bottom"/>
            <w:tcBorders>
              <w:top w:val="single" w:sz="8" w:color="0C479D"/>
            </w:tcBorders>
          </w:tcPr>
          <w:p>
            <w:pPr>
              <w:spacing w:after="0"/>
              <w:rPr>
                <w:sz w:val="20"/>
                <w:szCs w:val="20"/>
                <w:color w:val="auto"/>
              </w:rPr>
            </w:pPr>
            <w:r>
              <w:rPr>
                <w:rFonts w:ascii="Times New Roman" w:cs="Times New Roman" w:eastAsia="Times New Roman" w:hAnsi="Times New Roman"/>
                <w:sz w:val="18"/>
                <w:szCs w:val="18"/>
                <w:b w:val="1"/>
                <w:bCs w:val="1"/>
                <w:color w:val="auto"/>
              </w:rPr>
              <w:t xml:space="preserve">Total capital employed </w:t>
            </w:r>
            <w:r>
              <w:rPr>
                <w:rFonts w:ascii="Times New Roman" w:cs="Times New Roman" w:eastAsia="Times New Roman" w:hAnsi="Times New Roman"/>
                <w:sz w:val="18"/>
                <w:szCs w:val="18"/>
                <w:color w:val="auto"/>
              </w:rPr>
              <w:t>(Non-GAAP)</w:t>
            </w:r>
          </w:p>
        </w:tc>
        <w:tc>
          <w:tcPr>
            <w:tcW w:w="1020" w:type="dxa"/>
            <w:vAlign w:val="bottom"/>
            <w:tcBorders>
              <w:top w:val="single" w:sz="8" w:color="0C479D"/>
              <w:bottom w:val="single" w:sz="8" w:color="F0F0F0"/>
            </w:tcBorders>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307,489</w:t>
            </w:r>
          </w:p>
        </w:tc>
        <w:tc>
          <w:tcPr>
            <w:tcW w:w="1340" w:type="dxa"/>
            <w:vAlign w:val="bottom"/>
            <w:tcBorders>
              <w:top w:val="single" w:sz="8" w:color="0C479D"/>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248,714</w:t>
            </w:r>
          </w:p>
        </w:tc>
        <w:tc>
          <w:tcPr>
            <w:tcW w:w="920" w:type="dxa"/>
            <w:vAlign w:val="bottom"/>
            <w:tcBorders>
              <w:top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238,166</w:t>
            </w:r>
          </w:p>
        </w:tc>
      </w:tr>
      <w:tr>
        <w:trPr>
          <w:trHeight w:val="27"/>
        </w:trPr>
        <w:tc>
          <w:tcPr>
            <w:tcW w:w="6420" w:type="dxa"/>
            <w:vAlign w:val="bottom"/>
            <w:shd w:val="clear" w:color="auto" w:fill="0C479D"/>
          </w:tcPr>
          <w:p>
            <w:pPr>
              <w:spacing w:after="0"/>
              <w:rPr>
                <w:sz w:val="2"/>
                <w:szCs w:val="2"/>
                <w:color w:val="auto"/>
              </w:rPr>
            </w:pPr>
          </w:p>
        </w:tc>
        <w:tc>
          <w:tcPr>
            <w:tcW w:w="1020" w:type="dxa"/>
            <w:vAlign w:val="bottom"/>
            <w:shd w:val="clear" w:color="auto" w:fill="0C479D"/>
          </w:tcPr>
          <w:p>
            <w:pPr>
              <w:spacing w:after="0"/>
              <w:rPr>
                <w:sz w:val="2"/>
                <w:szCs w:val="2"/>
                <w:color w:val="auto"/>
              </w:rPr>
            </w:pPr>
          </w:p>
        </w:tc>
        <w:tc>
          <w:tcPr>
            <w:tcW w:w="1340" w:type="dxa"/>
            <w:vAlign w:val="bottom"/>
            <w:shd w:val="clear" w:color="auto" w:fill="0C479D"/>
          </w:tcPr>
          <w:p>
            <w:pPr>
              <w:spacing w:after="0"/>
              <w:rPr>
                <w:sz w:val="2"/>
                <w:szCs w:val="2"/>
                <w:color w:val="auto"/>
              </w:rPr>
            </w:pPr>
          </w:p>
        </w:tc>
        <w:tc>
          <w:tcPr>
            <w:tcW w:w="920" w:type="dxa"/>
            <w:vAlign w:val="bottom"/>
            <w:shd w:val="clear" w:color="auto" w:fill="0C479D"/>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22"/>
          <w:szCs w:val="22"/>
          <w:b w:val="1"/>
          <w:bCs w:val="1"/>
          <w:color w:val="0C479D"/>
        </w:rPr>
        <w:t>FREQUENTLY USED TERMS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479D"/>
        </w:rPr>
        <w:t xml:space="preserve">Return on Average Capital Employed </w:t>
      </w:r>
      <w:r>
        <w:rPr>
          <w:rFonts w:ascii="Times New Roman" w:cs="Times New Roman" w:eastAsia="Times New Roman" w:hAnsi="Times New Roman"/>
          <w:sz w:val="18"/>
          <w:szCs w:val="18"/>
          <w:color w:val="0C479D"/>
        </w:rPr>
        <w:t>(Non-GAAP)</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Return on average capital employed (ROCE) is a performance measure ratio. From the perspective of the business segments, ROCE is annual business segment earnings divided by average business segment capital employed (average of beginning and end-of-year amounts). These segment earnings include ExxonMobil’s share of segment earnings of equity companies, consistent with our capital employed definition, and exclude the cost of financing. The Corporation’s total ROCE is net income attributable to ExxonMobil excluding the after-tax cost of financing, divided by total corporate average capital employed. The Corporation has consistently applied its ROCE definition for many years and views it as one of the best measures of historical capital productivity in our capital-intensive, long-term industry. Additional measures, which are more cash flow based, are used to make investment decisions.</w:t>
      </w:r>
    </w:p>
    <w:p>
      <w:pPr>
        <w:spacing w:after="0" w:line="200" w:lineRule="exact"/>
        <w:rPr>
          <w:sz w:val="20"/>
          <w:szCs w:val="20"/>
          <w:color w:val="auto"/>
        </w:rPr>
      </w:pPr>
    </w:p>
    <w:p>
      <w:pPr>
        <w:spacing w:after="0" w:line="224" w:lineRule="exact"/>
        <w:rPr>
          <w:sz w:val="20"/>
          <w:szCs w:val="20"/>
          <w:color w:val="auto"/>
        </w:rPr>
      </w:pPr>
    </w:p>
    <w:tbl>
      <w:tblPr>
        <w:tblLayout w:type="fixed"/>
        <w:tblInd w:w="780" w:type="dxa"/>
        <w:tblCellMar>
          <w:top w:w="0" w:type="dxa"/>
          <w:left w:w="0" w:type="dxa"/>
          <w:bottom w:w="0" w:type="dxa"/>
          <w:right w:w="0" w:type="dxa"/>
        </w:tblCellMar>
      </w:tblPr>
      <w:tr>
        <w:trPr>
          <w:trHeight w:val="207"/>
        </w:trPr>
        <w:tc>
          <w:tcPr>
            <w:tcW w:w="6400" w:type="dxa"/>
            <w:vAlign w:val="bottom"/>
            <w:shd w:val="clear" w:color="auto" w:fill="0C479D"/>
          </w:tcPr>
          <w:p>
            <w:pPr>
              <w:ind w:left="20"/>
              <w:spacing w:after="0"/>
              <w:rPr>
                <w:sz w:val="20"/>
                <w:szCs w:val="20"/>
                <w:color w:val="auto"/>
              </w:rPr>
            </w:pPr>
            <w:r>
              <w:rPr>
                <w:rFonts w:ascii="Times New Roman" w:cs="Times New Roman" w:eastAsia="Times New Roman" w:hAnsi="Times New Roman"/>
                <w:sz w:val="18"/>
                <w:szCs w:val="18"/>
                <w:b w:val="1"/>
                <w:bCs w:val="1"/>
                <w:color w:val="FFFFFF"/>
              </w:rPr>
              <w:t>Return on Average Capital Employed</w:t>
            </w:r>
          </w:p>
        </w:tc>
        <w:tc>
          <w:tcPr>
            <w:tcW w:w="1020" w:type="dxa"/>
            <w:vAlign w:val="bottom"/>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1320" w:type="dxa"/>
            <w:vAlign w:val="bottom"/>
            <w:shd w:val="clear" w:color="auto" w:fill="0C479D"/>
          </w:tcPr>
          <w:p>
            <w:pPr>
              <w:jc w:val="right"/>
              <w:ind w:right="112"/>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960" w:type="dxa"/>
            <w:vAlign w:val="bottom"/>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2022</w:t>
            </w:r>
          </w:p>
        </w:tc>
      </w:tr>
      <w:tr>
        <w:trPr>
          <w:trHeight w:val="182"/>
        </w:trPr>
        <w:tc>
          <w:tcPr>
            <w:tcW w:w="6400" w:type="dxa"/>
            <w:vAlign w:val="bottom"/>
            <w:shd w:val="clear" w:color="auto" w:fill="0C479D"/>
          </w:tcPr>
          <w:p>
            <w:pPr>
              <w:ind w:left="20"/>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1020" w:type="dxa"/>
            <w:vAlign w:val="bottom"/>
            <w:shd w:val="clear" w:color="auto" w:fill="0C479D"/>
          </w:tcPr>
          <w:p>
            <w:pPr>
              <w:spacing w:after="0"/>
              <w:rPr>
                <w:sz w:val="15"/>
                <w:szCs w:val="15"/>
                <w:color w:val="auto"/>
              </w:rPr>
            </w:pPr>
          </w:p>
        </w:tc>
        <w:tc>
          <w:tcPr>
            <w:tcW w:w="1320" w:type="dxa"/>
            <w:vAlign w:val="bottom"/>
            <w:shd w:val="clear" w:color="auto" w:fill="0C479D"/>
          </w:tcPr>
          <w:p>
            <w:pPr>
              <w:spacing w:after="0"/>
              <w:rPr>
                <w:sz w:val="15"/>
                <w:szCs w:val="15"/>
                <w:color w:val="auto"/>
              </w:rPr>
            </w:pPr>
          </w:p>
        </w:tc>
        <w:tc>
          <w:tcPr>
            <w:tcW w:w="960" w:type="dxa"/>
            <w:vAlign w:val="bottom"/>
            <w:shd w:val="clear" w:color="auto" w:fill="0C479D"/>
          </w:tcPr>
          <w:p>
            <w:pPr>
              <w:spacing w:after="0"/>
              <w:rPr>
                <w:sz w:val="15"/>
                <w:szCs w:val="15"/>
                <w:color w:val="auto"/>
              </w:rPr>
            </w:pPr>
          </w:p>
        </w:tc>
      </w:tr>
      <w:tr>
        <w:trPr>
          <w:trHeight w:val="243"/>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ExxonMobil</w:t>
            </w:r>
          </w:p>
        </w:tc>
        <w:tc>
          <w:tcPr>
            <w:tcW w:w="10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33,680</w:t>
            </w:r>
          </w:p>
        </w:tc>
        <w:tc>
          <w:tcPr>
            <w:tcW w:w="13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36,010</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55,740</w:t>
            </w:r>
          </w:p>
        </w:tc>
      </w:tr>
      <w:tr>
        <w:trPr>
          <w:trHeight w:val="27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costs (after-tax)</w:t>
            </w:r>
          </w:p>
        </w:tc>
        <w:tc>
          <w:tcPr>
            <w:tcW w:w="1020" w:type="dxa"/>
            <w:vAlign w:val="bottom"/>
            <w:shd w:val="clear" w:color="auto" w:fill="F0F0F0"/>
          </w:tcPr>
          <w:p>
            <w:pPr>
              <w:spacing w:after="0"/>
              <w:rPr>
                <w:sz w:val="23"/>
                <w:szCs w:val="23"/>
                <w:color w:val="auto"/>
              </w:rPr>
            </w:pPr>
          </w:p>
        </w:tc>
        <w:tc>
          <w:tcPr>
            <w:tcW w:w="132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6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Gross third-party debt</w:t>
            </w:r>
          </w:p>
        </w:tc>
        <w:tc>
          <w:tcPr>
            <w:tcW w:w="10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(1,175)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w:t>
            </w:r>
          </w:p>
        </w:tc>
      </w:tr>
      <w:tr>
        <w:trPr>
          <w:trHeight w:val="270"/>
        </w:trPr>
        <w:tc>
          <w:tcPr>
            <w:tcW w:w="6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ExxonMobil share of equity companies</w:t>
            </w:r>
          </w:p>
        </w:tc>
        <w:tc>
          <w:tcPr>
            <w:tcW w:w="10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(307)</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97"/>
        </w:trPr>
        <w:tc>
          <w:tcPr>
            <w:tcW w:w="6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All other financing costs – net</w:t>
            </w:r>
          </w:p>
        </w:tc>
        <w:tc>
          <w:tcPr>
            <w:tcW w:w="102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3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931</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276</w:t>
            </w:r>
          </w:p>
        </w:tc>
      </w:tr>
      <w:tr>
        <w:trPr>
          <w:trHeight w:val="243"/>
        </w:trPr>
        <w:tc>
          <w:tcPr>
            <w:tcW w:w="6400" w:type="dxa"/>
            <w:vAlign w:val="bottom"/>
            <w:tcBorders>
              <w:top w:val="single" w:sz="8" w:color="0C479D"/>
              <w:bottom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Total financing costs</w:t>
            </w:r>
          </w:p>
        </w:tc>
        <w:tc>
          <w:tcPr>
            <w:tcW w:w="1020" w:type="dxa"/>
            <w:vAlign w:val="bottom"/>
            <w:tcBorders>
              <w:top w:val="single" w:sz="8" w:color="0C479D"/>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320" w:type="dxa"/>
            <w:vAlign w:val="bottom"/>
            <w:tcBorders>
              <w:top w:val="single" w:sz="8" w:color="0C479D"/>
              <w:bottom w:val="single" w:sz="8" w:color="0C479D"/>
            </w:tcBorders>
          </w:tcPr>
          <w:p>
            <w:pPr>
              <w:jc w:val="right"/>
              <w:ind w:right="132"/>
              <w:spacing w:after="0"/>
              <w:rPr>
                <w:sz w:val="20"/>
                <w:szCs w:val="20"/>
                <w:color w:val="auto"/>
              </w:rPr>
            </w:pPr>
            <w:r>
              <w:rPr>
                <w:rFonts w:ascii="Times New Roman" w:cs="Times New Roman" w:eastAsia="Times New Roman" w:hAnsi="Times New Roman"/>
                <w:sz w:val="18"/>
                <w:szCs w:val="18"/>
                <w:color w:val="auto"/>
              </w:rPr>
              <w:t>(551)</w:t>
            </w:r>
          </w:p>
        </w:tc>
        <w:tc>
          <w:tcPr>
            <w:tcW w:w="960" w:type="dxa"/>
            <w:vAlign w:val="bottom"/>
            <w:tcBorders>
              <w:top w:val="single" w:sz="8" w:color="0C479D"/>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(1,135)</w:t>
            </w:r>
          </w:p>
        </w:tc>
      </w:tr>
      <w:tr>
        <w:trPr>
          <w:trHeight w:val="250"/>
        </w:trPr>
        <w:tc>
          <w:tcPr>
            <w:tcW w:w="640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Earnings (loss) excluding financing costs </w:t>
            </w:r>
            <w:r>
              <w:rPr>
                <w:rFonts w:ascii="Times New Roman" w:cs="Times New Roman" w:eastAsia="Times New Roman" w:hAnsi="Times New Roman"/>
                <w:sz w:val="18"/>
                <w:szCs w:val="18"/>
                <w:color w:val="auto"/>
              </w:rPr>
              <w:t>(Non-GAAP)</w:t>
            </w:r>
          </w:p>
        </w:tc>
        <w:tc>
          <w:tcPr>
            <w:tcW w:w="102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35,234</w:t>
            </w:r>
          </w:p>
        </w:tc>
        <w:tc>
          <w:tcPr>
            <w:tcW w:w="1320" w:type="dxa"/>
            <w:vAlign w:val="bottom"/>
            <w:tcBorders>
              <w:bottom w:val="single" w:sz="8" w:color="0C479D"/>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36,561</w:t>
            </w:r>
          </w:p>
        </w:tc>
        <w:tc>
          <w:tcPr>
            <w:tcW w:w="960" w:type="dxa"/>
            <w:vAlign w:val="bottom"/>
            <w:tcBorders>
              <w:bottom w:val="single" w:sz="8" w:color="0C479D"/>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56,875</w:t>
            </w:r>
          </w:p>
        </w:tc>
      </w:tr>
      <w:tr>
        <w:trPr>
          <w:trHeight w:val="527"/>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capital employed (Non-GAAP)</w:t>
            </w:r>
          </w:p>
        </w:tc>
        <w:tc>
          <w:tcPr>
            <w:tcW w:w="10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278,102</w:t>
            </w:r>
          </w:p>
        </w:tc>
        <w:tc>
          <w:tcPr>
            <w:tcW w:w="132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243,440</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228,404</w:t>
            </w:r>
          </w:p>
        </w:tc>
      </w:tr>
      <w:tr>
        <w:trPr>
          <w:trHeight w:val="642"/>
        </w:trPr>
        <w:tc>
          <w:tcPr>
            <w:tcW w:w="640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Return on average capital employed – corporate total </w:t>
            </w:r>
            <w:r>
              <w:rPr>
                <w:rFonts w:ascii="Times New Roman" w:cs="Times New Roman" w:eastAsia="Times New Roman" w:hAnsi="Times New Roman"/>
                <w:sz w:val="18"/>
                <w:szCs w:val="18"/>
                <w:color w:val="auto"/>
              </w:rPr>
              <w:t>(Non-GAAP)</w:t>
            </w:r>
          </w:p>
        </w:tc>
        <w:tc>
          <w:tcPr>
            <w:tcW w:w="1020" w:type="dxa"/>
            <w:vAlign w:val="bottom"/>
            <w:tcBorders>
              <w:bottom w:val="single" w:sz="8" w:color="0C479D"/>
            </w:tcBorders>
            <w:shd w:val="clear" w:color="auto" w:fill="F0F0F0"/>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12.7%</w:t>
            </w:r>
          </w:p>
        </w:tc>
        <w:tc>
          <w:tcPr>
            <w:tcW w:w="1320" w:type="dxa"/>
            <w:vAlign w:val="bottom"/>
            <w:tcBorders>
              <w:bottom w:val="single" w:sz="8" w:color="0C479D"/>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15.0%</w:t>
            </w:r>
          </w:p>
        </w:tc>
        <w:tc>
          <w:tcPr>
            <w:tcW w:w="960" w:type="dxa"/>
            <w:vAlign w:val="bottom"/>
            <w:tcBorders>
              <w:bottom w:val="single" w:sz="8" w:color="0C479D"/>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24.9%</w:t>
            </w: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479D"/>
        </w:rPr>
        <w:t>Selected Earnings Driver Definitions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updated earnings drivers introduced in the first quarter of 2024 provide additional visibility into our business results. The Company evaluates these drivers periodically to determine if any enhancements may provide helpful insights to the market. Listed below are descriptions of the earnings drivers:</w:t>
      </w:r>
    </w:p>
    <w:p>
      <w:pPr>
        <w:spacing w:after="0" w:line="3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Advantaged Volume Growth. </w:t>
      </w:r>
      <w:r>
        <w:rPr>
          <w:rFonts w:ascii="Times New Roman" w:cs="Times New Roman" w:eastAsia="Times New Roman" w:hAnsi="Times New Roman"/>
          <w:sz w:val="18"/>
          <w:szCs w:val="18"/>
          <w:color w:val="auto"/>
        </w:rPr>
        <w:t>Represents earnings impacts from change in volume/mix from advantaged assets, advantaged projects, and high-value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w:t>
      </w:r>
    </w:p>
    <w:p>
      <w:pPr>
        <w:spacing w:after="0" w:line="23"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Advantaged Assets (Advantaged growth projects)</w:t>
      </w:r>
      <w:r>
        <w:rPr>
          <w:rFonts w:ascii="Times New Roman" w:cs="Times New Roman" w:eastAsia="Times New Roman" w:hAnsi="Times New Roman"/>
          <w:sz w:val="18"/>
          <w:szCs w:val="18"/>
          <w:color w:val="auto"/>
        </w:rPr>
        <w:t>. Includes Permian (heritage Permian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Pioneer), Guyana and LNG.</w:t>
      </w:r>
    </w:p>
    <w:p>
      <w:pPr>
        <w:spacing w:after="0" w:line="54" w:lineRule="exact"/>
        <w:rPr>
          <w:rFonts w:ascii="Times New Roman" w:cs="Times New Roman" w:eastAsia="Times New Roman" w:hAnsi="Times New Roman"/>
          <w:sz w:val="18"/>
          <w:szCs w:val="18"/>
          <w:color w:val="auto"/>
        </w:rPr>
      </w:pPr>
    </w:p>
    <w:p>
      <w:pPr>
        <w:ind w:left="660" w:hanging="328"/>
        <w:spacing w:after="0" w:line="275"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Advantaged Projects. </w:t>
      </w:r>
      <w:r>
        <w:rPr>
          <w:rFonts w:ascii="Times New Roman" w:cs="Times New Roman" w:eastAsia="Times New Roman" w:hAnsi="Times New Roman"/>
          <w:sz w:val="18"/>
          <w:szCs w:val="18"/>
          <w:color w:val="auto"/>
        </w:rPr>
        <w:t>Includes capital projects and programs of work that contribute to Energy, Chemical, and/or Specialty Products segments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 integration of segments/businesses, increase yield of higher value products, or deliver higher than average returns.</w:t>
      </w:r>
    </w:p>
    <w:p>
      <w:pPr>
        <w:spacing w:after="0" w:line="44"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High-Value Products. </w:t>
      </w:r>
      <w:r>
        <w:rPr>
          <w:rFonts w:ascii="Times New Roman" w:cs="Times New Roman" w:eastAsia="Times New Roman" w:hAnsi="Times New Roman"/>
          <w:sz w:val="18"/>
          <w:szCs w:val="18"/>
          <w:color w:val="auto"/>
        </w:rPr>
        <w:t>Includes performance products and lower-emission fuels. Performance products (performance chemicals,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lubricants) refers to products that provide differentiated performance for multiple applications through enhanced properties versus commodity alternatives and bring significant additional value to customers and end-users. Lower-emission fuels refers to fuels with lower life cycle emissions than conventional transportation fuels for gasoline, diesel and jet transport.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Base Volume. </w:t>
      </w:r>
      <w:r>
        <w:rPr>
          <w:rFonts w:ascii="Times New Roman" w:cs="Times New Roman" w:eastAsia="Times New Roman" w:hAnsi="Times New Roman"/>
          <w:sz w:val="18"/>
          <w:szCs w:val="18"/>
          <w:color w:val="auto"/>
        </w:rPr>
        <w:t>Represents all volume/mix drivers not included in Advantaged Volume Growth defined above.</w:t>
      </w:r>
    </w:p>
    <w:p>
      <w:pPr>
        <w:spacing w:after="0" w:line="10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Structural Cost Savings. </w:t>
      </w:r>
      <w:r>
        <w:rPr>
          <w:rFonts w:ascii="Times New Roman" w:cs="Times New Roman" w:eastAsia="Times New Roman" w:hAnsi="Times New Roman"/>
          <w:sz w:val="18"/>
          <w:szCs w:val="18"/>
          <w:color w:val="auto"/>
        </w:rPr>
        <w:t>Represents after-tax earnings effects of Structural Cost Savings as defined on the next page, including cash operating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divestments that were previously in the volume/mix driver.</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Expenses. </w:t>
      </w:r>
      <w:r>
        <w:rPr>
          <w:rFonts w:ascii="Times New Roman" w:cs="Times New Roman" w:eastAsia="Times New Roman" w:hAnsi="Times New Roman"/>
          <w:sz w:val="18"/>
          <w:szCs w:val="18"/>
          <w:color w:val="auto"/>
        </w:rPr>
        <w:t>Represents all expenses otherwise not included in other earnings drivers.</w:t>
      </w:r>
    </w:p>
    <w:p>
      <w:pPr>
        <w:spacing w:after="0" w:line="9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Timing Effects. </w:t>
      </w:r>
      <w:r>
        <w:rPr>
          <w:rFonts w:ascii="Times New Roman" w:cs="Times New Roman" w:eastAsia="Times New Roman" w:hAnsi="Times New Roman"/>
          <w:sz w:val="18"/>
          <w:szCs w:val="18"/>
          <w:color w:val="auto"/>
        </w:rPr>
        <w:t>Represents timing effects that are primarily related to unsettled derivatives (mark-to-market) and other earnings impacts driven by timing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differences between the settlement of derivatives and their offsetting physical commodity realizations (due to LIFO inventory accounting).</w:t>
      </w:r>
    </w:p>
    <w:p>
      <w:pPr>
        <w:spacing w:after="0" w:line="12" w:lineRule="exact"/>
        <w:rPr>
          <w:sz w:val="20"/>
          <w:szCs w:val="20"/>
          <w:color w:val="auto"/>
        </w:rPr>
      </w:pPr>
    </w:p>
    <w:p>
      <w:pPr>
        <w:ind w:left="180" w:hanging="172"/>
        <w:spacing w:after="0"/>
        <w:tabs>
          <w:tab w:leader="none" w:pos="180" w:val="left"/>
        </w:tabs>
        <w:numPr>
          <w:ilvl w:val="0"/>
          <w:numId w:val="18"/>
        </w:numPr>
        <w:rPr>
          <w:rFonts w:ascii="Times New Roman" w:cs="Times New Roman" w:eastAsia="Times New Roman" w:hAnsi="Times New Roman"/>
          <w:sz w:val="21"/>
          <w:szCs w:val="21"/>
          <w:i w:val="1"/>
          <w:iCs w:val="1"/>
          <w:color w:val="auto"/>
          <w:vertAlign w:val="superscript"/>
        </w:rPr>
      </w:pPr>
      <w:r>
        <w:rPr>
          <w:rFonts w:ascii="Times New Roman" w:cs="Times New Roman" w:eastAsia="Times New Roman" w:hAnsi="Times New Roman"/>
          <w:sz w:val="16"/>
          <w:szCs w:val="16"/>
          <w:i w:val="1"/>
          <w:iCs w:val="1"/>
          <w:color w:val="auto"/>
        </w:rPr>
        <w:t>Heritage Permian Basin assets exclude assets acquired as part of the acquisition of Pioneer that closed May 3, 2024.</w:t>
      </w:r>
    </w:p>
    <w:p>
      <w:pPr>
        <w:spacing w:after="0" w:line="200" w:lineRule="exact"/>
        <w:rPr>
          <w:rFonts w:ascii="Times New Roman" w:cs="Times New Roman" w:eastAsia="Times New Roman" w:hAnsi="Times New Roman"/>
          <w:sz w:val="21"/>
          <w:szCs w:val="21"/>
          <w:i w:val="1"/>
          <w:iCs w:val="1"/>
          <w:color w:val="auto"/>
          <w:vertAlign w:val="superscript"/>
        </w:rPr>
      </w:pPr>
    </w:p>
    <w:p>
      <w:pPr>
        <w:spacing w:after="0" w:line="206" w:lineRule="exact"/>
        <w:rPr>
          <w:rFonts w:ascii="Times New Roman" w:cs="Times New Roman" w:eastAsia="Times New Roman" w:hAnsi="Times New Roman"/>
          <w:sz w:val="21"/>
          <w:szCs w:val="21"/>
          <w:i w:val="1"/>
          <w:iCs w:val="1"/>
          <w:color w:val="auto"/>
          <w:vertAlign w:val="superscript"/>
        </w:rPr>
      </w:pPr>
    </w:p>
    <w:p>
      <w:pPr>
        <w:ind w:left="5540"/>
        <w:spacing w:after="0"/>
        <w:rPr>
          <w:rFonts w:ascii="Times New Roman" w:cs="Times New Roman" w:eastAsia="Times New Roman" w:hAnsi="Times New Roman"/>
          <w:sz w:val="21"/>
          <w:szCs w:val="21"/>
          <w:i w:val="1"/>
          <w:iCs w:val="1"/>
          <w:color w:val="auto"/>
          <w:vertAlign w:val="superscript"/>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2"/>
          <w:szCs w:val="22"/>
          <w:b w:val="1"/>
          <w:bCs w:val="1"/>
          <w:color w:val="0C479D"/>
        </w:rPr>
        <w:t>FREQUENTLY USED TERMS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479D"/>
        </w:rPr>
        <w:t xml:space="preserve">Structural Cost Savings </w:t>
      </w:r>
      <w:r>
        <w:rPr>
          <w:rFonts w:ascii="Times New Roman" w:cs="Times New Roman" w:eastAsia="Times New Roman" w:hAnsi="Times New Roman"/>
          <w:sz w:val="18"/>
          <w:szCs w:val="18"/>
          <w:color w:val="0C479D"/>
        </w:rPr>
        <w:t>(Non-GAAP)</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Structural cost savings describes decreases in cash opex excluding energy and production taxes as a result of operational efficiencies, workforce reductions, divestment-related reductions, and other cost-savings measures that are expected to be sustainable compared to 2019 levels. Relative to 2019, estimated cumulative structural cost savings totaled $12.1 billion. The total change between periods in expenses below will reflect both structural cost savings and other changes in spend, including market factors, such as inflation and foreign exchange impacts, as well as changes in activity levels and costs associated with new operations, mergers and acquisitions, new business venture development, and early-stage projects. Estimates of cumulative annual structural cost savings may be revised depending on whether cost reductions realized in prior periods are determined to be sustainable compared to 2019 levels. Structural cost savings are stewarded internally to support management’s oversight of spending over time. This measure is useful for investors to understand the Corporation’s efforts to optimize spending through disciplined expense management.</w:t>
      </w:r>
    </w:p>
    <w:p>
      <w:pPr>
        <w:spacing w:after="0" w:line="200" w:lineRule="exact"/>
        <w:rPr>
          <w:sz w:val="20"/>
          <w:szCs w:val="20"/>
          <w:color w:val="auto"/>
        </w:rPr>
      </w:pPr>
    </w:p>
    <w:p>
      <w:pPr>
        <w:spacing w:after="0" w:line="228" w:lineRule="exact"/>
        <w:rPr>
          <w:sz w:val="20"/>
          <w:szCs w:val="20"/>
          <w:color w:val="auto"/>
        </w:rPr>
      </w:pPr>
    </w:p>
    <w:tbl>
      <w:tblPr>
        <w:tblLayout w:type="fixed"/>
        <w:tblInd w:w="760" w:type="dxa"/>
        <w:tblCellMar>
          <w:top w:w="0" w:type="dxa"/>
          <w:left w:w="0" w:type="dxa"/>
          <w:bottom w:w="0" w:type="dxa"/>
          <w:right w:w="0" w:type="dxa"/>
        </w:tblCellMar>
      </w:tblPr>
      <w:tr>
        <w:trPr>
          <w:trHeight w:val="207"/>
        </w:trPr>
        <w:tc>
          <w:tcPr>
            <w:tcW w:w="4800" w:type="dxa"/>
            <w:vAlign w:val="bottom"/>
            <w:shd w:val="clear" w:color="auto" w:fill="0C479D"/>
          </w:tcPr>
          <w:p>
            <w:pPr>
              <w:ind w:left="20"/>
              <w:spacing w:after="0"/>
              <w:rPr>
                <w:sz w:val="20"/>
                <w:szCs w:val="20"/>
                <w:color w:val="auto"/>
              </w:rPr>
            </w:pPr>
            <w:r>
              <w:rPr>
                <w:rFonts w:ascii="Times New Roman" w:cs="Times New Roman" w:eastAsia="Times New Roman" w:hAnsi="Times New Roman"/>
                <w:sz w:val="18"/>
                <w:szCs w:val="18"/>
                <w:b w:val="1"/>
                <w:bCs w:val="1"/>
                <w:color w:val="FFFFFF"/>
              </w:rPr>
              <w:t>Calculation of Structural Cost Savings</w:t>
            </w:r>
          </w:p>
        </w:tc>
        <w:tc>
          <w:tcPr>
            <w:tcW w:w="3980" w:type="dxa"/>
            <w:vAlign w:val="bottom"/>
            <w:shd w:val="clear" w:color="auto" w:fill="0C479D"/>
          </w:tcPr>
          <w:p>
            <w:pPr>
              <w:jc w:val="right"/>
              <w:ind w:right="2973"/>
              <w:spacing w:after="0"/>
              <w:rPr>
                <w:sz w:val="20"/>
                <w:szCs w:val="20"/>
                <w:color w:val="auto"/>
              </w:rPr>
            </w:pPr>
            <w:r>
              <w:rPr>
                <w:rFonts w:ascii="Times New Roman" w:cs="Times New Roman" w:eastAsia="Times New Roman" w:hAnsi="Times New Roman"/>
                <w:sz w:val="14"/>
                <w:szCs w:val="14"/>
                <w:b w:val="1"/>
                <w:bCs w:val="1"/>
                <w:color w:val="FFFFFF"/>
              </w:rPr>
              <w:t>2019</w:t>
            </w:r>
          </w:p>
        </w:tc>
        <w:tc>
          <w:tcPr>
            <w:tcW w:w="940" w:type="dxa"/>
            <w:vAlign w:val="bottom"/>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2024</w:t>
            </w:r>
          </w:p>
        </w:tc>
      </w:tr>
      <w:tr>
        <w:trPr>
          <w:trHeight w:val="182"/>
        </w:trPr>
        <w:tc>
          <w:tcPr>
            <w:tcW w:w="4800" w:type="dxa"/>
            <w:vAlign w:val="bottom"/>
            <w:shd w:val="clear" w:color="auto" w:fill="0C479D"/>
          </w:tcPr>
          <w:p>
            <w:pPr>
              <w:ind w:left="20"/>
              <w:spacing w:after="0"/>
              <w:rPr>
                <w:sz w:val="20"/>
                <w:szCs w:val="20"/>
                <w:color w:val="auto"/>
              </w:rPr>
            </w:pPr>
            <w:r>
              <w:rPr>
                <w:rFonts w:ascii="Times New Roman" w:cs="Times New Roman" w:eastAsia="Times New Roman" w:hAnsi="Times New Roman"/>
                <w:sz w:val="14"/>
                <w:szCs w:val="14"/>
                <w:i w:val="1"/>
                <w:iCs w:val="1"/>
                <w:color w:val="FFFFFF"/>
              </w:rPr>
              <w:t>(billions of dollars)</w:t>
            </w:r>
          </w:p>
        </w:tc>
        <w:tc>
          <w:tcPr>
            <w:tcW w:w="3980" w:type="dxa"/>
            <w:vAlign w:val="bottom"/>
            <w:shd w:val="clear" w:color="auto" w:fill="0C479D"/>
          </w:tcPr>
          <w:p>
            <w:pPr>
              <w:spacing w:after="0"/>
              <w:rPr>
                <w:sz w:val="15"/>
                <w:szCs w:val="15"/>
                <w:color w:val="auto"/>
              </w:rPr>
            </w:pPr>
          </w:p>
        </w:tc>
        <w:tc>
          <w:tcPr>
            <w:tcW w:w="940" w:type="dxa"/>
            <w:vAlign w:val="bottom"/>
            <w:shd w:val="clear" w:color="auto" w:fill="0C479D"/>
          </w:tcPr>
          <w:p>
            <w:pPr>
              <w:spacing w:after="0"/>
              <w:rPr>
                <w:sz w:val="15"/>
                <w:szCs w:val="15"/>
                <w:color w:val="auto"/>
              </w:rPr>
            </w:pPr>
          </w:p>
        </w:tc>
      </w:tr>
      <w:tr>
        <w:trPr>
          <w:trHeight w:val="24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C479D"/>
              </w:rPr>
              <w:t>Components of Operating Costs</w:t>
            </w:r>
          </w:p>
        </w:tc>
        <w:tc>
          <w:tcPr>
            <w:tcW w:w="3980" w:type="dxa"/>
            <w:vAlign w:val="bottom"/>
          </w:tcPr>
          <w:p>
            <w:pPr>
              <w:spacing w:after="0"/>
              <w:rPr>
                <w:sz w:val="21"/>
                <w:szCs w:val="21"/>
                <w:color w:val="auto"/>
              </w:rPr>
            </w:pPr>
          </w:p>
        </w:tc>
        <w:tc>
          <w:tcPr>
            <w:tcW w:w="940" w:type="dxa"/>
            <w:vAlign w:val="bottom"/>
            <w:shd w:val="clear" w:color="auto" w:fill="F0F0F0"/>
          </w:tcPr>
          <w:p>
            <w:pPr>
              <w:spacing w:after="0"/>
              <w:rPr>
                <w:sz w:val="21"/>
                <w:szCs w:val="21"/>
                <w:color w:val="auto"/>
              </w:rPr>
            </w:pPr>
          </w:p>
        </w:tc>
      </w:tr>
      <w:tr>
        <w:trPr>
          <w:trHeight w:val="207"/>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From ExxonMobil’s Consolidated Statement of Income</w:t>
            </w:r>
          </w:p>
        </w:tc>
        <w:tc>
          <w:tcPr>
            <w:tcW w:w="3980" w:type="dxa"/>
            <w:vAlign w:val="bottom"/>
          </w:tcPr>
          <w:p>
            <w:pPr>
              <w:spacing w:after="0"/>
              <w:rPr>
                <w:sz w:val="18"/>
                <w:szCs w:val="18"/>
                <w:color w:val="auto"/>
              </w:rPr>
            </w:pPr>
          </w:p>
        </w:tc>
        <w:tc>
          <w:tcPr>
            <w:tcW w:w="940" w:type="dxa"/>
            <w:vAlign w:val="bottom"/>
            <w:shd w:val="clear" w:color="auto" w:fill="F0F0F0"/>
          </w:tcPr>
          <w:p>
            <w:pPr>
              <w:spacing w:after="0"/>
              <w:rPr>
                <w:sz w:val="18"/>
                <w:szCs w:val="18"/>
                <w:color w:val="auto"/>
              </w:rPr>
            </w:pPr>
          </w:p>
        </w:tc>
      </w:tr>
      <w:tr>
        <w:trPr>
          <w:trHeight w:val="238"/>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(U.S. GAAP)</w:t>
            </w:r>
          </w:p>
        </w:tc>
        <w:tc>
          <w:tcPr>
            <w:tcW w:w="3980" w:type="dxa"/>
            <w:vAlign w:val="bottom"/>
          </w:tcPr>
          <w:p>
            <w:pPr>
              <w:spacing w:after="0"/>
              <w:rPr>
                <w:sz w:val="20"/>
                <w:szCs w:val="20"/>
                <w:color w:val="auto"/>
              </w:rPr>
            </w:pPr>
          </w:p>
        </w:tc>
        <w:tc>
          <w:tcPr>
            <w:tcW w:w="940" w:type="dxa"/>
            <w:vAlign w:val="bottom"/>
            <w:shd w:val="clear" w:color="auto" w:fill="F0F0F0"/>
          </w:tcPr>
          <w:p>
            <w:pPr>
              <w:spacing w:after="0"/>
              <w:rPr>
                <w:sz w:val="20"/>
                <w:szCs w:val="20"/>
                <w:color w:val="auto"/>
              </w:rPr>
            </w:pPr>
          </w:p>
        </w:tc>
      </w:tr>
      <w:tr>
        <w:trPr>
          <w:trHeight w:val="250"/>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Production and manufacturing expenses</w:t>
            </w:r>
          </w:p>
        </w:tc>
        <w:tc>
          <w:tcPr>
            <w:tcW w:w="3980" w:type="dxa"/>
            <w:vAlign w:val="bottom"/>
          </w:tcPr>
          <w:p>
            <w:pPr>
              <w:jc w:val="right"/>
              <w:ind w:right="3033"/>
              <w:spacing w:after="0"/>
              <w:rPr>
                <w:sz w:val="20"/>
                <w:szCs w:val="20"/>
                <w:color w:val="auto"/>
              </w:rPr>
            </w:pPr>
            <w:r>
              <w:rPr>
                <w:rFonts w:ascii="Times New Roman" w:cs="Times New Roman" w:eastAsia="Times New Roman" w:hAnsi="Times New Roman"/>
                <w:sz w:val="18"/>
                <w:szCs w:val="18"/>
                <w:color w:val="auto"/>
              </w:rPr>
              <w:t>36.8</w:t>
            </w:r>
          </w:p>
        </w:tc>
        <w:tc>
          <w:tcPr>
            <w:tcW w:w="94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4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980" w:type="dxa"/>
            <w:vAlign w:val="bottom"/>
          </w:tcPr>
          <w:p>
            <w:pPr>
              <w:jc w:val="right"/>
              <w:ind w:right="3033"/>
              <w:spacing w:after="0"/>
              <w:rPr>
                <w:sz w:val="20"/>
                <w:szCs w:val="20"/>
                <w:color w:val="auto"/>
              </w:rPr>
            </w:pPr>
            <w:r>
              <w:rPr>
                <w:rFonts w:ascii="Times New Roman" w:cs="Times New Roman" w:eastAsia="Times New Roman" w:hAnsi="Times New Roman"/>
                <w:sz w:val="18"/>
                <w:szCs w:val="18"/>
                <w:color w:val="auto"/>
              </w:rPr>
              <w:t>11.4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70"/>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depletion (includes impairments)</w:t>
            </w:r>
          </w:p>
        </w:tc>
        <w:tc>
          <w:tcPr>
            <w:tcW w:w="3980" w:type="dxa"/>
            <w:vAlign w:val="bottom"/>
          </w:tcPr>
          <w:p>
            <w:pPr>
              <w:jc w:val="right"/>
              <w:ind w:right="3033"/>
              <w:spacing w:after="0"/>
              <w:rPr>
                <w:sz w:val="20"/>
                <w:szCs w:val="20"/>
                <w:color w:val="auto"/>
              </w:rPr>
            </w:pPr>
            <w:r>
              <w:rPr>
                <w:rFonts w:ascii="Times New Roman" w:cs="Times New Roman" w:eastAsia="Times New Roman" w:hAnsi="Times New Roman"/>
                <w:sz w:val="18"/>
                <w:szCs w:val="18"/>
                <w:color w:val="auto"/>
              </w:rPr>
              <w:t>19.0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70"/>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Exploration expenses, including dry holes</w:t>
            </w:r>
          </w:p>
        </w:tc>
        <w:tc>
          <w:tcPr>
            <w:tcW w:w="3980" w:type="dxa"/>
            <w:vAlign w:val="bottom"/>
          </w:tcPr>
          <w:p>
            <w:pPr>
              <w:jc w:val="right"/>
              <w:ind w:right="3033"/>
              <w:spacing w:after="0"/>
              <w:rPr>
                <w:sz w:val="20"/>
                <w:szCs w:val="20"/>
                <w:color w:val="auto"/>
              </w:rPr>
            </w:pPr>
            <w:r>
              <w:rPr>
                <w:rFonts w:ascii="Times New Roman" w:cs="Times New Roman" w:eastAsia="Times New Roman" w:hAnsi="Times New Roman"/>
                <w:sz w:val="18"/>
                <w:szCs w:val="18"/>
                <w:color w:val="auto"/>
              </w:rPr>
              <w:t>1.3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70"/>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Non-service pension and postretirement benefit expense</w:t>
            </w:r>
          </w:p>
        </w:tc>
        <w:tc>
          <w:tcPr>
            <w:tcW w:w="3980" w:type="dxa"/>
            <w:vAlign w:val="bottom"/>
          </w:tcPr>
          <w:p>
            <w:pPr>
              <w:jc w:val="right"/>
              <w:ind w:right="3033"/>
              <w:spacing w:after="0"/>
              <w:rPr>
                <w:sz w:val="20"/>
                <w:szCs w:val="20"/>
                <w:color w:val="auto"/>
              </w:rPr>
            </w:pPr>
            <w:r>
              <w:rPr>
                <w:rFonts w:ascii="Times New Roman" w:cs="Times New Roman" w:eastAsia="Times New Roman" w:hAnsi="Times New Roman"/>
                <w:sz w:val="18"/>
                <w:szCs w:val="18"/>
                <w:color w:val="auto"/>
              </w:rPr>
              <w:t>1.2</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-839470</wp:posOffset>
            </wp:positionV>
            <wp:extent cx="600075" cy="13716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0075" cy="1371600"/>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17145</wp:posOffset>
            </wp:positionV>
            <wp:extent cx="364299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p>
      <w:pPr>
        <w:spacing w:after="0" w:line="45" w:lineRule="exact"/>
        <w:rPr>
          <w:sz w:val="20"/>
          <w:szCs w:val="20"/>
          <w:color w:val="auto"/>
        </w:rPr>
      </w:pPr>
    </w:p>
    <w:tbl>
      <w:tblPr>
        <w:tblLayout w:type="fixed"/>
        <w:tblInd w:w="760" w:type="dxa"/>
        <w:tblCellMar>
          <w:top w:w="0" w:type="dxa"/>
          <w:left w:w="0" w:type="dxa"/>
          <w:bottom w:w="0" w:type="dxa"/>
          <w:right w:w="0" w:type="dxa"/>
        </w:tblCellMar>
      </w:tblPr>
      <w:tr>
        <w:trPr>
          <w:trHeight w:val="238"/>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Subtotal</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69.7</w:t>
            </w:r>
          </w:p>
        </w:tc>
        <w:tc>
          <w:tcPr>
            <w:tcW w:w="0" w:type="dxa"/>
            <w:vAlign w:val="bottom"/>
          </w:tcPr>
          <w:p>
            <w:pPr>
              <w:spacing w:after="0"/>
              <w:rPr>
                <w:sz w:val="1"/>
                <w:szCs w:val="1"/>
                <w:color w:val="auto"/>
              </w:rPr>
            </w:pPr>
          </w:p>
        </w:tc>
      </w:tr>
      <w:tr>
        <w:trPr>
          <w:trHeight w:val="256"/>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ExxonMobil's share of equity company expenses (Non-GAAP)</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7"/>
        </w:trPr>
        <w:tc>
          <w:tcPr>
            <w:tcW w:w="4960" w:type="dxa"/>
            <w:vAlign w:val="bottom"/>
            <w:tcBorders>
              <w:bottom w:val="single" w:sz="8" w:color="0C479D"/>
            </w:tcBorders>
          </w:tcPr>
          <w:p>
            <w:pPr>
              <w:spacing w:after="0"/>
              <w:rPr>
                <w:sz w:val="2"/>
                <w:szCs w:val="2"/>
                <w:color w:val="auto"/>
              </w:rPr>
            </w:pPr>
          </w:p>
        </w:tc>
        <w:tc>
          <w:tcPr>
            <w:tcW w:w="780" w:type="dxa"/>
            <w:vAlign w:val="bottom"/>
            <w:tcBorders>
              <w:bottom w:val="single" w:sz="8" w:color="0C479D"/>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6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Total Adjusted Operating Costs </w:t>
            </w:r>
            <w:r>
              <w:rPr>
                <w:rFonts w:ascii="Times New Roman" w:cs="Times New Roman" w:eastAsia="Times New Roman" w:hAnsi="Times New Roman"/>
                <w:sz w:val="18"/>
                <w:szCs w:val="18"/>
                <w:color w:val="auto"/>
              </w:rPr>
              <w:t>(Non-GAAP)</w:t>
            </w:r>
          </w:p>
        </w:tc>
        <w:tc>
          <w:tcPr>
            <w:tcW w:w="7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78.8</w:t>
            </w:r>
          </w:p>
        </w:tc>
        <w:tc>
          <w:tcPr>
            <w:tcW w:w="0" w:type="dxa"/>
            <w:vAlign w:val="bottom"/>
          </w:tcPr>
          <w:p>
            <w:pPr>
              <w:spacing w:after="0"/>
              <w:rPr>
                <w:sz w:val="1"/>
                <w:szCs w:val="1"/>
                <w:color w:val="auto"/>
              </w:rPr>
            </w:pPr>
          </w:p>
        </w:tc>
      </w:tr>
      <w:tr>
        <w:trPr>
          <w:trHeight w:val="50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Total Adjusted Operating Costs </w:t>
            </w:r>
            <w:r>
              <w:rPr>
                <w:rFonts w:ascii="Times New Roman" w:cs="Times New Roman" w:eastAsia="Times New Roman" w:hAnsi="Times New Roman"/>
                <w:sz w:val="18"/>
                <w:szCs w:val="18"/>
                <w:color w:val="auto"/>
              </w:rPr>
              <w:t>(Non-GAAP)</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78.8</w:t>
            </w:r>
          </w:p>
        </w:tc>
        <w:tc>
          <w:tcPr>
            <w:tcW w:w="0" w:type="dxa"/>
            <w:vAlign w:val="bottom"/>
          </w:tcPr>
          <w:p>
            <w:pPr>
              <w:spacing w:after="0"/>
              <w:rPr>
                <w:sz w:val="1"/>
                <w:szCs w:val="1"/>
                <w:color w:val="auto"/>
              </w:rPr>
            </w:pPr>
          </w:p>
        </w:tc>
      </w:tr>
      <w:tr>
        <w:trPr>
          <w:trHeight w:val="27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depletion (includes impairments)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7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Non-service pension and postretirement benefit expense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1"/>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adjustments (includes equity company depreciation</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40"/>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and depletion)</w:t>
            </w: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4960" w:type="dxa"/>
            <w:vAlign w:val="bottom"/>
            <w:tcBorders>
              <w:bottom w:val="single" w:sz="8" w:color="0C479D"/>
            </w:tcBorders>
            <w:vMerge w:val="continue"/>
          </w:tcPr>
          <w:p>
            <w:pPr>
              <w:spacing w:after="0"/>
              <w:rPr>
                <w:sz w:val="8"/>
                <w:szCs w:val="8"/>
                <w:color w:val="auto"/>
              </w:rPr>
            </w:pPr>
          </w:p>
        </w:tc>
        <w:tc>
          <w:tcPr>
            <w:tcW w:w="780" w:type="dxa"/>
            <w:vAlign w:val="bottom"/>
            <w:tcBorders>
              <w:bottom w:val="single" w:sz="8" w:color="0C479D"/>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96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Total Cash Operating Expenses (Cash Opex) </w:t>
            </w:r>
            <w:r>
              <w:rPr>
                <w:rFonts w:ascii="Times New Roman" w:cs="Times New Roman" w:eastAsia="Times New Roman" w:hAnsi="Times New Roman"/>
                <w:sz w:val="18"/>
                <w:szCs w:val="18"/>
                <w:color w:val="auto"/>
              </w:rPr>
              <w:t>(Non-GAAP)</w:t>
            </w:r>
          </w:p>
        </w:tc>
        <w:tc>
          <w:tcPr>
            <w:tcW w:w="7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55.0</w:t>
            </w:r>
          </w:p>
        </w:tc>
        <w:tc>
          <w:tcPr>
            <w:tcW w:w="0" w:type="dxa"/>
            <w:vAlign w:val="bottom"/>
          </w:tcPr>
          <w:p>
            <w:pPr>
              <w:spacing w:after="0"/>
              <w:rPr>
                <w:sz w:val="1"/>
                <w:szCs w:val="1"/>
                <w:color w:val="auto"/>
              </w:rPr>
            </w:pPr>
          </w:p>
        </w:tc>
      </w:tr>
      <w:tr>
        <w:trPr>
          <w:trHeight w:val="50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Energy and production taxes (Non-GAAP)</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7"/>
        </w:trPr>
        <w:tc>
          <w:tcPr>
            <w:tcW w:w="4960" w:type="dxa"/>
            <w:vAlign w:val="bottom"/>
            <w:tcBorders>
              <w:bottom w:val="single" w:sz="8" w:color="0C479D"/>
            </w:tcBorders>
          </w:tcPr>
          <w:p>
            <w:pPr>
              <w:spacing w:after="0"/>
              <w:rPr>
                <w:sz w:val="2"/>
                <w:szCs w:val="2"/>
                <w:color w:val="auto"/>
              </w:rPr>
            </w:pPr>
          </w:p>
        </w:tc>
        <w:tc>
          <w:tcPr>
            <w:tcW w:w="780" w:type="dxa"/>
            <w:vAlign w:val="bottom"/>
            <w:tcBorders>
              <w:bottom w:val="single" w:sz="8" w:color="0C479D"/>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74.0</w:t>
      </w:r>
    </w:p>
    <w:p>
      <w:pPr>
        <w:spacing w:after="0" w:line="54" w:lineRule="exact"/>
        <w:rPr>
          <w:sz w:val="20"/>
          <w:szCs w:val="20"/>
          <w:color w:val="auto"/>
        </w:rPr>
      </w:pPr>
    </w:p>
    <w:p>
      <w:pPr>
        <w:jc w:val="right"/>
        <w:ind w:right="840"/>
        <w:spacing w:after="0"/>
        <w:rPr>
          <w:sz w:val="20"/>
          <w:szCs w:val="20"/>
          <w:color w:val="auto"/>
        </w:rPr>
      </w:pPr>
      <w:r>
        <w:rPr>
          <w:rFonts w:ascii="Times New Roman" w:cs="Times New Roman" w:eastAsia="Times New Roman" w:hAnsi="Times New Roman"/>
          <w:sz w:val="18"/>
          <w:szCs w:val="18"/>
          <w:color w:val="auto"/>
        </w:rPr>
        <w:t>9.6</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28575</wp:posOffset>
            </wp:positionV>
            <wp:extent cx="600075" cy="13030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0075" cy="130302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83.6</w:t>
      </w:r>
    </w:p>
    <w:p>
      <w:pPr>
        <w:spacing w:after="0" w:line="337" w:lineRule="exact"/>
        <w:rPr>
          <w:sz w:val="20"/>
          <w:szCs w:val="20"/>
          <w:color w:val="auto"/>
        </w:rPr>
      </w:pPr>
    </w:p>
    <w:p>
      <w:pPr>
        <w:jc w:val="right"/>
        <w:ind w:right="840"/>
        <w:spacing w:after="0"/>
        <w:rPr>
          <w:sz w:val="20"/>
          <w:szCs w:val="20"/>
          <w:color w:val="auto"/>
        </w:rPr>
      </w:pPr>
      <w:r>
        <w:rPr>
          <w:rFonts w:ascii="Times New Roman" w:cs="Times New Roman" w:eastAsia="Times New Roman" w:hAnsi="Times New Roman"/>
          <w:sz w:val="18"/>
          <w:szCs w:val="18"/>
          <w:color w:val="auto"/>
        </w:rPr>
        <w:t>23.4</w:t>
      </w:r>
    </w:p>
    <w:p>
      <w:pPr>
        <w:spacing w:after="0" w:line="63" w:lineRule="exact"/>
        <w:rPr>
          <w:sz w:val="20"/>
          <w:szCs w:val="20"/>
          <w:color w:val="auto"/>
        </w:rPr>
      </w:pPr>
    </w:p>
    <w:p>
      <w:pPr>
        <w:jc w:val="right"/>
        <w:ind w:right="840"/>
        <w:spacing w:after="0"/>
        <w:rPr>
          <w:sz w:val="20"/>
          <w:szCs w:val="20"/>
          <w:color w:val="auto"/>
        </w:rPr>
      </w:pPr>
      <w:r>
        <w:rPr>
          <w:rFonts w:ascii="Times New Roman" w:cs="Times New Roman" w:eastAsia="Times New Roman" w:hAnsi="Times New Roman"/>
          <w:sz w:val="18"/>
          <w:szCs w:val="18"/>
          <w:color w:val="auto"/>
        </w:rPr>
        <w:t>0.1</w:t>
      </w:r>
    </w:p>
    <w:p>
      <w:pPr>
        <w:spacing w:after="0" w:line="14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3.7</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28575</wp:posOffset>
            </wp:positionV>
            <wp:extent cx="600075" cy="10198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0075" cy="1019810"/>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13.9</w:t>
      </w:r>
    </w:p>
    <w:p>
      <w:pPr>
        <w:spacing w:after="0" w:line="243" w:lineRule="exact"/>
        <w:rPr>
          <w:sz w:val="20"/>
          <w:szCs w:val="20"/>
          <w:color w:val="auto"/>
        </w:rPr>
      </w:pPr>
    </w:p>
    <w:p>
      <w:pPr>
        <w:sectPr>
          <w:pgSz w:w="11900" w:h="16838" w:orient="portrait"/>
          <w:cols w:equalWidth="0" w:num="2">
            <w:col w:w="9360" w:space="720"/>
            <w:col w:w="1160"/>
          </w:cols>
          <w:pgMar w:left="320" w:top="270" w:right="339" w:bottom="1440" w:gutter="0" w:footer="0" w:header="0"/>
          <w:type w:val="continuous"/>
        </w:sectPr>
      </w:pPr>
    </w:p>
    <w:tbl>
      <w:tblPr>
        <w:tblLayout w:type="fixed"/>
        <w:tblInd w:w="760" w:type="dxa"/>
        <w:tblCellMar>
          <w:top w:w="0" w:type="dxa"/>
          <w:left w:w="0" w:type="dxa"/>
          <w:bottom w:w="0" w:type="dxa"/>
          <w:right w:w="0" w:type="dxa"/>
        </w:tblCellMar>
      </w:tblPr>
      <w:tr>
        <w:trPr>
          <w:trHeight w:val="207"/>
        </w:trPr>
        <w:tc>
          <w:tcPr>
            <w:tcW w:w="4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Activity /</w:t>
            </w: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Structural</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Operating Expenses (Cash Opex) excluding</w:t>
            </w:r>
          </w:p>
        </w:tc>
        <w:tc>
          <w:tcPr>
            <w:tcW w:w="102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Savings</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478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478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Energy and Production Taxes </w:t>
            </w:r>
            <w:r>
              <w:rPr>
                <w:rFonts w:ascii="Times New Roman" w:cs="Times New Roman" w:eastAsia="Times New Roman" w:hAnsi="Times New Roman"/>
                <w:sz w:val="18"/>
                <w:szCs w:val="18"/>
                <w:color w:val="auto"/>
              </w:rPr>
              <w:t>(Non-GAAP)</w:t>
            </w:r>
          </w:p>
        </w:tc>
        <w:tc>
          <w:tcPr>
            <w:tcW w:w="1020" w:type="dxa"/>
            <w:vAlign w:val="bottom"/>
            <w:tcBorders>
              <w:bottom w:val="single" w:sz="8" w:color="0C479D"/>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44.0</w:t>
            </w:r>
          </w:p>
        </w:tc>
        <w:tc>
          <w:tcPr>
            <w:tcW w:w="920" w:type="dxa"/>
            <w:vAlign w:val="bottom"/>
            <w:tcBorders>
              <w:bottom w:val="single" w:sz="8" w:color="0C479D"/>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+4.0</w:t>
            </w:r>
          </w:p>
        </w:tc>
        <w:tc>
          <w:tcPr>
            <w:tcW w:w="1020" w:type="dxa"/>
            <w:vAlign w:val="bottom"/>
            <w:tcBorders>
              <w:bottom w:val="single" w:sz="8" w:color="0C479D"/>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+6.6</w:t>
            </w:r>
          </w:p>
        </w:tc>
        <w:tc>
          <w:tcPr>
            <w:tcW w:w="1260" w:type="dxa"/>
            <w:vAlign w:val="bottom"/>
            <w:tcBorders>
              <w:bottom w:val="single" w:sz="8" w:color="0C479D"/>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-12.1</w:t>
            </w:r>
          </w:p>
        </w:tc>
        <w:tc>
          <w:tcPr>
            <w:tcW w:w="7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42.5</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i w:val="1"/>
          <w:iCs w:val="1"/>
          <w:color w:val="auto"/>
        </w:rPr>
        <w:t>Due to rounding, numbers presented may not add up precisely to the totals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22"/>
          <w:szCs w:val="22"/>
          <w:b w:val="1"/>
          <w:bCs w:val="1"/>
          <w:color w:val="0C479D"/>
        </w:rPr>
        <w:t>FREQUENTLY USED TERMS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479D"/>
        </w:rPr>
        <w:t xml:space="preserve">Earnings (loss) excluding Identified Items </w:t>
      </w:r>
      <w:r>
        <w:rPr>
          <w:rFonts w:ascii="Times New Roman" w:cs="Times New Roman" w:eastAsia="Times New Roman" w:hAnsi="Times New Roman"/>
          <w:sz w:val="18"/>
          <w:szCs w:val="18"/>
          <w:color w:val="0C479D"/>
        </w:rPr>
        <w:t>(Non-GAAP)</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Earnings (loss) excluding Identified Items are earnings (loss) excluding individually significant non-operational events with, typically, an absolute corporate total earnings impact of at least $250 million in a given quarter. The earnings (loss) impact of an Identified Item for an individual segment in a given quarter may be less than $250 million when the item impacts several segments or several periods. Management uses these figures to improve comparability of the underlying business across multiple periods by isolating and removing significant non-operational events from business results. The Corporation believes this view provides investors increased transparency into business results and trends, and provides investors with a view of the business as seen through the eyes of management. Earnings (loss) excluding Identified Items is not meant to be viewed in isolation or as a substitute for net income (loss) attributable to ExxonMobil as prepared in accordance with U.S. GAAP.</w:t>
      </w:r>
    </w:p>
    <w:p>
      <w:pPr>
        <w:spacing w:after="0" w:line="112" w:lineRule="exact"/>
        <w:rPr>
          <w:sz w:val="20"/>
          <w:szCs w:val="20"/>
          <w:color w:val="auto"/>
        </w:rPr>
      </w:pPr>
    </w:p>
    <w:tbl>
      <w:tblPr>
        <w:tblLayout w:type="fixed"/>
        <w:tblInd w:w="760" w:type="dxa"/>
        <w:tblCellMar>
          <w:top w:w="0" w:type="dxa"/>
          <w:left w:w="0" w:type="dxa"/>
          <w:bottom w:w="0" w:type="dxa"/>
          <w:right w:w="0" w:type="dxa"/>
        </w:tblCellMar>
      </w:tblPr>
      <w:tr>
        <w:trPr>
          <w:trHeight w:val="258"/>
        </w:trPr>
        <w:tc>
          <w:tcPr>
            <w:tcW w:w="2140" w:type="dxa"/>
            <w:vAlign w:val="bottom"/>
            <w:shd w:val="clear" w:color="auto" w:fill="0C479D"/>
          </w:tcPr>
          <w:p>
            <w:pPr>
              <w:ind w:left="20"/>
              <w:spacing w:after="0"/>
              <w:rPr>
                <w:sz w:val="20"/>
                <w:szCs w:val="20"/>
                <w:color w:val="auto"/>
              </w:rPr>
            </w:pPr>
            <w:r>
              <w:rPr>
                <w:rFonts w:ascii="Times New Roman" w:cs="Times New Roman" w:eastAsia="Times New Roman" w:hAnsi="Times New Roman"/>
                <w:sz w:val="18"/>
                <w:szCs w:val="18"/>
                <w:b w:val="1"/>
                <w:bCs w:val="1"/>
                <w:color w:val="FFFFFF"/>
              </w:rPr>
              <w:t>Upstream</w:t>
            </w:r>
          </w:p>
        </w:tc>
        <w:tc>
          <w:tcPr>
            <w:tcW w:w="680" w:type="dxa"/>
            <w:vAlign w:val="bottom"/>
            <w:shd w:val="clear" w:color="auto" w:fill="0C479D"/>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Borders>
              <w:right w:val="single" w:sz="8" w:color="0C479D"/>
            </w:tcBorders>
            <w:shd w:val="clear" w:color="auto" w:fill="0C479D"/>
          </w:tcPr>
          <w:p>
            <w:pPr>
              <w:spacing w:after="0"/>
              <w:rPr>
                <w:sz w:val="22"/>
                <w:szCs w:val="22"/>
                <w:color w:val="auto"/>
              </w:rPr>
            </w:pPr>
          </w:p>
        </w:tc>
        <w:tc>
          <w:tcPr>
            <w:tcW w:w="540" w:type="dxa"/>
            <w:vAlign w:val="bottom"/>
            <w:shd w:val="clear" w:color="auto" w:fill="0C479D"/>
          </w:tcPr>
          <w:p>
            <w:pPr>
              <w:spacing w:after="0"/>
              <w:rPr>
                <w:sz w:val="22"/>
                <w:szCs w:val="22"/>
                <w:color w:val="auto"/>
              </w:rPr>
            </w:pPr>
          </w:p>
        </w:tc>
        <w:tc>
          <w:tcPr>
            <w:tcW w:w="40" w:type="dxa"/>
            <w:vAlign w:val="bottom"/>
            <w:shd w:val="clear" w:color="auto" w:fill="0C479D"/>
          </w:tcPr>
          <w:p>
            <w:pPr>
              <w:spacing w:after="0"/>
              <w:rPr>
                <w:sz w:val="22"/>
                <w:szCs w:val="22"/>
                <w:color w:val="auto"/>
              </w:rPr>
            </w:pPr>
          </w:p>
        </w:tc>
        <w:tc>
          <w:tcPr>
            <w:tcW w:w="40" w:type="dxa"/>
            <w:vAlign w:val="bottom"/>
            <w:shd w:val="clear" w:color="auto" w:fill="0C479D"/>
          </w:tcPr>
          <w:p>
            <w:pPr>
              <w:spacing w:after="0"/>
              <w:rPr>
                <w:sz w:val="22"/>
                <w:szCs w:val="22"/>
                <w:color w:val="auto"/>
              </w:rPr>
            </w:pPr>
          </w:p>
        </w:tc>
        <w:tc>
          <w:tcPr>
            <w:tcW w:w="60" w:type="dxa"/>
            <w:vAlign w:val="bottom"/>
            <w:shd w:val="clear" w:color="auto" w:fill="0C479D"/>
          </w:tcPr>
          <w:p>
            <w:pPr>
              <w:spacing w:after="0"/>
              <w:rPr>
                <w:sz w:val="22"/>
                <w:szCs w:val="22"/>
                <w:color w:val="auto"/>
              </w:rPr>
            </w:pPr>
          </w:p>
        </w:tc>
        <w:tc>
          <w:tcPr>
            <w:tcW w:w="600" w:type="dxa"/>
            <w:vAlign w:val="bottom"/>
            <w:gridSpan w:val="2"/>
            <w:shd w:val="clear" w:color="auto" w:fill="0C479D"/>
          </w:tcPr>
          <w:p>
            <w:pPr>
              <w:ind w:left="120"/>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60" w:type="dxa"/>
            <w:vAlign w:val="bottom"/>
            <w:shd w:val="clear" w:color="auto" w:fill="0C479D"/>
          </w:tcPr>
          <w:p>
            <w:pPr>
              <w:spacing w:after="0"/>
              <w:rPr>
                <w:sz w:val="22"/>
                <w:szCs w:val="22"/>
                <w:color w:val="auto"/>
              </w:rPr>
            </w:pPr>
          </w:p>
        </w:tc>
        <w:tc>
          <w:tcPr>
            <w:tcW w:w="40" w:type="dxa"/>
            <w:vAlign w:val="bottom"/>
            <w:shd w:val="clear" w:color="auto" w:fill="0C479D"/>
          </w:tcPr>
          <w:p>
            <w:pPr>
              <w:spacing w:after="0"/>
              <w:rPr>
                <w:sz w:val="22"/>
                <w:szCs w:val="22"/>
                <w:color w:val="auto"/>
              </w:rPr>
            </w:pPr>
          </w:p>
        </w:tc>
        <w:tc>
          <w:tcPr>
            <w:tcW w:w="40" w:type="dxa"/>
            <w:vAlign w:val="bottom"/>
            <w:shd w:val="clear" w:color="auto" w:fill="0C479D"/>
          </w:tcPr>
          <w:p>
            <w:pPr>
              <w:spacing w:after="0"/>
              <w:rPr>
                <w:sz w:val="22"/>
                <w:szCs w:val="22"/>
                <w:color w:val="auto"/>
              </w:rPr>
            </w:pPr>
          </w:p>
        </w:tc>
        <w:tc>
          <w:tcPr>
            <w:tcW w:w="620" w:type="dxa"/>
            <w:vAlign w:val="bottom"/>
            <w:tcBorders>
              <w:right w:val="single" w:sz="8" w:color="0C479D"/>
            </w:tcBorders>
            <w:shd w:val="clear" w:color="auto" w:fill="0C479D"/>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right w:val="single" w:sz="8" w:color="0C479D"/>
            </w:tcBorders>
          </w:tcPr>
          <w:p>
            <w:pPr>
              <w:spacing w:after="0"/>
              <w:rPr>
                <w:sz w:val="22"/>
                <w:szCs w:val="22"/>
                <w:color w:val="auto"/>
              </w:rPr>
            </w:pPr>
          </w:p>
        </w:tc>
        <w:tc>
          <w:tcPr>
            <w:tcW w:w="660" w:type="dxa"/>
            <w:vAlign w:val="bottom"/>
            <w:shd w:val="clear" w:color="auto" w:fill="0C479D"/>
          </w:tcPr>
          <w:p>
            <w:pPr>
              <w:spacing w:after="0"/>
              <w:rPr>
                <w:sz w:val="22"/>
                <w:szCs w:val="22"/>
                <w:color w:val="auto"/>
              </w:rPr>
            </w:pPr>
          </w:p>
        </w:tc>
        <w:tc>
          <w:tcPr>
            <w:tcW w:w="60" w:type="dxa"/>
            <w:vAlign w:val="bottom"/>
            <w:shd w:val="clear" w:color="auto" w:fill="0C479D"/>
          </w:tcPr>
          <w:p>
            <w:pPr>
              <w:spacing w:after="0"/>
              <w:rPr>
                <w:sz w:val="22"/>
                <w:szCs w:val="22"/>
                <w:color w:val="auto"/>
              </w:rPr>
            </w:pPr>
          </w:p>
        </w:tc>
        <w:tc>
          <w:tcPr>
            <w:tcW w:w="720" w:type="dxa"/>
            <w:vAlign w:val="bottom"/>
            <w:shd w:val="clear" w:color="auto" w:fill="0C479D"/>
          </w:tcPr>
          <w:p>
            <w:pPr>
              <w:jc w:val="center"/>
              <w:ind w:right="75"/>
              <w:spacing w:after="0"/>
              <w:rPr>
                <w:sz w:val="20"/>
                <w:szCs w:val="20"/>
                <w:color w:val="auto"/>
              </w:rPr>
            </w:pPr>
            <w:r>
              <w:rPr>
                <w:rFonts w:ascii="Times New Roman" w:cs="Times New Roman" w:eastAsia="Times New Roman" w:hAnsi="Times New Roman"/>
                <w:sz w:val="14"/>
                <w:szCs w:val="14"/>
                <w:b w:val="1"/>
                <w:bCs w:val="1"/>
                <w:color w:val="FFFFFF"/>
                <w:w w:val="99"/>
              </w:rPr>
              <w:t>2023</w:t>
            </w:r>
          </w:p>
        </w:tc>
        <w:tc>
          <w:tcPr>
            <w:tcW w:w="660" w:type="dxa"/>
            <w:vAlign w:val="bottom"/>
            <w:shd w:val="clear" w:color="auto" w:fill="0C479D"/>
          </w:tcPr>
          <w:p>
            <w:pPr>
              <w:spacing w:after="0"/>
              <w:rPr>
                <w:sz w:val="22"/>
                <w:szCs w:val="22"/>
                <w:color w:val="auto"/>
              </w:rPr>
            </w:pPr>
          </w:p>
        </w:tc>
        <w:tc>
          <w:tcPr>
            <w:tcW w:w="160" w:type="dxa"/>
            <w:vAlign w:val="bottom"/>
            <w:tcBorders>
              <w:right w:val="single" w:sz="8" w:color="0C479D"/>
            </w:tcBorders>
          </w:tcPr>
          <w:p>
            <w:pPr>
              <w:spacing w:after="0"/>
              <w:rPr>
                <w:sz w:val="22"/>
                <w:szCs w:val="22"/>
                <w:color w:val="auto"/>
              </w:rPr>
            </w:pPr>
          </w:p>
        </w:tc>
        <w:tc>
          <w:tcPr>
            <w:tcW w:w="680" w:type="dxa"/>
            <w:vAlign w:val="bottom"/>
            <w:shd w:val="clear" w:color="auto" w:fill="0C479D"/>
          </w:tcPr>
          <w:p>
            <w:pPr>
              <w:spacing w:after="0"/>
              <w:rPr>
                <w:sz w:val="22"/>
                <w:szCs w:val="22"/>
                <w:color w:val="auto"/>
              </w:rPr>
            </w:pPr>
          </w:p>
        </w:tc>
        <w:tc>
          <w:tcPr>
            <w:tcW w:w="80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2022</w:t>
            </w:r>
          </w:p>
        </w:tc>
        <w:tc>
          <w:tcPr>
            <w:tcW w:w="660" w:type="dxa"/>
            <w:vAlign w:val="bottom"/>
            <w:shd w:val="clear" w:color="auto" w:fill="0C479D"/>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2140" w:type="dxa"/>
            <w:vAlign w:val="bottom"/>
            <w:tcBorders>
              <w:bottom w:val="single" w:sz="8" w:color="0C479D"/>
            </w:tcBorders>
            <w:shd w:val="clear" w:color="auto" w:fill="0C479D"/>
          </w:tcPr>
          <w:p>
            <w:pPr>
              <w:ind w:left="20"/>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680" w:type="dxa"/>
            <w:vAlign w:val="bottom"/>
            <w:tcBorders>
              <w:bottom w:val="single" w:sz="8" w:color="0C479D"/>
            </w:tcBorders>
            <w:shd w:val="clear" w:color="auto" w:fill="0C479D"/>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0C479D"/>
              <w:right w:val="single" w:sz="8" w:color="0C479D"/>
            </w:tcBorders>
            <w:shd w:val="clear" w:color="auto" w:fill="0C479D"/>
          </w:tcPr>
          <w:p>
            <w:pPr>
              <w:spacing w:after="0"/>
              <w:rPr>
                <w:sz w:val="18"/>
                <w:szCs w:val="18"/>
                <w:color w:val="auto"/>
              </w:rPr>
            </w:pPr>
          </w:p>
        </w:tc>
        <w:tc>
          <w:tcPr>
            <w:tcW w:w="580" w:type="dxa"/>
            <w:vAlign w:val="bottom"/>
            <w:tcBorders>
              <w:bottom w:val="single" w:sz="8" w:color="0C479D"/>
            </w:tcBorders>
            <w:gridSpan w:val="2"/>
            <w:shd w:val="clear" w:color="auto" w:fill="0C479D"/>
          </w:tcPr>
          <w:p>
            <w:pPr>
              <w:jc w:val="right"/>
              <w:ind w:right="220"/>
              <w:spacing w:after="0"/>
              <w:rPr>
                <w:sz w:val="20"/>
                <w:szCs w:val="20"/>
                <w:color w:val="auto"/>
              </w:rPr>
            </w:pPr>
            <w:r>
              <w:rPr>
                <w:rFonts w:ascii="Times New Roman" w:cs="Times New Roman" w:eastAsia="Times New Roman" w:hAnsi="Times New Roman"/>
                <w:sz w:val="14"/>
                <w:szCs w:val="14"/>
                <w:b w:val="1"/>
                <w:bCs w:val="1"/>
                <w:color w:val="FFFFFF"/>
              </w:rPr>
              <w:t>U.S.</w:t>
            </w:r>
          </w:p>
        </w:tc>
        <w:tc>
          <w:tcPr>
            <w:tcW w:w="40" w:type="dxa"/>
            <w:vAlign w:val="bottom"/>
            <w:tcBorders>
              <w:bottom w:val="single" w:sz="8" w:color="0C479D"/>
            </w:tcBorders>
            <w:shd w:val="clear" w:color="auto" w:fill="0C479D"/>
          </w:tcPr>
          <w:p>
            <w:pPr>
              <w:spacing w:after="0"/>
              <w:rPr>
                <w:sz w:val="18"/>
                <w:szCs w:val="18"/>
                <w:color w:val="auto"/>
              </w:rPr>
            </w:pPr>
          </w:p>
        </w:tc>
        <w:tc>
          <w:tcPr>
            <w:tcW w:w="60" w:type="dxa"/>
            <w:vAlign w:val="bottom"/>
            <w:tcBorders>
              <w:bottom w:val="single" w:sz="8" w:color="0C479D"/>
            </w:tcBorders>
            <w:shd w:val="clear" w:color="auto" w:fill="0C479D"/>
          </w:tcPr>
          <w:p>
            <w:pPr>
              <w:spacing w:after="0"/>
              <w:rPr>
                <w:sz w:val="18"/>
                <w:szCs w:val="18"/>
                <w:color w:val="auto"/>
              </w:rPr>
            </w:pPr>
          </w:p>
        </w:tc>
        <w:tc>
          <w:tcPr>
            <w:tcW w:w="740" w:type="dxa"/>
            <w:vAlign w:val="bottom"/>
            <w:tcBorders>
              <w:bottom w:val="single" w:sz="8" w:color="0C479D"/>
            </w:tcBorders>
            <w:gridSpan w:val="5"/>
            <w:shd w:val="clear" w:color="auto" w:fill="0C479D"/>
          </w:tcPr>
          <w:p>
            <w:pPr>
              <w:jc w:val="right"/>
              <w:ind w:right="180"/>
              <w:spacing w:after="0"/>
              <w:rPr>
                <w:sz w:val="20"/>
                <w:szCs w:val="20"/>
                <w:color w:val="auto"/>
              </w:rPr>
            </w:pPr>
            <w:r>
              <w:rPr>
                <w:rFonts w:ascii="Times New Roman" w:cs="Times New Roman" w:eastAsia="Times New Roman" w:hAnsi="Times New Roman"/>
                <w:sz w:val="14"/>
                <w:szCs w:val="14"/>
                <w:b w:val="1"/>
                <w:bCs w:val="1"/>
                <w:color w:val="FFFFFF"/>
                <w:w w:val="99"/>
              </w:rPr>
              <w:t>Non-U.S.</w:t>
            </w:r>
          </w:p>
        </w:tc>
        <w:tc>
          <w:tcPr>
            <w:tcW w:w="620" w:type="dxa"/>
            <w:vAlign w:val="bottom"/>
            <w:tcBorders>
              <w:bottom w:val="single" w:sz="8" w:color="0C479D"/>
              <w:right w:val="single" w:sz="8" w:color="0C479D"/>
            </w:tcBorders>
            <w:shd w:val="clear" w:color="auto" w:fill="0C479D"/>
          </w:tcPr>
          <w:p>
            <w:pPr>
              <w:jc w:val="right"/>
              <w:ind w:right="113"/>
              <w:spacing w:after="0"/>
              <w:rPr>
                <w:sz w:val="20"/>
                <w:szCs w:val="20"/>
                <w:color w:val="auto"/>
              </w:rPr>
            </w:pPr>
            <w:r>
              <w:rPr>
                <w:rFonts w:ascii="Times New Roman" w:cs="Times New Roman" w:eastAsia="Times New Roman" w:hAnsi="Times New Roman"/>
                <w:sz w:val="14"/>
                <w:szCs w:val="14"/>
                <w:b w:val="1"/>
                <w:bCs w:val="1"/>
                <w:color w:val="FFFFFF"/>
              </w:rPr>
              <w:t>Total</w:t>
            </w:r>
          </w:p>
        </w:tc>
        <w:tc>
          <w:tcPr>
            <w:tcW w:w="80" w:type="dxa"/>
            <w:vAlign w:val="bottom"/>
          </w:tcPr>
          <w:p>
            <w:pPr>
              <w:spacing w:after="0"/>
              <w:rPr>
                <w:sz w:val="18"/>
                <w:szCs w:val="18"/>
                <w:color w:val="auto"/>
              </w:rPr>
            </w:pPr>
          </w:p>
        </w:tc>
        <w:tc>
          <w:tcPr>
            <w:tcW w:w="140" w:type="dxa"/>
            <w:vAlign w:val="bottom"/>
            <w:tcBorders>
              <w:right w:val="single" w:sz="8" w:color="0C479D"/>
            </w:tcBorders>
          </w:tcPr>
          <w:p>
            <w:pPr>
              <w:spacing w:after="0"/>
              <w:rPr>
                <w:sz w:val="18"/>
                <w:szCs w:val="18"/>
                <w:color w:val="auto"/>
              </w:rPr>
            </w:pPr>
          </w:p>
        </w:tc>
        <w:tc>
          <w:tcPr>
            <w:tcW w:w="660" w:type="dxa"/>
            <w:vAlign w:val="bottom"/>
            <w:tcBorders>
              <w:bottom w:val="single" w:sz="8" w:color="0C479D"/>
            </w:tcBorders>
            <w:shd w:val="clear" w:color="auto" w:fill="0C479D"/>
          </w:tcPr>
          <w:p>
            <w:pPr>
              <w:jc w:val="right"/>
              <w:ind w:right="173"/>
              <w:spacing w:after="0"/>
              <w:rPr>
                <w:sz w:val="20"/>
                <w:szCs w:val="20"/>
                <w:color w:val="auto"/>
              </w:rPr>
            </w:pPr>
            <w:r>
              <w:rPr>
                <w:rFonts w:ascii="Times New Roman" w:cs="Times New Roman" w:eastAsia="Times New Roman" w:hAnsi="Times New Roman"/>
                <w:sz w:val="14"/>
                <w:szCs w:val="14"/>
                <w:b w:val="1"/>
                <w:bCs w:val="1"/>
                <w:color w:val="FFFFFF"/>
              </w:rPr>
              <w:t>U.S.</w:t>
            </w:r>
          </w:p>
        </w:tc>
        <w:tc>
          <w:tcPr>
            <w:tcW w:w="60" w:type="dxa"/>
            <w:vAlign w:val="bottom"/>
            <w:tcBorders>
              <w:bottom w:val="single" w:sz="8" w:color="0C479D"/>
            </w:tcBorders>
            <w:shd w:val="clear" w:color="auto" w:fill="0C479D"/>
          </w:tcPr>
          <w:p>
            <w:pPr>
              <w:spacing w:after="0"/>
              <w:rPr>
                <w:sz w:val="18"/>
                <w:szCs w:val="18"/>
                <w:color w:val="auto"/>
              </w:rPr>
            </w:pPr>
          </w:p>
        </w:tc>
        <w:tc>
          <w:tcPr>
            <w:tcW w:w="720" w:type="dxa"/>
            <w:vAlign w:val="bottom"/>
            <w:tcBorders>
              <w:bottom w:val="single" w:sz="8" w:color="0C479D"/>
            </w:tcBorders>
            <w:shd w:val="clear" w:color="auto" w:fill="0C479D"/>
          </w:tcPr>
          <w:p>
            <w:pPr>
              <w:jc w:val="center"/>
              <w:ind w:right="75"/>
              <w:spacing w:after="0"/>
              <w:rPr>
                <w:sz w:val="20"/>
                <w:szCs w:val="20"/>
                <w:color w:val="auto"/>
              </w:rPr>
            </w:pPr>
            <w:r>
              <w:rPr>
                <w:rFonts w:ascii="Times New Roman" w:cs="Times New Roman" w:eastAsia="Times New Roman" w:hAnsi="Times New Roman"/>
                <w:sz w:val="14"/>
                <w:szCs w:val="14"/>
                <w:b w:val="1"/>
                <w:bCs w:val="1"/>
                <w:color w:val="FFFFFF"/>
              </w:rPr>
              <w:t>Non-U.S.</w:t>
            </w:r>
          </w:p>
        </w:tc>
        <w:tc>
          <w:tcPr>
            <w:tcW w:w="660" w:type="dxa"/>
            <w:vAlign w:val="bottom"/>
            <w:tcBorders>
              <w:bottom w:val="single" w:sz="8" w:color="0C479D"/>
            </w:tcBorders>
            <w:shd w:val="clear" w:color="auto" w:fill="0C479D"/>
          </w:tcPr>
          <w:p>
            <w:pPr>
              <w:jc w:val="right"/>
              <w:ind w:right="133"/>
              <w:spacing w:after="0"/>
              <w:rPr>
                <w:sz w:val="20"/>
                <w:szCs w:val="20"/>
                <w:color w:val="auto"/>
              </w:rPr>
            </w:pPr>
            <w:r>
              <w:rPr>
                <w:rFonts w:ascii="Times New Roman" w:cs="Times New Roman" w:eastAsia="Times New Roman" w:hAnsi="Times New Roman"/>
                <w:sz w:val="14"/>
                <w:szCs w:val="14"/>
                <w:b w:val="1"/>
                <w:bCs w:val="1"/>
                <w:color w:val="FFFFFF"/>
              </w:rPr>
              <w:t>Total</w:t>
            </w:r>
          </w:p>
        </w:tc>
        <w:tc>
          <w:tcPr>
            <w:tcW w:w="160" w:type="dxa"/>
            <w:vAlign w:val="bottom"/>
            <w:tcBorders>
              <w:right w:val="single" w:sz="8" w:color="0C479D"/>
            </w:tcBorders>
          </w:tcPr>
          <w:p>
            <w:pPr>
              <w:spacing w:after="0"/>
              <w:rPr>
                <w:sz w:val="18"/>
                <w:szCs w:val="18"/>
                <w:color w:val="auto"/>
              </w:rPr>
            </w:pPr>
          </w:p>
        </w:tc>
        <w:tc>
          <w:tcPr>
            <w:tcW w:w="680" w:type="dxa"/>
            <w:vAlign w:val="bottom"/>
            <w:tcBorders>
              <w:bottom w:val="single" w:sz="8" w:color="0C479D"/>
            </w:tcBorders>
            <w:shd w:val="clear" w:color="auto" w:fill="0C479D"/>
          </w:tcPr>
          <w:p>
            <w:pPr>
              <w:jc w:val="right"/>
              <w:ind w:right="153"/>
              <w:spacing w:after="0"/>
              <w:rPr>
                <w:sz w:val="20"/>
                <w:szCs w:val="20"/>
                <w:color w:val="auto"/>
              </w:rPr>
            </w:pPr>
            <w:r>
              <w:rPr>
                <w:rFonts w:ascii="Times New Roman" w:cs="Times New Roman" w:eastAsia="Times New Roman" w:hAnsi="Times New Roman"/>
                <w:sz w:val="14"/>
                <w:szCs w:val="14"/>
                <w:b w:val="1"/>
                <w:bCs w:val="1"/>
                <w:color w:val="FFFFFF"/>
              </w:rPr>
              <w:t>U.S.</w:t>
            </w:r>
          </w:p>
        </w:tc>
        <w:tc>
          <w:tcPr>
            <w:tcW w:w="800" w:type="dxa"/>
            <w:vAlign w:val="bottom"/>
            <w:tcBorders>
              <w:bottom w:val="single" w:sz="8" w:color="0C479D"/>
            </w:tcBorders>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Non-U.S.</w:t>
            </w:r>
          </w:p>
        </w:tc>
        <w:tc>
          <w:tcPr>
            <w:tcW w:w="660" w:type="dxa"/>
            <w:vAlign w:val="bottom"/>
            <w:tcBorders>
              <w:bottom w:val="single" w:sz="8" w:color="0C479D"/>
            </w:tcBorders>
            <w:shd w:val="clear" w:color="auto" w:fill="0C479D"/>
          </w:tcPr>
          <w:p>
            <w:pPr>
              <w:jc w:val="right"/>
              <w:ind w:right="113"/>
              <w:spacing w:after="0"/>
              <w:rPr>
                <w:sz w:val="20"/>
                <w:szCs w:val="20"/>
                <w:color w:val="auto"/>
              </w:rPr>
            </w:pPr>
            <w:r>
              <w:rPr>
                <w:rFonts w:ascii="Times New Roman" w:cs="Times New Roman" w:eastAsia="Times New Roman" w:hAnsi="Times New Roman"/>
                <w:sz w:val="14"/>
                <w:szCs w:val="14"/>
                <w:b w:val="1"/>
                <w:bCs w:val="1"/>
                <w:color w:val="FFFFFF"/>
              </w:rPr>
              <w:t>Total</w:t>
            </w:r>
          </w:p>
        </w:tc>
        <w:tc>
          <w:tcPr>
            <w:tcW w:w="0" w:type="dxa"/>
            <w:vAlign w:val="bottom"/>
          </w:tcPr>
          <w:p>
            <w:pPr>
              <w:spacing w:after="0"/>
              <w:rPr>
                <w:sz w:val="1"/>
                <w:szCs w:val="1"/>
                <w:color w:val="auto"/>
              </w:rPr>
            </w:pPr>
          </w:p>
        </w:tc>
      </w:tr>
      <w:tr>
        <w:trPr>
          <w:trHeight w:val="257"/>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Earnings (loss) (U.S. GAAP)</w:t>
            </w: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gridSpan w:val="2"/>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6,426</w:t>
            </w:r>
          </w:p>
        </w:tc>
        <w:tc>
          <w:tcPr>
            <w:tcW w:w="40" w:type="dxa"/>
            <w:vAlign w:val="bottom"/>
            <w:shd w:val="clear" w:color="auto" w:fill="F0F0F0"/>
          </w:tcPr>
          <w:p>
            <w:pPr>
              <w:spacing w:after="0"/>
              <w:rPr>
                <w:sz w:val="22"/>
                <w:szCs w:val="22"/>
                <w:color w:val="auto"/>
              </w:rPr>
            </w:pPr>
          </w:p>
        </w:tc>
        <w:tc>
          <w:tcPr>
            <w:tcW w:w="40" w:type="dxa"/>
            <w:vAlign w:val="bottom"/>
            <w:shd w:val="clear" w:color="auto" w:fill="F0F0F0"/>
          </w:tcPr>
          <w:p>
            <w:pPr>
              <w:spacing w:after="0"/>
              <w:rPr>
                <w:sz w:val="22"/>
                <w:szCs w:val="22"/>
                <w:color w:val="auto"/>
              </w:rPr>
            </w:pPr>
          </w:p>
        </w:tc>
        <w:tc>
          <w:tcPr>
            <w:tcW w:w="60" w:type="dxa"/>
            <w:vAlign w:val="bottom"/>
            <w:shd w:val="clear" w:color="auto" w:fill="F0F0F0"/>
          </w:tcPr>
          <w:p>
            <w:pPr>
              <w:spacing w:after="0"/>
              <w:rPr>
                <w:sz w:val="22"/>
                <w:szCs w:val="22"/>
                <w:color w:val="auto"/>
              </w:rPr>
            </w:pPr>
          </w:p>
        </w:tc>
        <w:tc>
          <w:tcPr>
            <w:tcW w:w="600" w:type="dxa"/>
            <w:vAlign w:val="bottom"/>
            <w:gridSpan w:val="2"/>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18,964</w:t>
            </w:r>
          </w:p>
        </w:tc>
        <w:tc>
          <w:tcPr>
            <w:tcW w:w="60" w:type="dxa"/>
            <w:vAlign w:val="bottom"/>
            <w:shd w:val="clear" w:color="auto" w:fill="F0F0F0"/>
          </w:tcPr>
          <w:p>
            <w:pPr>
              <w:spacing w:after="0"/>
              <w:rPr>
                <w:sz w:val="22"/>
                <w:szCs w:val="22"/>
                <w:color w:val="auto"/>
              </w:rPr>
            </w:pPr>
          </w:p>
        </w:tc>
        <w:tc>
          <w:tcPr>
            <w:tcW w:w="40" w:type="dxa"/>
            <w:vAlign w:val="bottom"/>
            <w:shd w:val="clear" w:color="auto" w:fill="F0F0F0"/>
          </w:tcPr>
          <w:p>
            <w:pPr>
              <w:spacing w:after="0"/>
              <w:rPr>
                <w:sz w:val="22"/>
                <w:szCs w:val="22"/>
                <w:color w:val="auto"/>
              </w:rPr>
            </w:pPr>
          </w:p>
        </w:tc>
        <w:tc>
          <w:tcPr>
            <w:tcW w:w="40" w:type="dxa"/>
            <w:vAlign w:val="bottom"/>
            <w:shd w:val="clear" w:color="auto" w:fill="F0F0F0"/>
          </w:tcPr>
          <w:p>
            <w:pPr>
              <w:spacing w:after="0"/>
              <w:rPr>
                <w:sz w:val="22"/>
                <w:szCs w:val="22"/>
                <w:color w:val="auto"/>
              </w:rPr>
            </w:pPr>
          </w:p>
        </w:tc>
        <w:tc>
          <w:tcPr>
            <w:tcW w:w="62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25,390</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4,202</w:t>
            </w:r>
          </w:p>
        </w:tc>
        <w:tc>
          <w:tcPr>
            <w:tcW w:w="60" w:type="dxa"/>
            <w:vAlign w:val="bottom"/>
          </w:tcPr>
          <w:p>
            <w:pPr>
              <w:spacing w:after="0"/>
              <w:rPr>
                <w:sz w:val="22"/>
                <w:szCs w:val="22"/>
                <w:color w:val="auto"/>
              </w:rPr>
            </w:pPr>
          </w:p>
        </w:tc>
        <w:tc>
          <w:tcPr>
            <w:tcW w:w="7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17,106</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21,308</w:t>
            </w:r>
          </w:p>
        </w:tc>
        <w:tc>
          <w:tcPr>
            <w:tcW w:w="1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11,728</w:t>
            </w:r>
          </w:p>
        </w:tc>
        <w:tc>
          <w:tcPr>
            <w:tcW w:w="80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24,751</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36,479</w:t>
            </w:r>
          </w:p>
        </w:tc>
        <w:tc>
          <w:tcPr>
            <w:tcW w:w="0" w:type="dxa"/>
            <w:vAlign w:val="bottom"/>
          </w:tcPr>
          <w:p>
            <w:pPr>
              <w:spacing w:after="0"/>
              <w:rPr>
                <w:sz w:val="1"/>
                <w:szCs w:val="1"/>
                <w:color w:val="auto"/>
              </w:rPr>
            </w:pPr>
          </w:p>
        </w:tc>
      </w:tr>
      <w:tr>
        <w:trPr>
          <w:trHeight w:val="257"/>
        </w:trPr>
        <w:tc>
          <w:tcPr>
            <w:tcW w:w="2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Impairments</w:t>
            </w: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gridSpan w:val="2"/>
            <w:shd w:val="clear" w:color="auto" w:fill="F0F0F0"/>
          </w:tcPr>
          <w:p>
            <w:pPr>
              <w:jc w:val="center"/>
              <w:ind w:left="190"/>
              <w:spacing w:after="0"/>
              <w:rPr>
                <w:sz w:val="20"/>
                <w:szCs w:val="20"/>
                <w:color w:val="auto"/>
              </w:rPr>
            </w:pPr>
            <w:r>
              <w:rPr>
                <w:rFonts w:ascii="Times New Roman" w:cs="Times New Roman" w:eastAsia="Times New Roman" w:hAnsi="Times New Roman"/>
                <w:sz w:val="18"/>
                <w:szCs w:val="18"/>
                <w:color w:val="auto"/>
                <w:w w:val="97"/>
              </w:rPr>
              <w:t>(360)</w:t>
            </w:r>
          </w:p>
        </w:tc>
        <w:tc>
          <w:tcPr>
            <w:tcW w:w="40" w:type="dxa"/>
            <w:vAlign w:val="bottom"/>
            <w:shd w:val="clear" w:color="auto" w:fill="F0F0F0"/>
          </w:tcPr>
          <w:p>
            <w:pPr>
              <w:spacing w:after="0"/>
              <w:rPr>
                <w:sz w:val="22"/>
                <w:szCs w:val="22"/>
                <w:color w:val="auto"/>
              </w:rPr>
            </w:pPr>
          </w:p>
        </w:tc>
        <w:tc>
          <w:tcPr>
            <w:tcW w:w="40" w:type="dxa"/>
            <w:vAlign w:val="bottom"/>
            <w:shd w:val="clear" w:color="auto" w:fill="F0F0F0"/>
          </w:tcPr>
          <w:p>
            <w:pPr>
              <w:spacing w:after="0"/>
              <w:rPr>
                <w:sz w:val="22"/>
                <w:szCs w:val="22"/>
                <w:color w:val="auto"/>
              </w:rPr>
            </w:pPr>
          </w:p>
        </w:tc>
        <w:tc>
          <w:tcPr>
            <w:tcW w:w="60" w:type="dxa"/>
            <w:vAlign w:val="bottom"/>
            <w:shd w:val="clear" w:color="auto" w:fill="F0F0F0"/>
          </w:tcPr>
          <w:p>
            <w:pPr>
              <w:spacing w:after="0"/>
              <w:rPr>
                <w:sz w:val="22"/>
                <w:szCs w:val="22"/>
                <w:color w:val="auto"/>
              </w:rPr>
            </w:pPr>
          </w:p>
        </w:tc>
        <w:tc>
          <w:tcPr>
            <w:tcW w:w="660" w:type="dxa"/>
            <w:vAlign w:val="bottom"/>
            <w:gridSpan w:val="3"/>
            <w:shd w:val="clear" w:color="auto" w:fill="F0F0F0"/>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c>
          <w:tcPr>
            <w:tcW w:w="40" w:type="dxa"/>
            <w:vAlign w:val="bottom"/>
            <w:shd w:val="clear" w:color="auto" w:fill="F0F0F0"/>
          </w:tcPr>
          <w:p>
            <w:pPr>
              <w:spacing w:after="0"/>
              <w:rPr>
                <w:sz w:val="22"/>
                <w:szCs w:val="22"/>
                <w:color w:val="auto"/>
              </w:rPr>
            </w:pPr>
          </w:p>
        </w:tc>
        <w:tc>
          <w:tcPr>
            <w:tcW w:w="40" w:type="dxa"/>
            <w:vAlign w:val="bottom"/>
            <w:shd w:val="clear" w:color="auto" w:fill="F0F0F0"/>
          </w:tcPr>
          <w:p>
            <w:pPr>
              <w:spacing w:after="0"/>
              <w:rPr>
                <w:sz w:val="22"/>
                <w:szCs w:val="22"/>
                <w:color w:val="auto"/>
              </w:rPr>
            </w:pPr>
          </w:p>
        </w:tc>
        <w:tc>
          <w:tcPr>
            <w:tcW w:w="62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60" w:type="dxa"/>
            <w:vAlign w:val="bottom"/>
          </w:tcPr>
          <w:p>
            <w:pPr>
              <w:spacing w:after="0"/>
              <w:rPr>
                <w:sz w:val="22"/>
                <w:szCs w:val="22"/>
                <w:color w:val="auto"/>
              </w:rPr>
            </w:pPr>
          </w:p>
        </w:tc>
        <w:tc>
          <w:tcPr>
            <w:tcW w:w="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(686)</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1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(3,790)</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0" w:type="dxa"/>
            <w:vAlign w:val="bottom"/>
          </w:tcPr>
          <w:p>
            <w:pPr>
              <w:spacing w:after="0"/>
              <w:rPr>
                <w:sz w:val="1"/>
                <w:szCs w:val="1"/>
                <w:color w:val="auto"/>
              </w:rPr>
            </w:pPr>
          </w:p>
        </w:tc>
      </w:tr>
      <w:tr>
        <w:trPr>
          <w:trHeight w:val="257"/>
        </w:trPr>
        <w:tc>
          <w:tcPr>
            <w:tcW w:w="294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Gain/(loss) on sale of assets</w:t>
            </w:r>
          </w:p>
        </w:tc>
        <w:tc>
          <w:tcPr>
            <w:tcW w:w="120" w:type="dxa"/>
            <w:vAlign w:val="bottom"/>
            <w:tcBorders>
              <w:right w:val="single" w:sz="8" w:color="F0F0F0"/>
            </w:tcBorders>
            <w:shd w:val="clear" w:color="auto" w:fill="F0F0F0"/>
          </w:tcPr>
          <w:p>
            <w:pPr>
              <w:spacing w:after="0"/>
              <w:rPr>
                <w:sz w:val="22"/>
                <w:szCs w:val="22"/>
                <w:color w:val="auto"/>
              </w:rPr>
            </w:pPr>
          </w:p>
        </w:tc>
        <w:tc>
          <w:tcPr>
            <w:tcW w:w="5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F0F0F0"/>
          </w:tcPr>
          <w:p>
            <w:pPr>
              <w:spacing w:after="0"/>
              <w:rPr>
                <w:sz w:val="22"/>
                <w:szCs w:val="22"/>
                <w:color w:val="auto"/>
              </w:rPr>
            </w:pPr>
          </w:p>
        </w:tc>
        <w:tc>
          <w:tcPr>
            <w:tcW w:w="40" w:type="dxa"/>
            <w:vAlign w:val="bottom"/>
            <w:shd w:val="clear" w:color="auto" w:fill="F0F0F0"/>
          </w:tcPr>
          <w:p>
            <w:pPr>
              <w:spacing w:after="0"/>
              <w:rPr>
                <w:sz w:val="22"/>
                <w:szCs w:val="22"/>
                <w:color w:val="auto"/>
              </w:rPr>
            </w:pPr>
          </w:p>
        </w:tc>
        <w:tc>
          <w:tcPr>
            <w:tcW w:w="60" w:type="dxa"/>
            <w:vAlign w:val="bottom"/>
            <w:shd w:val="clear" w:color="auto" w:fill="F0F0F0"/>
          </w:tcPr>
          <w:p>
            <w:pPr>
              <w:spacing w:after="0"/>
              <w:rPr>
                <w:sz w:val="22"/>
                <w:szCs w:val="22"/>
                <w:color w:val="auto"/>
              </w:rPr>
            </w:pPr>
          </w:p>
        </w:tc>
        <w:tc>
          <w:tcPr>
            <w:tcW w:w="600" w:type="dxa"/>
            <w:vAlign w:val="bottom"/>
            <w:gridSpan w:val="2"/>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60" w:type="dxa"/>
            <w:vAlign w:val="bottom"/>
            <w:shd w:val="clear" w:color="auto" w:fill="F0F0F0"/>
          </w:tcPr>
          <w:p>
            <w:pPr>
              <w:spacing w:after="0"/>
              <w:rPr>
                <w:sz w:val="22"/>
                <w:szCs w:val="22"/>
                <w:color w:val="auto"/>
              </w:rPr>
            </w:pPr>
          </w:p>
        </w:tc>
        <w:tc>
          <w:tcPr>
            <w:tcW w:w="40" w:type="dxa"/>
            <w:vAlign w:val="bottom"/>
            <w:shd w:val="clear" w:color="auto" w:fill="F0F0F0"/>
          </w:tcPr>
          <w:p>
            <w:pPr>
              <w:spacing w:after="0"/>
              <w:rPr>
                <w:sz w:val="22"/>
                <w:szCs w:val="22"/>
                <w:color w:val="auto"/>
              </w:rPr>
            </w:pPr>
          </w:p>
        </w:tc>
        <w:tc>
          <w:tcPr>
            <w:tcW w:w="40" w:type="dxa"/>
            <w:vAlign w:val="bottom"/>
            <w:shd w:val="clear" w:color="auto" w:fill="F0F0F0"/>
          </w:tcPr>
          <w:p>
            <w:pPr>
              <w:spacing w:after="0"/>
              <w:rPr>
                <w:sz w:val="22"/>
                <w:szCs w:val="22"/>
                <w:color w:val="auto"/>
              </w:rPr>
            </w:pPr>
          </w:p>
        </w:tc>
        <w:tc>
          <w:tcPr>
            <w:tcW w:w="62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305</w:t>
            </w:r>
          </w:p>
        </w:tc>
        <w:tc>
          <w:tcPr>
            <w:tcW w:w="60" w:type="dxa"/>
            <w:vAlign w:val="bottom"/>
          </w:tcPr>
          <w:p>
            <w:pPr>
              <w:spacing w:after="0"/>
              <w:rPr>
                <w:sz w:val="22"/>
                <w:szCs w:val="22"/>
                <w:color w:val="auto"/>
              </w:rPr>
            </w:pPr>
          </w:p>
        </w:tc>
        <w:tc>
          <w:tcPr>
            <w:tcW w:w="7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80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587</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0" w:type="dxa"/>
            <w:vAlign w:val="bottom"/>
          </w:tcPr>
          <w:p>
            <w:pPr>
              <w:spacing w:after="0"/>
              <w:rPr>
                <w:sz w:val="1"/>
                <w:szCs w:val="1"/>
                <w:color w:val="auto"/>
              </w:rPr>
            </w:pPr>
          </w:p>
        </w:tc>
      </w:tr>
      <w:tr>
        <w:trPr>
          <w:trHeight w:val="256"/>
        </w:trPr>
        <w:tc>
          <w:tcPr>
            <w:tcW w:w="2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Tax-related items</w:t>
            </w: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Borders>
              <w:right w:val="single" w:sz="8" w:color="F0F0F0"/>
            </w:tcBorders>
            <w:shd w:val="clear" w:color="auto" w:fill="F0F0F0"/>
          </w:tcPr>
          <w:p>
            <w:pPr>
              <w:spacing w:after="0"/>
              <w:rPr>
                <w:sz w:val="22"/>
                <w:szCs w:val="22"/>
                <w:color w:val="auto"/>
              </w:rPr>
            </w:pPr>
          </w:p>
        </w:tc>
        <w:tc>
          <w:tcPr>
            <w:tcW w:w="5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F0F0F0"/>
          </w:tcPr>
          <w:p>
            <w:pPr>
              <w:spacing w:after="0"/>
              <w:rPr>
                <w:sz w:val="22"/>
                <w:szCs w:val="22"/>
                <w:color w:val="auto"/>
              </w:rPr>
            </w:pPr>
          </w:p>
        </w:tc>
        <w:tc>
          <w:tcPr>
            <w:tcW w:w="40" w:type="dxa"/>
            <w:vAlign w:val="bottom"/>
            <w:shd w:val="clear" w:color="auto" w:fill="F0F0F0"/>
          </w:tcPr>
          <w:p>
            <w:pPr>
              <w:spacing w:after="0"/>
              <w:rPr>
                <w:sz w:val="22"/>
                <w:szCs w:val="22"/>
                <w:color w:val="auto"/>
              </w:rPr>
            </w:pPr>
          </w:p>
        </w:tc>
        <w:tc>
          <w:tcPr>
            <w:tcW w:w="60" w:type="dxa"/>
            <w:vAlign w:val="bottom"/>
            <w:shd w:val="clear" w:color="auto" w:fill="F0F0F0"/>
          </w:tcPr>
          <w:p>
            <w:pPr>
              <w:spacing w:after="0"/>
              <w:rPr>
                <w:sz w:val="22"/>
                <w:szCs w:val="22"/>
                <w:color w:val="auto"/>
              </w:rPr>
            </w:pPr>
          </w:p>
        </w:tc>
        <w:tc>
          <w:tcPr>
            <w:tcW w:w="600" w:type="dxa"/>
            <w:vAlign w:val="bottom"/>
            <w:gridSpan w:val="2"/>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60" w:type="dxa"/>
            <w:vAlign w:val="bottom"/>
            <w:shd w:val="clear" w:color="auto" w:fill="F0F0F0"/>
          </w:tcPr>
          <w:p>
            <w:pPr>
              <w:spacing w:after="0"/>
              <w:rPr>
                <w:sz w:val="22"/>
                <w:szCs w:val="22"/>
                <w:color w:val="auto"/>
              </w:rPr>
            </w:pPr>
          </w:p>
        </w:tc>
        <w:tc>
          <w:tcPr>
            <w:tcW w:w="40" w:type="dxa"/>
            <w:vAlign w:val="bottom"/>
            <w:shd w:val="clear" w:color="auto" w:fill="F0F0F0"/>
          </w:tcPr>
          <w:p>
            <w:pPr>
              <w:spacing w:after="0"/>
              <w:rPr>
                <w:sz w:val="22"/>
                <w:szCs w:val="22"/>
                <w:color w:val="auto"/>
              </w:rPr>
            </w:pPr>
          </w:p>
        </w:tc>
        <w:tc>
          <w:tcPr>
            <w:tcW w:w="40" w:type="dxa"/>
            <w:vAlign w:val="bottom"/>
            <w:shd w:val="clear" w:color="auto" w:fill="F0F0F0"/>
          </w:tcPr>
          <w:p>
            <w:pPr>
              <w:spacing w:after="0"/>
              <w:rPr>
                <w:sz w:val="22"/>
                <w:szCs w:val="22"/>
                <w:color w:val="auto"/>
              </w:rPr>
            </w:pPr>
          </w:p>
        </w:tc>
        <w:tc>
          <w:tcPr>
            <w:tcW w:w="62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184</w:t>
            </w:r>
          </w:p>
        </w:tc>
        <w:tc>
          <w:tcPr>
            <w:tcW w:w="60" w:type="dxa"/>
            <w:vAlign w:val="bottom"/>
          </w:tcPr>
          <w:p>
            <w:pPr>
              <w:spacing w:after="0"/>
              <w:rPr>
                <w:sz w:val="22"/>
                <w:szCs w:val="22"/>
                <w:color w:val="auto"/>
              </w:rPr>
            </w:pPr>
          </w:p>
        </w:tc>
        <w:tc>
          <w:tcPr>
            <w:tcW w:w="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(126)</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(1,415)</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0" w:type="dxa"/>
            <w:vAlign w:val="bottom"/>
          </w:tcPr>
          <w:p>
            <w:pPr>
              <w:spacing w:after="0"/>
              <w:rPr>
                <w:sz w:val="1"/>
                <w:szCs w:val="1"/>
                <w:color w:val="auto"/>
              </w:rPr>
            </w:pPr>
          </w:p>
        </w:tc>
      </w:tr>
      <w:tr>
        <w:trPr>
          <w:trHeight w:val="257"/>
        </w:trPr>
        <w:tc>
          <w:tcPr>
            <w:tcW w:w="2140" w:type="dxa"/>
            <w:vAlign w:val="bottom"/>
            <w:tcBorders>
              <w:bottom w:val="single" w:sz="8" w:color="0C479D"/>
            </w:tcBorders>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680" w:type="dxa"/>
            <w:vAlign w:val="bottom"/>
            <w:tcBorders>
              <w:bottom w:val="single" w:sz="8" w:color="0C479D"/>
            </w:tcBorders>
          </w:tcPr>
          <w:p>
            <w:pPr>
              <w:spacing w:after="0"/>
              <w:rPr>
                <w:sz w:val="22"/>
                <w:szCs w:val="22"/>
                <w:color w:val="auto"/>
              </w:rPr>
            </w:pPr>
          </w:p>
        </w:tc>
        <w:tc>
          <w:tcPr>
            <w:tcW w:w="80" w:type="dxa"/>
            <w:vAlign w:val="bottom"/>
            <w:tcBorders>
              <w:bottom w:val="single" w:sz="8" w:color="0C479D"/>
            </w:tcBorders>
          </w:tcPr>
          <w:p>
            <w:pPr>
              <w:spacing w:after="0"/>
              <w:rPr>
                <w:sz w:val="22"/>
                <w:szCs w:val="22"/>
                <w:color w:val="auto"/>
              </w:rPr>
            </w:pPr>
          </w:p>
        </w:tc>
        <w:tc>
          <w:tcPr>
            <w:tcW w:w="40" w:type="dxa"/>
            <w:vAlign w:val="bottom"/>
            <w:tcBorders>
              <w:bottom w:val="single" w:sz="8" w:color="0C479D"/>
            </w:tcBorders>
          </w:tcPr>
          <w:p>
            <w:pPr>
              <w:spacing w:after="0"/>
              <w:rPr>
                <w:sz w:val="22"/>
                <w:szCs w:val="22"/>
                <w:color w:val="auto"/>
              </w:rPr>
            </w:pPr>
          </w:p>
        </w:tc>
        <w:tc>
          <w:tcPr>
            <w:tcW w:w="120" w:type="dxa"/>
            <w:vAlign w:val="bottom"/>
            <w:tcBorders>
              <w:bottom w:val="single" w:sz="8" w:color="0C479D"/>
              <w:right w:val="single" w:sz="8" w:color="F0F0F0"/>
            </w:tcBorders>
            <w:shd w:val="clear" w:color="auto" w:fill="F0F0F0"/>
          </w:tcPr>
          <w:p>
            <w:pPr>
              <w:spacing w:after="0"/>
              <w:rPr>
                <w:sz w:val="22"/>
                <w:szCs w:val="22"/>
                <w:color w:val="auto"/>
              </w:rPr>
            </w:pPr>
          </w:p>
        </w:tc>
        <w:tc>
          <w:tcPr>
            <w:tcW w:w="54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0C479D"/>
            </w:tcBorders>
            <w:shd w:val="clear" w:color="auto" w:fill="F0F0F0"/>
          </w:tcPr>
          <w:p>
            <w:pPr>
              <w:spacing w:after="0"/>
              <w:rPr>
                <w:sz w:val="22"/>
                <w:szCs w:val="22"/>
                <w:color w:val="auto"/>
              </w:rPr>
            </w:pPr>
          </w:p>
        </w:tc>
        <w:tc>
          <w:tcPr>
            <w:tcW w:w="40" w:type="dxa"/>
            <w:vAlign w:val="bottom"/>
            <w:tcBorders>
              <w:bottom w:val="single" w:sz="8" w:color="0C479D"/>
            </w:tcBorders>
            <w:shd w:val="clear" w:color="auto" w:fill="F0F0F0"/>
          </w:tcPr>
          <w:p>
            <w:pPr>
              <w:spacing w:after="0"/>
              <w:rPr>
                <w:sz w:val="22"/>
                <w:szCs w:val="22"/>
                <w:color w:val="auto"/>
              </w:rPr>
            </w:pPr>
          </w:p>
        </w:tc>
        <w:tc>
          <w:tcPr>
            <w:tcW w:w="60" w:type="dxa"/>
            <w:vAlign w:val="bottom"/>
            <w:tcBorders>
              <w:bottom w:val="single" w:sz="8" w:color="0C479D"/>
            </w:tcBorders>
            <w:shd w:val="clear" w:color="auto" w:fill="F0F0F0"/>
          </w:tcPr>
          <w:p>
            <w:pPr>
              <w:spacing w:after="0"/>
              <w:rPr>
                <w:sz w:val="22"/>
                <w:szCs w:val="22"/>
                <w:color w:val="auto"/>
              </w:rPr>
            </w:pPr>
          </w:p>
        </w:tc>
        <w:tc>
          <w:tcPr>
            <w:tcW w:w="40" w:type="dxa"/>
            <w:vAlign w:val="bottom"/>
            <w:tcBorders>
              <w:bottom w:val="single" w:sz="8" w:color="0C479D"/>
            </w:tcBorders>
            <w:shd w:val="clear" w:color="auto" w:fill="F0F0F0"/>
          </w:tcPr>
          <w:p>
            <w:pPr>
              <w:spacing w:after="0"/>
              <w:rPr>
                <w:sz w:val="22"/>
                <w:szCs w:val="22"/>
                <w:color w:val="auto"/>
              </w:rPr>
            </w:pPr>
          </w:p>
        </w:tc>
        <w:tc>
          <w:tcPr>
            <w:tcW w:w="5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0C479D"/>
            </w:tcBorders>
            <w:shd w:val="clear" w:color="auto" w:fill="F0F0F0"/>
          </w:tcPr>
          <w:p>
            <w:pPr>
              <w:spacing w:after="0"/>
              <w:rPr>
                <w:sz w:val="22"/>
                <w:szCs w:val="22"/>
                <w:color w:val="auto"/>
              </w:rPr>
            </w:pPr>
          </w:p>
        </w:tc>
        <w:tc>
          <w:tcPr>
            <w:tcW w:w="40" w:type="dxa"/>
            <w:vAlign w:val="bottom"/>
            <w:tcBorders>
              <w:bottom w:val="single" w:sz="8" w:color="0C479D"/>
            </w:tcBorders>
            <w:shd w:val="clear" w:color="auto" w:fill="F0F0F0"/>
          </w:tcPr>
          <w:p>
            <w:pPr>
              <w:spacing w:after="0"/>
              <w:rPr>
                <w:sz w:val="22"/>
                <w:szCs w:val="22"/>
                <w:color w:val="auto"/>
              </w:rPr>
            </w:pPr>
          </w:p>
        </w:tc>
        <w:tc>
          <w:tcPr>
            <w:tcW w:w="40" w:type="dxa"/>
            <w:vAlign w:val="bottom"/>
            <w:tcBorders>
              <w:bottom w:val="single" w:sz="8" w:color="0C479D"/>
            </w:tcBorders>
            <w:shd w:val="clear" w:color="auto" w:fill="F0F0F0"/>
          </w:tcPr>
          <w:p>
            <w:pPr>
              <w:spacing w:after="0"/>
              <w:rPr>
                <w:sz w:val="22"/>
                <w:szCs w:val="22"/>
                <w:color w:val="auto"/>
              </w:rPr>
            </w:pPr>
          </w:p>
        </w:tc>
        <w:tc>
          <w:tcPr>
            <w:tcW w:w="620" w:type="dxa"/>
            <w:vAlign w:val="bottom"/>
            <w:tcBorders>
              <w:bottom w:val="single" w:sz="8" w:color="0C479D"/>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0C479D"/>
            </w:tcBorders>
          </w:tcPr>
          <w:p>
            <w:pPr>
              <w:spacing w:after="0"/>
              <w:rPr>
                <w:sz w:val="22"/>
                <w:szCs w:val="22"/>
                <w:color w:val="auto"/>
              </w:rPr>
            </w:pPr>
          </w:p>
        </w:tc>
        <w:tc>
          <w:tcPr>
            <w:tcW w:w="140" w:type="dxa"/>
            <w:vAlign w:val="bottom"/>
            <w:tcBorders>
              <w:bottom w:val="single" w:sz="8" w:color="0C479D"/>
            </w:tcBorders>
          </w:tcPr>
          <w:p>
            <w:pPr>
              <w:spacing w:after="0"/>
              <w:rPr>
                <w:sz w:val="22"/>
                <w:szCs w:val="22"/>
                <w:color w:val="auto"/>
              </w:rPr>
            </w:pPr>
          </w:p>
        </w:tc>
        <w:tc>
          <w:tcPr>
            <w:tcW w:w="720" w:type="dxa"/>
            <w:vAlign w:val="bottom"/>
            <w:tcBorders>
              <w:bottom w:val="single" w:sz="8" w:color="0C479D"/>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0C479D"/>
            </w:tcBorders>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0C479D"/>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0C479D"/>
            </w:tcBorders>
          </w:tcPr>
          <w:p>
            <w:pPr>
              <w:jc w:val="right"/>
              <w:ind w:right="75"/>
              <w:spacing w:after="0"/>
              <w:rPr>
                <w:sz w:val="20"/>
                <w:szCs w:val="20"/>
                <w:color w:val="auto"/>
              </w:rPr>
            </w:pPr>
            <w:r>
              <w:rPr>
                <w:rFonts w:ascii="Times New Roman" w:cs="Times New Roman" w:eastAsia="Times New Roman" w:hAnsi="Times New Roman"/>
                <w:sz w:val="18"/>
                <w:szCs w:val="18"/>
                <w:color w:val="auto"/>
              </w:rPr>
              <w:t>1,380</w:t>
            </w:r>
          </w:p>
        </w:tc>
        <w:tc>
          <w:tcPr>
            <w:tcW w:w="6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0" w:type="dxa"/>
            <w:vAlign w:val="bottom"/>
          </w:tcPr>
          <w:p>
            <w:pPr>
              <w:spacing w:after="0"/>
              <w:rPr>
                <w:sz w:val="1"/>
                <w:szCs w:val="1"/>
                <w:color w:val="auto"/>
              </w:rPr>
            </w:pPr>
          </w:p>
        </w:tc>
      </w:tr>
      <w:tr>
        <w:trPr>
          <w:trHeight w:val="237"/>
        </w:trPr>
        <w:tc>
          <w:tcPr>
            <w:tcW w:w="214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Identified Items</w:t>
            </w:r>
          </w:p>
        </w:tc>
        <w:tc>
          <w:tcPr>
            <w:tcW w:w="680" w:type="dxa"/>
            <w:vAlign w:val="bottom"/>
            <w:tcBorders>
              <w:bottom w:val="single" w:sz="8" w:color="0C479D"/>
            </w:tcBorders>
          </w:tcPr>
          <w:p>
            <w:pPr>
              <w:spacing w:after="0"/>
              <w:rPr>
                <w:sz w:val="20"/>
                <w:szCs w:val="20"/>
                <w:color w:val="auto"/>
              </w:rPr>
            </w:pPr>
          </w:p>
        </w:tc>
        <w:tc>
          <w:tcPr>
            <w:tcW w:w="80" w:type="dxa"/>
            <w:vAlign w:val="bottom"/>
            <w:tcBorders>
              <w:bottom w:val="single" w:sz="8" w:color="0C479D"/>
            </w:tcBorders>
          </w:tcPr>
          <w:p>
            <w:pPr>
              <w:spacing w:after="0"/>
              <w:rPr>
                <w:sz w:val="20"/>
                <w:szCs w:val="20"/>
                <w:color w:val="auto"/>
              </w:rPr>
            </w:pPr>
          </w:p>
        </w:tc>
        <w:tc>
          <w:tcPr>
            <w:tcW w:w="40" w:type="dxa"/>
            <w:vAlign w:val="bottom"/>
            <w:tcBorders>
              <w:bottom w:val="single" w:sz="8" w:color="0C479D"/>
            </w:tcBorders>
          </w:tcPr>
          <w:p>
            <w:pPr>
              <w:spacing w:after="0"/>
              <w:rPr>
                <w:sz w:val="20"/>
                <w:szCs w:val="20"/>
                <w:color w:val="auto"/>
              </w:rPr>
            </w:pPr>
          </w:p>
        </w:tc>
        <w:tc>
          <w:tcPr>
            <w:tcW w:w="660" w:type="dxa"/>
            <w:vAlign w:val="bottom"/>
            <w:tcBorders>
              <w:bottom w:val="single" w:sz="8" w:color="0C479D"/>
            </w:tcBorders>
            <w:gridSpan w:val="2"/>
            <w:shd w:val="clear" w:color="auto" w:fill="F0F0F0"/>
          </w:tcPr>
          <w:p>
            <w:pPr>
              <w:jc w:val="center"/>
              <w:ind w:left="190"/>
              <w:spacing w:after="0"/>
              <w:rPr>
                <w:sz w:val="20"/>
                <w:szCs w:val="20"/>
                <w:color w:val="auto"/>
              </w:rPr>
            </w:pPr>
            <w:r>
              <w:rPr>
                <w:rFonts w:ascii="Times New Roman" w:cs="Times New Roman" w:eastAsia="Times New Roman" w:hAnsi="Times New Roman"/>
                <w:sz w:val="18"/>
                <w:szCs w:val="18"/>
                <w:color w:val="auto"/>
                <w:w w:val="97"/>
              </w:rPr>
              <w:t>(360)</w:t>
            </w:r>
          </w:p>
        </w:tc>
        <w:tc>
          <w:tcPr>
            <w:tcW w:w="40" w:type="dxa"/>
            <w:vAlign w:val="bottom"/>
            <w:tcBorders>
              <w:bottom w:val="single" w:sz="8" w:color="0C479D"/>
            </w:tcBorders>
            <w:shd w:val="clear" w:color="auto" w:fill="F0F0F0"/>
          </w:tcPr>
          <w:p>
            <w:pPr>
              <w:spacing w:after="0"/>
              <w:rPr>
                <w:sz w:val="20"/>
                <w:szCs w:val="20"/>
                <w:color w:val="auto"/>
              </w:rPr>
            </w:pPr>
          </w:p>
        </w:tc>
        <w:tc>
          <w:tcPr>
            <w:tcW w:w="40" w:type="dxa"/>
            <w:vAlign w:val="bottom"/>
            <w:tcBorders>
              <w:bottom w:val="single" w:sz="8" w:color="0C479D"/>
            </w:tcBorders>
            <w:shd w:val="clear" w:color="auto" w:fill="F0F0F0"/>
          </w:tcPr>
          <w:p>
            <w:pPr>
              <w:spacing w:after="0"/>
              <w:rPr>
                <w:sz w:val="20"/>
                <w:szCs w:val="20"/>
                <w:color w:val="auto"/>
              </w:rPr>
            </w:pPr>
          </w:p>
        </w:tc>
        <w:tc>
          <w:tcPr>
            <w:tcW w:w="60" w:type="dxa"/>
            <w:vAlign w:val="bottom"/>
            <w:tcBorders>
              <w:bottom w:val="single" w:sz="8" w:color="0C479D"/>
            </w:tcBorders>
            <w:shd w:val="clear" w:color="auto" w:fill="F0F0F0"/>
          </w:tcPr>
          <w:p>
            <w:pPr>
              <w:spacing w:after="0"/>
              <w:rPr>
                <w:sz w:val="20"/>
                <w:szCs w:val="20"/>
                <w:color w:val="auto"/>
              </w:rPr>
            </w:pPr>
          </w:p>
        </w:tc>
        <w:tc>
          <w:tcPr>
            <w:tcW w:w="600" w:type="dxa"/>
            <w:vAlign w:val="bottom"/>
            <w:tcBorders>
              <w:bottom w:val="single" w:sz="8" w:color="0C479D"/>
            </w:tcBorders>
            <w:gridSpan w:val="2"/>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60" w:type="dxa"/>
            <w:vAlign w:val="bottom"/>
            <w:tcBorders>
              <w:bottom w:val="single" w:sz="8" w:color="0C479D"/>
            </w:tcBorders>
            <w:shd w:val="clear" w:color="auto" w:fill="F0F0F0"/>
          </w:tcPr>
          <w:p>
            <w:pPr>
              <w:spacing w:after="0"/>
              <w:rPr>
                <w:sz w:val="20"/>
                <w:szCs w:val="20"/>
                <w:color w:val="auto"/>
              </w:rPr>
            </w:pPr>
          </w:p>
        </w:tc>
        <w:tc>
          <w:tcPr>
            <w:tcW w:w="40" w:type="dxa"/>
            <w:vAlign w:val="bottom"/>
            <w:tcBorders>
              <w:bottom w:val="single" w:sz="8" w:color="0C479D"/>
            </w:tcBorders>
            <w:shd w:val="clear" w:color="auto" w:fill="F0F0F0"/>
          </w:tcPr>
          <w:p>
            <w:pPr>
              <w:spacing w:after="0"/>
              <w:rPr>
                <w:sz w:val="20"/>
                <w:szCs w:val="20"/>
                <w:color w:val="auto"/>
              </w:rPr>
            </w:pPr>
          </w:p>
        </w:tc>
        <w:tc>
          <w:tcPr>
            <w:tcW w:w="40" w:type="dxa"/>
            <w:vAlign w:val="bottom"/>
            <w:tcBorders>
              <w:bottom w:val="single" w:sz="8" w:color="0C479D"/>
            </w:tcBorders>
            <w:shd w:val="clear" w:color="auto" w:fill="F0F0F0"/>
          </w:tcPr>
          <w:p>
            <w:pPr>
              <w:spacing w:after="0"/>
              <w:rPr>
                <w:sz w:val="20"/>
                <w:szCs w:val="20"/>
                <w:color w:val="auto"/>
              </w:rPr>
            </w:pPr>
          </w:p>
        </w:tc>
        <w:tc>
          <w:tcPr>
            <w:tcW w:w="620" w:type="dxa"/>
            <w:vAlign w:val="bottom"/>
            <w:tcBorders>
              <w:bottom w:val="single" w:sz="8" w:color="0C479D"/>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tcBorders>
              <w:bottom w:val="single" w:sz="8" w:color="0C479D"/>
            </w:tcBorders>
          </w:tcPr>
          <w:p>
            <w:pPr>
              <w:spacing w:after="0"/>
              <w:rPr>
                <w:sz w:val="20"/>
                <w:szCs w:val="20"/>
                <w:color w:val="auto"/>
              </w:rPr>
            </w:pPr>
          </w:p>
        </w:tc>
        <w:tc>
          <w:tcPr>
            <w:tcW w:w="140" w:type="dxa"/>
            <w:vAlign w:val="bottom"/>
            <w:tcBorders>
              <w:bottom w:val="single" w:sz="8" w:color="0C479D"/>
            </w:tcBorders>
          </w:tcPr>
          <w:p>
            <w:pPr>
              <w:spacing w:after="0"/>
              <w:rPr>
                <w:sz w:val="20"/>
                <w:szCs w:val="20"/>
                <w:color w:val="auto"/>
              </w:rPr>
            </w:pPr>
          </w:p>
        </w:tc>
        <w:tc>
          <w:tcPr>
            <w:tcW w:w="6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60" w:type="dxa"/>
            <w:vAlign w:val="bottom"/>
            <w:tcBorders>
              <w:bottom w:val="single" w:sz="8" w:color="0C479D"/>
            </w:tcBorders>
          </w:tcPr>
          <w:p>
            <w:pPr>
              <w:spacing w:after="0"/>
              <w:rPr>
                <w:sz w:val="20"/>
                <w:szCs w:val="20"/>
                <w:color w:val="auto"/>
              </w:rPr>
            </w:pPr>
          </w:p>
        </w:tc>
        <w:tc>
          <w:tcPr>
            <w:tcW w:w="720" w:type="dxa"/>
            <w:vAlign w:val="bottom"/>
            <w:tcBorders>
              <w:bottom w:val="single" w:sz="8" w:color="0C479D"/>
            </w:tcBorders>
          </w:tcPr>
          <w:p>
            <w:pPr>
              <w:ind w:left="220"/>
              <w:spacing w:after="0"/>
              <w:rPr>
                <w:sz w:val="20"/>
                <w:szCs w:val="20"/>
                <w:color w:val="auto"/>
              </w:rPr>
            </w:pPr>
            <w:r>
              <w:rPr>
                <w:rFonts w:ascii="Times New Roman" w:cs="Times New Roman" w:eastAsia="Times New Roman" w:hAnsi="Times New Roman"/>
                <w:sz w:val="18"/>
                <w:szCs w:val="18"/>
                <w:color w:val="auto"/>
              </w:rPr>
              <w:t>(812)</w:t>
            </w:r>
          </w:p>
        </w:tc>
        <w:tc>
          <w:tcPr>
            <w:tcW w:w="6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160" w:type="dxa"/>
            <w:vAlign w:val="bottom"/>
            <w:tcBorders>
              <w:bottom w:val="single" w:sz="8" w:color="0C479D"/>
            </w:tcBorders>
          </w:tcPr>
          <w:p>
            <w:pPr>
              <w:spacing w:after="0"/>
              <w:rPr>
                <w:sz w:val="20"/>
                <w:szCs w:val="20"/>
                <w:color w:val="auto"/>
              </w:rPr>
            </w:pPr>
          </w:p>
        </w:tc>
        <w:tc>
          <w:tcPr>
            <w:tcW w:w="6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800" w:type="dxa"/>
            <w:vAlign w:val="bottom"/>
            <w:tcBorders>
              <w:bottom w:val="single" w:sz="8" w:color="0C479D"/>
            </w:tcBorders>
          </w:tcPr>
          <w:p>
            <w:pPr>
              <w:jc w:val="right"/>
              <w:ind w:right="15"/>
              <w:spacing w:after="0"/>
              <w:rPr>
                <w:sz w:val="20"/>
                <w:szCs w:val="20"/>
                <w:color w:val="auto"/>
              </w:rPr>
            </w:pPr>
            <w:r>
              <w:rPr>
                <w:rFonts w:ascii="Times New Roman" w:cs="Times New Roman" w:eastAsia="Times New Roman" w:hAnsi="Times New Roman"/>
                <w:sz w:val="18"/>
                <w:szCs w:val="18"/>
                <w:color w:val="auto"/>
              </w:rPr>
              <w:t>(3,238)</w:t>
            </w:r>
          </w:p>
        </w:tc>
        <w:tc>
          <w:tcPr>
            <w:tcW w:w="6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0" w:type="dxa"/>
            <w:vAlign w:val="bottom"/>
          </w:tcPr>
          <w:p>
            <w:pPr>
              <w:spacing w:after="0"/>
              <w:rPr>
                <w:sz w:val="1"/>
                <w:szCs w:val="1"/>
                <w:color w:val="auto"/>
              </w:rPr>
            </w:pPr>
          </w:p>
        </w:tc>
      </w:tr>
      <w:tr>
        <w:trPr>
          <w:trHeight w:val="295"/>
        </w:trPr>
        <w:tc>
          <w:tcPr>
            <w:tcW w:w="2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excluding Identified</w:t>
            </w:r>
          </w:p>
        </w:tc>
        <w:tc>
          <w:tcPr>
            <w:tcW w:w="660" w:type="dxa"/>
            <w:vAlign w:val="bottom"/>
            <w:gridSpan w:val="2"/>
            <w:vMerge w:val="restart"/>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6,786</w:t>
            </w:r>
          </w:p>
        </w:tc>
        <w:tc>
          <w:tcPr>
            <w:tcW w:w="40" w:type="dxa"/>
            <w:vAlign w:val="bottom"/>
            <w:shd w:val="clear" w:color="auto" w:fill="F0F0F0"/>
          </w:tcPr>
          <w:p>
            <w:pPr>
              <w:spacing w:after="0"/>
              <w:rPr>
                <w:sz w:val="24"/>
                <w:szCs w:val="24"/>
                <w:color w:val="auto"/>
              </w:rPr>
            </w:pPr>
          </w:p>
        </w:tc>
        <w:tc>
          <w:tcPr>
            <w:tcW w:w="40" w:type="dxa"/>
            <w:vAlign w:val="bottom"/>
            <w:shd w:val="clear" w:color="auto" w:fill="F0F0F0"/>
          </w:tcPr>
          <w:p>
            <w:pPr>
              <w:spacing w:after="0"/>
              <w:rPr>
                <w:sz w:val="24"/>
                <w:szCs w:val="24"/>
                <w:color w:val="auto"/>
              </w:rPr>
            </w:pPr>
          </w:p>
        </w:tc>
        <w:tc>
          <w:tcPr>
            <w:tcW w:w="60" w:type="dxa"/>
            <w:vAlign w:val="bottom"/>
            <w:shd w:val="clear" w:color="auto" w:fill="F0F0F0"/>
          </w:tcPr>
          <w:p>
            <w:pPr>
              <w:spacing w:after="0"/>
              <w:rPr>
                <w:sz w:val="24"/>
                <w:szCs w:val="24"/>
                <w:color w:val="auto"/>
              </w:rPr>
            </w:pPr>
          </w:p>
        </w:tc>
        <w:tc>
          <w:tcPr>
            <w:tcW w:w="600" w:type="dxa"/>
            <w:vAlign w:val="bottom"/>
            <w:gridSpan w:val="2"/>
            <w:vMerge w:val="restart"/>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18,389</w:t>
            </w:r>
          </w:p>
        </w:tc>
        <w:tc>
          <w:tcPr>
            <w:tcW w:w="60" w:type="dxa"/>
            <w:vAlign w:val="bottom"/>
            <w:shd w:val="clear" w:color="auto" w:fill="F0F0F0"/>
          </w:tcPr>
          <w:p>
            <w:pPr>
              <w:spacing w:after="0"/>
              <w:rPr>
                <w:sz w:val="24"/>
                <w:szCs w:val="24"/>
                <w:color w:val="auto"/>
              </w:rPr>
            </w:pPr>
          </w:p>
        </w:tc>
        <w:tc>
          <w:tcPr>
            <w:tcW w:w="40" w:type="dxa"/>
            <w:vAlign w:val="bottom"/>
            <w:shd w:val="clear" w:color="auto" w:fill="F0F0F0"/>
          </w:tcPr>
          <w:p>
            <w:pPr>
              <w:spacing w:after="0"/>
              <w:rPr>
                <w:sz w:val="24"/>
                <w:szCs w:val="24"/>
                <w:color w:val="auto"/>
              </w:rPr>
            </w:pPr>
          </w:p>
        </w:tc>
        <w:tc>
          <w:tcPr>
            <w:tcW w:w="40" w:type="dxa"/>
            <w:vAlign w:val="bottom"/>
            <w:shd w:val="clear" w:color="auto" w:fill="F0F0F0"/>
          </w:tcPr>
          <w:p>
            <w:pPr>
              <w:spacing w:after="0"/>
              <w:rPr>
                <w:sz w:val="24"/>
                <w:szCs w:val="24"/>
                <w:color w:val="auto"/>
              </w:rPr>
            </w:pPr>
          </w:p>
        </w:tc>
        <w:tc>
          <w:tcPr>
            <w:tcW w:w="620" w:type="dxa"/>
            <w:vAlign w:val="bottom"/>
            <w:tcBorders>
              <w:right w:val="single" w:sz="8" w:color="F0F0F0"/>
            </w:tcBorders>
            <w:vMerge w:val="restart"/>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25,175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vMerge w:val="restart"/>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5,691</w:t>
            </w:r>
          </w:p>
        </w:tc>
        <w:tc>
          <w:tcPr>
            <w:tcW w:w="60" w:type="dxa"/>
            <w:vAlign w:val="bottom"/>
          </w:tcPr>
          <w:p>
            <w:pPr>
              <w:spacing w:after="0"/>
              <w:rPr>
                <w:sz w:val="24"/>
                <w:szCs w:val="24"/>
                <w:color w:val="auto"/>
              </w:rPr>
            </w:pPr>
          </w:p>
        </w:tc>
        <w:tc>
          <w:tcPr>
            <w:tcW w:w="720" w:type="dxa"/>
            <w:vAlign w:val="bottom"/>
            <w:vMerge w:val="restart"/>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17,918</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23,609</w:t>
            </w:r>
          </w:p>
        </w:tc>
        <w:tc>
          <w:tcPr>
            <w:tcW w:w="160" w:type="dxa"/>
            <w:vAlign w:val="bottom"/>
          </w:tcPr>
          <w:p>
            <w:pPr>
              <w:spacing w:after="0"/>
              <w:rPr>
                <w:sz w:val="24"/>
                <w:szCs w:val="2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11,429</w:t>
            </w:r>
          </w:p>
        </w:tc>
        <w:tc>
          <w:tcPr>
            <w:tcW w:w="800" w:type="dxa"/>
            <w:vAlign w:val="bottom"/>
            <w:vMerge w:val="restart"/>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27,989</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39,418</w:t>
            </w:r>
          </w:p>
        </w:tc>
        <w:tc>
          <w:tcPr>
            <w:tcW w:w="0" w:type="dxa"/>
            <w:vAlign w:val="bottom"/>
          </w:tcPr>
          <w:p>
            <w:pPr>
              <w:spacing w:after="0"/>
              <w:rPr>
                <w:sz w:val="1"/>
                <w:szCs w:val="1"/>
                <w:color w:val="auto"/>
              </w:rPr>
            </w:pPr>
          </w:p>
        </w:tc>
      </w:tr>
      <w:tr>
        <w:trPr>
          <w:trHeight w:val="103"/>
        </w:trPr>
        <w:tc>
          <w:tcPr>
            <w:tcW w:w="2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Items </w:t>
            </w:r>
            <w:r>
              <w:rPr>
                <w:rFonts w:ascii="Times New Roman" w:cs="Times New Roman" w:eastAsia="Times New Roman" w:hAnsi="Times New Roman"/>
                <w:sz w:val="18"/>
                <w:szCs w:val="18"/>
                <w:color w:val="auto"/>
              </w:rPr>
              <w:t>(Non-GAAP)</w:t>
            </w: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gridSpan w:val="2"/>
            <w:vMerge w:val="continue"/>
            <w:shd w:val="clear" w:color="auto" w:fill="F0F0F0"/>
          </w:tcPr>
          <w:p>
            <w:pPr>
              <w:spacing w:after="0"/>
              <w:rPr>
                <w:sz w:val="8"/>
                <w:szCs w:val="8"/>
                <w:color w:val="auto"/>
              </w:rPr>
            </w:pPr>
          </w:p>
        </w:tc>
        <w:tc>
          <w:tcPr>
            <w:tcW w:w="40" w:type="dxa"/>
            <w:vAlign w:val="bottom"/>
            <w:shd w:val="clear" w:color="auto" w:fill="F0F0F0"/>
          </w:tcPr>
          <w:p>
            <w:pPr>
              <w:spacing w:after="0"/>
              <w:rPr>
                <w:sz w:val="8"/>
                <w:szCs w:val="8"/>
                <w:color w:val="auto"/>
              </w:rPr>
            </w:pPr>
          </w:p>
        </w:tc>
        <w:tc>
          <w:tcPr>
            <w:tcW w:w="40" w:type="dxa"/>
            <w:vAlign w:val="bottom"/>
            <w:shd w:val="clear" w:color="auto" w:fill="F0F0F0"/>
          </w:tcPr>
          <w:p>
            <w:pPr>
              <w:spacing w:after="0"/>
              <w:rPr>
                <w:sz w:val="8"/>
                <w:szCs w:val="8"/>
                <w:color w:val="auto"/>
              </w:rPr>
            </w:pPr>
          </w:p>
        </w:tc>
        <w:tc>
          <w:tcPr>
            <w:tcW w:w="60" w:type="dxa"/>
            <w:vAlign w:val="bottom"/>
            <w:shd w:val="clear" w:color="auto" w:fill="F0F0F0"/>
          </w:tcPr>
          <w:p>
            <w:pPr>
              <w:spacing w:after="0"/>
              <w:rPr>
                <w:sz w:val="8"/>
                <w:szCs w:val="8"/>
                <w:color w:val="auto"/>
              </w:rPr>
            </w:pPr>
          </w:p>
        </w:tc>
        <w:tc>
          <w:tcPr>
            <w:tcW w:w="600" w:type="dxa"/>
            <w:vAlign w:val="bottom"/>
            <w:gridSpan w:val="2"/>
            <w:vMerge w:val="continue"/>
            <w:shd w:val="clear" w:color="auto" w:fill="F0F0F0"/>
          </w:tcPr>
          <w:p>
            <w:pPr>
              <w:spacing w:after="0"/>
              <w:rPr>
                <w:sz w:val="8"/>
                <w:szCs w:val="8"/>
                <w:color w:val="auto"/>
              </w:rPr>
            </w:pPr>
          </w:p>
        </w:tc>
        <w:tc>
          <w:tcPr>
            <w:tcW w:w="60" w:type="dxa"/>
            <w:vAlign w:val="bottom"/>
            <w:shd w:val="clear" w:color="auto" w:fill="F0F0F0"/>
          </w:tcPr>
          <w:p>
            <w:pPr>
              <w:spacing w:after="0"/>
              <w:rPr>
                <w:sz w:val="8"/>
                <w:szCs w:val="8"/>
                <w:color w:val="auto"/>
              </w:rPr>
            </w:pPr>
          </w:p>
        </w:tc>
        <w:tc>
          <w:tcPr>
            <w:tcW w:w="40" w:type="dxa"/>
            <w:vAlign w:val="bottom"/>
            <w:shd w:val="clear" w:color="auto" w:fill="F0F0F0"/>
          </w:tcPr>
          <w:p>
            <w:pPr>
              <w:spacing w:after="0"/>
              <w:rPr>
                <w:sz w:val="8"/>
                <w:szCs w:val="8"/>
                <w:color w:val="auto"/>
              </w:rPr>
            </w:pPr>
          </w:p>
        </w:tc>
        <w:tc>
          <w:tcPr>
            <w:tcW w:w="40" w:type="dxa"/>
            <w:vAlign w:val="bottom"/>
            <w:shd w:val="clear" w:color="auto" w:fill="F0F0F0"/>
          </w:tcPr>
          <w:p>
            <w:pPr>
              <w:spacing w:after="0"/>
              <w:rPr>
                <w:sz w:val="8"/>
                <w:szCs w:val="8"/>
                <w:color w:val="auto"/>
              </w:rPr>
            </w:pPr>
          </w:p>
        </w:tc>
        <w:tc>
          <w:tcPr>
            <w:tcW w:w="620" w:type="dxa"/>
            <w:vAlign w:val="bottom"/>
            <w:tcBorders>
              <w:right w:val="single" w:sz="8" w:color="F0F0F0"/>
            </w:tcBorders>
            <w:vMerge w:val="continue"/>
            <w:shd w:val="clear" w:color="auto" w:fill="F0F0F0"/>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214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F0F0F0"/>
              <w:right w:val="single" w:sz="8" w:color="F0F0F0"/>
            </w:tcBorders>
            <w:shd w:val="clear" w:color="auto" w:fill="F0F0F0"/>
          </w:tcPr>
          <w:p>
            <w:pPr>
              <w:spacing w:after="0"/>
              <w:rPr>
                <w:sz w:val="15"/>
                <w:szCs w:val="15"/>
                <w:color w:val="auto"/>
              </w:rPr>
            </w:pPr>
          </w:p>
        </w:tc>
        <w:tc>
          <w:tcPr>
            <w:tcW w:w="540" w:type="dxa"/>
            <w:vAlign w:val="bottom"/>
            <w:tcBorders>
              <w:bottom w:val="single" w:sz="8" w:color="F0F0F0"/>
            </w:tcBorders>
            <w:shd w:val="clear" w:color="auto" w:fill="F0F0F0"/>
          </w:tcPr>
          <w:p>
            <w:pPr>
              <w:spacing w:after="0"/>
              <w:rPr>
                <w:sz w:val="15"/>
                <w:szCs w:val="15"/>
                <w:color w:val="auto"/>
              </w:rPr>
            </w:pPr>
          </w:p>
        </w:tc>
        <w:tc>
          <w:tcPr>
            <w:tcW w:w="40" w:type="dxa"/>
            <w:vAlign w:val="bottom"/>
            <w:tcBorders>
              <w:bottom w:val="single" w:sz="8" w:color="F0F0F0"/>
            </w:tcBorders>
            <w:shd w:val="clear" w:color="auto" w:fill="F0F0F0"/>
          </w:tcPr>
          <w:p>
            <w:pPr>
              <w:spacing w:after="0"/>
              <w:rPr>
                <w:sz w:val="15"/>
                <w:szCs w:val="15"/>
                <w:color w:val="auto"/>
              </w:rPr>
            </w:pPr>
          </w:p>
        </w:tc>
        <w:tc>
          <w:tcPr>
            <w:tcW w:w="40" w:type="dxa"/>
            <w:vAlign w:val="bottom"/>
            <w:tcBorders>
              <w:bottom w:val="single" w:sz="8" w:color="F0F0F0"/>
            </w:tcBorders>
            <w:shd w:val="clear" w:color="auto" w:fill="F0F0F0"/>
          </w:tcPr>
          <w:p>
            <w:pPr>
              <w:spacing w:after="0"/>
              <w:rPr>
                <w:sz w:val="15"/>
                <w:szCs w:val="15"/>
                <w:color w:val="auto"/>
              </w:rPr>
            </w:pPr>
          </w:p>
        </w:tc>
        <w:tc>
          <w:tcPr>
            <w:tcW w:w="60" w:type="dxa"/>
            <w:vAlign w:val="bottom"/>
            <w:tcBorders>
              <w:bottom w:val="single" w:sz="8" w:color="F0F0F0"/>
            </w:tcBorders>
            <w:shd w:val="clear" w:color="auto" w:fill="F0F0F0"/>
          </w:tcPr>
          <w:p>
            <w:pPr>
              <w:spacing w:after="0"/>
              <w:rPr>
                <w:sz w:val="15"/>
                <w:szCs w:val="15"/>
                <w:color w:val="auto"/>
              </w:rPr>
            </w:pPr>
          </w:p>
        </w:tc>
        <w:tc>
          <w:tcPr>
            <w:tcW w:w="40" w:type="dxa"/>
            <w:vAlign w:val="bottom"/>
            <w:tcBorders>
              <w:bottom w:val="single" w:sz="8" w:color="F0F0F0"/>
            </w:tcBorders>
            <w:shd w:val="clear" w:color="auto" w:fill="F0F0F0"/>
          </w:tcPr>
          <w:p>
            <w:pPr>
              <w:spacing w:after="0"/>
              <w:rPr>
                <w:sz w:val="15"/>
                <w:szCs w:val="15"/>
                <w:color w:val="auto"/>
              </w:rPr>
            </w:pPr>
          </w:p>
        </w:tc>
        <w:tc>
          <w:tcPr>
            <w:tcW w:w="560" w:type="dxa"/>
            <w:vAlign w:val="bottom"/>
            <w:tcBorders>
              <w:bottom w:val="single" w:sz="8" w:color="F0F0F0"/>
            </w:tcBorders>
            <w:shd w:val="clear" w:color="auto" w:fill="F0F0F0"/>
          </w:tcPr>
          <w:p>
            <w:pPr>
              <w:spacing w:after="0"/>
              <w:rPr>
                <w:sz w:val="15"/>
                <w:szCs w:val="15"/>
                <w:color w:val="auto"/>
              </w:rPr>
            </w:pPr>
          </w:p>
        </w:tc>
        <w:tc>
          <w:tcPr>
            <w:tcW w:w="60" w:type="dxa"/>
            <w:vAlign w:val="bottom"/>
            <w:tcBorders>
              <w:bottom w:val="single" w:sz="8" w:color="F0F0F0"/>
            </w:tcBorders>
            <w:shd w:val="clear" w:color="auto" w:fill="F0F0F0"/>
          </w:tcPr>
          <w:p>
            <w:pPr>
              <w:spacing w:after="0"/>
              <w:rPr>
                <w:sz w:val="15"/>
                <w:szCs w:val="15"/>
                <w:color w:val="auto"/>
              </w:rPr>
            </w:pPr>
          </w:p>
        </w:tc>
        <w:tc>
          <w:tcPr>
            <w:tcW w:w="40" w:type="dxa"/>
            <w:vAlign w:val="bottom"/>
            <w:tcBorders>
              <w:bottom w:val="single" w:sz="8" w:color="F0F0F0"/>
            </w:tcBorders>
            <w:shd w:val="clear" w:color="auto" w:fill="F0F0F0"/>
          </w:tcPr>
          <w:p>
            <w:pPr>
              <w:spacing w:after="0"/>
              <w:rPr>
                <w:sz w:val="15"/>
                <w:szCs w:val="15"/>
                <w:color w:val="auto"/>
              </w:rPr>
            </w:pPr>
          </w:p>
        </w:tc>
        <w:tc>
          <w:tcPr>
            <w:tcW w:w="40" w:type="dxa"/>
            <w:vAlign w:val="bottom"/>
            <w:tcBorders>
              <w:bottom w:val="single" w:sz="8" w:color="F0F0F0"/>
            </w:tcBorders>
            <w:shd w:val="clear" w:color="auto" w:fill="F0F0F0"/>
          </w:tcPr>
          <w:p>
            <w:pPr>
              <w:spacing w:after="0"/>
              <w:rPr>
                <w:sz w:val="15"/>
                <w:szCs w:val="15"/>
                <w:color w:val="auto"/>
              </w:rPr>
            </w:pPr>
          </w:p>
        </w:tc>
        <w:tc>
          <w:tcPr>
            <w:tcW w:w="620" w:type="dxa"/>
            <w:vAlign w:val="bottom"/>
            <w:tcBorders>
              <w:bottom w:val="single" w:sz="8" w:color="F0F0F0"/>
              <w:right w:val="single" w:sz="8" w:color="F0F0F0"/>
            </w:tcBorders>
            <w:shd w:val="clear" w:color="auto" w:fill="F0F0F0"/>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6"/>
        </w:trPr>
        <w:tc>
          <w:tcPr>
            <w:tcW w:w="2140" w:type="dxa"/>
            <w:vAlign w:val="bottom"/>
            <w:tcBorders>
              <w:top w:val="single" w:sz="8" w:color="0C479D"/>
            </w:tcBorders>
          </w:tcPr>
          <w:p>
            <w:pPr>
              <w:spacing w:after="0"/>
              <w:rPr>
                <w:sz w:val="24"/>
                <w:szCs w:val="24"/>
                <w:color w:val="auto"/>
              </w:rPr>
            </w:pPr>
          </w:p>
        </w:tc>
        <w:tc>
          <w:tcPr>
            <w:tcW w:w="680" w:type="dxa"/>
            <w:vAlign w:val="bottom"/>
            <w:tcBorders>
              <w:top w:val="single" w:sz="8" w:color="0C479D"/>
            </w:tcBorders>
          </w:tcPr>
          <w:p>
            <w:pPr>
              <w:spacing w:after="0"/>
              <w:rPr>
                <w:sz w:val="24"/>
                <w:szCs w:val="24"/>
                <w:color w:val="auto"/>
              </w:rPr>
            </w:pPr>
          </w:p>
        </w:tc>
        <w:tc>
          <w:tcPr>
            <w:tcW w:w="80" w:type="dxa"/>
            <w:vAlign w:val="bottom"/>
            <w:tcBorders>
              <w:top w:val="single" w:sz="8" w:color="0C479D"/>
            </w:tcBorders>
          </w:tcPr>
          <w:p>
            <w:pPr>
              <w:spacing w:after="0"/>
              <w:rPr>
                <w:sz w:val="24"/>
                <w:szCs w:val="24"/>
                <w:color w:val="auto"/>
              </w:rPr>
            </w:pPr>
          </w:p>
        </w:tc>
        <w:tc>
          <w:tcPr>
            <w:tcW w:w="40" w:type="dxa"/>
            <w:vAlign w:val="bottom"/>
            <w:tcBorders>
              <w:top w:val="single" w:sz="8" w:color="0C479D"/>
            </w:tcBorders>
          </w:tcPr>
          <w:p>
            <w:pPr>
              <w:spacing w:after="0"/>
              <w:rPr>
                <w:sz w:val="24"/>
                <w:szCs w:val="24"/>
                <w:color w:val="auto"/>
              </w:rPr>
            </w:pPr>
          </w:p>
        </w:tc>
        <w:tc>
          <w:tcPr>
            <w:tcW w:w="120" w:type="dxa"/>
            <w:vAlign w:val="bottom"/>
            <w:tcBorders>
              <w:top w:val="single" w:sz="8" w:color="0C479D"/>
            </w:tcBorders>
          </w:tcPr>
          <w:p>
            <w:pPr>
              <w:spacing w:after="0"/>
              <w:rPr>
                <w:sz w:val="24"/>
                <w:szCs w:val="24"/>
                <w:color w:val="auto"/>
              </w:rPr>
            </w:pPr>
          </w:p>
        </w:tc>
        <w:tc>
          <w:tcPr>
            <w:tcW w:w="540" w:type="dxa"/>
            <w:vAlign w:val="bottom"/>
            <w:tcBorders>
              <w:top w:val="single" w:sz="8" w:color="0C479D"/>
            </w:tcBorders>
          </w:tcPr>
          <w:p>
            <w:pPr>
              <w:spacing w:after="0"/>
              <w:rPr>
                <w:sz w:val="24"/>
                <w:szCs w:val="24"/>
                <w:color w:val="auto"/>
              </w:rPr>
            </w:pPr>
          </w:p>
        </w:tc>
        <w:tc>
          <w:tcPr>
            <w:tcW w:w="40" w:type="dxa"/>
            <w:vAlign w:val="bottom"/>
            <w:tcBorders>
              <w:top w:val="single" w:sz="8" w:color="0C479D"/>
            </w:tcBorders>
          </w:tcPr>
          <w:p>
            <w:pPr>
              <w:spacing w:after="0"/>
              <w:rPr>
                <w:sz w:val="24"/>
                <w:szCs w:val="24"/>
                <w:color w:val="auto"/>
              </w:rPr>
            </w:pPr>
          </w:p>
        </w:tc>
        <w:tc>
          <w:tcPr>
            <w:tcW w:w="40" w:type="dxa"/>
            <w:vAlign w:val="bottom"/>
            <w:tcBorders>
              <w:top w:val="single" w:sz="8" w:color="0C479D"/>
            </w:tcBorders>
          </w:tcPr>
          <w:p>
            <w:pPr>
              <w:spacing w:after="0"/>
              <w:rPr>
                <w:sz w:val="24"/>
                <w:szCs w:val="24"/>
                <w:color w:val="auto"/>
              </w:rPr>
            </w:pPr>
          </w:p>
        </w:tc>
        <w:tc>
          <w:tcPr>
            <w:tcW w:w="60" w:type="dxa"/>
            <w:vAlign w:val="bottom"/>
            <w:tcBorders>
              <w:top w:val="single" w:sz="8" w:color="0C479D"/>
            </w:tcBorders>
          </w:tcPr>
          <w:p>
            <w:pPr>
              <w:spacing w:after="0"/>
              <w:rPr>
                <w:sz w:val="24"/>
                <w:szCs w:val="24"/>
                <w:color w:val="auto"/>
              </w:rPr>
            </w:pPr>
          </w:p>
        </w:tc>
        <w:tc>
          <w:tcPr>
            <w:tcW w:w="40" w:type="dxa"/>
            <w:vAlign w:val="bottom"/>
            <w:tcBorders>
              <w:top w:val="single" w:sz="8" w:color="0C479D"/>
            </w:tcBorders>
          </w:tcPr>
          <w:p>
            <w:pPr>
              <w:spacing w:after="0"/>
              <w:rPr>
                <w:sz w:val="24"/>
                <w:szCs w:val="24"/>
                <w:color w:val="auto"/>
              </w:rPr>
            </w:pPr>
          </w:p>
        </w:tc>
        <w:tc>
          <w:tcPr>
            <w:tcW w:w="560" w:type="dxa"/>
            <w:vAlign w:val="bottom"/>
            <w:tcBorders>
              <w:top w:val="single" w:sz="8" w:color="0C479D"/>
            </w:tcBorders>
          </w:tcPr>
          <w:p>
            <w:pPr>
              <w:spacing w:after="0"/>
              <w:rPr>
                <w:sz w:val="24"/>
                <w:szCs w:val="24"/>
                <w:color w:val="auto"/>
              </w:rPr>
            </w:pPr>
          </w:p>
        </w:tc>
        <w:tc>
          <w:tcPr>
            <w:tcW w:w="60" w:type="dxa"/>
            <w:vAlign w:val="bottom"/>
            <w:tcBorders>
              <w:top w:val="single" w:sz="8" w:color="0C479D"/>
            </w:tcBorders>
          </w:tcPr>
          <w:p>
            <w:pPr>
              <w:spacing w:after="0"/>
              <w:rPr>
                <w:sz w:val="24"/>
                <w:szCs w:val="24"/>
                <w:color w:val="auto"/>
              </w:rPr>
            </w:pPr>
          </w:p>
        </w:tc>
        <w:tc>
          <w:tcPr>
            <w:tcW w:w="40" w:type="dxa"/>
            <w:vAlign w:val="bottom"/>
            <w:tcBorders>
              <w:top w:val="single" w:sz="8" w:color="0C479D"/>
            </w:tcBorders>
          </w:tcPr>
          <w:p>
            <w:pPr>
              <w:spacing w:after="0"/>
              <w:rPr>
                <w:sz w:val="24"/>
                <w:szCs w:val="24"/>
                <w:color w:val="auto"/>
              </w:rPr>
            </w:pPr>
          </w:p>
        </w:tc>
        <w:tc>
          <w:tcPr>
            <w:tcW w:w="40" w:type="dxa"/>
            <w:vAlign w:val="bottom"/>
            <w:tcBorders>
              <w:top w:val="single" w:sz="8" w:color="0C479D"/>
            </w:tcBorders>
          </w:tcPr>
          <w:p>
            <w:pPr>
              <w:spacing w:after="0"/>
              <w:rPr>
                <w:sz w:val="24"/>
                <w:szCs w:val="24"/>
                <w:color w:val="auto"/>
              </w:rPr>
            </w:pPr>
          </w:p>
        </w:tc>
        <w:tc>
          <w:tcPr>
            <w:tcW w:w="620" w:type="dxa"/>
            <w:vAlign w:val="bottom"/>
            <w:tcBorders>
              <w:top w:val="single" w:sz="8" w:color="0C479D"/>
            </w:tcBorders>
          </w:tcPr>
          <w:p>
            <w:pPr>
              <w:spacing w:after="0"/>
              <w:rPr>
                <w:sz w:val="24"/>
                <w:szCs w:val="24"/>
                <w:color w:val="auto"/>
              </w:rPr>
            </w:pPr>
          </w:p>
        </w:tc>
        <w:tc>
          <w:tcPr>
            <w:tcW w:w="80" w:type="dxa"/>
            <w:vAlign w:val="bottom"/>
            <w:tcBorders>
              <w:top w:val="single" w:sz="8" w:color="0C479D"/>
            </w:tcBorders>
          </w:tcPr>
          <w:p>
            <w:pPr>
              <w:spacing w:after="0"/>
              <w:rPr>
                <w:sz w:val="24"/>
                <w:szCs w:val="24"/>
                <w:color w:val="auto"/>
              </w:rPr>
            </w:pPr>
          </w:p>
        </w:tc>
        <w:tc>
          <w:tcPr>
            <w:tcW w:w="140" w:type="dxa"/>
            <w:vAlign w:val="bottom"/>
            <w:tcBorders>
              <w:top w:val="single" w:sz="8" w:color="0C479D"/>
            </w:tcBorders>
          </w:tcPr>
          <w:p>
            <w:pPr>
              <w:spacing w:after="0"/>
              <w:rPr>
                <w:sz w:val="24"/>
                <w:szCs w:val="24"/>
                <w:color w:val="auto"/>
              </w:rPr>
            </w:pPr>
          </w:p>
        </w:tc>
        <w:tc>
          <w:tcPr>
            <w:tcW w:w="660" w:type="dxa"/>
            <w:vAlign w:val="bottom"/>
            <w:tcBorders>
              <w:top w:val="single" w:sz="8" w:color="0C479D"/>
            </w:tcBorders>
          </w:tcPr>
          <w:p>
            <w:pPr>
              <w:spacing w:after="0"/>
              <w:rPr>
                <w:sz w:val="24"/>
                <w:szCs w:val="24"/>
                <w:color w:val="auto"/>
              </w:rPr>
            </w:pPr>
          </w:p>
        </w:tc>
        <w:tc>
          <w:tcPr>
            <w:tcW w:w="60" w:type="dxa"/>
            <w:vAlign w:val="bottom"/>
            <w:tcBorders>
              <w:top w:val="single" w:sz="8" w:color="0C479D"/>
            </w:tcBorders>
          </w:tcPr>
          <w:p>
            <w:pPr>
              <w:spacing w:after="0"/>
              <w:rPr>
                <w:sz w:val="24"/>
                <w:szCs w:val="24"/>
                <w:color w:val="auto"/>
              </w:rPr>
            </w:pPr>
          </w:p>
        </w:tc>
        <w:tc>
          <w:tcPr>
            <w:tcW w:w="720" w:type="dxa"/>
            <w:vAlign w:val="bottom"/>
            <w:tcBorders>
              <w:top w:val="single" w:sz="8" w:color="0C479D"/>
            </w:tcBorders>
          </w:tcPr>
          <w:p>
            <w:pPr>
              <w:spacing w:after="0"/>
              <w:rPr>
                <w:sz w:val="24"/>
                <w:szCs w:val="24"/>
                <w:color w:val="auto"/>
              </w:rPr>
            </w:pPr>
          </w:p>
        </w:tc>
        <w:tc>
          <w:tcPr>
            <w:tcW w:w="660" w:type="dxa"/>
            <w:vAlign w:val="bottom"/>
            <w:tcBorders>
              <w:top w:val="single" w:sz="8" w:color="0C479D"/>
            </w:tcBorders>
          </w:tcPr>
          <w:p>
            <w:pPr>
              <w:spacing w:after="0"/>
              <w:rPr>
                <w:sz w:val="24"/>
                <w:szCs w:val="24"/>
                <w:color w:val="auto"/>
              </w:rPr>
            </w:pPr>
          </w:p>
        </w:tc>
        <w:tc>
          <w:tcPr>
            <w:tcW w:w="160" w:type="dxa"/>
            <w:vAlign w:val="bottom"/>
            <w:tcBorders>
              <w:top w:val="single" w:sz="8" w:color="0C479D"/>
            </w:tcBorders>
          </w:tcPr>
          <w:p>
            <w:pPr>
              <w:spacing w:after="0"/>
              <w:rPr>
                <w:sz w:val="24"/>
                <w:szCs w:val="24"/>
                <w:color w:val="auto"/>
              </w:rPr>
            </w:pPr>
          </w:p>
        </w:tc>
        <w:tc>
          <w:tcPr>
            <w:tcW w:w="680" w:type="dxa"/>
            <w:vAlign w:val="bottom"/>
            <w:tcBorders>
              <w:top w:val="single" w:sz="8" w:color="0C479D"/>
            </w:tcBorders>
          </w:tcPr>
          <w:p>
            <w:pPr>
              <w:spacing w:after="0"/>
              <w:rPr>
                <w:sz w:val="24"/>
                <w:szCs w:val="24"/>
                <w:color w:val="auto"/>
              </w:rPr>
            </w:pPr>
          </w:p>
        </w:tc>
        <w:tc>
          <w:tcPr>
            <w:tcW w:w="800" w:type="dxa"/>
            <w:vAlign w:val="bottom"/>
            <w:tcBorders>
              <w:top w:val="single" w:sz="8" w:color="0C479D"/>
            </w:tcBorders>
          </w:tcPr>
          <w:p>
            <w:pPr>
              <w:spacing w:after="0"/>
              <w:rPr>
                <w:sz w:val="24"/>
                <w:szCs w:val="24"/>
                <w:color w:val="auto"/>
              </w:rPr>
            </w:pPr>
          </w:p>
        </w:tc>
        <w:tc>
          <w:tcPr>
            <w:tcW w:w="660" w:type="dxa"/>
            <w:vAlign w:val="bottom"/>
            <w:tcBorders>
              <w:top w:val="single" w:sz="8" w:color="0C479D"/>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140" w:type="dxa"/>
            <w:vAlign w:val="bottom"/>
            <w:shd w:val="clear" w:color="auto" w:fill="0C479D"/>
          </w:tcPr>
          <w:p>
            <w:pPr>
              <w:ind w:left="20"/>
              <w:spacing w:after="0"/>
              <w:rPr>
                <w:sz w:val="20"/>
                <w:szCs w:val="20"/>
                <w:color w:val="auto"/>
              </w:rPr>
            </w:pPr>
            <w:r>
              <w:rPr>
                <w:rFonts w:ascii="Times New Roman" w:cs="Times New Roman" w:eastAsia="Times New Roman" w:hAnsi="Times New Roman"/>
                <w:sz w:val="18"/>
                <w:szCs w:val="18"/>
                <w:b w:val="1"/>
                <w:bCs w:val="1"/>
                <w:color w:val="FFFFFF"/>
              </w:rPr>
              <w:t>Energy Products</w:t>
            </w:r>
          </w:p>
        </w:tc>
        <w:tc>
          <w:tcPr>
            <w:tcW w:w="680" w:type="dxa"/>
            <w:vAlign w:val="bottom"/>
            <w:shd w:val="clear" w:color="auto" w:fill="0C479D"/>
          </w:tcPr>
          <w:p>
            <w:pPr>
              <w:spacing w:after="0"/>
              <w:rPr>
                <w:sz w:val="21"/>
                <w:szCs w:val="21"/>
                <w:color w:val="auto"/>
              </w:rPr>
            </w:pPr>
          </w:p>
        </w:tc>
        <w:tc>
          <w:tcPr>
            <w:tcW w:w="80" w:type="dxa"/>
            <w:vAlign w:val="bottom"/>
            <w:shd w:val="clear" w:color="auto" w:fill="0C479D"/>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Borders>
              <w:right w:val="single" w:sz="8" w:color="0C479D"/>
            </w:tcBorders>
          </w:tcPr>
          <w:p>
            <w:pPr>
              <w:spacing w:after="0"/>
              <w:rPr>
                <w:sz w:val="21"/>
                <w:szCs w:val="21"/>
                <w:color w:val="auto"/>
              </w:rPr>
            </w:pPr>
          </w:p>
        </w:tc>
        <w:tc>
          <w:tcPr>
            <w:tcW w:w="540" w:type="dxa"/>
            <w:vAlign w:val="bottom"/>
            <w:shd w:val="clear" w:color="auto" w:fill="0C479D"/>
          </w:tcPr>
          <w:p>
            <w:pPr>
              <w:spacing w:after="0"/>
              <w:rPr>
                <w:sz w:val="21"/>
                <w:szCs w:val="21"/>
                <w:color w:val="auto"/>
              </w:rPr>
            </w:pPr>
          </w:p>
        </w:tc>
        <w:tc>
          <w:tcPr>
            <w:tcW w:w="40" w:type="dxa"/>
            <w:vAlign w:val="bottom"/>
            <w:shd w:val="clear" w:color="auto" w:fill="0C479D"/>
          </w:tcPr>
          <w:p>
            <w:pPr>
              <w:spacing w:after="0"/>
              <w:rPr>
                <w:sz w:val="21"/>
                <w:szCs w:val="21"/>
                <w:color w:val="auto"/>
              </w:rPr>
            </w:pPr>
          </w:p>
        </w:tc>
        <w:tc>
          <w:tcPr>
            <w:tcW w:w="40" w:type="dxa"/>
            <w:vAlign w:val="bottom"/>
            <w:shd w:val="clear" w:color="auto" w:fill="0C479D"/>
          </w:tcPr>
          <w:p>
            <w:pPr>
              <w:spacing w:after="0"/>
              <w:rPr>
                <w:sz w:val="21"/>
                <w:szCs w:val="21"/>
                <w:color w:val="auto"/>
              </w:rPr>
            </w:pPr>
          </w:p>
        </w:tc>
        <w:tc>
          <w:tcPr>
            <w:tcW w:w="60" w:type="dxa"/>
            <w:vAlign w:val="bottom"/>
            <w:shd w:val="clear" w:color="auto" w:fill="0C479D"/>
          </w:tcPr>
          <w:p>
            <w:pPr>
              <w:spacing w:after="0"/>
              <w:rPr>
                <w:sz w:val="21"/>
                <w:szCs w:val="21"/>
                <w:color w:val="auto"/>
              </w:rPr>
            </w:pPr>
          </w:p>
        </w:tc>
        <w:tc>
          <w:tcPr>
            <w:tcW w:w="600" w:type="dxa"/>
            <w:vAlign w:val="bottom"/>
            <w:gridSpan w:val="2"/>
            <w:shd w:val="clear" w:color="auto" w:fill="0C479D"/>
          </w:tcPr>
          <w:p>
            <w:pPr>
              <w:jc w:val="right"/>
              <w:ind w:right="37"/>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60" w:type="dxa"/>
            <w:vAlign w:val="bottom"/>
            <w:shd w:val="clear" w:color="auto" w:fill="0C479D"/>
          </w:tcPr>
          <w:p>
            <w:pPr>
              <w:spacing w:after="0"/>
              <w:rPr>
                <w:sz w:val="21"/>
                <w:szCs w:val="21"/>
                <w:color w:val="auto"/>
              </w:rPr>
            </w:pPr>
          </w:p>
        </w:tc>
        <w:tc>
          <w:tcPr>
            <w:tcW w:w="40" w:type="dxa"/>
            <w:vAlign w:val="bottom"/>
            <w:shd w:val="clear" w:color="auto" w:fill="0C479D"/>
          </w:tcPr>
          <w:p>
            <w:pPr>
              <w:spacing w:after="0"/>
              <w:rPr>
                <w:sz w:val="21"/>
                <w:szCs w:val="21"/>
                <w:color w:val="auto"/>
              </w:rPr>
            </w:pPr>
          </w:p>
        </w:tc>
        <w:tc>
          <w:tcPr>
            <w:tcW w:w="40" w:type="dxa"/>
            <w:vAlign w:val="bottom"/>
            <w:shd w:val="clear" w:color="auto" w:fill="0C479D"/>
          </w:tcPr>
          <w:p>
            <w:pPr>
              <w:spacing w:after="0"/>
              <w:rPr>
                <w:sz w:val="21"/>
                <w:szCs w:val="21"/>
                <w:color w:val="auto"/>
              </w:rPr>
            </w:pPr>
          </w:p>
        </w:tc>
        <w:tc>
          <w:tcPr>
            <w:tcW w:w="620" w:type="dxa"/>
            <w:vAlign w:val="bottom"/>
            <w:tcBorders>
              <w:right w:val="single" w:sz="8" w:color="0C479D"/>
            </w:tcBorders>
            <w:shd w:val="clear" w:color="auto" w:fill="0C479D"/>
          </w:tcPr>
          <w:p>
            <w:pPr>
              <w:spacing w:after="0"/>
              <w:rPr>
                <w:sz w:val="21"/>
                <w:szCs w:val="21"/>
                <w:color w:val="auto"/>
              </w:rPr>
            </w:pPr>
          </w:p>
        </w:tc>
        <w:tc>
          <w:tcPr>
            <w:tcW w:w="80" w:type="dxa"/>
            <w:vAlign w:val="bottom"/>
            <w:tcBorders>
              <w:left w:val="single" w:sz="8" w:color="0C479D"/>
            </w:tcBorders>
          </w:tcPr>
          <w:p>
            <w:pPr>
              <w:spacing w:after="0"/>
              <w:rPr>
                <w:sz w:val="21"/>
                <w:szCs w:val="21"/>
                <w:color w:val="auto"/>
              </w:rPr>
            </w:pPr>
          </w:p>
        </w:tc>
        <w:tc>
          <w:tcPr>
            <w:tcW w:w="140" w:type="dxa"/>
            <w:vAlign w:val="bottom"/>
            <w:tcBorders>
              <w:right w:val="single" w:sz="8" w:color="0C479D"/>
            </w:tcBorders>
          </w:tcPr>
          <w:p>
            <w:pPr>
              <w:spacing w:after="0"/>
              <w:rPr>
                <w:sz w:val="21"/>
                <w:szCs w:val="21"/>
                <w:color w:val="auto"/>
              </w:rPr>
            </w:pPr>
          </w:p>
        </w:tc>
        <w:tc>
          <w:tcPr>
            <w:tcW w:w="660" w:type="dxa"/>
            <w:vAlign w:val="bottom"/>
            <w:shd w:val="clear" w:color="auto" w:fill="0C479D"/>
          </w:tcPr>
          <w:p>
            <w:pPr>
              <w:spacing w:after="0"/>
              <w:rPr>
                <w:sz w:val="21"/>
                <w:szCs w:val="21"/>
                <w:color w:val="auto"/>
              </w:rPr>
            </w:pPr>
          </w:p>
        </w:tc>
        <w:tc>
          <w:tcPr>
            <w:tcW w:w="60" w:type="dxa"/>
            <w:vAlign w:val="bottom"/>
            <w:shd w:val="clear" w:color="auto" w:fill="0C479D"/>
          </w:tcPr>
          <w:p>
            <w:pPr>
              <w:spacing w:after="0"/>
              <w:rPr>
                <w:sz w:val="21"/>
                <w:szCs w:val="21"/>
                <w:color w:val="auto"/>
              </w:rPr>
            </w:pPr>
          </w:p>
        </w:tc>
        <w:tc>
          <w:tcPr>
            <w:tcW w:w="720" w:type="dxa"/>
            <w:vAlign w:val="bottom"/>
            <w:shd w:val="clear" w:color="auto" w:fill="0C479D"/>
          </w:tcPr>
          <w:p>
            <w:pPr>
              <w:jc w:val="center"/>
              <w:ind w:right="35"/>
              <w:spacing w:after="0"/>
              <w:rPr>
                <w:sz w:val="20"/>
                <w:szCs w:val="20"/>
                <w:color w:val="auto"/>
              </w:rPr>
            </w:pPr>
            <w:r>
              <w:rPr>
                <w:rFonts w:ascii="Times New Roman" w:cs="Times New Roman" w:eastAsia="Times New Roman" w:hAnsi="Times New Roman"/>
                <w:sz w:val="14"/>
                <w:szCs w:val="14"/>
                <w:b w:val="1"/>
                <w:bCs w:val="1"/>
                <w:color w:val="FFFFFF"/>
                <w:w w:val="99"/>
              </w:rPr>
              <w:t>2023</w:t>
            </w:r>
          </w:p>
        </w:tc>
        <w:tc>
          <w:tcPr>
            <w:tcW w:w="660" w:type="dxa"/>
            <w:vAlign w:val="bottom"/>
            <w:shd w:val="clear" w:color="auto" w:fill="0C479D"/>
          </w:tcPr>
          <w:p>
            <w:pPr>
              <w:spacing w:after="0"/>
              <w:rPr>
                <w:sz w:val="21"/>
                <w:szCs w:val="21"/>
                <w:color w:val="auto"/>
              </w:rPr>
            </w:pPr>
          </w:p>
        </w:tc>
        <w:tc>
          <w:tcPr>
            <w:tcW w:w="160" w:type="dxa"/>
            <w:vAlign w:val="bottom"/>
            <w:tcBorders>
              <w:right w:val="single" w:sz="8" w:color="0C479D"/>
            </w:tcBorders>
          </w:tcPr>
          <w:p>
            <w:pPr>
              <w:spacing w:after="0"/>
              <w:rPr>
                <w:sz w:val="21"/>
                <w:szCs w:val="21"/>
                <w:color w:val="auto"/>
              </w:rPr>
            </w:pPr>
          </w:p>
        </w:tc>
        <w:tc>
          <w:tcPr>
            <w:tcW w:w="680" w:type="dxa"/>
            <w:vAlign w:val="bottom"/>
            <w:shd w:val="clear" w:color="auto" w:fill="0C479D"/>
          </w:tcPr>
          <w:p>
            <w:pPr>
              <w:spacing w:after="0"/>
              <w:rPr>
                <w:sz w:val="21"/>
                <w:szCs w:val="21"/>
                <w:color w:val="auto"/>
              </w:rPr>
            </w:pPr>
          </w:p>
        </w:tc>
        <w:tc>
          <w:tcPr>
            <w:tcW w:w="80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w w:val="99"/>
              </w:rPr>
              <w:t>2022</w:t>
            </w:r>
          </w:p>
        </w:tc>
        <w:tc>
          <w:tcPr>
            <w:tcW w:w="660" w:type="dxa"/>
            <w:vAlign w:val="bottom"/>
            <w:shd w:val="clear" w:color="auto" w:fill="0C479D"/>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140" w:type="dxa"/>
            <w:vAlign w:val="bottom"/>
            <w:tcBorders>
              <w:bottom w:val="single" w:sz="8" w:color="0C479D"/>
            </w:tcBorders>
            <w:shd w:val="clear" w:color="auto" w:fill="0C479D"/>
          </w:tcPr>
          <w:p>
            <w:pPr>
              <w:ind w:left="20"/>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680" w:type="dxa"/>
            <w:vAlign w:val="bottom"/>
            <w:tcBorders>
              <w:bottom w:val="single" w:sz="8" w:color="0C479D"/>
            </w:tcBorders>
            <w:shd w:val="clear" w:color="auto" w:fill="0C479D"/>
          </w:tcPr>
          <w:p>
            <w:pPr>
              <w:spacing w:after="0"/>
              <w:rPr>
                <w:sz w:val="19"/>
                <w:szCs w:val="19"/>
                <w:color w:val="auto"/>
              </w:rPr>
            </w:pPr>
          </w:p>
        </w:tc>
        <w:tc>
          <w:tcPr>
            <w:tcW w:w="80" w:type="dxa"/>
            <w:vAlign w:val="bottom"/>
            <w:tcBorders>
              <w:bottom w:val="single" w:sz="8" w:color="0C479D"/>
            </w:tcBorders>
            <w:shd w:val="clear" w:color="auto" w:fill="0C479D"/>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right w:val="single" w:sz="8" w:color="0C479D"/>
            </w:tcBorders>
          </w:tcPr>
          <w:p>
            <w:pPr>
              <w:spacing w:after="0"/>
              <w:rPr>
                <w:sz w:val="19"/>
                <w:szCs w:val="19"/>
                <w:color w:val="auto"/>
              </w:rPr>
            </w:pPr>
          </w:p>
        </w:tc>
        <w:tc>
          <w:tcPr>
            <w:tcW w:w="680" w:type="dxa"/>
            <w:vAlign w:val="bottom"/>
            <w:tcBorders>
              <w:bottom w:val="single" w:sz="8" w:color="0C479D"/>
            </w:tcBorders>
            <w:gridSpan w:val="4"/>
            <w:shd w:val="clear" w:color="auto" w:fill="0C479D"/>
          </w:tcPr>
          <w:p>
            <w:pPr>
              <w:jc w:val="right"/>
              <w:ind w:right="240"/>
              <w:spacing w:after="0"/>
              <w:rPr>
                <w:sz w:val="20"/>
                <w:szCs w:val="20"/>
                <w:color w:val="auto"/>
              </w:rPr>
            </w:pPr>
            <w:r>
              <w:rPr>
                <w:rFonts w:ascii="Times New Roman" w:cs="Times New Roman" w:eastAsia="Times New Roman" w:hAnsi="Times New Roman"/>
                <w:sz w:val="14"/>
                <w:szCs w:val="14"/>
                <w:b w:val="1"/>
                <w:bCs w:val="1"/>
                <w:color w:val="FFFFFF"/>
              </w:rPr>
              <w:t>U.S.</w:t>
            </w:r>
          </w:p>
        </w:tc>
        <w:tc>
          <w:tcPr>
            <w:tcW w:w="40" w:type="dxa"/>
            <w:vAlign w:val="bottom"/>
            <w:tcBorders>
              <w:bottom w:val="single" w:sz="8" w:color="0C479D"/>
            </w:tcBorders>
            <w:shd w:val="clear" w:color="auto" w:fill="0C479D"/>
          </w:tcPr>
          <w:p>
            <w:pPr>
              <w:spacing w:after="0"/>
              <w:rPr>
                <w:sz w:val="19"/>
                <w:szCs w:val="19"/>
                <w:color w:val="auto"/>
              </w:rPr>
            </w:pPr>
          </w:p>
        </w:tc>
        <w:tc>
          <w:tcPr>
            <w:tcW w:w="700" w:type="dxa"/>
            <w:vAlign w:val="bottom"/>
            <w:tcBorders>
              <w:bottom w:val="single" w:sz="8" w:color="0C479D"/>
            </w:tcBorders>
            <w:gridSpan w:val="4"/>
            <w:shd w:val="clear" w:color="auto" w:fill="0C479D"/>
          </w:tcPr>
          <w:p>
            <w:pPr>
              <w:ind w:left="20"/>
              <w:spacing w:after="0"/>
              <w:rPr>
                <w:sz w:val="20"/>
                <w:szCs w:val="20"/>
                <w:color w:val="auto"/>
              </w:rPr>
            </w:pPr>
            <w:r>
              <w:rPr>
                <w:rFonts w:ascii="Times New Roman" w:cs="Times New Roman" w:eastAsia="Times New Roman" w:hAnsi="Times New Roman"/>
                <w:sz w:val="14"/>
                <w:szCs w:val="14"/>
                <w:b w:val="1"/>
                <w:bCs w:val="1"/>
                <w:color w:val="FFFFFF"/>
              </w:rPr>
              <w:t>Non-U.S.</w:t>
            </w:r>
          </w:p>
        </w:tc>
        <w:tc>
          <w:tcPr>
            <w:tcW w:w="620" w:type="dxa"/>
            <w:vAlign w:val="bottom"/>
            <w:tcBorders>
              <w:bottom w:val="single" w:sz="8" w:color="0C479D"/>
              <w:right w:val="single" w:sz="8" w:color="0C479D"/>
            </w:tcBorders>
            <w:shd w:val="clear" w:color="auto" w:fill="0C479D"/>
          </w:tcPr>
          <w:p>
            <w:pPr>
              <w:jc w:val="right"/>
              <w:ind w:right="73"/>
              <w:spacing w:after="0"/>
              <w:rPr>
                <w:sz w:val="20"/>
                <w:szCs w:val="20"/>
                <w:color w:val="auto"/>
              </w:rPr>
            </w:pPr>
            <w:r>
              <w:rPr>
                <w:rFonts w:ascii="Times New Roman" w:cs="Times New Roman" w:eastAsia="Times New Roman" w:hAnsi="Times New Roman"/>
                <w:sz w:val="14"/>
                <w:szCs w:val="14"/>
                <w:b w:val="1"/>
                <w:bCs w:val="1"/>
                <w:color w:val="FFFFFF"/>
              </w:rPr>
              <w:t>Total</w:t>
            </w:r>
          </w:p>
        </w:tc>
        <w:tc>
          <w:tcPr>
            <w:tcW w:w="80" w:type="dxa"/>
            <w:vAlign w:val="bottom"/>
            <w:tcBorders>
              <w:left w:val="single" w:sz="8" w:color="0C479D"/>
            </w:tcBorders>
          </w:tcPr>
          <w:p>
            <w:pPr>
              <w:spacing w:after="0"/>
              <w:rPr>
                <w:sz w:val="19"/>
                <w:szCs w:val="19"/>
                <w:color w:val="auto"/>
              </w:rPr>
            </w:pPr>
          </w:p>
        </w:tc>
        <w:tc>
          <w:tcPr>
            <w:tcW w:w="140" w:type="dxa"/>
            <w:vAlign w:val="bottom"/>
            <w:tcBorders>
              <w:right w:val="single" w:sz="8" w:color="0C479D"/>
            </w:tcBorders>
          </w:tcPr>
          <w:p>
            <w:pPr>
              <w:spacing w:after="0"/>
              <w:rPr>
                <w:sz w:val="19"/>
                <w:szCs w:val="19"/>
                <w:color w:val="auto"/>
              </w:rPr>
            </w:pPr>
          </w:p>
        </w:tc>
        <w:tc>
          <w:tcPr>
            <w:tcW w:w="660" w:type="dxa"/>
            <w:vAlign w:val="bottom"/>
            <w:tcBorders>
              <w:bottom w:val="single" w:sz="8" w:color="0C479D"/>
            </w:tcBorders>
            <w:shd w:val="clear" w:color="auto" w:fill="0C479D"/>
          </w:tcPr>
          <w:p>
            <w:pPr>
              <w:jc w:val="right"/>
              <w:ind w:right="133"/>
              <w:spacing w:after="0"/>
              <w:rPr>
                <w:sz w:val="20"/>
                <w:szCs w:val="20"/>
                <w:color w:val="auto"/>
              </w:rPr>
            </w:pPr>
            <w:r>
              <w:rPr>
                <w:rFonts w:ascii="Times New Roman" w:cs="Times New Roman" w:eastAsia="Times New Roman" w:hAnsi="Times New Roman"/>
                <w:sz w:val="14"/>
                <w:szCs w:val="14"/>
                <w:b w:val="1"/>
                <w:bCs w:val="1"/>
                <w:color w:val="FFFFFF"/>
              </w:rPr>
              <w:t>U.S.</w:t>
            </w:r>
          </w:p>
        </w:tc>
        <w:tc>
          <w:tcPr>
            <w:tcW w:w="60" w:type="dxa"/>
            <w:vAlign w:val="bottom"/>
            <w:tcBorders>
              <w:bottom w:val="single" w:sz="8" w:color="0C479D"/>
            </w:tcBorders>
            <w:shd w:val="clear" w:color="auto" w:fill="0C479D"/>
          </w:tcPr>
          <w:p>
            <w:pPr>
              <w:spacing w:after="0"/>
              <w:rPr>
                <w:sz w:val="19"/>
                <w:szCs w:val="19"/>
                <w:color w:val="auto"/>
              </w:rPr>
            </w:pPr>
          </w:p>
        </w:tc>
        <w:tc>
          <w:tcPr>
            <w:tcW w:w="720" w:type="dxa"/>
            <w:vAlign w:val="bottom"/>
            <w:tcBorders>
              <w:bottom w:val="single" w:sz="8" w:color="0C479D"/>
            </w:tcBorders>
            <w:shd w:val="clear" w:color="auto" w:fill="0C479D"/>
          </w:tcPr>
          <w:p>
            <w:pPr>
              <w:jc w:val="center"/>
              <w:ind w:right="35"/>
              <w:spacing w:after="0"/>
              <w:rPr>
                <w:sz w:val="20"/>
                <w:szCs w:val="20"/>
                <w:color w:val="auto"/>
              </w:rPr>
            </w:pPr>
            <w:r>
              <w:rPr>
                <w:rFonts w:ascii="Times New Roman" w:cs="Times New Roman" w:eastAsia="Times New Roman" w:hAnsi="Times New Roman"/>
                <w:sz w:val="14"/>
                <w:szCs w:val="14"/>
                <w:b w:val="1"/>
                <w:bCs w:val="1"/>
                <w:color w:val="FFFFFF"/>
              </w:rPr>
              <w:t>Non-U.S.</w:t>
            </w:r>
          </w:p>
        </w:tc>
        <w:tc>
          <w:tcPr>
            <w:tcW w:w="660" w:type="dxa"/>
            <w:vAlign w:val="bottom"/>
            <w:tcBorders>
              <w:bottom w:val="single" w:sz="8" w:color="0C479D"/>
            </w:tcBorders>
            <w:shd w:val="clear" w:color="auto" w:fill="0C479D"/>
          </w:tcPr>
          <w:p>
            <w:pPr>
              <w:jc w:val="right"/>
              <w:ind w:right="113"/>
              <w:spacing w:after="0"/>
              <w:rPr>
                <w:sz w:val="20"/>
                <w:szCs w:val="20"/>
                <w:color w:val="auto"/>
              </w:rPr>
            </w:pPr>
            <w:r>
              <w:rPr>
                <w:rFonts w:ascii="Times New Roman" w:cs="Times New Roman" w:eastAsia="Times New Roman" w:hAnsi="Times New Roman"/>
                <w:sz w:val="14"/>
                <w:szCs w:val="14"/>
                <w:b w:val="1"/>
                <w:bCs w:val="1"/>
                <w:color w:val="FFFFFF"/>
              </w:rPr>
              <w:t>Total</w:t>
            </w:r>
          </w:p>
        </w:tc>
        <w:tc>
          <w:tcPr>
            <w:tcW w:w="160" w:type="dxa"/>
            <w:vAlign w:val="bottom"/>
            <w:tcBorders>
              <w:right w:val="single" w:sz="8" w:color="0C479D"/>
            </w:tcBorders>
          </w:tcPr>
          <w:p>
            <w:pPr>
              <w:spacing w:after="0"/>
              <w:rPr>
                <w:sz w:val="19"/>
                <w:szCs w:val="19"/>
                <w:color w:val="auto"/>
              </w:rPr>
            </w:pPr>
          </w:p>
        </w:tc>
        <w:tc>
          <w:tcPr>
            <w:tcW w:w="680" w:type="dxa"/>
            <w:vAlign w:val="bottom"/>
            <w:tcBorders>
              <w:bottom w:val="single" w:sz="8" w:color="0C479D"/>
            </w:tcBorders>
            <w:shd w:val="clear" w:color="auto" w:fill="0C479D"/>
          </w:tcPr>
          <w:p>
            <w:pPr>
              <w:jc w:val="right"/>
              <w:ind w:right="133"/>
              <w:spacing w:after="0"/>
              <w:rPr>
                <w:sz w:val="20"/>
                <w:szCs w:val="20"/>
                <w:color w:val="auto"/>
              </w:rPr>
            </w:pPr>
            <w:r>
              <w:rPr>
                <w:rFonts w:ascii="Times New Roman" w:cs="Times New Roman" w:eastAsia="Times New Roman" w:hAnsi="Times New Roman"/>
                <w:sz w:val="14"/>
                <w:szCs w:val="14"/>
                <w:b w:val="1"/>
                <w:bCs w:val="1"/>
                <w:color w:val="FFFFFF"/>
              </w:rPr>
              <w:t>U.S.</w:t>
            </w:r>
          </w:p>
        </w:tc>
        <w:tc>
          <w:tcPr>
            <w:tcW w:w="800" w:type="dxa"/>
            <w:vAlign w:val="bottom"/>
            <w:tcBorders>
              <w:bottom w:val="single" w:sz="8" w:color="0C479D"/>
            </w:tcBorders>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Non-U.S.</w:t>
            </w:r>
          </w:p>
        </w:tc>
        <w:tc>
          <w:tcPr>
            <w:tcW w:w="660" w:type="dxa"/>
            <w:vAlign w:val="bottom"/>
            <w:tcBorders>
              <w:bottom w:val="single" w:sz="8" w:color="0C479D"/>
            </w:tcBorders>
            <w:shd w:val="clear" w:color="auto" w:fill="0C479D"/>
          </w:tcPr>
          <w:p>
            <w:pPr>
              <w:jc w:val="right"/>
              <w:ind w:right="113"/>
              <w:spacing w:after="0"/>
              <w:rPr>
                <w:sz w:val="20"/>
                <w:szCs w:val="20"/>
                <w:color w:val="auto"/>
              </w:rPr>
            </w:pPr>
            <w:r>
              <w:rPr>
                <w:rFonts w:ascii="Times New Roman" w:cs="Times New Roman" w:eastAsia="Times New Roman" w:hAnsi="Times New Roman"/>
                <w:sz w:val="14"/>
                <w:szCs w:val="14"/>
                <w:b w:val="1"/>
                <w:bCs w:val="1"/>
                <w:color w:val="FFFFFF"/>
              </w:rPr>
              <w:t>Total</w:t>
            </w:r>
          </w:p>
        </w:tc>
        <w:tc>
          <w:tcPr>
            <w:tcW w:w="0" w:type="dxa"/>
            <w:vAlign w:val="bottom"/>
          </w:tcPr>
          <w:p>
            <w:pPr>
              <w:spacing w:after="0"/>
              <w:rPr>
                <w:sz w:val="1"/>
                <w:szCs w:val="1"/>
                <w:color w:val="auto"/>
              </w:rPr>
            </w:pPr>
          </w:p>
        </w:tc>
      </w:tr>
      <w:tr>
        <w:trPr>
          <w:trHeight w:val="270"/>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Earnings (loss) (U.S. GAAP)</w:t>
            </w: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Borders>
              <w:right w:val="single" w:sz="8" w:color="F0F0F0"/>
            </w:tcBorders>
          </w:tcPr>
          <w:p>
            <w:pPr>
              <w:spacing w:after="0"/>
              <w:rPr>
                <w:sz w:val="23"/>
                <w:szCs w:val="23"/>
                <w:color w:val="auto"/>
              </w:rPr>
            </w:pPr>
          </w:p>
        </w:tc>
        <w:tc>
          <w:tcPr>
            <w:tcW w:w="580" w:type="dxa"/>
            <w:vAlign w:val="bottom"/>
            <w:gridSpan w:val="2"/>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40" w:type="dxa"/>
            <w:vAlign w:val="bottom"/>
            <w:shd w:val="clear" w:color="auto" w:fill="F0F0F0"/>
          </w:tcPr>
          <w:p>
            <w:pPr>
              <w:spacing w:after="0"/>
              <w:rPr>
                <w:sz w:val="23"/>
                <w:szCs w:val="23"/>
                <w:color w:val="auto"/>
              </w:rPr>
            </w:pPr>
          </w:p>
        </w:tc>
        <w:tc>
          <w:tcPr>
            <w:tcW w:w="60" w:type="dxa"/>
            <w:vAlign w:val="bottom"/>
            <w:shd w:val="clear" w:color="auto" w:fill="F0F0F0"/>
          </w:tcPr>
          <w:p>
            <w:pPr>
              <w:spacing w:after="0"/>
              <w:rPr>
                <w:sz w:val="23"/>
                <w:szCs w:val="23"/>
                <w:color w:val="auto"/>
              </w:rPr>
            </w:pPr>
          </w:p>
        </w:tc>
        <w:tc>
          <w:tcPr>
            <w:tcW w:w="660" w:type="dxa"/>
            <w:vAlign w:val="bottom"/>
            <w:gridSpan w:val="3"/>
            <w:shd w:val="clear" w:color="auto" w:fill="F0F0F0"/>
          </w:tcPr>
          <w:p>
            <w:pPr>
              <w:jc w:val="right"/>
              <w:ind w:right="60"/>
              <w:spacing w:after="0"/>
              <w:rPr>
                <w:sz w:val="20"/>
                <w:szCs w:val="20"/>
                <w:color w:val="auto"/>
              </w:rPr>
            </w:pPr>
            <w:r>
              <w:rPr>
                <w:rFonts w:ascii="Times New Roman" w:cs="Times New Roman" w:eastAsia="Times New Roman" w:hAnsi="Times New Roman"/>
                <w:sz w:val="18"/>
                <w:szCs w:val="18"/>
                <w:color w:val="auto"/>
              </w:rPr>
              <w:t>1,934</w:t>
            </w:r>
          </w:p>
        </w:tc>
        <w:tc>
          <w:tcPr>
            <w:tcW w:w="40" w:type="dxa"/>
            <w:vAlign w:val="bottom"/>
            <w:shd w:val="clear" w:color="auto" w:fill="F0F0F0"/>
          </w:tcPr>
          <w:p>
            <w:pPr>
              <w:spacing w:after="0"/>
              <w:rPr>
                <w:sz w:val="23"/>
                <w:szCs w:val="23"/>
                <w:color w:val="auto"/>
              </w:rPr>
            </w:pPr>
          </w:p>
        </w:tc>
        <w:tc>
          <w:tcPr>
            <w:tcW w:w="40" w:type="dxa"/>
            <w:vAlign w:val="bottom"/>
            <w:shd w:val="clear" w:color="auto" w:fill="F0F0F0"/>
          </w:tcPr>
          <w:p>
            <w:pPr>
              <w:spacing w:after="0"/>
              <w:rPr>
                <w:sz w:val="23"/>
                <w:szCs w:val="23"/>
                <w:color w:val="auto"/>
              </w:rPr>
            </w:pPr>
          </w:p>
        </w:tc>
        <w:tc>
          <w:tcPr>
            <w:tcW w:w="62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4,033</w:t>
            </w:r>
          </w:p>
        </w:tc>
        <w:tc>
          <w:tcPr>
            <w:tcW w:w="80" w:type="dxa"/>
            <w:vAlign w:val="bottom"/>
            <w:tcBorders>
              <w:left w:val="single" w:sz="8" w:color="F0F0F0"/>
            </w:tcBorders>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6,123</w:t>
            </w:r>
          </w:p>
        </w:tc>
        <w:tc>
          <w:tcPr>
            <w:tcW w:w="60" w:type="dxa"/>
            <w:vAlign w:val="bottom"/>
          </w:tcPr>
          <w:p>
            <w:pPr>
              <w:spacing w:after="0"/>
              <w:rPr>
                <w:sz w:val="23"/>
                <w:szCs w:val="23"/>
                <w:color w:val="auto"/>
              </w:rPr>
            </w:pPr>
          </w:p>
        </w:tc>
        <w:tc>
          <w:tcPr>
            <w:tcW w:w="7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6,019</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12,142</w:t>
            </w:r>
          </w:p>
        </w:tc>
        <w:tc>
          <w:tcPr>
            <w:tcW w:w="1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8,340</w:t>
            </w:r>
          </w:p>
        </w:tc>
        <w:tc>
          <w:tcPr>
            <w:tcW w:w="80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6,626</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14,966</w:t>
            </w:r>
          </w:p>
        </w:tc>
        <w:tc>
          <w:tcPr>
            <w:tcW w:w="0" w:type="dxa"/>
            <w:vAlign w:val="bottom"/>
          </w:tcPr>
          <w:p>
            <w:pPr>
              <w:spacing w:after="0"/>
              <w:rPr>
                <w:sz w:val="1"/>
                <w:szCs w:val="1"/>
                <w:color w:val="auto"/>
              </w:rPr>
            </w:pPr>
          </w:p>
        </w:tc>
      </w:tr>
      <w:tr>
        <w:trPr>
          <w:trHeight w:val="270"/>
        </w:trPr>
        <w:tc>
          <w:tcPr>
            <w:tcW w:w="2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Impairments</w:t>
            </w: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Borders>
              <w:right w:val="single" w:sz="8" w:color="F0F0F0"/>
            </w:tcBorders>
          </w:tcPr>
          <w:p>
            <w:pPr>
              <w:spacing w:after="0"/>
              <w:rPr>
                <w:sz w:val="23"/>
                <w:szCs w:val="23"/>
                <w:color w:val="auto"/>
              </w:rPr>
            </w:pPr>
          </w:p>
        </w:tc>
        <w:tc>
          <w:tcPr>
            <w:tcW w:w="620" w:type="dxa"/>
            <w:vAlign w:val="bottom"/>
            <w:gridSpan w:val="3"/>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shd w:val="clear" w:color="auto" w:fill="F0F0F0"/>
          </w:tcPr>
          <w:p>
            <w:pPr>
              <w:spacing w:after="0"/>
              <w:rPr>
                <w:sz w:val="23"/>
                <w:szCs w:val="23"/>
                <w:color w:val="auto"/>
              </w:rPr>
            </w:pPr>
          </w:p>
        </w:tc>
        <w:tc>
          <w:tcPr>
            <w:tcW w:w="700" w:type="dxa"/>
            <w:vAlign w:val="bottom"/>
            <w:gridSpan w:val="4"/>
            <w:shd w:val="clear" w:color="auto" w:fill="F0F0F0"/>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c>
          <w:tcPr>
            <w:tcW w:w="40" w:type="dxa"/>
            <w:vAlign w:val="bottom"/>
            <w:shd w:val="clear" w:color="auto" w:fill="F0F0F0"/>
          </w:tcPr>
          <w:p>
            <w:pPr>
              <w:spacing w:after="0"/>
              <w:rPr>
                <w:sz w:val="23"/>
                <w:szCs w:val="23"/>
                <w:color w:val="auto"/>
              </w:rPr>
            </w:pPr>
          </w:p>
        </w:tc>
        <w:tc>
          <w:tcPr>
            <w:tcW w:w="62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Borders>
              <w:left w:val="single" w:sz="8" w:color="F0F0F0"/>
            </w:tcBorders>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(216)</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70"/>
        </w:trPr>
        <w:tc>
          <w:tcPr>
            <w:tcW w:w="2140" w:type="dxa"/>
            <w:vAlign w:val="bottom"/>
            <w:tcBorders>
              <w:bottom w:val="single" w:sz="8" w:color="0C479D"/>
            </w:tcBorders>
          </w:tcPr>
          <w:p>
            <w:pPr>
              <w:ind w:left="260"/>
              <w:spacing w:after="0"/>
              <w:rPr>
                <w:sz w:val="20"/>
                <w:szCs w:val="20"/>
                <w:color w:val="auto"/>
              </w:rPr>
            </w:pPr>
            <w:r>
              <w:rPr>
                <w:rFonts w:ascii="Times New Roman" w:cs="Times New Roman" w:eastAsia="Times New Roman" w:hAnsi="Times New Roman"/>
                <w:sz w:val="18"/>
                <w:szCs w:val="18"/>
                <w:color w:val="auto"/>
              </w:rPr>
              <w:t>Tax-related items</w:t>
            </w:r>
          </w:p>
        </w:tc>
        <w:tc>
          <w:tcPr>
            <w:tcW w:w="680" w:type="dxa"/>
            <w:vAlign w:val="bottom"/>
            <w:tcBorders>
              <w:bottom w:val="single" w:sz="8" w:color="0C479D"/>
            </w:tcBorders>
          </w:tcPr>
          <w:p>
            <w:pPr>
              <w:spacing w:after="0"/>
              <w:rPr>
                <w:sz w:val="23"/>
                <w:szCs w:val="23"/>
                <w:color w:val="auto"/>
              </w:rPr>
            </w:pPr>
          </w:p>
        </w:tc>
        <w:tc>
          <w:tcPr>
            <w:tcW w:w="80" w:type="dxa"/>
            <w:vAlign w:val="bottom"/>
            <w:tcBorders>
              <w:bottom w:val="single" w:sz="8" w:color="0C479D"/>
            </w:tcBorders>
          </w:tcPr>
          <w:p>
            <w:pPr>
              <w:spacing w:after="0"/>
              <w:rPr>
                <w:sz w:val="23"/>
                <w:szCs w:val="23"/>
                <w:color w:val="auto"/>
              </w:rPr>
            </w:pPr>
          </w:p>
        </w:tc>
        <w:tc>
          <w:tcPr>
            <w:tcW w:w="40" w:type="dxa"/>
            <w:vAlign w:val="bottom"/>
            <w:tcBorders>
              <w:bottom w:val="single" w:sz="8" w:color="0C479D"/>
            </w:tcBorders>
          </w:tcPr>
          <w:p>
            <w:pPr>
              <w:spacing w:after="0"/>
              <w:rPr>
                <w:sz w:val="23"/>
                <w:szCs w:val="23"/>
                <w:color w:val="auto"/>
              </w:rPr>
            </w:pPr>
          </w:p>
        </w:tc>
        <w:tc>
          <w:tcPr>
            <w:tcW w:w="120" w:type="dxa"/>
            <w:vAlign w:val="bottom"/>
            <w:tcBorders>
              <w:bottom w:val="single" w:sz="8" w:color="0C479D"/>
              <w:right w:val="single" w:sz="8" w:color="F0F0F0"/>
            </w:tcBorders>
          </w:tcPr>
          <w:p>
            <w:pPr>
              <w:spacing w:after="0"/>
              <w:rPr>
                <w:sz w:val="23"/>
                <w:szCs w:val="23"/>
                <w:color w:val="auto"/>
              </w:rPr>
            </w:pPr>
          </w:p>
        </w:tc>
        <w:tc>
          <w:tcPr>
            <w:tcW w:w="620" w:type="dxa"/>
            <w:vAlign w:val="bottom"/>
            <w:tcBorders>
              <w:bottom w:val="single" w:sz="8" w:color="0C479D"/>
            </w:tcBorders>
            <w:gridSpan w:val="3"/>
            <w:shd w:val="clear" w:color="auto" w:fill="F0F0F0"/>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0C479D"/>
            </w:tcBorders>
            <w:shd w:val="clear" w:color="auto" w:fill="F0F0F0"/>
          </w:tcPr>
          <w:p>
            <w:pPr>
              <w:spacing w:after="0"/>
              <w:rPr>
                <w:sz w:val="23"/>
                <w:szCs w:val="23"/>
                <w:color w:val="auto"/>
              </w:rPr>
            </w:pPr>
          </w:p>
        </w:tc>
        <w:tc>
          <w:tcPr>
            <w:tcW w:w="660" w:type="dxa"/>
            <w:vAlign w:val="bottom"/>
            <w:tcBorders>
              <w:bottom w:val="single" w:sz="8" w:color="0C479D"/>
            </w:tcBorders>
            <w:gridSpan w:val="3"/>
            <w:shd w:val="clear" w:color="auto" w:fill="F0F0F0"/>
          </w:tcPr>
          <w:p>
            <w:pPr>
              <w:jc w:val="right"/>
              <w:ind w:right="60"/>
              <w:spacing w:after="0"/>
              <w:rPr>
                <w:sz w:val="20"/>
                <w:szCs w:val="20"/>
                <w:color w:val="auto"/>
              </w:rPr>
            </w:pPr>
            <w:r>
              <w:rPr>
                <w:rFonts w:ascii="Times New Roman" w:cs="Times New Roman" w:eastAsia="Times New Roman" w:hAnsi="Times New Roman"/>
                <w:sz w:val="18"/>
                <w:szCs w:val="18"/>
                <w:color w:val="auto"/>
              </w:rPr>
              <w:t>172</w:t>
            </w:r>
          </w:p>
        </w:tc>
        <w:tc>
          <w:tcPr>
            <w:tcW w:w="40" w:type="dxa"/>
            <w:vAlign w:val="bottom"/>
            <w:tcBorders>
              <w:bottom w:val="single" w:sz="8" w:color="0C479D"/>
            </w:tcBorders>
            <w:shd w:val="clear" w:color="auto" w:fill="F0F0F0"/>
          </w:tcPr>
          <w:p>
            <w:pPr>
              <w:spacing w:after="0"/>
              <w:rPr>
                <w:sz w:val="23"/>
                <w:szCs w:val="23"/>
                <w:color w:val="auto"/>
              </w:rPr>
            </w:pPr>
          </w:p>
        </w:tc>
        <w:tc>
          <w:tcPr>
            <w:tcW w:w="40" w:type="dxa"/>
            <w:vAlign w:val="bottom"/>
            <w:tcBorders>
              <w:bottom w:val="single" w:sz="8" w:color="0C479D"/>
            </w:tcBorders>
            <w:shd w:val="clear" w:color="auto" w:fill="F0F0F0"/>
          </w:tcPr>
          <w:p>
            <w:pPr>
              <w:spacing w:after="0"/>
              <w:rPr>
                <w:sz w:val="23"/>
                <w:szCs w:val="23"/>
                <w:color w:val="auto"/>
              </w:rPr>
            </w:pPr>
          </w:p>
        </w:tc>
        <w:tc>
          <w:tcPr>
            <w:tcW w:w="620" w:type="dxa"/>
            <w:vAlign w:val="bottom"/>
            <w:tcBorders>
              <w:bottom w:val="single" w:sz="8" w:color="0C479D"/>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tcBorders>
              <w:left w:val="single" w:sz="8" w:color="F0F0F0"/>
              <w:bottom w:val="single" w:sz="8" w:color="0C479D"/>
            </w:tcBorders>
          </w:tcPr>
          <w:p>
            <w:pPr>
              <w:spacing w:after="0"/>
              <w:rPr>
                <w:sz w:val="23"/>
                <w:szCs w:val="23"/>
                <w:color w:val="auto"/>
              </w:rPr>
            </w:pPr>
          </w:p>
        </w:tc>
        <w:tc>
          <w:tcPr>
            <w:tcW w:w="140" w:type="dxa"/>
            <w:vAlign w:val="bottom"/>
            <w:tcBorders>
              <w:bottom w:val="single" w:sz="8" w:color="0C479D"/>
            </w:tcBorders>
          </w:tcPr>
          <w:p>
            <w:pPr>
              <w:spacing w:after="0"/>
              <w:rPr>
                <w:sz w:val="23"/>
                <w:szCs w:val="23"/>
                <w:color w:val="auto"/>
              </w:rPr>
            </w:pPr>
          </w:p>
        </w:tc>
        <w:tc>
          <w:tcPr>
            <w:tcW w:w="6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60" w:type="dxa"/>
            <w:vAlign w:val="bottom"/>
            <w:tcBorders>
              <w:bottom w:val="single" w:sz="8" w:color="0C479D"/>
            </w:tcBorders>
          </w:tcPr>
          <w:p>
            <w:pPr>
              <w:spacing w:after="0"/>
              <w:rPr>
                <w:sz w:val="23"/>
                <w:szCs w:val="23"/>
                <w:color w:val="auto"/>
              </w:rPr>
            </w:pPr>
          </w:p>
        </w:tc>
        <w:tc>
          <w:tcPr>
            <w:tcW w:w="720" w:type="dxa"/>
            <w:vAlign w:val="bottom"/>
            <w:tcBorders>
              <w:bottom w:val="single" w:sz="8" w:color="0C479D"/>
            </w:tcBorders>
          </w:tcPr>
          <w:p>
            <w:pPr>
              <w:jc w:val="right"/>
              <w:ind w:right="15"/>
              <w:spacing w:after="0"/>
              <w:rPr>
                <w:sz w:val="20"/>
                <w:szCs w:val="20"/>
                <w:color w:val="auto"/>
              </w:rPr>
            </w:pPr>
            <w:r>
              <w:rPr>
                <w:rFonts w:ascii="Times New Roman" w:cs="Times New Roman" w:eastAsia="Times New Roman" w:hAnsi="Times New Roman"/>
                <w:sz w:val="18"/>
                <w:szCs w:val="18"/>
                <w:color w:val="auto"/>
              </w:rPr>
              <w:t>(48)</w:t>
            </w:r>
          </w:p>
        </w:tc>
        <w:tc>
          <w:tcPr>
            <w:tcW w:w="6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60" w:type="dxa"/>
            <w:vAlign w:val="bottom"/>
            <w:tcBorders>
              <w:bottom w:val="single" w:sz="8" w:color="0C479D"/>
            </w:tcBorders>
          </w:tcPr>
          <w:p>
            <w:pPr>
              <w:spacing w:after="0"/>
              <w:rPr>
                <w:sz w:val="23"/>
                <w:szCs w:val="23"/>
                <w:color w:val="auto"/>
              </w:rPr>
            </w:pPr>
          </w:p>
        </w:tc>
        <w:tc>
          <w:tcPr>
            <w:tcW w:w="6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0C479D"/>
            </w:tcBorders>
          </w:tcPr>
          <w:p>
            <w:pPr>
              <w:jc w:val="right"/>
              <w:ind w:right="35"/>
              <w:spacing w:after="0"/>
              <w:rPr>
                <w:sz w:val="20"/>
                <w:szCs w:val="20"/>
                <w:color w:val="auto"/>
              </w:rPr>
            </w:pPr>
            <w:r>
              <w:rPr>
                <w:rFonts w:ascii="Times New Roman" w:cs="Times New Roman" w:eastAsia="Times New Roman" w:hAnsi="Times New Roman"/>
                <w:sz w:val="18"/>
                <w:szCs w:val="18"/>
                <w:color w:val="auto"/>
              </w:rPr>
              <w:t>(410)</w:t>
            </w:r>
          </w:p>
        </w:tc>
        <w:tc>
          <w:tcPr>
            <w:tcW w:w="6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50"/>
        </w:trPr>
        <w:tc>
          <w:tcPr>
            <w:tcW w:w="214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Identified Items</w:t>
            </w:r>
          </w:p>
        </w:tc>
        <w:tc>
          <w:tcPr>
            <w:tcW w:w="680" w:type="dxa"/>
            <w:vAlign w:val="bottom"/>
            <w:tcBorders>
              <w:bottom w:val="single" w:sz="8" w:color="0C479D"/>
            </w:tcBorders>
          </w:tcPr>
          <w:p>
            <w:pPr>
              <w:spacing w:after="0"/>
              <w:rPr>
                <w:sz w:val="21"/>
                <w:szCs w:val="21"/>
                <w:color w:val="auto"/>
              </w:rPr>
            </w:pPr>
          </w:p>
        </w:tc>
        <w:tc>
          <w:tcPr>
            <w:tcW w:w="80" w:type="dxa"/>
            <w:vAlign w:val="bottom"/>
            <w:tcBorders>
              <w:bottom w:val="single" w:sz="8" w:color="0C479D"/>
            </w:tcBorders>
          </w:tcPr>
          <w:p>
            <w:pPr>
              <w:spacing w:after="0"/>
              <w:rPr>
                <w:sz w:val="21"/>
                <w:szCs w:val="21"/>
                <w:color w:val="auto"/>
              </w:rPr>
            </w:pPr>
          </w:p>
        </w:tc>
        <w:tc>
          <w:tcPr>
            <w:tcW w:w="40" w:type="dxa"/>
            <w:vAlign w:val="bottom"/>
            <w:tcBorders>
              <w:bottom w:val="single" w:sz="8" w:color="0C479D"/>
            </w:tcBorders>
          </w:tcPr>
          <w:p>
            <w:pPr>
              <w:spacing w:after="0"/>
              <w:rPr>
                <w:sz w:val="21"/>
                <w:szCs w:val="21"/>
                <w:color w:val="auto"/>
              </w:rPr>
            </w:pPr>
          </w:p>
        </w:tc>
        <w:tc>
          <w:tcPr>
            <w:tcW w:w="120" w:type="dxa"/>
            <w:vAlign w:val="bottom"/>
            <w:tcBorders>
              <w:bottom w:val="single" w:sz="8" w:color="0C479D"/>
              <w:right w:val="single" w:sz="8" w:color="F0F0F0"/>
            </w:tcBorders>
          </w:tcPr>
          <w:p>
            <w:pPr>
              <w:spacing w:after="0"/>
              <w:rPr>
                <w:sz w:val="21"/>
                <w:szCs w:val="21"/>
                <w:color w:val="auto"/>
              </w:rPr>
            </w:pPr>
          </w:p>
        </w:tc>
        <w:tc>
          <w:tcPr>
            <w:tcW w:w="620" w:type="dxa"/>
            <w:vAlign w:val="bottom"/>
            <w:tcBorders>
              <w:bottom w:val="single" w:sz="8" w:color="0C479D"/>
            </w:tcBorders>
            <w:gridSpan w:val="3"/>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tcBorders>
              <w:bottom w:val="single" w:sz="8" w:color="0C479D"/>
            </w:tcBorders>
            <w:shd w:val="clear" w:color="auto" w:fill="F0F0F0"/>
          </w:tcPr>
          <w:p>
            <w:pPr>
              <w:spacing w:after="0"/>
              <w:rPr>
                <w:sz w:val="21"/>
                <w:szCs w:val="21"/>
                <w:color w:val="auto"/>
              </w:rPr>
            </w:pPr>
          </w:p>
        </w:tc>
        <w:tc>
          <w:tcPr>
            <w:tcW w:w="660" w:type="dxa"/>
            <w:vAlign w:val="bottom"/>
            <w:tcBorders>
              <w:bottom w:val="single" w:sz="8" w:color="0C479D"/>
            </w:tcBorders>
            <w:gridSpan w:val="3"/>
            <w:shd w:val="clear" w:color="auto" w:fill="F0F0F0"/>
          </w:tcPr>
          <w:p>
            <w:pPr>
              <w:jc w:val="right"/>
              <w:ind w:right="60"/>
              <w:spacing w:after="0"/>
              <w:rPr>
                <w:sz w:val="20"/>
                <w:szCs w:val="20"/>
                <w:color w:val="auto"/>
              </w:rPr>
            </w:pPr>
            <w:r>
              <w:rPr>
                <w:rFonts w:ascii="Times New Roman" w:cs="Times New Roman" w:eastAsia="Times New Roman" w:hAnsi="Times New Roman"/>
                <w:sz w:val="18"/>
                <w:szCs w:val="18"/>
                <w:color w:val="auto"/>
              </w:rPr>
              <w:t>113</w:t>
            </w:r>
          </w:p>
        </w:tc>
        <w:tc>
          <w:tcPr>
            <w:tcW w:w="40" w:type="dxa"/>
            <w:vAlign w:val="bottom"/>
            <w:tcBorders>
              <w:bottom w:val="single" w:sz="8" w:color="0C479D"/>
            </w:tcBorders>
            <w:shd w:val="clear" w:color="auto" w:fill="F0F0F0"/>
          </w:tcPr>
          <w:p>
            <w:pPr>
              <w:spacing w:after="0"/>
              <w:rPr>
                <w:sz w:val="21"/>
                <w:szCs w:val="21"/>
                <w:color w:val="auto"/>
              </w:rPr>
            </w:pPr>
          </w:p>
        </w:tc>
        <w:tc>
          <w:tcPr>
            <w:tcW w:w="40" w:type="dxa"/>
            <w:vAlign w:val="bottom"/>
            <w:tcBorders>
              <w:bottom w:val="single" w:sz="8" w:color="0C479D"/>
            </w:tcBorders>
            <w:shd w:val="clear" w:color="auto" w:fill="F0F0F0"/>
          </w:tcPr>
          <w:p>
            <w:pPr>
              <w:spacing w:after="0"/>
              <w:rPr>
                <w:sz w:val="21"/>
                <w:szCs w:val="21"/>
                <w:color w:val="auto"/>
              </w:rPr>
            </w:pPr>
          </w:p>
        </w:tc>
        <w:tc>
          <w:tcPr>
            <w:tcW w:w="620" w:type="dxa"/>
            <w:vAlign w:val="bottom"/>
            <w:tcBorders>
              <w:bottom w:val="single" w:sz="8" w:color="0C479D"/>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Borders>
              <w:left w:val="single" w:sz="8" w:color="F0F0F0"/>
              <w:bottom w:val="single" w:sz="8" w:color="0C479D"/>
            </w:tcBorders>
          </w:tcPr>
          <w:p>
            <w:pPr>
              <w:spacing w:after="0"/>
              <w:rPr>
                <w:sz w:val="21"/>
                <w:szCs w:val="21"/>
                <w:color w:val="auto"/>
              </w:rPr>
            </w:pPr>
          </w:p>
        </w:tc>
        <w:tc>
          <w:tcPr>
            <w:tcW w:w="140" w:type="dxa"/>
            <w:vAlign w:val="bottom"/>
            <w:tcBorders>
              <w:bottom w:val="single" w:sz="8" w:color="0C479D"/>
            </w:tcBorders>
          </w:tcPr>
          <w:p>
            <w:pPr>
              <w:spacing w:after="0"/>
              <w:rPr>
                <w:sz w:val="21"/>
                <w:szCs w:val="21"/>
                <w:color w:val="auto"/>
              </w:rPr>
            </w:pPr>
          </w:p>
        </w:tc>
        <w:tc>
          <w:tcPr>
            <w:tcW w:w="6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60" w:type="dxa"/>
            <w:vAlign w:val="bottom"/>
            <w:tcBorders>
              <w:bottom w:val="single" w:sz="8" w:color="0C479D"/>
            </w:tcBorders>
          </w:tcPr>
          <w:p>
            <w:pPr>
              <w:spacing w:after="0"/>
              <w:rPr>
                <w:sz w:val="21"/>
                <w:szCs w:val="21"/>
                <w:color w:val="auto"/>
              </w:rPr>
            </w:pPr>
          </w:p>
        </w:tc>
        <w:tc>
          <w:tcPr>
            <w:tcW w:w="720" w:type="dxa"/>
            <w:vAlign w:val="bottom"/>
            <w:tcBorders>
              <w:bottom w:val="single" w:sz="8" w:color="0C479D"/>
            </w:tcBorders>
          </w:tcPr>
          <w:p>
            <w:pPr>
              <w:jc w:val="right"/>
              <w:ind w:right="15"/>
              <w:spacing w:after="0"/>
              <w:rPr>
                <w:sz w:val="20"/>
                <w:szCs w:val="20"/>
                <w:color w:val="auto"/>
              </w:rPr>
            </w:pPr>
            <w:r>
              <w:rPr>
                <w:rFonts w:ascii="Times New Roman" w:cs="Times New Roman" w:eastAsia="Times New Roman" w:hAnsi="Times New Roman"/>
                <w:sz w:val="18"/>
                <w:szCs w:val="18"/>
                <w:color w:val="auto"/>
              </w:rPr>
              <w:t>(48)</w:t>
            </w:r>
          </w:p>
        </w:tc>
        <w:tc>
          <w:tcPr>
            <w:tcW w:w="6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60" w:type="dxa"/>
            <w:vAlign w:val="bottom"/>
            <w:tcBorders>
              <w:bottom w:val="single" w:sz="8" w:color="0C479D"/>
            </w:tcBorders>
          </w:tcPr>
          <w:p>
            <w:pPr>
              <w:spacing w:after="0"/>
              <w:rPr>
                <w:sz w:val="21"/>
                <w:szCs w:val="21"/>
                <w:color w:val="auto"/>
              </w:rPr>
            </w:pPr>
          </w:p>
        </w:tc>
        <w:tc>
          <w:tcPr>
            <w:tcW w:w="6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0" w:type="dxa"/>
            <w:vAlign w:val="bottom"/>
            <w:tcBorders>
              <w:bottom w:val="single" w:sz="8" w:color="0C479D"/>
            </w:tcBorders>
          </w:tcPr>
          <w:p>
            <w:pPr>
              <w:jc w:val="right"/>
              <w:ind w:right="35"/>
              <w:spacing w:after="0"/>
              <w:rPr>
                <w:sz w:val="20"/>
                <w:szCs w:val="20"/>
                <w:color w:val="auto"/>
              </w:rPr>
            </w:pPr>
            <w:r>
              <w:rPr>
                <w:rFonts w:ascii="Times New Roman" w:cs="Times New Roman" w:eastAsia="Times New Roman" w:hAnsi="Times New Roman"/>
                <w:sz w:val="18"/>
                <w:szCs w:val="18"/>
                <w:color w:val="auto"/>
              </w:rPr>
              <w:t>(626)</w:t>
            </w:r>
          </w:p>
        </w:tc>
        <w:tc>
          <w:tcPr>
            <w:tcW w:w="6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0" w:type="dxa"/>
            <w:vAlign w:val="bottom"/>
          </w:tcPr>
          <w:p>
            <w:pPr>
              <w:spacing w:after="0"/>
              <w:rPr>
                <w:sz w:val="1"/>
                <w:szCs w:val="1"/>
                <w:color w:val="auto"/>
              </w:rPr>
            </w:pPr>
          </w:p>
        </w:tc>
      </w:tr>
      <w:tr>
        <w:trPr>
          <w:trHeight w:val="309"/>
        </w:trPr>
        <w:tc>
          <w:tcPr>
            <w:tcW w:w="2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excluding Identified</w:t>
            </w:r>
          </w:p>
        </w:tc>
        <w:tc>
          <w:tcPr>
            <w:tcW w:w="120" w:type="dxa"/>
            <w:vAlign w:val="bottom"/>
            <w:tcBorders>
              <w:right w:val="single" w:sz="8" w:color="F0F0F0"/>
            </w:tcBorders>
          </w:tcPr>
          <w:p>
            <w:pPr>
              <w:spacing w:after="0"/>
              <w:rPr>
                <w:sz w:val="24"/>
                <w:szCs w:val="24"/>
                <w:color w:val="auto"/>
              </w:rPr>
            </w:pPr>
          </w:p>
        </w:tc>
        <w:tc>
          <w:tcPr>
            <w:tcW w:w="580" w:type="dxa"/>
            <w:vAlign w:val="bottom"/>
            <w:gridSpan w:val="2"/>
            <w:vMerge w:val="restart"/>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2,133</w:t>
            </w:r>
          </w:p>
        </w:tc>
        <w:tc>
          <w:tcPr>
            <w:tcW w:w="40" w:type="dxa"/>
            <w:vAlign w:val="bottom"/>
            <w:shd w:val="clear" w:color="auto" w:fill="F0F0F0"/>
          </w:tcPr>
          <w:p>
            <w:pPr>
              <w:spacing w:after="0"/>
              <w:rPr>
                <w:sz w:val="24"/>
                <w:szCs w:val="24"/>
                <w:color w:val="auto"/>
              </w:rPr>
            </w:pPr>
          </w:p>
        </w:tc>
        <w:tc>
          <w:tcPr>
            <w:tcW w:w="60" w:type="dxa"/>
            <w:vAlign w:val="bottom"/>
            <w:shd w:val="clear" w:color="auto" w:fill="F0F0F0"/>
          </w:tcPr>
          <w:p>
            <w:pPr>
              <w:spacing w:after="0"/>
              <w:rPr>
                <w:sz w:val="24"/>
                <w:szCs w:val="24"/>
                <w:color w:val="auto"/>
              </w:rPr>
            </w:pPr>
          </w:p>
        </w:tc>
        <w:tc>
          <w:tcPr>
            <w:tcW w:w="660" w:type="dxa"/>
            <w:vAlign w:val="bottom"/>
            <w:gridSpan w:val="3"/>
            <w:vMerge w:val="restart"/>
            <w:shd w:val="clear" w:color="auto" w:fill="F0F0F0"/>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1,821</w:t>
            </w:r>
          </w:p>
        </w:tc>
        <w:tc>
          <w:tcPr>
            <w:tcW w:w="40" w:type="dxa"/>
            <w:vAlign w:val="bottom"/>
            <w:shd w:val="clear" w:color="auto" w:fill="F0F0F0"/>
          </w:tcPr>
          <w:p>
            <w:pPr>
              <w:spacing w:after="0"/>
              <w:rPr>
                <w:sz w:val="24"/>
                <w:szCs w:val="24"/>
                <w:color w:val="auto"/>
              </w:rPr>
            </w:pPr>
          </w:p>
        </w:tc>
        <w:tc>
          <w:tcPr>
            <w:tcW w:w="40" w:type="dxa"/>
            <w:vAlign w:val="bottom"/>
            <w:shd w:val="clear" w:color="auto" w:fill="F0F0F0"/>
          </w:tcPr>
          <w:p>
            <w:pPr>
              <w:spacing w:after="0"/>
              <w:rPr>
                <w:sz w:val="24"/>
                <w:szCs w:val="24"/>
                <w:color w:val="auto"/>
              </w:rPr>
            </w:pPr>
          </w:p>
        </w:tc>
        <w:tc>
          <w:tcPr>
            <w:tcW w:w="620" w:type="dxa"/>
            <w:vAlign w:val="bottom"/>
            <w:tcBorders>
              <w:right w:val="single" w:sz="8" w:color="F0F0F0"/>
            </w:tcBorders>
            <w:vMerge w:val="restart"/>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3,954</w:t>
            </w:r>
          </w:p>
        </w:tc>
        <w:tc>
          <w:tcPr>
            <w:tcW w:w="80" w:type="dxa"/>
            <w:vAlign w:val="bottom"/>
            <w:tcBorders>
              <w:left w:val="single" w:sz="8" w:color="F0F0F0"/>
            </w:tcBorders>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5,931</w:t>
            </w:r>
          </w:p>
        </w:tc>
        <w:tc>
          <w:tcPr>
            <w:tcW w:w="60" w:type="dxa"/>
            <w:vAlign w:val="bottom"/>
          </w:tcPr>
          <w:p>
            <w:pPr>
              <w:spacing w:after="0"/>
              <w:rPr>
                <w:sz w:val="24"/>
                <w:szCs w:val="24"/>
                <w:color w:val="auto"/>
              </w:rPr>
            </w:pPr>
          </w:p>
        </w:tc>
        <w:tc>
          <w:tcPr>
            <w:tcW w:w="720" w:type="dxa"/>
            <w:vAlign w:val="bottom"/>
            <w:vMerge w:val="restart"/>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6,067</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11,998</w:t>
            </w:r>
          </w:p>
        </w:tc>
        <w:tc>
          <w:tcPr>
            <w:tcW w:w="160" w:type="dxa"/>
            <w:vAlign w:val="bottom"/>
          </w:tcPr>
          <w:p>
            <w:pPr>
              <w:spacing w:after="0"/>
              <w:rPr>
                <w:sz w:val="24"/>
                <w:szCs w:val="2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8,398</w:t>
            </w:r>
          </w:p>
        </w:tc>
        <w:tc>
          <w:tcPr>
            <w:tcW w:w="800" w:type="dxa"/>
            <w:vAlign w:val="bottom"/>
            <w:vMerge w:val="restart"/>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7,252</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15,650</w:t>
            </w:r>
          </w:p>
        </w:tc>
        <w:tc>
          <w:tcPr>
            <w:tcW w:w="0" w:type="dxa"/>
            <w:vAlign w:val="bottom"/>
          </w:tcPr>
          <w:p>
            <w:pPr>
              <w:spacing w:after="0"/>
              <w:rPr>
                <w:sz w:val="1"/>
                <w:szCs w:val="1"/>
                <w:color w:val="auto"/>
              </w:rPr>
            </w:pPr>
          </w:p>
        </w:tc>
      </w:tr>
      <w:tr>
        <w:trPr>
          <w:trHeight w:val="90"/>
        </w:trPr>
        <w:tc>
          <w:tcPr>
            <w:tcW w:w="2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Items </w:t>
            </w:r>
            <w:r>
              <w:rPr>
                <w:rFonts w:ascii="Times New Roman" w:cs="Times New Roman" w:eastAsia="Times New Roman" w:hAnsi="Times New Roman"/>
                <w:sz w:val="18"/>
                <w:szCs w:val="18"/>
                <w:color w:val="auto"/>
              </w:rPr>
              <w:t>(Non-GAAP)</w:t>
            </w: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Borders>
              <w:right w:val="single" w:sz="8" w:color="F0F0F0"/>
            </w:tcBorders>
          </w:tcPr>
          <w:p>
            <w:pPr>
              <w:spacing w:after="0"/>
              <w:rPr>
                <w:sz w:val="7"/>
                <w:szCs w:val="7"/>
                <w:color w:val="auto"/>
              </w:rPr>
            </w:pPr>
          </w:p>
        </w:tc>
        <w:tc>
          <w:tcPr>
            <w:tcW w:w="580" w:type="dxa"/>
            <w:vAlign w:val="bottom"/>
            <w:gridSpan w:val="2"/>
            <w:vMerge w:val="continue"/>
            <w:shd w:val="clear" w:color="auto" w:fill="F0F0F0"/>
          </w:tcPr>
          <w:p>
            <w:pPr>
              <w:spacing w:after="0"/>
              <w:rPr>
                <w:sz w:val="7"/>
                <w:szCs w:val="7"/>
                <w:color w:val="auto"/>
              </w:rPr>
            </w:pPr>
          </w:p>
        </w:tc>
        <w:tc>
          <w:tcPr>
            <w:tcW w:w="40" w:type="dxa"/>
            <w:vAlign w:val="bottom"/>
            <w:shd w:val="clear" w:color="auto" w:fill="F0F0F0"/>
          </w:tcPr>
          <w:p>
            <w:pPr>
              <w:spacing w:after="0"/>
              <w:rPr>
                <w:sz w:val="7"/>
                <w:szCs w:val="7"/>
                <w:color w:val="auto"/>
              </w:rPr>
            </w:pPr>
          </w:p>
        </w:tc>
        <w:tc>
          <w:tcPr>
            <w:tcW w:w="60" w:type="dxa"/>
            <w:vAlign w:val="bottom"/>
            <w:shd w:val="clear" w:color="auto" w:fill="F0F0F0"/>
          </w:tcPr>
          <w:p>
            <w:pPr>
              <w:spacing w:after="0"/>
              <w:rPr>
                <w:sz w:val="7"/>
                <w:szCs w:val="7"/>
                <w:color w:val="auto"/>
              </w:rPr>
            </w:pPr>
          </w:p>
        </w:tc>
        <w:tc>
          <w:tcPr>
            <w:tcW w:w="660" w:type="dxa"/>
            <w:vAlign w:val="bottom"/>
            <w:gridSpan w:val="3"/>
            <w:vMerge w:val="continue"/>
            <w:shd w:val="clear" w:color="auto" w:fill="F0F0F0"/>
          </w:tcPr>
          <w:p>
            <w:pPr>
              <w:spacing w:after="0"/>
              <w:rPr>
                <w:sz w:val="7"/>
                <w:szCs w:val="7"/>
                <w:color w:val="auto"/>
              </w:rPr>
            </w:pPr>
          </w:p>
        </w:tc>
        <w:tc>
          <w:tcPr>
            <w:tcW w:w="40" w:type="dxa"/>
            <w:vAlign w:val="bottom"/>
            <w:shd w:val="clear" w:color="auto" w:fill="F0F0F0"/>
          </w:tcPr>
          <w:p>
            <w:pPr>
              <w:spacing w:after="0"/>
              <w:rPr>
                <w:sz w:val="7"/>
                <w:szCs w:val="7"/>
                <w:color w:val="auto"/>
              </w:rPr>
            </w:pPr>
          </w:p>
        </w:tc>
        <w:tc>
          <w:tcPr>
            <w:tcW w:w="40" w:type="dxa"/>
            <w:vAlign w:val="bottom"/>
            <w:shd w:val="clear" w:color="auto" w:fill="F0F0F0"/>
          </w:tcPr>
          <w:p>
            <w:pPr>
              <w:spacing w:after="0"/>
              <w:rPr>
                <w:sz w:val="7"/>
                <w:szCs w:val="7"/>
                <w:color w:val="auto"/>
              </w:rPr>
            </w:pPr>
          </w:p>
        </w:tc>
        <w:tc>
          <w:tcPr>
            <w:tcW w:w="620" w:type="dxa"/>
            <w:vAlign w:val="bottom"/>
            <w:tcBorders>
              <w:right w:val="single" w:sz="8" w:color="F0F0F0"/>
            </w:tcBorders>
            <w:vMerge w:val="continue"/>
            <w:shd w:val="clear" w:color="auto" w:fill="F0F0F0"/>
          </w:tcPr>
          <w:p>
            <w:pPr>
              <w:spacing w:after="0"/>
              <w:rPr>
                <w:sz w:val="7"/>
                <w:szCs w:val="7"/>
                <w:color w:val="auto"/>
              </w:rPr>
            </w:pPr>
          </w:p>
        </w:tc>
        <w:tc>
          <w:tcPr>
            <w:tcW w:w="80" w:type="dxa"/>
            <w:vAlign w:val="bottom"/>
            <w:tcBorders>
              <w:left w:val="single" w:sz="8" w:color="F0F0F0"/>
            </w:tcBorders>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214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right w:val="single" w:sz="8" w:color="F0F0F0"/>
            </w:tcBorders>
          </w:tcPr>
          <w:p>
            <w:pPr>
              <w:spacing w:after="0"/>
              <w:rPr>
                <w:sz w:val="15"/>
                <w:szCs w:val="15"/>
                <w:color w:val="auto"/>
              </w:rPr>
            </w:pPr>
          </w:p>
        </w:tc>
        <w:tc>
          <w:tcPr>
            <w:tcW w:w="540" w:type="dxa"/>
            <w:vAlign w:val="bottom"/>
            <w:tcBorders>
              <w:bottom w:val="single" w:sz="8" w:color="F0F0F0"/>
            </w:tcBorders>
            <w:shd w:val="clear" w:color="auto" w:fill="F0F0F0"/>
          </w:tcPr>
          <w:p>
            <w:pPr>
              <w:spacing w:after="0"/>
              <w:rPr>
                <w:sz w:val="15"/>
                <w:szCs w:val="15"/>
                <w:color w:val="auto"/>
              </w:rPr>
            </w:pPr>
          </w:p>
        </w:tc>
        <w:tc>
          <w:tcPr>
            <w:tcW w:w="40" w:type="dxa"/>
            <w:vAlign w:val="bottom"/>
            <w:tcBorders>
              <w:bottom w:val="single" w:sz="8" w:color="F0F0F0"/>
            </w:tcBorders>
            <w:shd w:val="clear" w:color="auto" w:fill="F0F0F0"/>
          </w:tcPr>
          <w:p>
            <w:pPr>
              <w:spacing w:after="0"/>
              <w:rPr>
                <w:sz w:val="15"/>
                <w:szCs w:val="15"/>
                <w:color w:val="auto"/>
              </w:rPr>
            </w:pPr>
          </w:p>
        </w:tc>
        <w:tc>
          <w:tcPr>
            <w:tcW w:w="40" w:type="dxa"/>
            <w:vAlign w:val="bottom"/>
            <w:tcBorders>
              <w:bottom w:val="single" w:sz="8" w:color="F0F0F0"/>
            </w:tcBorders>
            <w:shd w:val="clear" w:color="auto" w:fill="F0F0F0"/>
          </w:tcPr>
          <w:p>
            <w:pPr>
              <w:spacing w:after="0"/>
              <w:rPr>
                <w:sz w:val="15"/>
                <w:szCs w:val="15"/>
                <w:color w:val="auto"/>
              </w:rPr>
            </w:pPr>
          </w:p>
        </w:tc>
        <w:tc>
          <w:tcPr>
            <w:tcW w:w="60" w:type="dxa"/>
            <w:vAlign w:val="bottom"/>
            <w:tcBorders>
              <w:bottom w:val="single" w:sz="8" w:color="F0F0F0"/>
            </w:tcBorders>
            <w:shd w:val="clear" w:color="auto" w:fill="F0F0F0"/>
          </w:tcPr>
          <w:p>
            <w:pPr>
              <w:spacing w:after="0"/>
              <w:rPr>
                <w:sz w:val="15"/>
                <w:szCs w:val="15"/>
                <w:color w:val="auto"/>
              </w:rPr>
            </w:pPr>
          </w:p>
        </w:tc>
        <w:tc>
          <w:tcPr>
            <w:tcW w:w="40" w:type="dxa"/>
            <w:vAlign w:val="bottom"/>
            <w:tcBorders>
              <w:bottom w:val="single" w:sz="8" w:color="F0F0F0"/>
            </w:tcBorders>
            <w:shd w:val="clear" w:color="auto" w:fill="F0F0F0"/>
          </w:tcPr>
          <w:p>
            <w:pPr>
              <w:spacing w:after="0"/>
              <w:rPr>
                <w:sz w:val="15"/>
                <w:szCs w:val="15"/>
                <w:color w:val="auto"/>
              </w:rPr>
            </w:pPr>
          </w:p>
        </w:tc>
        <w:tc>
          <w:tcPr>
            <w:tcW w:w="560" w:type="dxa"/>
            <w:vAlign w:val="bottom"/>
            <w:tcBorders>
              <w:bottom w:val="single" w:sz="8" w:color="F0F0F0"/>
            </w:tcBorders>
            <w:shd w:val="clear" w:color="auto" w:fill="F0F0F0"/>
          </w:tcPr>
          <w:p>
            <w:pPr>
              <w:spacing w:after="0"/>
              <w:rPr>
                <w:sz w:val="15"/>
                <w:szCs w:val="15"/>
                <w:color w:val="auto"/>
              </w:rPr>
            </w:pPr>
          </w:p>
        </w:tc>
        <w:tc>
          <w:tcPr>
            <w:tcW w:w="60" w:type="dxa"/>
            <w:vAlign w:val="bottom"/>
            <w:tcBorders>
              <w:bottom w:val="single" w:sz="8" w:color="F0F0F0"/>
            </w:tcBorders>
            <w:shd w:val="clear" w:color="auto" w:fill="F0F0F0"/>
          </w:tcPr>
          <w:p>
            <w:pPr>
              <w:spacing w:after="0"/>
              <w:rPr>
                <w:sz w:val="15"/>
                <w:szCs w:val="15"/>
                <w:color w:val="auto"/>
              </w:rPr>
            </w:pPr>
          </w:p>
        </w:tc>
        <w:tc>
          <w:tcPr>
            <w:tcW w:w="40" w:type="dxa"/>
            <w:vAlign w:val="bottom"/>
            <w:tcBorders>
              <w:bottom w:val="single" w:sz="8" w:color="F0F0F0"/>
            </w:tcBorders>
            <w:shd w:val="clear" w:color="auto" w:fill="F0F0F0"/>
          </w:tcPr>
          <w:p>
            <w:pPr>
              <w:spacing w:after="0"/>
              <w:rPr>
                <w:sz w:val="15"/>
                <w:szCs w:val="15"/>
                <w:color w:val="auto"/>
              </w:rPr>
            </w:pPr>
          </w:p>
        </w:tc>
        <w:tc>
          <w:tcPr>
            <w:tcW w:w="40" w:type="dxa"/>
            <w:vAlign w:val="bottom"/>
            <w:tcBorders>
              <w:bottom w:val="single" w:sz="8" w:color="F0F0F0"/>
            </w:tcBorders>
            <w:shd w:val="clear" w:color="auto" w:fill="F0F0F0"/>
          </w:tcPr>
          <w:p>
            <w:pPr>
              <w:spacing w:after="0"/>
              <w:rPr>
                <w:sz w:val="15"/>
                <w:szCs w:val="15"/>
                <w:color w:val="auto"/>
              </w:rPr>
            </w:pPr>
          </w:p>
        </w:tc>
        <w:tc>
          <w:tcPr>
            <w:tcW w:w="620" w:type="dxa"/>
            <w:vAlign w:val="bottom"/>
            <w:tcBorders>
              <w:bottom w:val="single" w:sz="8" w:color="F0F0F0"/>
              <w:right w:val="single" w:sz="8" w:color="F0F0F0"/>
            </w:tcBorders>
            <w:shd w:val="clear" w:color="auto" w:fill="F0F0F0"/>
          </w:tcPr>
          <w:p>
            <w:pPr>
              <w:spacing w:after="0"/>
              <w:rPr>
                <w:sz w:val="15"/>
                <w:szCs w:val="15"/>
                <w:color w:val="auto"/>
              </w:rPr>
            </w:pPr>
          </w:p>
        </w:tc>
        <w:tc>
          <w:tcPr>
            <w:tcW w:w="80" w:type="dxa"/>
            <w:vAlign w:val="bottom"/>
            <w:tcBorders>
              <w:left w:val="single" w:sz="8" w:color="F0F0F0"/>
            </w:tcBorders>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5"/>
        </w:trPr>
        <w:tc>
          <w:tcPr>
            <w:tcW w:w="2140" w:type="dxa"/>
            <w:vAlign w:val="bottom"/>
            <w:tcBorders>
              <w:top w:val="single" w:sz="8" w:color="0C479D"/>
            </w:tcBorders>
          </w:tcPr>
          <w:p>
            <w:pPr>
              <w:spacing w:after="0"/>
              <w:rPr>
                <w:sz w:val="24"/>
                <w:szCs w:val="24"/>
                <w:color w:val="auto"/>
              </w:rPr>
            </w:pPr>
          </w:p>
        </w:tc>
        <w:tc>
          <w:tcPr>
            <w:tcW w:w="680" w:type="dxa"/>
            <w:vAlign w:val="bottom"/>
            <w:tcBorders>
              <w:top w:val="single" w:sz="8" w:color="0C479D"/>
            </w:tcBorders>
          </w:tcPr>
          <w:p>
            <w:pPr>
              <w:spacing w:after="0"/>
              <w:rPr>
                <w:sz w:val="24"/>
                <w:szCs w:val="24"/>
                <w:color w:val="auto"/>
              </w:rPr>
            </w:pPr>
          </w:p>
        </w:tc>
        <w:tc>
          <w:tcPr>
            <w:tcW w:w="80" w:type="dxa"/>
            <w:vAlign w:val="bottom"/>
            <w:tcBorders>
              <w:top w:val="single" w:sz="8" w:color="0C479D"/>
            </w:tcBorders>
          </w:tcPr>
          <w:p>
            <w:pPr>
              <w:spacing w:after="0"/>
              <w:rPr>
                <w:sz w:val="24"/>
                <w:szCs w:val="24"/>
                <w:color w:val="auto"/>
              </w:rPr>
            </w:pPr>
          </w:p>
        </w:tc>
        <w:tc>
          <w:tcPr>
            <w:tcW w:w="40" w:type="dxa"/>
            <w:vAlign w:val="bottom"/>
            <w:tcBorders>
              <w:top w:val="single" w:sz="8" w:color="0C479D"/>
            </w:tcBorders>
          </w:tcPr>
          <w:p>
            <w:pPr>
              <w:spacing w:after="0"/>
              <w:rPr>
                <w:sz w:val="24"/>
                <w:szCs w:val="24"/>
                <w:color w:val="auto"/>
              </w:rPr>
            </w:pPr>
          </w:p>
        </w:tc>
        <w:tc>
          <w:tcPr>
            <w:tcW w:w="120" w:type="dxa"/>
            <w:vAlign w:val="bottom"/>
            <w:tcBorders>
              <w:top w:val="single" w:sz="8" w:color="0C479D"/>
            </w:tcBorders>
          </w:tcPr>
          <w:p>
            <w:pPr>
              <w:spacing w:after="0"/>
              <w:rPr>
                <w:sz w:val="24"/>
                <w:szCs w:val="24"/>
                <w:color w:val="auto"/>
              </w:rPr>
            </w:pPr>
          </w:p>
        </w:tc>
        <w:tc>
          <w:tcPr>
            <w:tcW w:w="540" w:type="dxa"/>
            <w:vAlign w:val="bottom"/>
            <w:tcBorders>
              <w:top w:val="single" w:sz="8" w:color="0C479D"/>
            </w:tcBorders>
          </w:tcPr>
          <w:p>
            <w:pPr>
              <w:spacing w:after="0"/>
              <w:rPr>
                <w:sz w:val="24"/>
                <w:szCs w:val="24"/>
                <w:color w:val="auto"/>
              </w:rPr>
            </w:pPr>
          </w:p>
        </w:tc>
        <w:tc>
          <w:tcPr>
            <w:tcW w:w="40" w:type="dxa"/>
            <w:vAlign w:val="bottom"/>
            <w:tcBorders>
              <w:top w:val="single" w:sz="8" w:color="0C479D"/>
            </w:tcBorders>
          </w:tcPr>
          <w:p>
            <w:pPr>
              <w:spacing w:after="0"/>
              <w:rPr>
                <w:sz w:val="24"/>
                <w:szCs w:val="24"/>
                <w:color w:val="auto"/>
              </w:rPr>
            </w:pPr>
          </w:p>
        </w:tc>
        <w:tc>
          <w:tcPr>
            <w:tcW w:w="40" w:type="dxa"/>
            <w:vAlign w:val="bottom"/>
            <w:tcBorders>
              <w:top w:val="single" w:sz="8" w:color="0C479D"/>
            </w:tcBorders>
          </w:tcPr>
          <w:p>
            <w:pPr>
              <w:spacing w:after="0"/>
              <w:rPr>
                <w:sz w:val="24"/>
                <w:szCs w:val="24"/>
                <w:color w:val="auto"/>
              </w:rPr>
            </w:pPr>
          </w:p>
        </w:tc>
        <w:tc>
          <w:tcPr>
            <w:tcW w:w="60" w:type="dxa"/>
            <w:vAlign w:val="bottom"/>
            <w:tcBorders>
              <w:top w:val="single" w:sz="8" w:color="0C479D"/>
            </w:tcBorders>
          </w:tcPr>
          <w:p>
            <w:pPr>
              <w:spacing w:after="0"/>
              <w:rPr>
                <w:sz w:val="24"/>
                <w:szCs w:val="24"/>
                <w:color w:val="auto"/>
              </w:rPr>
            </w:pPr>
          </w:p>
        </w:tc>
        <w:tc>
          <w:tcPr>
            <w:tcW w:w="40" w:type="dxa"/>
            <w:vAlign w:val="bottom"/>
            <w:tcBorders>
              <w:top w:val="single" w:sz="8" w:color="0C479D"/>
            </w:tcBorders>
          </w:tcPr>
          <w:p>
            <w:pPr>
              <w:spacing w:after="0"/>
              <w:rPr>
                <w:sz w:val="24"/>
                <w:szCs w:val="24"/>
                <w:color w:val="auto"/>
              </w:rPr>
            </w:pPr>
          </w:p>
        </w:tc>
        <w:tc>
          <w:tcPr>
            <w:tcW w:w="560" w:type="dxa"/>
            <w:vAlign w:val="bottom"/>
            <w:tcBorders>
              <w:top w:val="single" w:sz="8" w:color="0C479D"/>
            </w:tcBorders>
          </w:tcPr>
          <w:p>
            <w:pPr>
              <w:spacing w:after="0"/>
              <w:rPr>
                <w:sz w:val="24"/>
                <w:szCs w:val="24"/>
                <w:color w:val="auto"/>
              </w:rPr>
            </w:pPr>
          </w:p>
        </w:tc>
        <w:tc>
          <w:tcPr>
            <w:tcW w:w="60" w:type="dxa"/>
            <w:vAlign w:val="bottom"/>
            <w:tcBorders>
              <w:top w:val="single" w:sz="8" w:color="0C479D"/>
            </w:tcBorders>
          </w:tcPr>
          <w:p>
            <w:pPr>
              <w:spacing w:after="0"/>
              <w:rPr>
                <w:sz w:val="24"/>
                <w:szCs w:val="24"/>
                <w:color w:val="auto"/>
              </w:rPr>
            </w:pPr>
          </w:p>
        </w:tc>
        <w:tc>
          <w:tcPr>
            <w:tcW w:w="40" w:type="dxa"/>
            <w:vAlign w:val="bottom"/>
            <w:tcBorders>
              <w:top w:val="single" w:sz="8" w:color="0C479D"/>
            </w:tcBorders>
          </w:tcPr>
          <w:p>
            <w:pPr>
              <w:spacing w:after="0"/>
              <w:rPr>
                <w:sz w:val="24"/>
                <w:szCs w:val="24"/>
                <w:color w:val="auto"/>
              </w:rPr>
            </w:pPr>
          </w:p>
        </w:tc>
        <w:tc>
          <w:tcPr>
            <w:tcW w:w="40" w:type="dxa"/>
            <w:vAlign w:val="bottom"/>
            <w:tcBorders>
              <w:top w:val="single" w:sz="8" w:color="0C479D"/>
            </w:tcBorders>
          </w:tcPr>
          <w:p>
            <w:pPr>
              <w:spacing w:after="0"/>
              <w:rPr>
                <w:sz w:val="24"/>
                <w:szCs w:val="24"/>
                <w:color w:val="auto"/>
              </w:rPr>
            </w:pPr>
          </w:p>
        </w:tc>
        <w:tc>
          <w:tcPr>
            <w:tcW w:w="620" w:type="dxa"/>
            <w:vAlign w:val="bottom"/>
            <w:tcBorders>
              <w:top w:val="single" w:sz="8" w:color="0C479D"/>
            </w:tcBorders>
          </w:tcPr>
          <w:p>
            <w:pPr>
              <w:spacing w:after="0"/>
              <w:rPr>
                <w:sz w:val="24"/>
                <w:szCs w:val="24"/>
                <w:color w:val="auto"/>
              </w:rPr>
            </w:pPr>
          </w:p>
        </w:tc>
        <w:tc>
          <w:tcPr>
            <w:tcW w:w="80" w:type="dxa"/>
            <w:vAlign w:val="bottom"/>
            <w:tcBorders>
              <w:top w:val="single" w:sz="8" w:color="0C479D"/>
            </w:tcBorders>
          </w:tcPr>
          <w:p>
            <w:pPr>
              <w:spacing w:after="0"/>
              <w:rPr>
                <w:sz w:val="24"/>
                <w:szCs w:val="24"/>
                <w:color w:val="auto"/>
              </w:rPr>
            </w:pPr>
          </w:p>
        </w:tc>
        <w:tc>
          <w:tcPr>
            <w:tcW w:w="140" w:type="dxa"/>
            <w:vAlign w:val="bottom"/>
            <w:tcBorders>
              <w:top w:val="single" w:sz="8" w:color="0C479D"/>
            </w:tcBorders>
          </w:tcPr>
          <w:p>
            <w:pPr>
              <w:spacing w:after="0"/>
              <w:rPr>
                <w:sz w:val="24"/>
                <w:szCs w:val="24"/>
                <w:color w:val="auto"/>
              </w:rPr>
            </w:pPr>
          </w:p>
        </w:tc>
        <w:tc>
          <w:tcPr>
            <w:tcW w:w="660" w:type="dxa"/>
            <w:vAlign w:val="bottom"/>
            <w:tcBorders>
              <w:top w:val="single" w:sz="8" w:color="0C479D"/>
            </w:tcBorders>
          </w:tcPr>
          <w:p>
            <w:pPr>
              <w:spacing w:after="0"/>
              <w:rPr>
                <w:sz w:val="24"/>
                <w:szCs w:val="24"/>
                <w:color w:val="auto"/>
              </w:rPr>
            </w:pPr>
          </w:p>
        </w:tc>
        <w:tc>
          <w:tcPr>
            <w:tcW w:w="60" w:type="dxa"/>
            <w:vAlign w:val="bottom"/>
            <w:tcBorders>
              <w:top w:val="single" w:sz="8" w:color="0C479D"/>
            </w:tcBorders>
          </w:tcPr>
          <w:p>
            <w:pPr>
              <w:spacing w:after="0"/>
              <w:rPr>
                <w:sz w:val="24"/>
                <w:szCs w:val="24"/>
                <w:color w:val="auto"/>
              </w:rPr>
            </w:pPr>
          </w:p>
        </w:tc>
        <w:tc>
          <w:tcPr>
            <w:tcW w:w="720" w:type="dxa"/>
            <w:vAlign w:val="bottom"/>
            <w:tcBorders>
              <w:top w:val="single" w:sz="8" w:color="0C479D"/>
            </w:tcBorders>
          </w:tcPr>
          <w:p>
            <w:pPr>
              <w:spacing w:after="0"/>
              <w:rPr>
                <w:sz w:val="24"/>
                <w:szCs w:val="24"/>
                <w:color w:val="auto"/>
              </w:rPr>
            </w:pPr>
          </w:p>
        </w:tc>
        <w:tc>
          <w:tcPr>
            <w:tcW w:w="660" w:type="dxa"/>
            <w:vAlign w:val="bottom"/>
            <w:tcBorders>
              <w:top w:val="single" w:sz="8" w:color="0C479D"/>
            </w:tcBorders>
          </w:tcPr>
          <w:p>
            <w:pPr>
              <w:spacing w:after="0"/>
              <w:rPr>
                <w:sz w:val="24"/>
                <w:szCs w:val="24"/>
                <w:color w:val="auto"/>
              </w:rPr>
            </w:pPr>
          </w:p>
        </w:tc>
        <w:tc>
          <w:tcPr>
            <w:tcW w:w="160" w:type="dxa"/>
            <w:vAlign w:val="bottom"/>
            <w:tcBorders>
              <w:top w:val="single" w:sz="8" w:color="0C479D"/>
            </w:tcBorders>
          </w:tcPr>
          <w:p>
            <w:pPr>
              <w:spacing w:after="0"/>
              <w:rPr>
                <w:sz w:val="24"/>
                <w:szCs w:val="24"/>
                <w:color w:val="auto"/>
              </w:rPr>
            </w:pPr>
          </w:p>
        </w:tc>
        <w:tc>
          <w:tcPr>
            <w:tcW w:w="680" w:type="dxa"/>
            <w:vAlign w:val="bottom"/>
            <w:tcBorders>
              <w:top w:val="single" w:sz="8" w:color="0C479D"/>
            </w:tcBorders>
          </w:tcPr>
          <w:p>
            <w:pPr>
              <w:spacing w:after="0"/>
              <w:rPr>
                <w:sz w:val="24"/>
                <w:szCs w:val="24"/>
                <w:color w:val="auto"/>
              </w:rPr>
            </w:pPr>
          </w:p>
        </w:tc>
        <w:tc>
          <w:tcPr>
            <w:tcW w:w="800" w:type="dxa"/>
            <w:vAlign w:val="bottom"/>
            <w:tcBorders>
              <w:top w:val="single" w:sz="8" w:color="0C479D"/>
            </w:tcBorders>
          </w:tcPr>
          <w:p>
            <w:pPr>
              <w:spacing w:after="0"/>
              <w:rPr>
                <w:sz w:val="24"/>
                <w:szCs w:val="24"/>
                <w:color w:val="auto"/>
              </w:rPr>
            </w:pPr>
          </w:p>
        </w:tc>
        <w:tc>
          <w:tcPr>
            <w:tcW w:w="660" w:type="dxa"/>
            <w:vAlign w:val="bottom"/>
            <w:tcBorders>
              <w:top w:val="single" w:sz="8" w:color="0C479D"/>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140" w:type="dxa"/>
            <w:vAlign w:val="bottom"/>
            <w:shd w:val="clear" w:color="auto" w:fill="0C479D"/>
          </w:tcPr>
          <w:p>
            <w:pPr>
              <w:ind w:left="20"/>
              <w:spacing w:after="0"/>
              <w:rPr>
                <w:sz w:val="20"/>
                <w:szCs w:val="20"/>
                <w:color w:val="auto"/>
              </w:rPr>
            </w:pPr>
            <w:r>
              <w:rPr>
                <w:rFonts w:ascii="Times New Roman" w:cs="Times New Roman" w:eastAsia="Times New Roman" w:hAnsi="Times New Roman"/>
                <w:sz w:val="18"/>
                <w:szCs w:val="18"/>
                <w:b w:val="1"/>
                <w:bCs w:val="1"/>
                <w:color w:val="FFFFFF"/>
              </w:rPr>
              <w:t>Chemical Products</w:t>
            </w:r>
          </w:p>
        </w:tc>
        <w:tc>
          <w:tcPr>
            <w:tcW w:w="680" w:type="dxa"/>
            <w:vAlign w:val="bottom"/>
            <w:shd w:val="clear" w:color="auto" w:fill="0C479D"/>
          </w:tcPr>
          <w:p>
            <w:pPr>
              <w:spacing w:after="0"/>
              <w:rPr>
                <w:sz w:val="21"/>
                <w:szCs w:val="21"/>
                <w:color w:val="auto"/>
              </w:rPr>
            </w:pPr>
          </w:p>
        </w:tc>
        <w:tc>
          <w:tcPr>
            <w:tcW w:w="80" w:type="dxa"/>
            <w:vAlign w:val="bottom"/>
            <w:shd w:val="clear" w:color="auto" w:fill="0C479D"/>
          </w:tcPr>
          <w:p>
            <w:pPr>
              <w:spacing w:after="0"/>
              <w:rPr>
                <w:sz w:val="21"/>
                <w:szCs w:val="21"/>
                <w:color w:val="auto"/>
              </w:rPr>
            </w:pPr>
          </w:p>
        </w:tc>
        <w:tc>
          <w:tcPr>
            <w:tcW w:w="40" w:type="dxa"/>
            <w:vAlign w:val="bottom"/>
            <w:tcBorders>
              <w:left w:val="single" w:sz="8" w:color="0C479D"/>
            </w:tcBorders>
            <w:shd w:val="clear" w:color="auto" w:fill="0C479D"/>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shd w:val="clear" w:color="auto" w:fill="0C479D"/>
          </w:tcPr>
          <w:p>
            <w:pPr>
              <w:spacing w:after="0"/>
              <w:rPr>
                <w:sz w:val="21"/>
                <w:szCs w:val="21"/>
                <w:color w:val="auto"/>
              </w:rPr>
            </w:pPr>
          </w:p>
        </w:tc>
        <w:tc>
          <w:tcPr>
            <w:tcW w:w="40" w:type="dxa"/>
            <w:vAlign w:val="bottom"/>
            <w:shd w:val="clear" w:color="auto" w:fill="0C479D"/>
          </w:tcPr>
          <w:p>
            <w:pPr>
              <w:spacing w:after="0"/>
              <w:rPr>
                <w:sz w:val="21"/>
                <w:szCs w:val="21"/>
                <w:color w:val="auto"/>
              </w:rPr>
            </w:pPr>
          </w:p>
        </w:tc>
        <w:tc>
          <w:tcPr>
            <w:tcW w:w="40" w:type="dxa"/>
            <w:vAlign w:val="bottom"/>
            <w:shd w:val="clear" w:color="auto" w:fill="0C479D"/>
          </w:tcPr>
          <w:p>
            <w:pPr>
              <w:spacing w:after="0"/>
              <w:rPr>
                <w:sz w:val="21"/>
                <w:szCs w:val="21"/>
                <w:color w:val="auto"/>
              </w:rPr>
            </w:pPr>
          </w:p>
        </w:tc>
        <w:tc>
          <w:tcPr>
            <w:tcW w:w="60" w:type="dxa"/>
            <w:vAlign w:val="bottom"/>
            <w:shd w:val="clear" w:color="auto" w:fill="0C479D"/>
          </w:tcPr>
          <w:p>
            <w:pPr>
              <w:spacing w:after="0"/>
              <w:rPr>
                <w:sz w:val="21"/>
                <w:szCs w:val="21"/>
                <w:color w:val="auto"/>
              </w:rPr>
            </w:pPr>
          </w:p>
        </w:tc>
        <w:tc>
          <w:tcPr>
            <w:tcW w:w="40" w:type="dxa"/>
            <w:vAlign w:val="bottom"/>
            <w:shd w:val="clear" w:color="auto" w:fill="0C479D"/>
          </w:tcPr>
          <w:p>
            <w:pPr>
              <w:spacing w:after="0"/>
              <w:rPr>
                <w:sz w:val="21"/>
                <w:szCs w:val="21"/>
                <w:color w:val="auto"/>
              </w:rPr>
            </w:pPr>
          </w:p>
        </w:tc>
        <w:tc>
          <w:tcPr>
            <w:tcW w:w="560" w:type="dxa"/>
            <w:vAlign w:val="bottom"/>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60" w:type="dxa"/>
            <w:vAlign w:val="bottom"/>
            <w:shd w:val="clear" w:color="auto" w:fill="0C479D"/>
          </w:tcPr>
          <w:p>
            <w:pPr>
              <w:spacing w:after="0"/>
              <w:rPr>
                <w:sz w:val="21"/>
                <w:szCs w:val="21"/>
                <w:color w:val="auto"/>
              </w:rPr>
            </w:pPr>
          </w:p>
        </w:tc>
        <w:tc>
          <w:tcPr>
            <w:tcW w:w="40" w:type="dxa"/>
            <w:vAlign w:val="bottom"/>
            <w:shd w:val="clear" w:color="auto" w:fill="0C479D"/>
          </w:tcPr>
          <w:p>
            <w:pPr>
              <w:spacing w:after="0"/>
              <w:rPr>
                <w:sz w:val="21"/>
                <w:szCs w:val="21"/>
                <w:color w:val="auto"/>
              </w:rPr>
            </w:pPr>
          </w:p>
        </w:tc>
        <w:tc>
          <w:tcPr>
            <w:tcW w:w="40" w:type="dxa"/>
            <w:vAlign w:val="bottom"/>
            <w:shd w:val="clear" w:color="auto" w:fill="0C479D"/>
          </w:tcPr>
          <w:p>
            <w:pPr>
              <w:spacing w:after="0"/>
              <w:rPr>
                <w:sz w:val="21"/>
                <w:szCs w:val="21"/>
                <w:color w:val="auto"/>
              </w:rPr>
            </w:pPr>
          </w:p>
        </w:tc>
        <w:tc>
          <w:tcPr>
            <w:tcW w:w="620" w:type="dxa"/>
            <w:vAlign w:val="bottom"/>
            <w:tcBorders>
              <w:right w:val="single" w:sz="8" w:color="0C479D"/>
            </w:tcBorders>
            <w:shd w:val="clear" w:color="auto" w:fill="0C479D"/>
          </w:tcPr>
          <w:p>
            <w:pPr>
              <w:spacing w:after="0"/>
              <w:rPr>
                <w:sz w:val="21"/>
                <w:szCs w:val="21"/>
                <w:color w:val="auto"/>
              </w:rPr>
            </w:pPr>
          </w:p>
        </w:tc>
        <w:tc>
          <w:tcPr>
            <w:tcW w:w="80" w:type="dxa"/>
            <w:vAlign w:val="bottom"/>
            <w:tcBorders>
              <w:left w:val="single" w:sz="8" w:color="0C479D"/>
            </w:tcBorders>
            <w:shd w:val="clear" w:color="auto" w:fill="0C479D"/>
          </w:tcPr>
          <w:p>
            <w:pPr>
              <w:spacing w:after="0"/>
              <w:rPr>
                <w:sz w:val="21"/>
                <w:szCs w:val="21"/>
                <w:color w:val="auto"/>
              </w:rPr>
            </w:pPr>
          </w:p>
        </w:tc>
        <w:tc>
          <w:tcPr>
            <w:tcW w:w="140" w:type="dxa"/>
            <w:vAlign w:val="bottom"/>
            <w:tcBorders>
              <w:left w:val="single" w:sz="8" w:color="0C479D"/>
            </w:tcBorders>
          </w:tcPr>
          <w:p>
            <w:pPr>
              <w:spacing w:after="0"/>
              <w:rPr>
                <w:sz w:val="21"/>
                <w:szCs w:val="21"/>
                <w:color w:val="auto"/>
              </w:rPr>
            </w:pPr>
          </w:p>
        </w:tc>
        <w:tc>
          <w:tcPr>
            <w:tcW w:w="660" w:type="dxa"/>
            <w:vAlign w:val="bottom"/>
            <w:shd w:val="clear" w:color="auto" w:fill="0C479D"/>
          </w:tcPr>
          <w:p>
            <w:pPr>
              <w:spacing w:after="0"/>
              <w:rPr>
                <w:sz w:val="21"/>
                <w:szCs w:val="21"/>
                <w:color w:val="auto"/>
              </w:rPr>
            </w:pPr>
          </w:p>
        </w:tc>
        <w:tc>
          <w:tcPr>
            <w:tcW w:w="60" w:type="dxa"/>
            <w:vAlign w:val="bottom"/>
            <w:shd w:val="clear" w:color="auto" w:fill="0C479D"/>
          </w:tcPr>
          <w:p>
            <w:pPr>
              <w:spacing w:after="0"/>
              <w:rPr>
                <w:sz w:val="21"/>
                <w:szCs w:val="21"/>
                <w:color w:val="auto"/>
              </w:rPr>
            </w:pPr>
          </w:p>
        </w:tc>
        <w:tc>
          <w:tcPr>
            <w:tcW w:w="720" w:type="dxa"/>
            <w:vAlign w:val="bottom"/>
            <w:shd w:val="clear" w:color="auto" w:fill="0C479D"/>
          </w:tcPr>
          <w:p>
            <w:pPr>
              <w:ind w:left="200"/>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660" w:type="dxa"/>
            <w:vAlign w:val="bottom"/>
            <w:shd w:val="clear" w:color="auto" w:fill="0C479D"/>
          </w:tcPr>
          <w:p>
            <w:pPr>
              <w:spacing w:after="0"/>
              <w:rPr>
                <w:sz w:val="21"/>
                <w:szCs w:val="21"/>
                <w:color w:val="auto"/>
              </w:rPr>
            </w:pPr>
          </w:p>
        </w:tc>
        <w:tc>
          <w:tcPr>
            <w:tcW w:w="160" w:type="dxa"/>
            <w:vAlign w:val="bottom"/>
            <w:tcBorders>
              <w:left w:val="single" w:sz="8" w:color="0C479D"/>
            </w:tcBorders>
          </w:tcPr>
          <w:p>
            <w:pPr>
              <w:spacing w:after="0"/>
              <w:rPr>
                <w:sz w:val="21"/>
                <w:szCs w:val="21"/>
                <w:color w:val="auto"/>
              </w:rPr>
            </w:pPr>
          </w:p>
        </w:tc>
        <w:tc>
          <w:tcPr>
            <w:tcW w:w="680" w:type="dxa"/>
            <w:vAlign w:val="bottom"/>
            <w:shd w:val="clear" w:color="auto" w:fill="0C479D"/>
          </w:tcPr>
          <w:p>
            <w:pPr>
              <w:spacing w:after="0"/>
              <w:rPr>
                <w:sz w:val="21"/>
                <w:szCs w:val="21"/>
                <w:color w:val="auto"/>
              </w:rPr>
            </w:pPr>
          </w:p>
        </w:tc>
        <w:tc>
          <w:tcPr>
            <w:tcW w:w="80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2022</w:t>
            </w:r>
          </w:p>
        </w:tc>
        <w:tc>
          <w:tcPr>
            <w:tcW w:w="660" w:type="dxa"/>
            <w:vAlign w:val="bottom"/>
            <w:shd w:val="clear" w:color="auto" w:fill="0C479D"/>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140" w:type="dxa"/>
            <w:vAlign w:val="bottom"/>
            <w:tcBorders>
              <w:bottom w:val="single" w:sz="8" w:color="0C479D"/>
            </w:tcBorders>
            <w:shd w:val="clear" w:color="auto" w:fill="0C479D"/>
          </w:tcPr>
          <w:p>
            <w:pPr>
              <w:ind w:left="20"/>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680" w:type="dxa"/>
            <w:vAlign w:val="bottom"/>
            <w:tcBorders>
              <w:bottom w:val="single" w:sz="8" w:color="0C479D"/>
            </w:tcBorders>
            <w:shd w:val="clear" w:color="auto" w:fill="0C479D"/>
          </w:tcPr>
          <w:p>
            <w:pPr>
              <w:spacing w:after="0"/>
              <w:rPr>
                <w:sz w:val="19"/>
                <w:szCs w:val="19"/>
                <w:color w:val="auto"/>
              </w:rPr>
            </w:pPr>
          </w:p>
        </w:tc>
        <w:tc>
          <w:tcPr>
            <w:tcW w:w="80" w:type="dxa"/>
            <w:vAlign w:val="bottom"/>
            <w:tcBorders>
              <w:bottom w:val="single" w:sz="8" w:color="0C479D"/>
            </w:tcBorders>
            <w:shd w:val="clear" w:color="auto" w:fill="0C479D"/>
          </w:tcPr>
          <w:p>
            <w:pPr>
              <w:spacing w:after="0"/>
              <w:rPr>
                <w:sz w:val="19"/>
                <w:szCs w:val="19"/>
                <w:color w:val="auto"/>
              </w:rPr>
            </w:pPr>
          </w:p>
        </w:tc>
        <w:tc>
          <w:tcPr>
            <w:tcW w:w="40" w:type="dxa"/>
            <w:vAlign w:val="bottom"/>
            <w:tcBorders>
              <w:left w:val="single" w:sz="8" w:color="0C479D"/>
              <w:bottom w:val="single" w:sz="8" w:color="0C479D"/>
            </w:tcBorders>
            <w:shd w:val="clear" w:color="auto" w:fill="0C479D"/>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bottom w:val="single" w:sz="8" w:color="0C479D"/>
            </w:tcBorders>
            <w:gridSpan w:val="4"/>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U.S.</w:t>
            </w:r>
          </w:p>
        </w:tc>
        <w:tc>
          <w:tcPr>
            <w:tcW w:w="40" w:type="dxa"/>
            <w:vAlign w:val="bottom"/>
            <w:tcBorders>
              <w:bottom w:val="single" w:sz="8" w:color="0C479D"/>
            </w:tcBorders>
            <w:shd w:val="clear" w:color="auto" w:fill="0C479D"/>
          </w:tcPr>
          <w:p>
            <w:pPr>
              <w:spacing w:after="0"/>
              <w:rPr>
                <w:sz w:val="19"/>
                <w:szCs w:val="19"/>
                <w:color w:val="auto"/>
              </w:rPr>
            </w:pPr>
          </w:p>
        </w:tc>
        <w:tc>
          <w:tcPr>
            <w:tcW w:w="700" w:type="dxa"/>
            <w:vAlign w:val="bottom"/>
            <w:tcBorders>
              <w:bottom w:val="single" w:sz="8" w:color="0C479D"/>
            </w:tcBorders>
            <w:gridSpan w:val="4"/>
            <w:shd w:val="clear" w:color="auto" w:fill="0C479D"/>
          </w:tcPr>
          <w:p>
            <w:pPr>
              <w:ind w:left="60"/>
              <w:spacing w:after="0"/>
              <w:rPr>
                <w:sz w:val="20"/>
                <w:szCs w:val="20"/>
                <w:color w:val="auto"/>
              </w:rPr>
            </w:pPr>
            <w:r>
              <w:rPr>
                <w:rFonts w:ascii="Times New Roman" w:cs="Times New Roman" w:eastAsia="Times New Roman" w:hAnsi="Times New Roman"/>
                <w:sz w:val="14"/>
                <w:szCs w:val="14"/>
                <w:b w:val="1"/>
                <w:bCs w:val="1"/>
                <w:color w:val="FFFFFF"/>
              </w:rPr>
              <w:t>Non-U.S.</w:t>
            </w:r>
          </w:p>
        </w:tc>
        <w:tc>
          <w:tcPr>
            <w:tcW w:w="700" w:type="dxa"/>
            <w:vAlign w:val="bottom"/>
            <w:tcBorders>
              <w:bottom w:val="single" w:sz="8" w:color="0C479D"/>
            </w:tcBorders>
            <w:gridSpan w:val="2"/>
            <w:shd w:val="clear" w:color="auto" w:fill="0C479D"/>
          </w:tcPr>
          <w:p>
            <w:pPr>
              <w:jc w:val="right"/>
              <w:ind w:right="180"/>
              <w:spacing w:after="0"/>
              <w:rPr>
                <w:sz w:val="20"/>
                <w:szCs w:val="20"/>
                <w:color w:val="auto"/>
              </w:rPr>
            </w:pPr>
            <w:r>
              <w:rPr>
                <w:rFonts w:ascii="Times New Roman" w:cs="Times New Roman" w:eastAsia="Times New Roman" w:hAnsi="Times New Roman"/>
                <w:sz w:val="14"/>
                <w:szCs w:val="14"/>
                <w:b w:val="1"/>
                <w:bCs w:val="1"/>
                <w:color w:val="FFFFFF"/>
              </w:rPr>
              <w:t>Total</w:t>
            </w:r>
          </w:p>
        </w:tc>
        <w:tc>
          <w:tcPr>
            <w:tcW w:w="140" w:type="dxa"/>
            <w:vAlign w:val="bottom"/>
            <w:tcBorders>
              <w:left w:val="single" w:sz="8" w:color="0C479D"/>
            </w:tcBorders>
          </w:tcPr>
          <w:p>
            <w:pPr>
              <w:spacing w:after="0"/>
              <w:rPr>
                <w:sz w:val="19"/>
                <w:szCs w:val="19"/>
                <w:color w:val="auto"/>
              </w:rPr>
            </w:pPr>
          </w:p>
        </w:tc>
        <w:tc>
          <w:tcPr>
            <w:tcW w:w="720" w:type="dxa"/>
            <w:vAlign w:val="bottom"/>
            <w:tcBorders>
              <w:bottom w:val="single" w:sz="8" w:color="0C479D"/>
            </w:tcBorders>
            <w:gridSpan w:val="2"/>
            <w:shd w:val="clear" w:color="auto" w:fill="0C479D"/>
          </w:tcPr>
          <w:p>
            <w:pPr>
              <w:jc w:val="right"/>
              <w:ind w:right="240"/>
              <w:spacing w:after="0"/>
              <w:rPr>
                <w:sz w:val="20"/>
                <w:szCs w:val="20"/>
                <w:color w:val="auto"/>
              </w:rPr>
            </w:pPr>
            <w:r>
              <w:rPr>
                <w:rFonts w:ascii="Times New Roman" w:cs="Times New Roman" w:eastAsia="Times New Roman" w:hAnsi="Times New Roman"/>
                <w:sz w:val="14"/>
                <w:szCs w:val="14"/>
                <w:b w:val="1"/>
                <w:bCs w:val="1"/>
                <w:color w:val="FFFFFF"/>
              </w:rPr>
              <w:t>U.S.</w:t>
            </w:r>
          </w:p>
        </w:tc>
        <w:tc>
          <w:tcPr>
            <w:tcW w:w="720" w:type="dxa"/>
            <w:vAlign w:val="bottom"/>
            <w:tcBorders>
              <w:bottom w:val="single" w:sz="8" w:color="0C479D"/>
            </w:tcBorders>
            <w:shd w:val="clear" w:color="auto" w:fill="0C479D"/>
          </w:tcPr>
          <w:p>
            <w:pPr>
              <w:jc w:val="right"/>
              <w:ind w:right="15"/>
              <w:spacing w:after="0"/>
              <w:rPr>
                <w:sz w:val="20"/>
                <w:szCs w:val="20"/>
                <w:color w:val="auto"/>
              </w:rPr>
            </w:pPr>
            <w:r>
              <w:rPr>
                <w:rFonts w:ascii="Times New Roman" w:cs="Times New Roman" w:eastAsia="Times New Roman" w:hAnsi="Times New Roman"/>
                <w:sz w:val="14"/>
                <w:szCs w:val="14"/>
                <w:b w:val="1"/>
                <w:bCs w:val="1"/>
                <w:color w:val="FFFFFF"/>
              </w:rPr>
              <w:t>Non-U.S.</w:t>
            </w:r>
          </w:p>
        </w:tc>
        <w:tc>
          <w:tcPr>
            <w:tcW w:w="660" w:type="dxa"/>
            <w:vAlign w:val="bottom"/>
            <w:tcBorders>
              <w:bottom w:val="single" w:sz="8" w:color="0C479D"/>
            </w:tcBorders>
            <w:shd w:val="clear" w:color="auto" w:fill="0C479D"/>
          </w:tcPr>
          <w:p>
            <w:pPr>
              <w:jc w:val="right"/>
              <w:ind w:right="73"/>
              <w:spacing w:after="0"/>
              <w:rPr>
                <w:sz w:val="20"/>
                <w:szCs w:val="20"/>
                <w:color w:val="auto"/>
              </w:rPr>
            </w:pPr>
            <w:r>
              <w:rPr>
                <w:rFonts w:ascii="Times New Roman" w:cs="Times New Roman" w:eastAsia="Times New Roman" w:hAnsi="Times New Roman"/>
                <w:sz w:val="14"/>
                <w:szCs w:val="14"/>
                <w:b w:val="1"/>
                <w:bCs w:val="1"/>
                <w:color w:val="FFFFFF"/>
              </w:rPr>
              <w:t>Total</w:t>
            </w:r>
          </w:p>
        </w:tc>
        <w:tc>
          <w:tcPr>
            <w:tcW w:w="160" w:type="dxa"/>
            <w:vAlign w:val="bottom"/>
            <w:tcBorders>
              <w:left w:val="single" w:sz="8" w:color="0C479D"/>
            </w:tcBorders>
          </w:tcPr>
          <w:p>
            <w:pPr>
              <w:spacing w:after="0"/>
              <w:rPr>
                <w:sz w:val="19"/>
                <w:szCs w:val="19"/>
                <w:color w:val="auto"/>
              </w:rPr>
            </w:pPr>
          </w:p>
        </w:tc>
        <w:tc>
          <w:tcPr>
            <w:tcW w:w="680" w:type="dxa"/>
            <w:vAlign w:val="bottom"/>
            <w:tcBorders>
              <w:bottom w:val="single" w:sz="8" w:color="0C479D"/>
            </w:tcBorders>
            <w:shd w:val="clear" w:color="auto" w:fill="0C479D"/>
          </w:tcPr>
          <w:p>
            <w:pPr>
              <w:jc w:val="right"/>
              <w:ind w:right="113"/>
              <w:spacing w:after="0"/>
              <w:rPr>
                <w:sz w:val="20"/>
                <w:szCs w:val="20"/>
                <w:color w:val="auto"/>
              </w:rPr>
            </w:pPr>
            <w:r>
              <w:rPr>
                <w:rFonts w:ascii="Times New Roman" w:cs="Times New Roman" w:eastAsia="Times New Roman" w:hAnsi="Times New Roman"/>
                <w:sz w:val="14"/>
                <w:szCs w:val="14"/>
                <w:b w:val="1"/>
                <w:bCs w:val="1"/>
                <w:color w:val="FFFFFF"/>
              </w:rPr>
              <w:t>U.S.</w:t>
            </w:r>
          </w:p>
        </w:tc>
        <w:tc>
          <w:tcPr>
            <w:tcW w:w="800" w:type="dxa"/>
            <w:vAlign w:val="bottom"/>
            <w:tcBorders>
              <w:bottom w:val="single" w:sz="8" w:color="0C479D"/>
            </w:tcBorders>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Non-U.S.</w:t>
            </w:r>
          </w:p>
        </w:tc>
        <w:tc>
          <w:tcPr>
            <w:tcW w:w="660" w:type="dxa"/>
            <w:vAlign w:val="bottom"/>
            <w:tcBorders>
              <w:bottom w:val="single" w:sz="8" w:color="0C479D"/>
            </w:tcBorders>
            <w:shd w:val="clear" w:color="auto" w:fill="0C479D"/>
          </w:tcPr>
          <w:p>
            <w:pPr>
              <w:jc w:val="right"/>
              <w:ind w:right="113"/>
              <w:spacing w:after="0"/>
              <w:rPr>
                <w:sz w:val="20"/>
                <w:szCs w:val="20"/>
                <w:color w:val="auto"/>
              </w:rPr>
            </w:pPr>
            <w:r>
              <w:rPr>
                <w:rFonts w:ascii="Times New Roman" w:cs="Times New Roman" w:eastAsia="Times New Roman" w:hAnsi="Times New Roman"/>
                <w:sz w:val="14"/>
                <w:szCs w:val="14"/>
                <w:b w:val="1"/>
                <w:bCs w:val="1"/>
                <w:color w:val="FFFFFF"/>
              </w:rPr>
              <w:t>Total</w:t>
            </w:r>
          </w:p>
        </w:tc>
        <w:tc>
          <w:tcPr>
            <w:tcW w:w="0" w:type="dxa"/>
            <w:vAlign w:val="bottom"/>
          </w:tcPr>
          <w:p>
            <w:pPr>
              <w:spacing w:after="0"/>
              <w:rPr>
                <w:sz w:val="1"/>
                <w:szCs w:val="1"/>
                <w:color w:val="auto"/>
              </w:rPr>
            </w:pPr>
          </w:p>
        </w:tc>
      </w:tr>
      <w:tr>
        <w:trPr>
          <w:trHeight w:val="270"/>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Earnings (loss) (U.S. GAAP)</w:t>
            </w: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4"/>
            <w:shd w:val="clear" w:color="auto" w:fill="F0F0F0"/>
          </w:tcPr>
          <w:p>
            <w:pPr>
              <w:jc w:val="right"/>
              <w:ind w:right="60"/>
              <w:spacing w:after="0"/>
              <w:rPr>
                <w:sz w:val="20"/>
                <w:szCs w:val="20"/>
                <w:color w:val="auto"/>
              </w:rPr>
            </w:pPr>
            <w:r>
              <w:rPr>
                <w:rFonts w:ascii="Times New Roman" w:cs="Times New Roman" w:eastAsia="Times New Roman" w:hAnsi="Times New Roman"/>
                <w:sz w:val="18"/>
                <w:szCs w:val="18"/>
                <w:color w:val="auto"/>
              </w:rPr>
              <w:t>1,627</w:t>
            </w:r>
          </w:p>
        </w:tc>
        <w:tc>
          <w:tcPr>
            <w:tcW w:w="700" w:type="dxa"/>
            <w:vAlign w:val="bottom"/>
            <w:gridSpan w:val="4"/>
            <w:shd w:val="clear" w:color="auto" w:fill="F0F0F0"/>
          </w:tcPr>
          <w:p>
            <w:pPr>
              <w:jc w:val="right"/>
              <w:ind w:right="40"/>
              <w:spacing w:after="0"/>
              <w:rPr>
                <w:sz w:val="20"/>
                <w:szCs w:val="20"/>
                <w:color w:val="auto"/>
              </w:rPr>
            </w:pPr>
            <w:r>
              <w:rPr>
                <w:rFonts w:ascii="Times New Roman" w:cs="Times New Roman" w:eastAsia="Times New Roman" w:hAnsi="Times New Roman"/>
                <w:sz w:val="18"/>
                <w:szCs w:val="18"/>
                <w:color w:val="auto"/>
              </w:rPr>
              <w:t>950</w:t>
            </w:r>
          </w:p>
        </w:tc>
        <w:tc>
          <w:tcPr>
            <w:tcW w:w="40" w:type="dxa"/>
            <w:vAlign w:val="bottom"/>
            <w:shd w:val="clear" w:color="auto" w:fill="F0F0F0"/>
          </w:tcPr>
          <w:p>
            <w:pPr>
              <w:spacing w:after="0"/>
              <w:rPr>
                <w:sz w:val="23"/>
                <w:szCs w:val="23"/>
                <w:color w:val="auto"/>
              </w:rPr>
            </w:pPr>
          </w:p>
        </w:tc>
        <w:tc>
          <w:tcPr>
            <w:tcW w:w="62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80" w:type="dxa"/>
            <w:vAlign w:val="bottom"/>
            <w:tcBorders>
              <w:left w:val="single" w:sz="8" w:color="F0F0F0"/>
            </w:tcBorders>
            <w:shd w:val="clear" w:color="auto" w:fill="F0F0F0"/>
          </w:tcPr>
          <w:p>
            <w:pPr>
              <w:spacing w:after="0"/>
              <w:rPr>
                <w:sz w:val="23"/>
                <w:szCs w:val="23"/>
                <w:color w:val="auto"/>
              </w:rPr>
            </w:pPr>
          </w:p>
        </w:tc>
        <w:tc>
          <w:tcPr>
            <w:tcW w:w="140" w:type="dxa"/>
            <w:vAlign w:val="bottom"/>
            <w:tcBorders>
              <w:left w:val="single" w:sz="8" w:color="F0F0F0"/>
            </w:tcBorders>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60" w:type="dxa"/>
            <w:vAlign w:val="bottom"/>
          </w:tcPr>
          <w:p>
            <w:pPr>
              <w:spacing w:after="0"/>
              <w:rPr>
                <w:sz w:val="23"/>
                <w:szCs w:val="23"/>
                <w:color w:val="auto"/>
              </w:rPr>
            </w:pPr>
          </w:p>
        </w:tc>
        <w:tc>
          <w:tcPr>
            <w:tcW w:w="7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8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1,215</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0" w:type="dxa"/>
            <w:vAlign w:val="bottom"/>
          </w:tcPr>
          <w:p>
            <w:pPr>
              <w:spacing w:after="0"/>
              <w:rPr>
                <w:sz w:val="1"/>
                <w:szCs w:val="1"/>
                <w:color w:val="auto"/>
              </w:rPr>
            </w:pPr>
          </w:p>
        </w:tc>
      </w:tr>
      <w:tr>
        <w:trPr>
          <w:trHeight w:val="270"/>
        </w:trPr>
        <w:tc>
          <w:tcPr>
            <w:tcW w:w="2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Impairments</w:t>
            </w: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4"/>
            <w:shd w:val="clear" w:color="auto" w:fill="F0F0F0"/>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40" w:type="dxa"/>
            <w:vAlign w:val="bottom"/>
            <w:shd w:val="clear" w:color="auto" w:fill="F0F0F0"/>
          </w:tcPr>
          <w:p>
            <w:pPr>
              <w:spacing w:after="0"/>
              <w:rPr>
                <w:sz w:val="23"/>
                <w:szCs w:val="23"/>
                <w:color w:val="auto"/>
              </w:rPr>
            </w:pPr>
          </w:p>
        </w:tc>
        <w:tc>
          <w:tcPr>
            <w:tcW w:w="700" w:type="dxa"/>
            <w:vAlign w:val="bottom"/>
            <w:gridSpan w:val="4"/>
            <w:shd w:val="clear" w:color="auto" w:fill="F0F0F0"/>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c>
          <w:tcPr>
            <w:tcW w:w="700" w:type="dxa"/>
            <w:vAlign w:val="bottom"/>
            <w:gridSpan w:val="2"/>
            <w:shd w:val="clear" w:color="auto" w:fill="F0F0F0"/>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Borders>
              <w:left w:val="single" w:sz="8" w:color="F0F0F0"/>
            </w:tcBorders>
          </w:tcPr>
          <w:p>
            <w:pPr>
              <w:spacing w:after="0"/>
              <w:rPr>
                <w:sz w:val="23"/>
                <w:szCs w:val="23"/>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Tax-related items</w:t>
            </w: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4"/>
            <w:shd w:val="clear" w:color="auto" w:fill="F0F0F0"/>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F0F0F0"/>
          </w:tcPr>
          <w:p>
            <w:pPr>
              <w:spacing w:after="0"/>
              <w:rPr>
                <w:sz w:val="23"/>
                <w:szCs w:val="23"/>
                <w:color w:val="auto"/>
              </w:rPr>
            </w:pPr>
          </w:p>
        </w:tc>
        <w:tc>
          <w:tcPr>
            <w:tcW w:w="660" w:type="dxa"/>
            <w:vAlign w:val="bottom"/>
            <w:gridSpan w:val="3"/>
            <w:shd w:val="clear" w:color="auto" w:fill="F0F0F0"/>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F0F0F0"/>
          </w:tcPr>
          <w:p>
            <w:pPr>
              <w:spacing w:after="0"/>
              <w:rPr>
                <w:sz w:val="23"/>
                <w:szCs w:val="23"/>
                <w:color w:val="auto"/>
              </w:rPr>
            </w:pPr>
          </w:p>
        </w:tc>
        <w:tc>
          <w:tcPr>
            <w:tcW w:w="700" w:type="dxa"/>
            <w:vAlign w:val="bottom"/>
            <w:gridSpan w:val="2"/>
            <w:shd w:val="clear" w:color="auto" w:fill="F0F0F0"/>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left w:val="single" w:sz="8" w:color="F0F0F0"/>
            </w:tcBorders>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60" w:type="dxa"/>
            <w:vAlign w:val="bottom"/>
          </w:tcPr>
          <w:p>
            <w:pPr>
              <w:spacing w:after="0"/>
              <w:rPr>
                <w:sz w:val="23"/>
                <w:szCs w:val="23"/>
                <w:color w:val="auto"/>
              </w:rPr>
            </w:pPr>
          </w:p>
        </w:tc>
        <w:tc>
          <w:tcPr>
            <w:tcW w:w="7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140" w:type="dxa"/>
            <w:vAlign w:val="bottom"/>
            <w:tcBorders>
              <w:bottom w:val="single" w:sz="8" w:color="0C479D"/>
            </w:tcBorders>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680" w:type="dxa"/>
            <w:vAlign w:val="bottom"/>
            <w:tcBorders>
              <w:bottom w:val="single" w:sz="8" w:color="0C479D"/>
            </w:tcBorders>
          </w:tcPr>
          <w:p>
            <w:pPr>
              <w:spacing w:after="0"/>
              <w:rPr>
                <w:sz w:val="23"/>
                <w:szCs w:val="23"/>
                <w:color w:val="auto"/>
              </w:rPr>
            </w:pPr>
          </w:p>
        </w:tc>
        <w:tc>
          <w:tcPr>
            <w:tcW w:w="80" w:type="dxa"/>
            <w:vAlign w:val="bottom"/>
            <w:tcBorders>
              <w:bottom w:val="single" w:sz="8" w:color="0C479D"/>
            </w:tcBorders>
          </w:tcPr>
          <w:p>
            <w:pPr>
              <w:spacing w:after="0"/>
              <w:rPr>
                <w:sz w:val="23"/>
                <w:szCs w:val="23"/>
                <w:color w:val="auto"/>
              </w:rPr>
            </w:pPr>
          </w:p>
        </w:tc>
        <w:tc>
          <w:tcPr>
            <w:tcW w:w="40" w:type="dxa"/>
            <w:vAlign w:val="bottom"/>
            <w:tcBorders>
              <w:bottom w:val="single" w:sz="8" w:color="0C479D"/>
            </w:tcBorders>
          </w:tcPr>
          <w:p>
            <w:pPr>
              <w:spacing w:after="0"/>
              <w:rPr>
                <w:sz w:val="23"/>
                <w:szCs w:val="23"/>
                <w:color w:val="auto"/>
              </w:rPr>
            </w:pPr>
          </w:p>
        </w:tc>
        <w:tc>
          <w:tcPr>
            <w:tcW w:w="120" w:type="dxa"/>
            <w:vAlign w:val="bottom"/>
            <w:tcBorders>
              <w:bottom w:val="single" w:sz="8" w:color="0C479D"/>
            </w:tcBorders>
          </w:tcPr>
          <w:p>
            <w:pPr>
              <w:spacing w:after="0"/>
              <w:rPr>
                <w:sz w:val="23"/>
                <w:szCs w:val="23"/>
                <w:color w:val="auto"/>
              </w:rPr>
            </w:pPr>
          </w:p>
        </w:tc>
        <w:tc>
          <w:tcPr>
            <w:tcW w:w="680" w:type="dxa"/>
            <w:vAlign w:val="bottom"/>
            <w:tcBorders>
              <w:bottom w:val="single" w:sz="8" w:color="0C479D"/>
            </w:tcBorders>
            <w:gridSpan w:val="4"/>
            <w:shd w:val="clear" w:color="auto" w:fill="F0F0F0"/>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0C479D"/>
            </w:tcBorders>
            <w:shd w:val="clear" w:color="auto" w:fill="F0F0F0"/>
          </w:tcPr>
          <w:p>
            <w:pPr>
              <w:spacing w:after="0"/>
              <w:rPr>
                <w:sz w:val="23"/>
                <w:szCs w:val="23"/>
                <w:color w:val="auto"/>
              </w:rPr>
            </w:pPr>
          </w:p>
        </w:tc>
        <w:tc>
          <w:tcPr>
            <w:tcW w:w="660" w:type="dxa"/>
            <w:vAlign w:val="bottom"/>
            <w:tcBorders>
              <w:bottom w:val="single" w:sz="8" w:color="0C479D"/>
            </w:tcBorders>
            <w:gridSpan w:val="3"/>
            <w:shd w:val="clear" w:color="auto" w:fill="F0F0F0"/>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0C479D"/>
            </w:tcBorders>
            <w:shd w:val="clear" w:color="auto" w:fill="F0F0F0"/>
          </w:tcPr>
          <w:p>
            <w:pPr>
              <w:spacing w:after="0"/>
              <w:rPr>
                <w:sz w:val="23"/>
                <w:szCs w:val="23"/>
                <w:color w:val="auto"/>
              </w:rPr>
            </w:pPr>
          </w:p>
        </w:tc>
        <w:tc>
          <w:tcPr>
            <w:tcW w:w="700" w:type="dxa"/>
            <w:vAlign w:val="bottom"/>
            <w:tcBorders>
              <w:bottom w:val="single" w:sz="8" w:color="0C479D"/>
            </w:tcBorders>
            <w:gridSpan w:val="2"/>
            <w:shd w:val="clear" w:color="auto" w:fill="F0F0F0"/>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left w:val="single" w:sz="8" w:color="F0F0F0"/>
              <w:bottom w:val="single" w:sz="8" w:color="0C479D"/>
            </w:tcBorders>
          </w:tcPr>
          <w:p>
            <w:pPr>
              <w:spacing w:after="0"/>
              <w:rPr>
                <w:sz w:val="23"/>
                <w:szCs w:val="23"/>
                <w:color w:val="auto"/>
              </w:rPr>
            </w:pPr>
          </w:p>
        </w:tc>
        <w:tc>
          <w:tcPr>
            <w:tcW w:w="720" w:type="dxa"/>
            <w:vAlign w:val="bottom"/>
            <w:tcBorders>
              <w:bottom w:val="single" w:sz="8" w:color="0C479D"/>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6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60" w:type="dxa"/>
            <w:vAlign w:val="bottom"/>
            <w:tcBorders>
              <w:bottom w:val="single" w:sz="8" w:color="0C479D"/>
            </w:tcBorders>
          </w:tcPr>
          <w:p>
            <w:pPr>
              <w:spacing w:after="0"/>
              <w:rPr>
                <w:sz w:val="23"/>
                <w:szCs w:val="23"/>
                <w:color w:val="auto"/>
              </w:rPr>
            </w:pPr>
          </w:p>
        </w:tc>
        <w:tc>
          <w:tcPr>
            <w:tcW w:w="6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0C479D"/>
            </w:tcBorders>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14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Identified Items</w:t>
            </w:r>
          </w:p>
        </w:tc>
        <w:tc>
          <w:tcPr>
            <w:tcW w:w="680" w:type="dxa"/>
            <w:vAlign w:val="bottom"/>
            <w:tcBorders>
              <w:bottom w:val="single" w:sz="8" w:color="0C479D"/>
            </w:tcBorders>
          </w:tcPr>
          <w:p>
            <w:pPr>
              <w:spacing w:after="0"/>
              <w:rPr>
                <w:sz w:val="21"/>
                <w:szCs w:val="21"/>
                <w:color w:val="auto"/>
              </w:rPr>
            </w:pPr>
          </w:p>
        </w:tc>
        <w:tc>
          <w:tcPr>
            <w:tcW w:w="80" w:type="dxa"/>
            <w:vAlign w:val="bottom"/>
            <w:tcBorders>
              <w:bottom w:val="single" w:sz="8" w:color="0C479D"/>
            </w:tcBorders>
          </w:tcPr>
          <w:p>
            <w:pPr>
              <w:spacing w:after="0"/>
              <w:rPr>
                <w:sz w:val="21"/>
                <w:szCs w:val="21"/>
                <w:color w:val="auto"/>
              </w:rPr>
            </w:pPr>
          </w:p>
        </w:tc>
        <w:tc>
          <w:tcPr>
            <w:tcW w:w="40" w:type="dxa"/>
            <w:vAlign w:val="bottom"/>
            <w:tcBorders>
              <w:bottom w:val="single" w:sz="8" w:color="0C479D"/>
            </w:tcBorders>
          </w:tcPr>
          <w:p>
            <w:pPr>
              <w:spacing w:after="0"/>
              <w:rPr>
                <w:sz w:val="21"/>
                <w:szCs w:val="21"/>
                <w:color w:val="auto"/>
              </w:rPr>
            </w:pPr>
          </w:p>
        </w:tc>
        <w:tc>
          <w:tcPr>
            <w:tcW w:w="120" w:type="dxa"/>
            <w:vAlign w:val="bottom"/>
            <w:tcBorders>
              <w:bottom w:val="single" w:sz="8" w:color="0C479D"/>
            </w:tcBorders>
          </w:tcPr>
          <w:p>
            <w:pPr>
              <w:spacing w:after="0"/>
              <w:rPr>
                <w:sz w:val="21"/>
                <w:szCs w:val="21"/>
                <w:color w:val="auto"/>
              </w:rPr>
            </w:pPr>
          </w:p>
        </w:tc>
        <w:tc>
          <w:tcPr>
            <w:tcW w:w="680" w:type="dxa"/>
            <w:vAlign w:val="bottom"/>
            <w:tcBorders>
              <w:bottom w:val="single" w:sz="8" w:color="0C479D"/>
            </w:tcBorders>
            <w:gridSpan w:val="4"/>
            <w:shd w:val="clear" w:color="auto" w:fill="F0F0F0"/>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40" w:type="dxa"/>
            <w:vAlign w:val="bottom"/>
            <w:tcBorders>
              <w:bottom w:val="single" w:sz="8" w:color="0C479D"/>
            </w:tcBorders>
            <w:shd w:val="clear" w:color="auto" w:fill="F0F0F0"/>
          </w:tcPr>
          <w:p>
            <w:pPr>
              <w:spacing w:after="0"/>
              <w:rPr>
                <w:sz w:val="21"/>
                <w:szCs w:val="21"/>
                <w:color w:val="auto"/>
              </w:rPr>
            </w:pPr>
          </w:p>
        </w:tc>
        <w:tc>
          <w:tcPr>
            <w:tcW w:w="660" w:type="dxa"/>
            <w:vAlign w:val="bottom"/>
            <w:tcBorders>
              <w:bottom w:val="single" w:sz="8" w:color="0C479D"/>
            </w:tcBorders>
            <w:gridSpan w:val="3"/>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0" w:type="dxa"/>
            <w:vAlign w:val="bottom"/>
            <w:tcBorders>
              <w:bottom w:val="single" w:sz="8" w:color="0C479D"/>
            </w:tcBorders>
            <w:shd w:val="clear" w:color="auto" w:fill="F0F0F0"/>
          </w:tcPr>
          <w:p>
            <w:pPr>
              <w:spacing w:after="0"/>
              <w:rPr>
                <w:sz w:val="21"/>
                <w:szCs w:val="21"/>
                <w:color w:val="auto"/>
              </w:rPr>
            </w:pPr>
          </w:p>
        </w:tc>
        <w:tc>
          <w:tcPr>
            <w:tcW w:w="700" w:type="dxa"/>
            <w:vAlign w:val="bottom"/>
            <w:tcBorders>
              <w:bottom w:val="single" w:sz="8" w:color="0C479D"/>
            </w:tcBorders>
            <w:gridSpan w:val="2"/>
            <w:shd w:val="clear" w:color="auto" w:fill="F0F0F0"/>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Borders>
              <w:left w:val="single" w:sz="8" w:color="F0F0F0"/>
              <w:bottom w:val="single" w:sz="8" w:color="0C479D"/>
            </w:tcBorders>
          </w:tcPr>
          <w:p>
            <w:pPr>
              <w:spacing w:after="0"/>
              <w:rPr>
                <w:sz w:val="21"/>
                <w:szCs w:val="21"/>
                <w:color w:val="auto"/>
              </w:rPr>
            </w:pPr>
          </w:p>
        </w:tc>
        <w:tc>
          <w:tcPr>
            <w:tcW w:w="6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Borders>
              <w:bottom w:val="single" w:sz="8" w:color="0C479D"/>
            </w:tcBorders>
          </w:tcPr>
          <w:p>
            <w:pPr>
              <w:spacing w:after="0"/>
              <w:rPr>
                <w:sz w:val="21"/>
                <w:szCs w:val="21"/>
                <w:color w:val="auto"/>
              </w:rPr>
            </w:pPr>
          </w:p>
        </w:tc>
        <w:tc>
          <w:tcPr>
            <w:tcW w:w="7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6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60" w:type="dxa"/>
            <w:vAlign w:val="bottom"/>
            <w:tcBorders>
              <w:bottom w:val="single" w:sz="8" w:color="0C479D"/>
            </w:tcBorders>
          </w:tcPr>
          <w:p>
            <w:pPr>
              <w:spacing w:after="0"/>
              <w:rPr>
                <w:sz w:val="21"/>
                <w:szCs w:val="21"/>
                <w:color w:val="auto"/>
              </w:rPr>
            </w:pPr>
          </w:p>
        </w:tc>
        <w:tc>
          <w:tcPr>
            <w:tcW w:w="6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0C479D"/>
            </w:tcBorders>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9"/>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excluding</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Identified</w:t>
            </w:r>
          </w:p>
        </w:tc>
        <w:tc>
          <w:tcPr>
            <w:tcW w:w="120" w:type="dxa"/>
            <w:vAlign w:val="bottom"/>
          </w:tcPr>
          <w:p>
            <w:pPr>
              <w:spacing w:after="0"/>
              <w:rPr>
                <w:sz w:val="24"/>
                <w:szCs w:val="24"/>
                <w:color w:val="auto"/>
              </w:rPr>
            </w:pPr>
          </w:p>
        </w:tc>
        <w:tc>
          <w:tcPr>
            <w:tcW w:w="680" w:type="dxa"/>
            <w:vAlign w:val="bottom"/>
            <w:gridSpan w:val="4"/>
            <w:vMerge w:val="restart"/>
            <w:shd w:val="clear" w:color="auto" w:fill="F0F0F0"/>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1,670</w:t>
            </w:r>
          </w:p>
        </w:tc>
        <w:tc>
          <w:tcPr>
            <w:tcW w:w="40" w:type="dxa"/>
            <w:vAlign w:val="bottom"/>
            <w:shd w:val="clear" w:color="auto" w:fill="F0F0F0"/>
          </w:tcPr>
          <w:p>
            <w:pPr>
              <w:spacing w:after="0"/>
              <w:rPr>
                <w:sz w:val="24"/>
                <w:szCs w:val="24"/>
                <w:color w:val="auto"/>
              </w:rPr>
            </w:pPr>
          </w:p>
        </w:tc>
        <w:tc>
          <w:tcPr>
            <w:tcW w:w="660" w:type="dxa"/>
            <w:vAlign w:val="bottom"/>
            <w:gridSpan w:val="3"/>
            <w:vMerge w:val="restart"/>
            <w:shd w:val="clear" w:color="auto" w:fill="F0F0F0"/>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1,002</w:t>
            </w:r>
          </w:p>
        </w:tc>
        <w:tc>
          <w:tcPr>
            <w:tcW w:w="40" w:type="dxa"/>
            <w:vAlign w:val="bottom"/>
            <w:shd w:val="clear" w:color="auto" w:fill="F0F0F0"/>
          </w:tcPr>
          <w:p>
            <w:pPr>
              <w:spacing w:after="0"/>
              <w:rPr>
                <w:sz w:val="24"/>
                <w:szCs w:val="24"/>
                <w:color w:val="auto"/>
              </w:rPr>
            </w:pPr>
          </w:p>
        </w:tc>
        <w:tc>
          <w:tcPr>
            <w:tcW w:w="620" w:type="dxa"/>
            <w:vAlign w:val="bottom"/>
            <w:tcBorders>
              <w:right w:val="single" w:sz="8" w:color="F0F0F0"/>
            </w:tcBorders>
            <w:vMerge w:val="restart"/>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2,672</w:t>
            </w:r>
          </w:p>
        </w:tc>
        <w:tc>
          <w:tcPr>
            <w:tcW w:w="80" w:type="dxa"/>
            <w:vAlign w:val="bottom"/>
            <w:tcBorders>
              <w:left w:val="single" w:sz="8" w:color="F0F0F0"/>
            </w:tcBorders>
            <w:shd w:val="clear" w:color="auto" w:fill="F0F0F0"/>
          </w:tcPr>
          <w:p>
            <w:pPr>
              <w:spacing w:after="0"/>
              <w:rPr>
                <w:sz w:val="24"/>
                <w:szCs w:val="24"/>
                <w:color w:val="auto"/>
              </w:rPr>
            </w:pPr>
          </w:p>
        </w:tc>
        <w:tc>
          <w:tcPr>
            <w:tcW w:w="140" w:type="dxa"/>
            <w:vAlign w:val="bottom"/>
            <w:tcBorders>
              <w:left w:val="single" w:sz="8" w:color="F0F0F0"/>
            </w:tcBorders>
          </w:tcPr>
          <w:p>
            <w:pPr>
              <w:spacing w:after="0"/>
              <w:rPr>
                <w:sz w:val="24"/>
                <w:szCs w:val="2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1,594</w:t>
            </w:r>
          </w:p>
        </w:tc>
        <w:tc>
          <w:tcPr>
            <w:tcW w:w="60" w:type="dxa"/>
            <w:vAlign w:val="bottom"/>
          </w:tcPr>
          <w:p>
            <w:pPr>
              <w:spacing w:after="0"/>
              <w:rPr>
                <w:sz w:val="24"/>
                <w:szCs w:val="24"/>
                <w:color w:val="auto"/>
              </w:rPr>
            </w:pPr>
          </w:p>
        </w:tc>
        <w:tc>
          <w:tcPr>
            <w:tcW w:w="720" w:type="dxa"/>
            <w:vAlign w:val="bottom"/>
            <w:vMerge w:val="restart"/>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431</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4"/>
                <w:szCs w:val="2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2,328</w:t>
            </w:r>
          </w:p>
        </w:tc>
        <w:tc>
          <w:tcPr>
            <w:tcW w:w="800" w:type="dxa"/>
            <w:vAlign w:val="bottom"/>
            <w:vMerge w:val="restart"/>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1,215</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3,543</w:t>
            </w:r>
          </w:p>
        </w:tc>
        <w:tc>
          <w:tcPr>
            <w:tcW w:w="0" w:type="dxa"/>
            <w:vAlign w:val="bottom"/>
          </w:tcPr>
          <w:p>
            <w:pPr>
              <w:spacing w:after="0"/>
              <w:rPr>
                <w:sz w:val="1"/>
                <w:szCs w:val="1"/>
                <w:color w:val="auto"/>
              </w:rPr>
            </w:pPr>
          </w:p>
        </w:tc>
      </w:tr>
      <w:tr>
        <w:trPr>
          <w:trHeight w:val="90"/>
        </w:trPr>
        <w:tc>
          <w:tcPr>
            <w:tcW w:w="2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Items </w:t>
            </w:r>
            <w:r>
              <w:rPr>
                <w:rFonts w:ascii="Times New Roman" w:cs="Times New Roman" w:eastAsia="Times New Roman" w:hAnsi="Times New Roman"/>
                <w:sz w:val="18"/>
                <w:szCs w:val="18"/>
                <w:color w:val="auto"/>
              </w:rPr>
              <w:t>(Non-GAAP)</w:t>
            </w: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gridSpan w:val="4"/>
            <w:vMerge w:val="continue"/>
            <w:shd w:val="clear" w:color="auto" w:fill="F0F0F0"/>
          </w:tcPr>
          <w:p>
            <w:pPr>
              <w:spacing w:after="0"/>
              <w:rPr>
                <w:sz w:val="7"/>
                <w:szCs w:val="7"/>
                <w:color w:val="auto"/>
              </w:rPr>
            </w:pPr>
          </w:p>
        </w:tc>
        <w:tc>
          <w:tcPr>
            <w:tcW w:w="40" w:type="dxa"/>
            <w:vAlign w:val="bottom"/>
            <w:shd w:val="clear" w:color="auto" w:fill="F0F0F0"/>
          </w:tcPr>
          <w:p>
            <w:pPr>
              <w:spacing w:after="0"/>
              <w:rPr>
                <w:sz w:val="7"/>
                <w:szCs w:val="7"/>
                <w:color w:val="auto"/>
              </w:rPr>
            </w:pPr>
          </w:p>
        </w:tc>
        <w:tc>
          <w:tcPr>
            <w:tcW w:w="660" w:type="dxa"/>
            <w:vAlign w:val="bottom"/>
            <w:gridSpan w:val="3"/>
            <w:vMerge w:val="continue"/>
            <w:shd w:val="clear" w:color="auto" w:fill="F0F0F0"/>
          </w:tcPr>
          <w:p>
            <w:pPr>
              <w:spacing w:after="0"/>
              <w:rPr>
                <w:sz w:val="7"/>
                <w:szCs w:val="7"/>
                <w:color w:val="auto"/>
              </w:rPr>
            </w:pPr>
          </w:p>
        </w:tc>
        <w:tc>
          <w:tcPr>
            <w:tcW w:w="40" w:type="dxa"/>
            <w:vAlign w:val="bottom"/>
            <w:shd w:val="clear" w:color="auto" w:fill="F0F0F0"/>
          </w:tcPr>
          <w:p>
            <w:pPr>
              <w:spacing w:after="0"/>
              <w:rPr>
                <w:sz w:val="7"/>
                <w:szCs w:val="7"/>
                <w:color w:val="auto"/>
              </w:rPr>
            </w:pPr>
          </w:p>
        </w:tc>
        <w:tc>
          <w:tcPr>
            <w:tcW w:w="620" w:type="dxa"/>
            <w:vAlign w:val="bottom"/>
            <w:tcBorders>
              <w:right w:val="single" w:sz="8" w:color="F0F0F0"/>
            </w:tcBorders>
            <w:vMerge w:val="continue"/>
            <w:shd w:val="clear" w:color="auto" w:fill="F0F0F0"/>
          </w:tcPr>
          <w:p>
            <w:pPr>
              <w:spacing w:after="0"/>
              <w:rPr>
                <w:sz w:val="7"/>
                <w:szCs w:val="7"/>
                <w:color w:val="auto"/>
              </w:rPr>
            </w:pPr>
          </w:p>
        </w:tc>
        <w:tc>
          <w:tcPr>
            <w:tcW w:w="80" w:type="dxa"/>
            <w:vAlign w:val="bottom"/>
            <w:tcBorders>
              <w:left w:val="single" w:sz="8" w:color="F0F0F0"/>
            </w:tcBorders>
            <w:shd w:val="clear" w:color="auto" w:fill="F0F0F0"/>
          </w:tcPr>
          <w:p>
            <w:pPr>
              <w:spacing w:after="0"/>
              <w:rPr>
                <w:sz w:val="7"/>
                <w:szCs w:val="7"/>
                <w:color w:val="auto"/>
              </w:rPr>
            </w:pPr>
          </w:p>
        </w:tc>
        <w:tc>
          <w:tcPr>
            <w:tcW w:w="140" w:type="dxa"/>
            <w:vAlign w:val="bottom"/>
            <w:tcBorders>
              <w:left w:val="single" w:sz="8" w:color="F0F0F0"/>
            </w:tcBorders>
          </w:tcPr>
          <w:p>
            <w:pPr>
              <w:spacing w:after="0"/>
              <w:rPr>
                <w:sz w:val="7"/>
                <w:szCs w:val="7"/>
                <w:color w:val="auto"/>
              </w:rPr>
            </w:pPr>
          </w:p>
        </w:tc>
        <w:tc>
          <w:tcPr>
            <w:tcW w:w="6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214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Borders>
              <w:bottom w:val="single" w:sz="8" w:color="F0F0F0"/>
            </w:tcBorders>
            <w:shd w:val="clear" w:color="auto" w:fill="F0F0F0"/>
          </w:tcPr>
          <w:p>
            <w:pPr>
              <w:spacing w:after="0"/>
              <w:rPr>
                <w:sz w:val="15"/>
                <w:szCs w:val="15"/>
                <w:color w:val="auto"/>
              </w:rPr>
            </w:pPr>
          </w:p>
        </w:tc>
        <w:tc>
          <w:tcPr>
            <w:tcW w:w="40" w:type="dxa"/>
            <w:vAlign w:val="bottom"/>
            <w:tcBorders>
              <w:bottom w:val="single" w:sz="8" w:color="F0F0F0"/>
            </w:tcBorders>
            <w:shd w:val="clear" w:color="auto" w:fill="F0F0F0"/>
          </w:tcPr>
          <w:p>
            <w:pPr>
              <w:spacing w:after="0"/>
              <w:rPr>
                <w:sz w:val="15"/>
                <w:szCs w:val="15"/>
                <w:color w:val="auto"/>
              </w:rPr>
            </w:pPr>
          </w:p>
        </w:tc>
        <w:tc>
          <w:tcPr>
            <w:tcW w:w="40" w:type="dxa"/>
            <w:vAlign w:val="bottom"/>
            <w:tcBorders>
              <w:bottom w:val="single" w:sz="8" w:color="F0F0F0"/>
            </w:tcBorders>
            <w:shd w:val="clear" w:color="auto" w:fill="F0F0F0"/>
          </w:tcPr>
          <w:p>
            <w:pPr>
              <w:spacing w:after="0"/>
              <w:rPr>
                <w:sz w:val="15"/>
                <w:szCs w:val="15"/>
                <w:color w:val="auto"/>
              </w:rPr>
            </w:pPr>
          </w:p>
        </w:tc>
        <w:tc>
          <w:tcPr>
            <w:tcW w:w="60" w:type="dxa"/>
            <w:vAlign w:val="bottom"/>
            <w:tcBorders>
              <w:bottom w:val="single" w:sz="8" w:color="F0F0F0"/>
            </w:tcBorders>
            <w:shd w:val="clear" w:color="auto" w:fill="F0F0F0"/>
          </w:tcPr>
          <w:p>
            <w:pPr>
              <w:spacing w:after="0"/>
              <w:rPr>
                <w:sz w:val="15"/>
                <w:szCs w:val="15"/>
                <w:color w:val="auto"/>
              </w:rPr>
            </w:pPr>
          </w:p>
        </w:tc>
        <w:tc>
          <w:tcPr>
            <w:tcW w:w="40" w:type="dxa"/>
            <w:vAlign w:val="bottom"/>
            <w:tcBorders>
              <w:bottom w:val="single" w:sz="8" w:color="F0F0F0"/>
            </w:tcBorders>
            <w:shd w:val="clear" w:color="auto" w:fill="F0F0F0"/>
          </w:tcPr>
          <w:p>
            <w:pPr>
              <w:spacing w:after="0"/>
              <w:rPr>
                <w:sz w:val="15"/>
                <w:szCs w:val="15"/>
                <w:color w:val="auto"/>
              </w:rPr>
            </w:pPr>
          </w:p>
        </w:tc>
        <w:tc>
          <w:tcPr>
            <w:tcW w:w="560" w:type="dxa"/>
            <w:vAlign w:val="bottom"/>
            <w:tcBorders>
              <w:bottom w:val="single" w:sz="8" w:color="F0F0F0"/>
            </w:tcBorders>
            <w:shd w:val="clear" w:color="auto" w:fill="F0F0F0"/>
          </w:tcPr>
          <w:p>
            <w:pPr>
              <w:spacing w:after="0"/>
              <w:rPr>
                <w:sz w:val="15"/>
                <w:szCs w:val="15"/>
                <w:color w:val="auto"/>
              </w:rPr>
            </w:pPr>
          </w:p>
        </w:tc>
        <w:tc>
          <w:tcPr>
            <w:tcW w:w="60" w:type="dxa"/>
            <w:vAlign w:val="bottom"/>
            <w:tcBorders>
              <w:bottom w:val="single" w:sz="8" w:color="F0F0F0"/>
            </w:tcBorders>
            <w:shd w:val="clear" w:color="auto" w:fill="F0F0F0"/>
          </w:tcPr>
          <w:p>
            <w:pPr>
              <w:spacing w:after="0"/>
              <w:rPr>
                <w:sz w:val="15"/>
                <w:szCs w:val="15"/>
                <w:color w:val="auto"/>
              </w:rPr>
            </w:pPr>
          </w:p>
        </w:tc>
        <w:tc>
          <w:tcPr>
            <w:tcW w:w="40" w:type="dxa"/>
            <w:vAlign w:val="bottom"/>
            <w:tcBorders>
              <w:bottom w:val="single" w:sz="8" w:color="F0F0F0"/>
            </w:tcBorders>
            <w:shd w:val="clear" w:color="auto" w:fill="F0F0F0"/>
          </w:tcPr>
          <w:p>
            <w:pPr>
              <w:spacing w:after="0"/>
              <w:rPr>
                <w:sz w:val="15"/>
                <w:szCs w:val="15"/>
                <w:color w:val="auto"/>
              </w:rPr>
            </w:pPr>
          </w:p>
        </w:tc>
        <w:tc>
          <w:tcPr>
            <w:tcW w:w="40" w:type="dxa"/>
            <w:vAlign w:val="bottom"/>
            <w:tcBorders>
              <w:bottom w:val="single" w:sz="8" w:color="F0F0F0"/>
            </w:tcBorders>
            <w:shd w:val="clear" w:color="auto" w:fill="F0F0F0"/>
          </w:tcPr>
          <w:p>
            <w:pPr>
              <w:spacing w:after="0"/>
              <w:rPr>
                <w:sz w:val="15"/>
                <w:szCs w:val="15"/>
                <w:color w:val="auto"/>
              </w:rPr>
            </w:pPr>
          </w:p>
        </w:tc>
        <w:tc>
          <w:tcPr>
            <w:tcW w:w="620" w:type="dxa"/>
            <w:vAlign w:val="bottom"/>
            <w:tcBorders>
              <w:bottom w:val="single" w:sz="8" w:color="F0F0F0"/>
              <w:right w:val="single" w:sz="8" w:color="F0F0F0"/>
            </w:tcBorders>
            <w:shd w:val="clear" w:color="auto" w:fill="F0F0F0"/>
          </w:tcPr>
          <w:p>
            <w:pPr>
              <w:spacing w:after="0"/>
              <w:rPr>
                <w:sz w:val="15"/>
                <w:szCs w:val="15"/>
                <w:color w:val="auto"/>
              </w:rPr>
            </w:pPr>
          </w:p>
        </w:tc>
        <w:tc>
          <w:tcPr>
            <w:tcW w:w="80" w:type="dxa"/>
            <w:vAlign w:val="bottom"/>
            <w:tcBorders>
              <w:left w:val="single" w:sz="8" w:color="F0F0F0"/>
              <w:bottom w:val="single" w:sz="8" w:color="F0F0F0"/>
            </w:tcBorders>
            <w:shd w:val="clear" w:color="auto" w:fill="F0F0F0"/>
          </w:tcPr>
          <w:p>
            <w:pPr>
              <w:spacing w:after="0"/>
              <w:rPr>
                <w:sz w:val="15"/>
                <w:szCs w:val="15"/>
                <w:color w:val="auto"/>
              </w:rPr>
            </w:pPr>
          </w:p>
        </w:tc>
        <w:tc>
          <w:tcPr>
            <w:tcW w:w="140" w:type="dxa"/>
            <w:vAlign w:val="bottom"/>
            <w:tcBorders>
              <w:left w:val="single" w:sz="8" w:color="F0F0F0"/>
            </w:tcBorders>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9"/>
        </w:trPr>
        <w:tc>
          <w:tcPr>
            <w:tcW w:w="2140" w:type="dxa"/>
            <w:vAlign w:val="bottom"/>
            <w:tcBorders>
              <w:top w:val="single" w:sz="8" w:color="0C479D"/>
            </w:tcBorders>
          </w:tcPr>
          <w:p>
            <w:pPr>
              <w:spacing w:after="0"/>
              <w:rPr>
                <w:sz w:val="24"/>
                <w:szCs w:val="24"/>
                <w:color w:val="auto"/>
              </w:rPr>
            </w:pPr>
          </w:p>
        </w:tc>
        <w:tc>
          <w:tcPr>
            <w:tcW w:w="680" w:type="dxa"/>
            <w:vAlign w:val="bottom"/>
            <w:tcBorders>
              <w:top w:val="single" w:sz="8" w:color="0C479D"/>
            </w:tcBorders>
          </w:tcPr>
          <w:p>
            <w:pPr>
              <w:spacing w:after="0"/>
              <w:rPr>
                <w:sz w:val="24"/>
                <w:szCs w:val="24"/>
                <w:color w:val="auto"/>
              </w:rPr>
            </w:pPr>
          </w:p>
        </w:tc>
        <w:tc>
          <w:tcPr>
            <w:tcW w:w="80" w:type="dxa"/>
            <w:vAlign w:val="bottom"/>
            <w:tcBorders>
              <w:top w:val="single" w:sz="8" w:color="0C479D"/>
            </w:tcBorders>
          </w:tcPr>
          <w:p>
            <w:pPr>
              <w:spacing w:after="0"/>
              <w:rPr>
                <w:sz w:val="24"/>
                <w:szCs w:val="24"/>
                <w:color w:val="auto"/>
              </w:rPr>
            </w:pPr>
          </w:p>
        </w:tc>
        <w:tc>
          <w:tcPr>
            <w:tcW w:w="40" w:type="dxa"/>
            <w:vAlign w:val="bottom"/>
            <w:tcBorders>
              <w:top w:val="single" w:sz="8" w:color="0C479D"/>
            </w:tcBorders>
          </w:tcPr>
          <w:p>
            <w:pPr>
              <w:spacing w:after="0"/>
              <w:rPr>
                <w:sz w:val="24"/>
                <w:szCs w:val="24"/>
                <w:color w:val="auto"/>
              </w:rPr>
            </w:pPr>
          </w:p>
        </w:tc>
        <w:tc>
          <w:tcPr>
            <w:tcW w:w="120" w:type="dxa"/>
            <w:vAlign w:val="bottom"/>
            <w:tcBorders>
              <w:top w:val="single" w:sz="8" w:color="0C479D"/>
            </w:tcBorders>
          </w:tcPr>
          <w:p>
            <w:pPr>
              <w:spacing w:after="0"/>
              <w:rPr>
                <w:sz w:val="24"/>
                <w:szCs w:val="24"/>
                <w:color w:val="auto"/>
              </w:rPr>
            </w:pPr>
          </w:p>
        </w:tc>
        <w:tc>
          <w:tcPr>
            <w:tcW w:w="540" w:type="dxa"/>
            <w:vAlign w:val="bottom"/>
            <w:tcBorders>
              <w:top w:val="single" w:sz="8" w:color="0C479D"/>
            </w:tcBorders>
          </w:tcPr>
          <w:p>
            <w:pPr>
              <w:spacing w:after="0"/>
              <w:rPr>
                <w:sz w:val="24"/>
                <w:szCs w:val="24"/>
                <w:color w:val="auto"/>
              </w:rPr>
            </w:pPr>
          </w:p>
        </w:tc>
        <w:tc>
          <w:tcPr>
            <w:tcW w:w="40" w:type="dxa"/>
            <w:vAlign w:val="bottom"/>
            <w:tcBorders>
              <w:top w:val="single" w:sz="8" w:color="0C479D"/>
            </w:tcBorders>
          </w:tcPr>
          <w:p>
            <w:pPr>
              <w:spacing w:after="0"/>
              <w:rPr>
                <w:sz w:val="24"/>
                <w:szCs w:val="24"/>
                <w:color w:val="auto"/>
              </w:rPr>
            </w:pPr>
          </w:p>
        </w:tc>
        <w:tc>
          <w:tcPr>
            <w:tcW w:w="40" w:type="dxa"/>
            <w:vAlign w:val="bottom"/>
            <w:tcBorders>
              <w:top w:val="single" w:sz="8" w:color="0C479D"/>
            </w:tcBorders>
          </w:tcPr>
          <w:p>
            <w:pPr>
              <w:spacing w:after="0"/>
              <w:rPr>
                <w:sz w:val="24"/>
                <w:szCs w:val="24"/>
                <w:color w:val="auto"/>
              </w:rPr>
            </w:pPr>
          </w:p>
        </w:tc>
        <w:tc>
          <w:tcPr>
            <w:tcW w:w="60" w:type="dxa"/>
            <w:vAlign w:val="bottom"/>
            <w:tcBorders>
              <w:top w:val="single" w:sz="8" w:color="0C479D"/>
            </w:tcBorders>
          </w:tcPr>
          <w:p>
            <w:pPr>
              <w:spacing w:after="0"/>
              <w:rPr>
                <w:sz w:val="24"/>
                <w:szCs w:val="24"/>
                <w:color w:val="auto"/>
              </w:rPr>
            </w:pPr>
          </w:p>
        </w:tc>
        <w:tc>
          <w:tcPr>
            <w:tcW w:w="600" w:type="dxa"/>
            <w:vAlign w:val="bottom"/>
            <w:tcBorders>
              <w:top w:val="single" w:sz="8" w:color="0C479D"/>
            </w:tcBorders>
            <w:gridSpan w:val="2"/>
          </w:tcPr>
          <w:p>
            <w:pPr>
              <w:spacing w:after="0"/>
              <w:rPr>
                <w:sz w:val="24"/>
                <w:szCs w:val="24"/>
                <w:color w:val="auto"/>
              </w:rPr>
            </w:pPr>
          </w:p>
        </w:tc>
        <w:tc>
          <w:tcPr>
            <w:tcW w:w="60" w:type="dxa"/>
            <w:vAlign w:val="bottom"/>
            <w:tcBorders>
              <w:top w:val="single" w:sz="8" w:color="0C479D"/>
            </w:tcBorders>
          </w:tcPr>
          <w:p>
            <w:pPr>
              <w:spacing w:after="0"/>
              <w:rPr>
                <w:sz w:val="24"/>
                <w:szCs w:val="24"/>
                <w:color w:val="auto"/>
              </w:rPr>
            </w:pPr>
          </w:p>
        </w:tc>
        <w:tc>
          <w:tcPr>
            <w:tcW w:w="40" w:type="dxa"/>
            <w:vAlign w:val="bottom"/>
            <w:tcBorders>
              <w:top w:val="single" w:sz="8" w:color="0C479D"/>
            </w:tcBorders>
          </w:tcPr>
          <w:p>
            <w:pPr>
              <w:spacing w:after="0"/>
              <w:rPr>
                <w:sz w:val="24"/>
                <w:szCs w:val="24"/>
                <w:color w:val="auto"/>
              </w:rPr>
            </w:pPr>
          </w:p>
        </w:tc>
        <w:tc>
          <w:tcPr>
            <w:tcW w:w="40" w:type="dxa"/>
            <w:vAlign w:val="bottom"/>
            <w:tcBorders>
              <w:top w:val="single" w:sz="8" w:color="0C479D"/>
            </w:tcBorders>
          </w:tcPr>
          <w:p>
            <w:pPr>
              <w:spacing w:after="0"/>
              <w:rPr>
                <w:sz w:val="24"/>
                <w:szCs w:val="24"/>
                <w:color w:val="auto"/>
              </w:rPr>
            </w:pPr>
          </w:p>
        </w:tc>
        <w:tc>
          <w:tcPr>
            <w:tcW w:w="620" w:type="dxa"/>
            <w:vAlign w:val="bottom"/>
            <w:tcBorders>
              <w:top w:val="single" w:sz="8" w:color="0C479D"/>
            </w:tcBorders>
          </w:tcPr>
          <w:p>
            <w:pPr>
              <w:spacing w:after="0"/>
              <w:rPr>
                <w:sz w:val="24"/>
                <w:szCs w:val="24"/>
                <w:color w:val="auto"/>
              </w:rPr>
            </w:pPr>
          </w:p>
        </w:tc>
        <w:tc>
          <w:tcPr>
            <w:tcW w:w="80" w:type="dxa"/>
            <w:vAlign w:val="bottom"/>
            <w:tcBorders>
              <w:top w:val="single" w:sz="8" w:color="0C479D"/>
            </w:tcBorders>
          </w:tcPr>
          <w:p>
            <w:pPr>
              <w:spacing w:after="0"/>
              <w:rPr>
                <w:sz w:val="24"/>
                <w:szCs w:val="24"/>
                <w:color w:val="auto"/>
              </w:rPr>
            </w:pPr>
          </w:p>
        </w:tc>
        <w:tc>
          <w:tcPr>
            <w:tcW w:w="140" w:type="dxa"/>
            <w:vAlign w:val="bottom"/>
            <w:tcBorders>
              <w:top w:val="single" w:sz="8" w:color="0C479D"/>
            </w:tcBorders>
          </w:tcPr>
          <w:p>
            <w:pPr>
              <w:spacing w:after="0"/>
              <w:rPr>
                <w:sz w:val="24"/>
                <w:szCs w:val="24"/>
                <w:color w:val="auto"/>
              </w:rPr>
            </w:pPr>
          </w:p>
        </w:tc>
        <w:tc>
          <w:tcPr>
            <w:tcW w:w="660" w:type="dxa"/>
            <w:vAlign w:val="bottom"/>
            <w:tcBorders>
              <w:top w:val="single" w:sz="8" w:color="0C479D"/>
            </w:tcBorders>
          </w:tcPr>
          <w:p>
            <w:pPr>
              <w:spacing w:after="0"/>
              <w:rPr>
                <w:sz w:val="24"/>
                <w:szCs w:val="24"/>
                <w:color w:val="auto"/>
              </w:rPr>
            </w:pPr>
          </w:p>
        </w:tc>
        <w:tc>
          <w:tcPr>
            <w:tcW w:w="60" w:type="dxa"/>
            <w:vAlign w:val="bottom"/>
            <w:tcBorders>
              <w:top w:val="single" w:sz="8" w:color="0C479D"/>
            </w:tcBorders>
          </w:tcPr>
          <w:p>
            <w:pPr>
              <w:spacing w:after="0"/>
              <w:rPr>
                <w:sz w:val="24"/>
                <w:szCs w:val="24"/>
                <w:color w:val="auto"/>
              </w:rPr>
            </w:pPr>
          </w:p>
        </w:tc>
        <w:tc>
          <w:tcPr>
            <w:tcW w:w="720" w:type="dxa"/>
            <w:vAlign w:val="bottom"/>
            <w:tcBorders>
              <w:top w:val="single" w:sz="8" w:color="0C479D"/>
            </w:tcBorders>
          </w:tcPr>
          <w:p>
            <w:pPr>
              <w:spacing w:after="0"/>
              <w:rPr>
                <w:sz w:val="24"/>
                <w:szCs w:val="24"/>
                <w:color w:val="auto"/>
              </w:rPr>
            </w:pPr>
          </w:p>
        </w:tc>
        <w:tc>
          <w:tcPr>
            <w:tcW w:w="660" w:type="dxa"/>
            <w:vAlign w:val="bottom"/>
            <w:tcBorders>
              <w:top w:val="single" w:sz="8" w:color="0C479D"/>
            </w:tcBorders>
          </w:tcPr>
          <w:p>
            <w:pPr>
              <w:spacing w:after="0"/>
              <w:rPr>
                <w:sz w:val="24"/>
                <w:szCs w:val="24"/>
                <w:color w:val="auto"/>
              </w:rPr>
            </w:pPr>
          </w:p>
        </w:tc>
        <w:tc>
          <w:tcPr>
            <w:tcW w:w="160" w:type="dxa"/>
            <w:vAlign w:val="bottom"/>
            <w:tcBorders>
              <w:top w:val="single" w:sz="8" w:color="0C479D"/>
            </w:tcBorders>
          </w:tcPr>
          <w:p>
            <w:pPr>
              <w:spacing w:after="0"/>
              <w:rPr>
                <w:sz w:val="24"/>
                <w:szCs w:val="24"/>
                <w:color w:val="auto"/>
              </w:rPr>
            </w:pPr>
          </w:p>
        </w:tc>
        <w:tc>
          <w:tcPr>
            <w:tcW w:w="680" w:type="dxa"/>
            <w:vAlign w:val="bottom"/>
            <w:tcBorders>
              <w:top w:val="single" w:sz="8" w:color="0C479D"/>
            </w:tcBorders>
          </w:tcPr>
          <w:p>
            <w:pPr>
              <w:spacing w:after="0"/>
              <w:rPr>
                <w:sz w:val="24"/>
                <w:szCs w:val="24"/>
                <w:color w:val="auto"/>
              </w:rPr>
            </w:pPr>
          </w:p>
        </w:tc>
        <w:tc>
          <w:tcPr>
            <w:tcW w:w="800" w:type="dxa"/>
            <w:vAlign w:val="bottom"/>
            <w:tcBorders>
              <w:top w:val="single" w:sz="8" w:color="0C479D"/>
            </w:tcBorders>
          </w:tcPr>
          <w:p>
            <w:pPr>
              <w:spacing w:after="0"/>
              <w:rPr>
                <w:sz w:val="24"/>
                <w:szCs w:val="24"/>
                <w:color w:val="auto"/>
              </w:rPr>
            </w:pPr>
          </w:p>
        </w:tc>
        <w:tc>
          <w:tcPr>
            <w:tcW w:w="660" w:type="dxa"/>
            <w:vAlign w:val="bottom"/>
            <w:tcBorders>
              <w:top w:val="single" w:sz="8" w:color="0C479D"/>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140" w:type="dxa"/>
            <w:vAlign w:val="bottom"/>
            <w:shd w:val="clear" w:color="auto" w:fill="0C479D"/>
          </w:tcPr>
          <w:p>
            <w:pPr>
              <w:ind w:left="20"/>
              <w:spacing w:after="0"/>
              <w:rPr>
                <w:sz w:val="20"/>
                <w:szCs w:val="20"/>
                <w:color w:val="auto"/>
              </w:rPr>
            </w:pPr>
            <w:r>
              <w:rPr>
                <w:rFonts w:ascii="Times New Roman" w:cs="Times New Roman" w:eastAsia="Times New Roman" w:hAnsi="Times New Roman"/>
                <w:sz w:val="18"/>
                <w:szCs w:val="18"/>
                <w:b w:val="1"/>
                <w:bCs w:val="1"/>
                <w:color w:val="FFFFFF"/>
              </w:rPr>
              <w:t>Specialty Products</w:t>
            </w:r>
          </w:p>
        </w:tc>
        <w:tc>
          <w:tcPr>
            <w:tcW w:w="680" w:type="dxa"/>
            <w:vAlign w:val="bottom"/>
            <w:shd w:val="clear" w:color="auto" w:fill="0C479D"/>
          </w:tcPr>
          <w:p>
            <w:pPr>
              <w:spacing w:after="0"/>
              <w:rPr>
                <w:sz w:val="21"/>
                <w:szCs w:val="21"/>
                <w:color w:val="auto"/>
              </w:rPr>
            </w:pPr>
          </w:p>
        </w:tc>
        <w:tc>
          <w:tcPr>
            <w:tcW w:w="80" w:type="dxa"/>
            <w:vAlign w:val="bottom"/>
            <w:shd w:val="clear" w:color="auto" w:fill="0C479D"/>
          </w:tcPr>
          <w:p>
            <w:pPr>
              <w:spacing w:after="0"/>
              <w:rPr>
                <w:sz w:val="21"/>
                <w:szCs w:val="21"/>
                <w:color w:val="auto"/>
              </w:rPr>
            </w:pPr>
          </w:p>
        </w:tc>
        <w:tc>
          <w:tcPr>
            <w:tcW w:w="40" w:type="dxa"/>
            <w:vAlign w:val="bottom"/>
            <w:tcBorders>
              <w:left w:val="single" w:sz="8" w:color="0C479D"/>
            </w:tcBorders>
          </w:tcPr>
          <w:p>
            <w:pPr>
              <w:spacing w:after="0"/>
              <w:rPr>
                <w:sz w:val="21"/>
                <w:szCs w:val="21"/>
                <w:color w:val="auto"/>
              </w:rPr>
            </w:pPr>
          </w:p>
        </w:tc>
        <w:tc>
          <w:tcPr>
            <w:tcW w:w="120" w:type="dxa"/>
            <w:vAlign w:val="bottom"/>
            <w:tcBorders>
              <w:right w:val="single" w:sz="8" w:color="0C479D"/>
            </w:tcBorders>
          </w:tcPr>
          <w:p>
            <w:pPr>
              <w:spacing w:after="0"/>
              <w:rPr>
                <w:sz w:val="21"/>
                <w:szCs w:val="21"/>
                <w:color w:val="auto"/>
              </w:rPr>
            </w:pPr>
          </w:p>
        </w:tc>
        <w:tc>
          <w:tcPr>
            <w:tcW w:w="540" w:type="dxa"/>
            <w:vAlign w:val="bottom"/>
            <w:shd w:val="clear" w:color="auto" w:fill="0C479D"/>
          </w:tcPr>
          <w:p>
            <w:pPr>
              <w:spacing w:after="0"/>
              <w:rPr>
                <w:sz w:val="21"/>
                <w:szCs w:val="21"/>
                <w:color w:val="auto"/>
              </w:rPr>
            </w:pPr>
          </w:p>
        </w:tc>
        <w:tc>
          <w:tcPr>
            <w:tcW w:w="40" w:type="dxa"/>
            <w:vAlign w:val="bottom"/>
            <w:shd w:val="clear" w:color="auto" w:fill="0C479D"/>
          </w:tcPr>
          <w:p>
            <w:pPr>
              <w:spacing w:after="0"/>
              <w:rPr>
                <w:sz w:val="21"/>
                <w:szCs w:val="21"/>
                <w:color w:val="auto"/>
              </w:rPr>
            </w:pPr>
          </w:p>
        </w:tc>
        <w:tc>
          <w:tcPr>
            <w:tcW w:w="40" w:type="dxa"/>
            <w:vAlign w:val="bottom"/>
            <w:shd w:val="clear" w:color="auto" w:fill="0C479D"/>
          </w:tcPr>
          <w:p>
            <w:pPr>
              <w:spacing w:after="0"/>
              <w:rPr>
                <w:sz w:val="21"/>
                <w:szCs w:val="21"/>
                <w:color w:val="auto"/>
              </w:rPr>
            </w:pPr>
          </w:p>
        </w:tc>
        <w:tc>
          <w:tcPr>
            <w:tcW w:w="60" w:type="dxa"/>
            <w:vAlign w:val="bottom"/>
            <w:shd w:val="clear" w:color="auto" w:fill="0C479D"/>
          </w:tcPr>
          <w:p>
            <w:pPr>
              <w:spacing w:after="0"/>
              <w:rPr>
                <w:sz w:val="21"/>
                <w:szCs w:val="21"/>
                <w:color w:val="auto"/>
              </w:rPr>
            </w:pPr>
          </w:p>
        </w:tc>
        <w:tc>
          <w:tcPr>
            <w:tcW w:w="600" w:type="dxa"/>
            <w:vAlign w:val="bottom"/>
            <w:gridSpan w:val="2"/>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60" w:type="dxa"/>
            <w:vAlign w:val="bottom"/>
            <w:shd w:val="clear" w:color="auto" w:fill="0C479D"/>
          </w:tcPr>
          <w:p>
            <w:pPr>
              <w:spacing w:after="0"/>
              <w:rPr>
                <w:sz w:val="21"/>
                <w:szCs w:val="21"/>
                <w:color w:val="auto"/>
              </w:rPr>
            </w:pPr>
          </w:p>
        </w:tc>
        <w:tc>
          <w:tcPr>
            <w:tcW w:w="40" w:type="dxa"/>
            <w:vAlign w:val="bottom"/>
            <w:shd w:val="clear" w:color="auto" w:fill="0C479D"/>
          </w:tcPr>
          <w:p>
            <w:pPr>
              <w:spacing w:after="0"/>
              <w:rPr>
                <w:sz w:val="21"/>
                <w:szCs w:val="21"/>
                <w:color w:val="auto"/>
              </w:rPr>
            </w:pPr>
          </w:p>
        </w:tc>
        <w:tc>
          <w:tcPr>
            <w:tcW w:w="40" w:type="dxa"/>
            <w:vAlign w:val="bottom"/>
            <w:shd w:val="clear" w:color="auto" w:fill="0C479D"/>
          </w:tcPr>
          <w:p>
            <w:pPr>
              <w:spacing w:after="0"/>
              <w:rPr>
                <w:sz w:val="21"/>
                <w:szCs w:val="21"/>
                <w:color w:val="auto"/>
              </w:rPr>
            </w:pPr>
          </w:p>
        </w:tc>
        <w:tc>
          <w:tcPr>
            <w:tcW w:w="620" w:type="dxa"/>
            <w:vAlign w:val="bottom"/>
            <w:tcBorders>
              <w:right w:val="single" w:sz="8" w:color="0C479D"/>
            </w:tcBorders>
            <w:shd w:val="clear" w:color="auto" w:fill="0C479D"/>
          </w:tcPr>
          <w:p>
            <w:pPr>
              <w:spacing w:after="0"/>
              <w:rPr>
                <w:sz w:val="21"/>
                <w:szCs w:val="21"/>
                <w:color w:val="auto"/>
              </w:rPr>
            </w:pPr>
          </w:p>
        </w:tc>
        <w:tc>
          <w:tcPr>
            <w:tcW w:w="80" w:type="dxa"/>
            <w:vAlign w:val="bottom"/>
            <w:tcBorders>
              <w:left w:val="single" w:sz="8" w:color="0C479D"/>
            </w:tcBorders>
            <w:shd w:val="clear" w:color="auto" w:fill="0C479D"/>
          </w:tcPr>
          <w:p>
            <w:pPr>
              <w:spacing w:after="0"/>
              <w:rPr>
                <w:sz w:val="21"/>
                <w:szCs w:val="21"/>
                <w:color w:val="auto"/>
              </w:rPr>
            </w:pPr>
          </w:p>
        </w:tc>
        <w:tc>
          <w:tcPr>
            <w:tcW w:w="140" w:type="dxa"/>
            <w:vAlign w:val="bottom"/>
            <w:tcBorders>
              <w:right w:val="single" w:sz="8" w:color="0C479D"/>
            </w:tcBorders>
          </w:tcPr>
          <w:p>
            <w:pPr>
              <w:spacing w:after="0"/>
              <w:rPr>
                <w:sz w:val="21"/>
                <w:szCs w:val="21"/>
                <w:color w:val="auto"/>
              </w:rPr>
            </w:pPr>
          </w:p>
        </w:tc>
        <w:tc>
          <w:tcPr>
            <w:tcW w:w="660" w:type="dxa"/>
            <w:vAlign w:val="bottom"/>
            <w:shd w:val="clear" w:color="auto" w:fill="0C479D"/>
          </w:tcPr>
          <w:p>
            <w:pPr>
              <w:spacing w:after="0"/>
              <w:rPr>
                <w:sz w:val="21"/>
                <w:szCs w:val="21"/>
                <w:color w:val="auto"/>
              </w:rPr>
            </w:pPr>
          </w:p>
        </w:tc>
        <w:tc>
          <w:tcPr>
            <w:tcW w:w="60" w:type="dxa"/>
            <w:vAlign w:val="bottom"/>
            <w:shd w:val="clear" w:color="auto" w:fill="0C479D"/>
          </w:tcPr>
          <w:p>
            <w:pPr>
              <w:spacing w:after="0"/>
              <w:rPr>
                <w:sz w:val="21"/>
                <w:szCs w:val="21"/>
                <w:color w:val="auto"/>
              </w:rPr>
            </w:pPr>
          </w:p>
        </w:tc>
        <w:tc>
          <w:tcPr>
            <w:tcW w:w="720" w:type="dxa"/>
            <w:vAlign w:val="bottom"/>
            <w:shd w:val="clear" w:color="auto" w:fill="0C479D"/>
          </w:tcPr>
          <w:p>
            <w:pPr>
              <w:ind w:left="200"/>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660" w:type="dxa"/>
            <w:vAlign w:val="bottom"/>
            <w:shd w:val="clear" w:color="auto" w:fill="0C479D"/>
          </w:tcPr>
          <w:p>
            <w:pPr>
              <w:spacing w:after="0"/>
              <w:rPr>
                <w:sz w:val="21"/>
                <w:szCs w:val="21"/>
                <w:color w:val="auto"/>
              </w:rPr>
            </w:pPr>
          </w:p>
        </w:tc>
        <w:tc>
          <w:tcPr>
            <w:tcW w:w="160" w:type="dxa"/>
            <w:vAlign w:val="bottom"/>
            <w:tcBorders>
              <w:left w:val="single" w:sz="8" w:color="0C479D"/>
            </w:tcBorders>
          </w:tcPr>
          <w:p>
            <w:pPr>
              <w:spacing w:after="0"/>
              <w:rPr>
                <w:sz w:val="21"/>
                <w:szCs w:val="21"/>
                <w:color w:val="auto"/>
              </w:rPr>
            </w:pPr>
          </w:p>
        </w:tc>
        <w:tc>
          <w:tcPr>
            <w:tcW w:w="680" w:type="dxa"/>
            <w:vAlign w:val="bottom"/>
            <w:shd w:val="clear" w:color="auto" w:fill="0C479D"/>
          </w:tcPr>
          <w:p>
            <w:pPr>
              <w:spacing w:after="0"/>
              <w:rPr>
                <w:sz w:val="21"/>
                <w:szCs w:val="21"/>
                <w:color w:val="auto"/>
              </w:rPr>
            </w:pPr>
          </w:p>
        </w:tc>
        <w:tc>
          <w:tcPr>
            <w:tcW w:w="80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2022</w:t>
            </w:r>
          </w:p>
        </w:tc>
        <w:tc>
          <w:tcPr>
            <w:tcW w:w="660" w:type="dxa"/>
            <w:vAlign w:val="bottom"/>
            <w:shd w:val="clear" w:color="auto" w:fill="0C479D"/>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140" w:type="dxa"/>
            <w:vAlign w:val="bottom"/>
            <w:tcBorders>
              <w:bottom w:val="single" w:sz="8" w:color="0C479D"/>
            </w:tcBorders>
            <w:shd w:val="clear" w:color="auto" w:fill="0C479D"/>
          </w:tcPr>
          <w:p>
            <w:pPr>
              <w:ind w:left="20"/>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680" w:type="dxa"/>
            <w:vAlign w:val="bottom"/>
            <w:tcBorders>
              <w:bottom w:val="single" w:sz="8" w:color="0C479D"/>
            </w:tcBorders>
            <w:shd w:val="clear" w:color="auto" w:fill="0C479D"/>
          </w:tcPr>
          <w:p>
            <w:pPr>
              <w:spacing w:after="0"/>
              <w:rPr>
                <w:sz w:val="19"/>
                <w:szCs w:val="19"/>
                <w:color w:val="auto"/>
              </w:rPr>
            </w:pPr>
          </w:p>
        </w:tc>
        <w:tc>
          <w:tcPr>
            <w:tcW w:w="80" w:type="dxa"/>
            <w:vAlign w:val="bottom"/>
            <w:tcBorders>
              <w:bottom w:val="single" w:sz="8" w:color="0C479D"/>
            </w:tcBorders>
            <w:shd w:val="clear" w:color="auto" w:fill="0C479D"/>
          </w:tcPr>
          <w:p>
            <w:pPr>
              <w:spacing w:after="0"/>
              <w:rPr>
                <w:sz w:val="19"/>
                <w:szCs w:val="19"/>
                <w:color w:val="auto"/>
              </w:rPr>
            </w:pPr>
          </w:p>
        </w:tc>
        <w:tc>
          <w:tcPr>
            <w:tcW w:w="40" w:type="dxa"/>
            <w:vAlign w:val="bottom"/>
            <w:tcBorders>
              <w:left w:val="single" w:sz="8" w:color="0C479D"/>
            </w:tcBorders>
          </w:tcPr>
          <w:p>
            <w:pPr>
              <w:spacing w:after="0"/>
              <w:rPr>
                <w:sz w:val="19"/>
                <w:szCs w:val="19"/>
                <w:color w:val="auto"/>
              </w:rPr>
            </w:pPr>
          </w:p>
        </w:tc>
        <w:tc>
          <w:tcPr>
            <w:tcW w:w="120" w:type="dxa"/>
            <w:vAlign w:val="bottom"/>
            <w:tcBorders>
              <w:right w:val="single" w:sz="8" w:color="0C479D"/>
            </w:tcBorders>
          </w:tcPr>
          <w:p>
            <w:pPr>
              <w:spacing w:after="0"/>
              <w:rPr>
                <w:sz w:val="19"/>
                <w:szCs w:val="19"/>
                <w:color w:val="auto"/>
              </w:rPr>
            </w:pPr>
          </w:p>
        </w:tc>
        <w:tc>
          <w:tcPr>
            <w:tcW w:w="680" w:type="dxa"/>
            <w:vAlign w:val="bottom"/>
            <w:tcBorders>
              <w:bottom w:val="single" w:sz="8" w:color="0C479D"/>
            </w:tcBorders>
            <w:gridSpan w:val="4"/>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w w:val="96"/>
              </w:rPr>
              <w:t>U.S.</w:t>
            </w:r>
          </w:p>
        </w:tc>
        <w:tc>
          <w:tcPr>
            <w:tcW w:w="40" w:type="dxa"/>
            <w:vAlign w:val="bottom"/>
            <w:tcBorders>
              <w:bottom w:val="single" w:sz="8" w:color="0C479D"/>
            </w:tcBorders>
            <w:shd w:val="clear" w:color="auto" w:fill="0C479D"/>
          </w:tcPr>
          <w:p>
            <w:pPr>
              <w:spacing w:after="0"/>
              <w:rPr>
                <w:sz w:val="19"/>
                <w:szCs w:val="19"/>
                <w:color w:val="auto"/>
              </w:rPr>
            </w:pPr>
          </w:p>
        </w:tc>
        <w:tc>
          <w:tcPr>
            <w:tcW w:w="700" w:type="dxa"/>
            <w:vAlign w:val="bottom"/>
            <w:tcBorders>
              <w:bottom w:val="single" w:sz="8" w:color="0C479D"/>
            </w:tcBorders>
            <w:gridSpan w:val="4"/>
            <w:shd w:val="clear" w:color="auto" w:fill="0C479D"/>
          </w:tcPr>
          <w:p>
            <w:pPr>
              <w:ind w:left="60"/>
              <w:spacing w:after="0"/>
              <w:rPr>
                <w:sz w:val="20"/>
                <w:szCs w:val="20"/>
                <w:color w:val="auto"/>
              </w:rPr>
            </w:pPr>
            <w:r>
              <w:rPr>
                <w:rFonts w:ascii="Times New Roman" w:cs="Times New Roman" w:eastAsia="Times New Roman" w:hAnsi="Times New Roman"/>
                <w:sz w:val="14"/>
                <w:szCs w:val="14"/>
                <w:b w:val="1"/>
                <w:bCs w:val="1"/>
                <w:color w:val="FFFFFF"/>
              </w:rPr>
              <w:t>Non-U.S.</w:t>
            </w:r>
          </w:p>
        </w:tc>
        <w:tc>
          <w:tcPr>
            <w:tcW w:w="700" w:type="dxa"/>
            <w:vAlign w:val="bottom"/>
            <w:tcBorders>
              <w:bottom w:val="single" w:sz="8" w:color="0C479D"/>
            </w:tcBorders>
            <w:gridSpan w:val="2"/>
            <w:shd w:val="clear" w:color="auto" w:fill="0C479D"/>
          </w:tcPr>
          <w:p>
            <w:pPr>
              <w:jc w:val="right"/>
              <w:ind w:right="200"/>
              <w:spacing w:after="0"/>
              <w:rPr>
                <w:sz w:val="20"/>
                <w:szCs w:val="20"/>
                <w:color w:val="auto"/>
              </w:rPr>
            </w:pPr>
            <w:r>
              <w:rPr>
                <w:rFonts w:ascii="Times New Roman" w:cs="Times New Roman" w:eastAsia="Times New Roman" w:hAnsi="Times New Roman"/>
                <w:sz w:val="14"/>
                <w:szCs w:val="14"/>
                <w:b w:val="1"/>
                <w:bCs w:val="1"/>
                <w:color w:val="FFFFFF"/>
              </w:rPr>
              <w:t>Total</w:t>
            </w:r>
          </w:p>
        </w:tc>
        <w:tc>
          <w:tcPr>
            <w:tcW w:w="140" w:type="dxa"/>
            <w:vAlign w:val="bottom"/>
            <w:tcBorders>
              <w:right w:val="single" w:sz="8" w:color="0C479D"/>
            </w:tcBorders>
          </w:tcPr>
          <w:p>
            <w:pPr>
              <w:spacing w:after="0"/>
              <w:rPr>
                <w:sz w:val="19"/>
                <w:szCs w:val="19"/>
                <w:color w:val="auto"/>
              </w:rPr>
            </w:pPr>
          </w:p>
        </w:tc>
        <w:tc>
          <w:tcPr>
            <w:tcW w:w="720" w:type="dxa"/>
            <w:vAlign w:val="bottom"/>
            <w:tcBorders>
              <w:bottom w:val="single" w:sz="8" w:color="0C479D"/>
            </w:tcBorders>
            <w:gridSpan w:val="2"/>
            <w:shd w:val="clear" w:color="auto" w:fill="0C479D"/>
          </w:tcPr>
          <w:p>
            <w:pPr>
              <w:jc w:val="right"/>
              <w:ind w:right="240"/>
              <w:spacing w:after="0"/>
              <w:rPr>
                <w:sz w:val="20"/>
                <w:szCs w:val="20"/>
                <w:color w:val="auto"/>
              </w:rPr>
            </w:pPr>
            <w:r>
              <w:rPr>
                <w:rFonts w:ascii="Times New Roman" w:cs="Times New Roman" w:eastAsia="Times New Roman" w:hAnsi="Times New Roman"/>
                <w:sz w:val="14"/>
                <w:szCs w:val="14"/>
                <w:b w:val="1"/>
                <w:bCs w:val="1"/>
                <w:color w:val="FFFFFF"/>
              </w:rPr>
              <w:t>U.S.</w:t>
            </w:r>
          </w:p>
        </w:tc>
        <w:tc>
          <w:tcPr>
            <w:tcW w:w="720" w:type="dxa"/>
            <w:vAlign w:val="bottom"/>
            <w:tcBorders>
              <w:bottom w:val="single" w:sz="8" w:color="0C479D"/>
            </w:tcBorders>
            <w:shd w:val="clear" w:color="auto" w:fill="0C479D"/>
          </w:tcPr>
          <w:p>
            <w:pPr>
              <w:jc w:val="right"/>
              <w:ind w:right="15"/>
              <w:spacing w:after="0"/>
              <w:rPr>
                <w:sz w:val="20"/>
                <w:szCs w:val="20"/>
                <w:color w:val="auto"/>
              </w:rPr>
            </w:pPr>
            <w:r>
              <w:rPr>
                <w:rFonts w:ascii="Times New Roman" w:cs="Times New Roman" w:eastAsia="Times New Roman" w:hAnsi="Times New Roman"/>
                <w:sz w:val="14"/>
                <w:szCs w:val="14"/>
                <w:b w:val="1"/>
                <w:bCs w:val="1"/>
                <w:color w:val="FFFFFF"/>
              </w:rPr>
              <w:t>Non-U.S.</w:t>
            </w:r>
          </w:p>
        </w:tc>
        <w:tc>
          <w:tcPr>
            <w:tcW w:w="660" w:type="dxa"/>
            <w:vAlign w:val="bottom"/>
            <w:tcBorders>
              <w:bottom w:val="single" w:sz="8" w:color="0C479D"/>
            </w:tcBorders>
            <w:shd w:val="clear" w:color="auto" w:fill="0C479D"/>
          </w:tcPr>
          <w:p>
            <w:pPr>
              <w:jc w:val="right"/>
              <w:ind w:right="73"/>
              <w:spacing w:after="0"/>
              <w:rPr>
                <w:sz w:val="20"/>
                <w:szCs w:val="20"/>
                <w:color w:val="auto"/>
              </w:rPr>
            </w:pPr>
            <w:r>
              <w:rPr>
                <w:rFonts w:ascii="Times New Roman" w:cs="Times New Roman" w:eastAsia="Times New Roman" w:hAnsi="Times New Roman"/>
                <w:sz w:val="14"/>
                <w:szCs w:val="14"/>
                <w:b w:val="1"/>
                <w:bCs w:val="1"/>
                <w:color w:val="FFFFFF"/>
              </w:rPr>
              <w:t>Total</w:t>
            </w:r>
          </w:p>
        </w:tc>
        <w:tc>
          <w:tcPr>
            <w:tcW w:w="160" w:type="dxa"/>
            <w:vAlign w:val="bottom"/>
            <w:tcBorders>
              <w:left w:val="single" w:sz="8" w:color="0C479D"/>
            </w:tcBorders>
          </w:tcPr>
          <w:p>
            <w:pPr>
              <w:spacing w:after="0"/>
              <w:rPr>
                <w:sz w:val="19"/>
                <w:szCs w:val="19"/>
                <w:color w:val="auto"/>
              </w:rPr>
            </w:pPr>
          </w:p>
        </w:tc>
        <w:tc>
          <w:tcPr>
            <w:tcW w:w="680" w:type="dxa"/>
            <w:vAlign w:val="bottom"/>
            <w:tcBorders>
              <w:bottom w:val="single" w:sz="8" w:color="0C479D"/>
            </w:tcBorders>
            <w:shd w:val="clear" w:color="auto" w:fill="0C479D"/>
          </w:tcPr>
          <w:p>
            <w:pPr>
              <w:jc w:val="right"/>
              <w:ind w:right="113"/>
              <w:spacing w:after="0"/>
              <w:rPr>
                <w:sz w:val="20"/>
                <w:szCs w:val="20"/>
                <w:color w:val="auto"/>
              </w:rPr>
            </w:pPr>
            <w:r>
              <w:rPr>
                <w:rFonts w:ascii="Times New Roman" w:cs="Times New Roman" w:eastAsia="Times New Roman" w:hAnsi="Times New Roman"/>
                <w:sz w:val="14"/>
                <w:szCs w:val="14"/>
                <w:b w:val="1"/>
                <w:bCs w:val="1"/>
                <w:color w:val="FFFFFF"/>
              </w:rPr>
              <w:t>U.S.</w:t>
            </w:r>
          </w:p>
        </w:tc>
        <w:tc>
          <w:tcPr>
            <w:tcW w:w="800" w:type="dxa"/>
            <w:vAlign w:val="bottom"/>
            <w:tcBorders>
              <w:bottom w:val="single" w:sz="8" w:color="0C479D"/>
            </w:tcBorders>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Non-U.S.</w:t>
            </w:r>
          </w:p>
        </w:tc>
        <w:tc>
          <w:tcPr>
            <w:tcW w:w="660" w:type="dxa"/>
            <w:vAlign w:val="bottom"/>
            <w:tcBorders>
              <w:bottom w:val="single" w:sz="8" w:color="0C479D"/>
            </w:tcBorders>
            <w:shd w:val="clear" w:color="auto" w:fill="0C479D"/>
          </w:tcPr>
          <w:p>
            <w:pPr>
              <w:jc w:val="right"/>
              <w:ind w:right="113"/>
              <w:spacing w:after="0"/>
              <w:rPr>
                <w:sz w:val="20"/>
                <w:szCs w:val="20"/>
                <w:color w:val="auto"/>
              </w:rPr>
            </w:pPr>
            <w:r>
              <w:rPr>
                <w:rFonts w:ascii="Times New Roman" w:cs="Times New Roman" w:eastAsia="Times New Roman" w:hAnsi="Times New Roman"/>
                <w:sz w:val="14"/>
                <w:szCs w:val="14"/>
                <w:b w:val="1"/>
                <w:bCs w:val="1"/>
                <w:color w:val="FFFFFF"/>
              </w:rPr>
              <w:t>Total</w:t>
            </w:r>
          </w:p>
        </w:tc>
        <w:tc>
          <w:tcPr>
            <w:tcW w:w="0" w:type="dxa"/>
            <w:vAlign w:val="bottom"/>
          </w:tcPr>
          <w:p>
            <w:pPr>
              <w:spacing w:after="0"/>
              <w:rPr>
                <w:sz w:val="1"/>
                <w:szCs w:val="1"/>
                <w:color w:val="auto"/>
              </w:rPr>
            </w:pPr>
          </w:p>
        </w:tc>
      </w:tr>
      <w:tr>
        <w:trPr>
          <w:trHeight w:val="270"/>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Earnings (loss) (U.S. GAAP)</w:t>
            </w: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Borders>
              <w:right w:val="single" w:sz="8" w:color="F0F0F0"/>
            </w:tcBorders>
          </w:tcPr>
          <w:p>
            <w:pPr>
              <w:spacing w:after="0"/>
              <w:rPr>
                <w:sz w:val="23"/>
                <w:szCs w:val="23"/>
                <w:color w:val="auto"/>
              </w:rPr>
            </w:pPr>
          </w:p>
        </w:tc>
        <w:tc>
          <w:tcPr>
            <w:tcW w:w="620" w:type="dxa"/>
            <w:vAlign w:val="bottom"/>
            <w:gridSpan w:val="3"/>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60" w:type="dxa"/>
            <w:vAlign w:val="bottom"/>
            <w:shd w:val="clear" w:color="auto" w:fill="F0F0F0"/>
          </w:tcPr>
          <w:p>
            <w:pPr>
              <w:spacing w:after="0"/>
              <w:rPr>
                <w:sz w:val="23"/>
                <w:szCs w:val="23"/>
                <w:color w:val="auto"/>
              </w:rPr>
            </w:pPr>
          </w:p>
        </w:tc>
        <w:tc>
          <w:tcPr>
            <w:tcW w:w="660" w:type="dxa"/>
            <w:vAlign w:val="bottom"/>
            <w:gridSpan w:val="3"/>
            <w:shd w:val="clear" w:color="auto" w:fill="F0F0F0"/>
          </w:tcPr>
          <w:p>
            <w:pPr>
              <w:jc w:val="right"/>
              <w:ind w:right="20"/>
              <w:spacing w:after="0"/>
              <w:rPr>
                <w:sz w:val="20"/>
                <w:szCs w:val="20"/>
                <w:color w:val="auto"/>
              </w:rPr>
            </w:pPr>
            <w:r>
              <w:rPr>
                <w:rFonts w:ascii="Times New Roman" w:cs="Times New Roman" w:eastAsia="Times New Roman" w:hAnsi="Times New Roman"/>
                <w:sz w:val="18"/>
                <w:szCs w:val="18"/>
                <w:color w:val="auto"/>
              </w:rPr>
              <w:t>1,476</w:t>
            </w:r>
          </w:p>
        </w:tc>
        <w:tc>
          <w:tcPr>
            <w:tcW w:w="40" w:type="dxa"/>
            <w:vAlign w:val="bottom"/>
            <w:shd w:val="clear" w:color="auto" w:fill="F0F0F0"/>
          </w:tcPr>
          <w:p>
            <w:pPr>
              <w:spacing w:after="0"/>
              <w:rPr>
                <w:sz w:val="23"/>
                <w:szCs w:val="23"/>
                <w:color w:val="auto"/>
              </w:rPr>
            </w:pPr>
          </w:p>
        </w:tc>
        <w:tc>
          <w:tcPr>
            <w:tcW w:w="40" w:type="dxa"/>
            <w:vAlign w:val="bottom"/>
            <w:shd w:val="clear" w:color="auto" w:fill="F0F0F0"/>
          </w:tcPr>
          <w:p>
            <w:pPr>
              <w:spacing w:after="0"/>
              <w:rPr>
                <w:sz w:val="23"/>
                <w:szCs w:val="23"/>
                <w:color w:val="auto"/>
              </w:rPr>
            </w:pPr>
          </w:p>
        </w:tc>
        <w:tc>
          <w:tcPr>
            <w:tcW w:w="62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3,052</w:t>
            </w:r>
          </w:p>
        </w:tc>
        <w:tc>
          <w:tcPr>
            <w:tcW w:w="80" w:type="dxa"/>
            <w:vAlign w:val="bottom"/>
            <w:tcBorders>
              <w:left w:val="single" w:sz="8" w:color="F0F0F0"/>
            </w:tcBorders>
            <w:shd w:val="clear" w:color="auto" w:fill="F0F0F0"/>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60" w:type="dxa"/>
            <w:vAlign w:val="bottom"/>
          </w:tcPr>
          <w:p>
            <w:pPr>
              <w:spacing w:after="0"/>
              <w:rPr>
                <w:sz w:val="23"/>
                <w:szCs w:val="23"/>
                <w:color w:val="auto"/>
              </w:rPr>
            </w:pPr>
          </w:p>
        </w:tc>
        <w:tc>
          <w:tcPr>
            <w:tcW w:w="7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1,178</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1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8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1,225</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0" w:type="dxa"/>
            <w:vAlign w:val="bottom"/>
          </w:tcPr>
          <w:p>
            <w:pPr>
              <w:spacing w:after="0"/>
              <w:rPr>
                <w:sz w:val="1"/>
                <w:szCs w:val="1"/>
                <w:color w:val="auto"/>
              </w:rPr>
            </w:pPr>
          </w:p>
        </w:tc>
      </w:tr>
      <w:tr>
        <w:trPr>
          <w:trHeight w:val="270"/>
        </w:trPr>
        <w:tc>
          <w:tcPr>
            <w:tcW w:w="2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Impairments</w:t>
            </w: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Borders>
              <w:right w:val="single" w:sz="8" w:color="F0F0F0"/>
            </w:tcBorders>
          </w:tcPr>
          <w:p>
            <w:pPr>
              <w:spacing w:after="0"/>
              <w:rPr>
                <w:sz w:val="23"/>
                <w:szCs w:val="23"/>
                <w:color w:val="auto"/>
              </w:rPr>
            </w:pPr>
          </w:p>
        </w:tc>
        <w:tc>
          <w:tcPr>
            <w:tcW w:w="680" w:type="dxa"/>
            <w:vAlign w:val="bottom"/>
            <w:gridSpan w:val="4"/>
            <w:shd w:val="clear" w:color="auto" w:fill="F0F0F0"/>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700" w:type="dxa"/>
            <w:vAlign w:val="bottom"/>
            <w:gridSpan w:val="4"/>
            <w:shd w:val="clear" w:color="auto" w:fill="F0F0F0"/>
          </w:tcPr>
          <w:p>
            <w:pPr>
              <w:ind w:left="480"/>
              <w:spacing w:after="0"/>
              <w:rPr>
                <w:sz w:val="20"/>
                <w:szCs w:val="20"/>
                <w:color w:val="auto"/>
              </w:rPr>
            </w:pPr>
            <w:r>
              <w:rPr>
                <w:rFonts w:ascii="Times New Roman" w:cs="Times New Roman" w:eastAsia="Times New Roman" w:hAnsi="Times New Roman"/>
                <w:sz w:val="18"/>
                <w:szCs w:val="18"/>
                <w:color w:val="auto"/>
                <w:w w:val="95"/>
              </w:rPr>
              <w:t>(8)</w:t>
            </w:r>
          </w:p>
        </w:tc>
        <w:tc>
          <w:tcPr>
            <w:tcW w:w="40" w:type="dxa"/>
            <w:vAlign w:val="bottom"/>
            <w:shd w:val="clear" w:color="auto" w:fill="F0F0F0"/>
          </w:tcPr>
          <w:p>
            <w:pPr>
              <w:spacing w:after="0"/>
              <w:rPr>
                <w:sz w:val="23"/>
                <w:szCs w:val="23"/>
                <w:color w:val="auto"/>
              </w:rPr>
            </w:pPr>
          </w:p>
        </w:tc>
        <w:tc>
          <w:tcPr>
            <w:tcW w:w="700" w:type="dxa"/>
            <w:vAlign w:val="bottom"/>
            <w:gridSpan w:val="2"/>
            <w:shd w:val="clear" w:color="auto" w:fill="F0F0F0"/>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23"/>
                <w:szCs w:val="2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(40)</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0"/>
        </w:trPr>
        <w:tc>
          <w:tcPr>
            <w:tcW w:w="2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Tax-related items</w:t>
            </w: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Borders>
              <w:right w:val="single" w:sz="8" w:color="F0F0F0"/>
            </w:tcBorders>
          </w:tcPr>
          <w:p>
            <w:pPr>
              <w:spacing w:after="0"/>
              <w:rPr>
                <w:sz w:val="23"/>
                <w:szCs w:val="23"/>
                <w:color w:val="auto"/>
              </w:rPr>
            </w:pPr>
          </w:p>
        </w:tc>
        <w:tc>
          <w:tcPr>
            <w:tcW w:w="680" w:type="dxa"/>
            <w:vAlign w:val="bottom"/>
            <w:gridSpan w:val="4"/>
            <w:shd w:val="clear" w:color="auto" w:fill="F0F0F0"/>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4"/>
            <w:shd w:val="clear" w:color="auto" w:fill="F0F0F0"/>
          </w:tcPr>
          <w:p>
            <w:pPr>
              <w:ind w:left="480"/>
              <w:spacing w:after="0"/>
              <w:rPr>
                <w:sz w:val="20"/>
                <w:szCs w:val="20"/>
                <w:color w:val="auto"/>
              </w:rPr>
            </w:pPr>
            <w:r>
              <w:rPr>
                <w:rFonts w:ascii="Times New Roman" w:cs="Times New Roman" w:eastAsia="Times New Roman" w:hAnsi="Times New Roman"/>
                <w:sz w:val="18"/>
                <w:szCs w:val="18"/>
                <w:color w:val="auto"/>
                <w:w w:val="95"/>
              </w:rPr>
              <w:t>(1)</w:t>
            </w:r>
          </w:p>
        </w:tc>
        <w:tc>
          <w:tcPr>
            <w:tcW w:w="40" w:type="dxa"/>
            <w:vAlign w:val="bottom"/>
            <w:shd w:val="clear" w:color="auto" w:fill="F0F0F0"/>
          </w:tcPr>
          <w:p>
            <w:pPr>
              <w:spacing w:after="0"/>
              <w:rPr>
                <w:sz w:val="23"/>
                <w:szCs w:val="23"/>
                <w:color w:val="auto"/>
              </w:rPr>
            </w:pPr>
          </w:p>
        </w:tc>
        <w:tc>
          <w:tcPr>
            <w:tcW w:w="700" w:type="dxa"/>
            <w:vAlign w:val="bottom"/>
            <w:gridSpan w:val="2"/>
            <w:shd w:val="clear" w:color="auto" w:fill="F0F0F0"/>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spacing w:after="0"/>
              <w:rPr>
                <w:sz w:val="23"/>
                <w:szCs w:val="23"/>
                <w:color w:val="auto"/>
              </w:rPr>
            </w:pPr>
          </w:p>
        </w:tc>
        <w:tc>
          <w:tcPr>
            <w:tcW w:w="7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2140" w:type="dxa"/>
            <w:vAlign w:val="bottom"/>
            <w:tcBorders>
              <w:bottom w:val="single" w:sz="8" w:color="0C479D"/>
            </w:tcBorders>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680" w:type="dxa"/>
            <w:vAlign w:val="bottom"/>
            <w:tcBorders>
              <w:bottom w:val="single" w:sz="8" w:color="0C479D"/>
            </w:tcBorders>
          </w:tcPr>
          <w:p>
            <w:pPr>
              <w:spacing w:after="0"/>
              <w:rPr>
                <w:sz w:val="23"/>
                <w:szCs w:val="23"/>
                <w:color w:val="auto"/>
              </w:rPr>
            </w:pPr>
          </w:p>
        </w:tc>
        <w:tc>
          <w:tcPr>
            <w:tcW w:w="80" w:type="dxa"/>
            <w:vAlign w:val="bottom"/>
            <w:tcBorders>
              <w:bottom w:val="single" w:sz="8" w:color="0C479D"/>
            </w:tcBorders>
          </w:tcPr>
          <w:p>
            <w:pPr>
              <w:spacing w:after="0"/>
              <w:rPr>
                <w:sz w:val="23"/>
                <w:szCs w:val="23"/>
                <w:color w:val="auto"/>
              </w:rPr>
            </w:pPr>
          </w:p>
        </w:tc>
        <w:tc>
          <w:tcPr>
            <w:tcW w:w="40" w:type="dxa"/>
            <w:vAlign w:val="bottom"/>
            <w:tcBorders>
              <w:bottom w:val="single" w:sz="8" w:color="0C479D"/>
            </w:tcBorders>
          </w:tcPr>
          <w:p>
            <w:pPr>
              <w:spacing w:after="0"/>
              <w:rPr>
                <w:sz w:val="23"/>
                <w:szCs w:val="23"/>
                <w:color w:val="auto"/>
              </w:rPr>
            </w:pPr>
          </w:p>
        </w:tc>
        <w:tc>
          <w:tcPr>
            <w:tcW w:w="120" w:type="dxa"/>
            <w:vAlign w:val="bottom"/>
            <w:tcBorders>
              <w:bottom w:val="single" w:sz="8" w:color="0C479D"/>
              <w:right w:val="single" w:sz="8" w:color="F0F0F0"/>
            </w:tcBorders>
          </w:tcPr>
          <w:p>
            <w:pPr>
              <w:spacing w:after="0"/>
              <w:rPr>
                <w:sz w:val="23"/>
                <w:szCs w:val="23"/>
                <w:color w:val="auto"/>
              </w:rPr>
            </w:pPr>
          </w:p>
        </w:tc>
        <w:tc>
          <w:tcPr>
            <w:tcW w:w="680" w:type="dxa"/>
            <w:vAlign w:val="bottom"/>
            <w:tcBorders>
              <w:bottom w:val="single" w:sz="8" w:color="0C479D"/>
            </w:tcBorders>
            <w:gridSpan w:val="4"/>
            <w:shd w:val="clear" w:color="auto" w:fill="F0F0F0"/>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0C479D"/>
            </w:tcBorders>
            <w:shd w:val="clear" w:color="auto" w:fill="F0F0F0"/>
          </w:tcPr>
          <w:p>
            <w:pPr>
              <w:spacing w:after="0"/>
              <w:rPr>
                <w:sz w:val="23"/>
                <w:szCs w:val="23"/>
                <w:color w:val="auto"/>
              </w:rPr>
            </w:pPr>
          </w:p>
        </w:tc>
        <w:tc>
          <w:tcPr>
            <w:tcW w:w="660" w:type="dxa"/>
            <w:vAlign w:val="bottom"/>
            <w:tcBorders>
              <w:bottom w:val="single" w:sz="8" w:color="0C479D"/>
            </w:tcBorders>
            <w:gridSpan w:val="3"/>
            <w:shd w:val="clear" w:color="auto" w:fill="F0F0F0"/>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0C479D"/>
            </w:tcBorders>
            <w:shd w:val="clear" w:color="auto" w:fill="F0F0F0"/>
          </w:tcPr>
          <w:p>
            <w:pPr>
              <w:spacing w:after="0"/>
              <w:rPr>
                <w:sz w:val="23"/>
                <w:szCs w:val="23"/>
                <w:color w:val="auto"/>
              </w:rPr>
            </w:pPr>
          </w:p>
        </w:tc>
        <w:tc>
          <w:tcPr>
            <w:tcW w:w="700" w:type="dxa"/>
            <w:vAlign w:val="bottom"/>
            <w:tcBorders>
              <w:bottom w:val="single" w:sz="8" w:color="0C479D"/>
            </w:tcBorders>
            <w:gridSpan w:val="2"/>
            <w:shd w:val="clear" w:color="auto" w:fill="F0F0F0"/>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0C479D"/>
            </w:tcBorders>
          </w:tcPr>
          <w:p>
            <w:pPr>
              <w:spacing w:after="0"/>
              <w:rPr>
                <w:sz w:val="23"/>
                <w:szCs w:val="23"/>
                <w:color w:val="auto"/>
              </w:rPr>
            </w:pPr>
          </w:p>
        </w:tc>
        <w:tc>
          <w:tcPr>
            <w:tcW w:w="720" w:type="dxa"/>
            <w:vAlign w:val="bottom"/>
            <w:tcBorders>
              <w:bottom w:val="single" w:sz="8" w:color="0C479D"/>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Borders>
              <w:bottom w:val="single" w:sz="8" w:color="0C479D"/>
            </w:tcBorders>
          </w:tcPr>
          <w:p>
            <w:pPr>
              <w:spacing w:after="0"/>
              <w:rPr>
                <w:sz w:val="23"/>
                <w:szCs w:val="23"/>
                <w:color w:val="auto"/>
              </w:rPr>
            </w:pPr>
          </w:p>
        </w:tc>
        <w:tc>
          <w:tcPr>
            <w:tcW w:w="6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0C479D"/>
            </w:tcBorders>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14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Identified Items</w:t>
            </w:r>
          </w:p>
        </w:tc>
        <w:tc>
          <w:tcPr>
            <w:tcW w:w="680" w:type="dxa"/>
            <w:vAlign w:val="bottom"/>
            <w:tcBorders>
              <w:bottom w:val="single" w:sz="8" w:color="0C479D"/>
            </w:tcBorders>
          </w:tcPr>
          <w:p>
            <w:pPr>
              <w:spacing w:after="0"/>
              <w:rPr>
                <w:sz w:val="21"/>
                <w:szCs w:val="21"/>
                <w:color w:val="auto"/>
              </w:rPr>
            </w:pPr>
          </w:p>
        </w:tc>
        <w:tc>
          <w:tcPr>
            <w:tcW w:w="80" w:type="dxa"/>
            <w:vAlign w:val="bottom"/>
            <w:tcBorders>
              <w:bottom w:val="single" w:sz="8" w:color="0C479D"/>
            </w:tcBorders>
          </w:tcPr>
          <w:p>
            <w:pPr>
              <w:spacing w:after="0"/>
              <w:rPr>
                <w:sz w:val="21"/>
                <w:szCs w:val="21"/>
                <w:color w:val="auto"/>
              </w:rPr>
            </w:pPr>
          </w:p>
        </w:tc>
        <w:tc>
          <w:tcPr>
            <w:tcW w:w="40" w:type="dxa"/>
            <w:vAlign w:val="bottom"/>
            <w:tcBorders>
              <w:bottom w:val="single" w:sz="8" w:color="0C479D"/>
            </w:tcBorders>
          </w:tcPr>
          <w:p>
            <w:pPr>
              <w:spacing w:after="0"/>
              <w:rPr>
                <w:sz w:val="21"/>
                <w:szCs w:val="21"/>
                <w:color w:val="auto"/>
              </w:rPr>
            </w:pPr>
          </w:p>
        </w:tc>
        <w:tc>
          <w:tcPr>
            <w:tcW w:w="120" w:type="dxa"/>
            <w:vAlign w:val="bottom"/>
            <w:tcBorders>
              <w:bottom w:val="single" w:sz="8" w:color="0C479D"/>
              <w:right w:val="single" w:sz="8" w:color="F0F0F0"/>
            </w:tcBorders>
          </w:tcPr>
          <w:p>
            <w:pPr>
              <w:spacing w:after="0"/>
              <w:rPr>
                <w:sz w:val="21"/>
                <w:szCs w:val="21"/>
                <w:color w:val="auto"/>
              </w:rPr>
            </w:pPr>
          </w:p>
        </w:tc>
        <w:tc>
          <w:tcPr>
            <w:tcW w:w="680" w:type="dxa"/>
            <w:vAlign w:val="bottom"/>
            <w:tcBorders>
              <w:bottom w:val="single" w:sz="8" w:color="0C479D"/>
            </w:tcBorders>
            <w:gridSpan w:val="4"/>
            <w:shd w:val="clear" w:color="auto" w:fill="F0F0F0"/>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700" w:type="dxa"/>
            <w:vAlign w:val="bottom"/>
            <w:tcBorders>
              <w:bottom w:val="single" w:sz="8" w:color="0C479D"/>
            </w:tcBorders>
            <w:gridSpan w:val="4"/>
            <w:shd w:val="clear" w:color="auto" w:fill="F0F0F0"/>
          </w:tcPr>
          <w:p>
            <w:pPr>
              <w:ind w:left="480"/>
              <w:spacing w:after="0"/>
              <w:rPr>
                <w:sz w:val="20"/>
                <w:szCs w:val="20"/>
                <w:color w:val="auto"/>
              </w:rPr>
            </w:pPr>
            <w:r>
              <w:rPr>
                <w:rFonts w:ascii="Times New Roman" w:cs="Times New Roman" w:eastAsia="Times New Roman" w:hAnsi="Times New Roman"/>
                <w:sz w:val="18"/>
                <w:szCs w:val="18"/>
                <w:color w:val="auto"/>
                <w:w w:val="95"/>
              </w:rPr>
              <w:t>(9)</w:t>
            </w:r>
          </w:p>
        </w:tc>
        <w:tc>
          <w:tcPr>
            <w:tcW w:w="40" w:type="dxa"/>
            <w:vAlign w:val="bottom"/>
            <w:tcBorders>
              <w:bottom w:val="single" w:sz="8" w:color="0C479D"/>
            </w:tcBorders>
            <w:shd w:val="clear" w:color="auto" w:fill="F0F0F0"/>
          </w:tcPr>
          <w:p>
            <w:pPr>
              <w:spacing w:after="0"/>
              <w:rPr>
                <w:sz w:val="21"/>
                <w:szCs w:val="21"/>
                <w:color w:val="auto"/>
              </w:rPr>
            </w:pPr>
          </w:p>
        </w:tc>
        <w:tc>
          <w:tcPr>
            <w:tcW w:w="620" w:type="dxa"/>
            <w:vAlign w:val="bottom"/>
            <w:tcBorders>
              <w:bottom w:val="single" w:sz="8" w:color="0C479D"/>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left w:val="single" w:sz="8" w:color="F0F0F0"/>
              <w:bottom w:val="single" w:sz="8" w:color="0C479D"/>
            </w:tcBorders>
            <w:shd w:val="clear" w:color="auto" w:fill="F0F0F0"/>
          </w:tcPr>
          <w:p>
            <w:pPr>
              <w:spacing w:after="0"/>
              <w:rPr>
                <w:sz w:val="21"/>
                <w:szCs w:val="21"/>
                <w:color w:val="auto"/>
              </w:rPr>
            </w:pPr>
          </w:p>
        </w:tc>
        <w:tc>
          <w:tcPr>
            <w:tcW w:w="140" w:type="dxa"/>
            <w:vAlign w:val="bottom"/>
            <w:tcBorders>
              <w:bottom w:val="single" w:sz="8" w:color="0C479D"/>
            </w:tcBorders>
          </w:tcPr>
          <w:p>
            <w:pPr>
              <w:spacing w:after="0"/>
              <w:rPr>
                <w:sz w:val="21"/>
                <w:szCs w:val="21"/>
                <w:color w:val="auto"/>
              </w:rPr>
            </w:pPr>
          </w:p>
        </w:tc>
        <w:tc>
          <w:tcPr>
            <w:tcW w:w="6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Borders>
              <w:bottom w:val="single" w:sz="8" w:color="0C479D"/>
            </w:tcBorders>
          </w:tcPr>
          <w:p>
            <w:pPr>
              <w:spacing w:after="0"/>
              <w:rPr>
                <w:sz w:val="21"/>
                <w:szCs w:val="21"/>
                <w:color w:val="auto"/>
              </w:rPr>
            </w:pPr>
          </w:p>
        </w:tc>
        <w:tc>
          <w:tcPr>
            <w:tcW w:w="7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6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tcBorders>
              <w:bottom w:val="single" w:sz="8" w:color="0C479D"/>
            </w:tcBorders>
          </w:tcPr>
          <w:p>
            <w:pPr>
              <w:spacing w:after="0"/>
              <w:rPr>
                <w:sz w:val="21"/>
                <w:szCs w:val="21"/>
                <w:color w:val="auto"/>
              </w:rPr>
            </w:pPr>
          </w:p>
        </w:tc>
        <w:tc>
          <w:tcPr>
            <w:tcW w:w="6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0C479D"/>
            </w:tcBorders>
          </w:tcPr>
          <w:p>
            <w:pPr>
              <w:jc w:val="right"/>
              <w:ind w:right="15"/>
              <w:spacing w:after="0"/>
              <w:rPr>
                <w:sz w:val="20"/>
                <w:szCs w:val="20"/>
                <w:color w:val="auto"/>
              </w:rPr>
            </w:pPr>
            <w:r>
              <w:rPr>
                <w:rFonts w:ascii="Times New Roman" w:cs="Times New Roman" w:eastAsia="Times New Roman" w:hAnsi="Times New Roman"/>
                <w:sz w:val="18"/>
                <w:szCs w:val="18"/>
                <w:color w:val="auto"/>
              </w:rPr>
              <w:t>(40)</w:t>
            </w:r>
          </w:p>
        </w:tc>
        <w:tc>
          <w:tcPr>
            <w:tcW w:w="6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95"/>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excluding</w:t>
            </w:r>
          </w:p>
        </w:tc>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Identified</w:t>
            </w:r>
          </w:p>
        </w:tc>
        <w:tc>
          <w:tcPr>
            <w:tcW w:w="120" w:type="dxa"/>
            <w:vAlign w:val="bottom"/>
            <w:tcBorders>
              <w:right w:val="single" w:sz="8" w:color="F0F0F0"/>
            </w:tcBorders>
          </w:tcPr>
          <w:p>
            <w:pPr>
              <w:spacing w:after="0"/>
              <w:rPr>
                <w:sz w:val="24"/>
                <w:szCs w:val="24"/>
                <w:color w:val="auto"/>
              </w:rPr>
            </w:pPr>
          </w:p>
        </w:tc>
        <w:tc>
          <w:tcPr>
            <w:tcW w:w="620" w:type="dxa"/>
            <w:vAlign w:val="bottom"/>
            <w:gridSpan w:val="3"/>
            <w:vMerge w:val="restart"/>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1,580</w:t>
            </w:r>
          </w:p>
        </w:tc>
        <w:tc>
          <w:tcPr>
            <w:tcW w:w="60" w:type="dxa"/>
            <w:vAlign w:val="bottom"/>
            <w:shd w:val="clear" w:color="auto" w:fill="F0F0F0"/>
          </w:tcPr>
          <w:p>
            <w:pPr>
              <w:spacing w:after="0"/>
              <w:rPr>
                <w:sz w:val="24"/>
                <w:szCs w:val="24"/>
                <w:color w:val="auto"/>
              </w:rPr>
            </w:pPr>
          </w:p>
        </w:tc>
        <w:tc>
          <w:tcPr>
            <w:tcW w:w="660" w:type="dxa"/>
            <w:vAlign w:val="bottom"/>
            <w:gridSpan w:val="3"/>
            <w:vMerge w:val="restart"/>
            <w:shd w:val="clear" w:color="auto" w:fill="F0F0F0"/>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1,485</w:t>
            </w:r>
          </w:p>
        </w:tc>
        <w:tc>
          <w:tcPr>
            <w:tcW w:w="40" w:type="dxa"/>
            <w:vAlign w:val="bottom"/>
            <w:shd w:val="clear" w:color="auto" w:fill="F0F0F0"/>
          </w:tcPr>
          <w:p>
            <w:pPr>
              <w:spacing w:after="0"/>
              <w:rPr>
                <w:sz w:val="24"/>
                <w:szCs w:val="24"/>
                <w:color w:val="auto"/>
              </w:rPr>
            </w:pPr>
          </w:p>
        </w:tc>
        <w:tc>
          <w:tcPr>
            <w:tcW w:w="40" w:type="dxa"/>
            <w:vAlign w:val="bottom"/>
            <w:shd w:val="clear" w:color="auto" w:fill="F0F0F0"/>
          </w:tcPr>
          <w:p>
            <w:pPr>
              <w:spacing w:after="0"/>
              <w:rPr>
                <w:sz w:val="24"/>
                <w:szCs w:val="24"/>
                <w:color w:val="auto"/>
              </w:rPr>
            </w:pPr>
          </w:p>
        </w:tc>
        <w:tc>
          <w:tcPr>
            <w:tcW w:w="620" w:type="dxa"/>
            <w:vAlign w:val="bottom"/>
            <w:tcBorders>
              <w:right w:val="single" w:sz="8" w:color="F0F0F0"/>
            </w:tcBorders>
            <w:vMerge w:val="restart"/>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3,065</w:t>
            </w:r>
          </w:p>
        </w:tc>
        <w:tc>
          <w:tcPr>
            <w:tcW w:w="80" w:type="dxa"/>
            <w:vAlign w:val="bottom"/>
            <w:tcBorders>
              <w:left w:val="single" w:sz="8" w:color="F0F0F0"/>
            </w:tcBorders>
            <w:shd w:val="clear" w:color="auto" w:fill="F0F0F0"/>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1,524</w:t>
            </w:r>
          </w:p>
        </w:tc>
        <w:tc>
          <w:tcPr>
            <w:tcW w:w="60" w:type="dxa"/>
            <w:vAlign w:val="bottom"/>
          </w:tcPr>
          <w:p>
            <w:pPr>
              <w:spacing w:after="0"/>
              <w:rPr>
                <w:sz w:val="24"/>
                <w:szCs w:val="24"/>
                <w:color w:val="auto"/>
              </w:rPr>
            </w:pPr>
          </w:p>
        </w:tc>
        <w:tc>
          <w:tcPr>
            <w:tcW w:w="720" w:type="dxa"/>
            <w:vAlign w:val="bottom"/>
            <w:vMerge w:val="restart"/>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1,283</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2,807</w:t>
            </w:r>
          </w:p>
        </w:tc>
        <w:tc>
          <w:tcPr>
            <w:tcW w:w="160" w:type="dxa"/>
            <w:vAlign w:val="bottom"/>
          </w:tcPr>
          <w:p>
            <w:pPr>
              <w:spacing w:after="0"/>
              <w:rPr>
                <w:sz w:val="24"/>
                <w:szCs w:val="2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1,190</w:t>
            </w:r>
          </w:p>
        </w:tc>
        <w:tc>
          <w:tcPr>
            <w:tcW w:w="800" w:type="dxa"/>
            <w:vAlign w:val="bottom"/>
            <w:vMerge w:val="restart"/>
          </w:tcPr>
          <w:p>
            <w:pPr>
              <w:jc w:val="right"/>
              <w:ind w:right="55"/>
              <w:spacing w:after="0"/>
              <w:rPr>
                <w:sz w:val="20"/>
                <w:szCs w:val="20"/>
                <w:color w:val="auto"/>
              </w:rPr>
            </w:pPr>
            <w:r>
              <w:rPr>
                <w:rFonts w:ascii="Times New Roman" w:cs="Times New Roman" w:eastAsia="Times New Roman" w:hAnsi="Times New Roman"/>
                <w:sz w:val="18"/>
                <w:szCs w:val="18"/>
                <w:b w:val="1"/>
                <w:bCs w:val="1"/>
                <w:color w:val="auto"/>
              </w:rPr>
              <w:t>1,265</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2,455</w:t>
            </w:r>
          </w:p>
        </w:tc>
        <w:tc>
          <w:tcPr>
            <w:tcW w:w="0" w:type="dxa"/>
            <w:vAlign w:val="bottom"/>
          </w:tcPr>
          <w:p>
            <w:pPr>
              <w:spacing w:after="0"/>
              <w:rPr>
                <w:sz w:val="1"/>
                <w:szCs w:val="1"/>
                <w:color w:val="auto"/>
              </w:rPr>
            </w:pPr>
          </w:p>
        </w:tc>
      </w:tr>
      <w:tr>
        <w:trPr>
          <w:trHeight w:val="103"/>
        </w:trPr>
        <w:tc>
          <w:tcPr>
            <w:tcW w:w="2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Items </w:t>
            </w:r>
            <w:r>
              <w:rPr>
                <w:rFonts w:ascii="Times New Roman" w:cs="Times New Roman" w:eastAsia="Times New Roman" w:hAnsi="Times New Roman"/>
                <w:sz w:val="18"/>
                <w:szCs w:val="18"/>
                <w:color w:val="auto"/>
              </w:rPr>
              <w:t>(Non-GAAP)</w:t>
            </w: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Borders>
              <w:right w:val="single" w:sz="8" w:color="F0F0F0"/>
            </w:tcBorders>
          </w:tcPr>
          <w:p>
            <w:pPr>
              <w:spacing w:after="0"/>
              <w:rPr>
                <w:sz w:val="8"/>
                <w:szCs w:val="8"/>
                <w:color w:val="auto"/>
              </w:rPr>
            </w:pPr>
          </w:p>
        </w:tc>
        <w:tc>
          <w:tcPr>
            <w:tcW w:w="620" w:type="dxa"/>
            <w:vAlign w:val="bottom"/>
            <w:gridSpan w:val="3"/>
            <w:vMerge w:val="continue"/>
            <w:shd w:val="clear" w:color="auto" w:fill="F0F0F0"/>
          </w:tcPr>
          <w:p>
            <w:pPr>
              <w:spacing w:after="0"/>
              <w:rPr>
                <w:sz w:val="8"/>
                <w:szCs w:val="8"/>
                <w:color w:val="auto"/>
              </w:rPr>
            </w:pPr>
          </w:p>
        </w:tc>
        <w:tc>
          <w:tcPr>
            <w:tcW w:w="60" w:type="dxa"/>
            <w:vAlign w:val="bottom"/>
            <w:shd w:val="clear" w:color="auto" w:fill="F0F0F0"/>
          </w:tcPr>
          <w:p>
            <w:pPr>
              <w:spacing w:after="0"/>
              <w:rPr>
                <w:sz w:val="8"/>
                <w:szCs w:val="8"/>
                <w:color w:val="auto"/>
              </w:rPr>
            </w:pPr>
          </w:p>
        </w:tc>
        <w:tc>
          <w:tcPr>
            <w:tcW w:w="660" w:type="dxa"/>
            <w:vAlign w:val="bottom"/>
            <w:gridSpan w:val="3"/>
            <w:vMerge w:val="continue"/>
            <w:shd w:val="clear" w:color="auto" w:fill="F0F0F0"/>
          </w:tcPr>
          <w:p>
            <w:pPr>
              <w:spacing w:after="0"/>
              <w:rPr>
                <w:sz w:val="8"/>
                <w:szCs w:val="8"/>
                <w:color w:val="auto"/>
              </w:rPr>
            </w:pPr>
          </w:p>
        </w:tc>
        <w:tc>
          <w:tcPr>
            <w:tcW w:w="40" w:type="dxa"/>
            <w:vAlign w:val="bottom"/>
            <w:shd w:val="clear" w:color="auto" w:fill="F0F0F0"/>
          </w:tcPr>
          <w:p>
            <w:pPr>
              <w:spacing w:after="0"/>
              <w:rPr>
                <w:sz w:val="8"/>
                <w:szCs w:val="8"/>
                <w:color w:val="auto"/>
              </w:rPr>
            </w:pPr>
          </w:p>
        </w:tc>
        <w:tc>
          <w:tcPr>
            <w:tcW w:w="40" w:type="dxa"/>
            <w:vAlign w:val="bottom"/>
            <w:shd w:val="clear" w:color="auto" w:fill="F0F0F0"/>
          </w:tcPr>
          <w:p>
            <w:pPr>
              <w:spacing w:after="0"/>
              <w:rPr>
                <w:sz w:val="8"/>
                <w:szCs w:val="8"/>
                <w:color w:val="auto"/>
              </w:rPr>
            </w:pPr>
          </w:p>
        </w:tc>
        <w:tc>
          <w:tcPr>
            <w:tcW w:w="620" w:type="dxa"/>
            <w:vAlign w:val="bottom"/>
            <w:tcBorders>
              <w:right w:val="single" w:sz="8" w:color="F0F0F0"/>
            </w:tcBorders>
            <w:vMerge w:val="continue"/>
            <w:shd w:val="clear" w:color="auto" w:fill="F0F0F0"/>
          </w:tcPr>
          <w:p>
            <w:pPr>
              <w:spacing w:after="0"/>
              <w:rPr>
                <w:sz w:val="8"/>
                <w:szCs w:val="8"/>
                <w:color w:val="auto"/>
              </w:rPr>
            </w:pPr>
          </w:p>
        </w:tc>
        <w:tc>
          <w:tcPr>
            <w:tcW w:w="80" w:type="dxa"/>
            <w:vAlign w:val="bottom"/>
            <w:tcBorders>
              <w:left w:val="single" w:sz="8" w:color="F0F0F0"/>
            </w:tcBorders>
            <w:shd w:val="clear" w:color="auto" w:fill="F0F0F0"/>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214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right w:val="single" w:sz="8" w:color="F0F0F0"/>
            </w:tcBorders>
          </w:tcPr>
          <w:p>
            <w:pPr>
              <w:spacing w:after="0"/>
              <w:rPr>
                <w:sz w:val="13"/>
                <w:szCs w:val="13"/>
                <w:color w:val="auto"/>
              </w:rPr>
            </w:pPr>
          </w:p>
        </w:tc>
        <w:tc>
          <w:tcPr>
            <w:tcW w:w="540" w:type="dxa"/>
            <w:vAlign w:val="bottom"/>
            <w:tcBorders>
              <w:bottom w:val="single" w:sz="8" w:color="F0F0F0"/>
            </w:tcBorders>
            <w:shd w:val="clear" w:color="auto" w:fill="F0F0F0"/>
          </w:tcPr>
          <w:p>
            <w:pPr>
              <w:spacing w:after="0"/>
              <w:rPr>
                <w:sz w:val="13"/>
                <w:szCs w:val="13"/>
                <w:color w:val="auto"/>
              </w:rPr>
            </w:pPr>
          </w:p>
        </w:tc>
        <w:tc>
          <w:tcPr>
            <w:tcW w:w="40" w:type="dxa"/>
            <w:vAlign w:val="bottom"/>
            <w:tcBorders>
              <w:bottom w:val="single" w:sz="8" w:color="F0F0F0"/>
            </w:tcBorders>
            <w:shd w:val="clear" w:color="auto" w:fill="F0F0F0"/>
          </w:tcPr>
          <w:p>
            <w:pPr>
              <w:spacing w:after="0"/>
              <w:rPr>
                <w:sz w:val="13"/>
                <w:szCs w:val="13"/>
                <w:color w:val="auto"/>
              </w:rPr>
            </w:pPr>
          </w:p>
        </w:tc>
        <w:tc>
          <w:tcPr>
            <w:tcW w:w="40" w:type="dxa"/>
            <w:vAlign w:val="bottom"/>
            <w:tcBorders>
              <w:bottom w:val="single" w:sz="8" w:color="F0F0F0"/>
            </w:tcBorders>
            <w:shd w:val="clear" w:color="auto" w:fill="F0F0F0"/>
          </w:tcPr>
          <w:p>
            <w:pPr>
              <w:spacing w:after="0"/>
              <w:rPr>
                <w:sz w:val="13"/>
                <w:szCs w:val="13"/>
                <w:color w:val="auto"/>
              </w:rPr>
            </w:pPr>
          </w:p>
        </w:tc>
        <w:tc>
          <w:tcPr>
            <w:tcW w:w="60" w:type="dxa"/>
            <w:vAlign w:val="bottom"/>
            <w:tcBorders>
              <w:bottom w:val="single" w:sz="8" w:color="F0F0F0"/>
            </w:tcBorders>
            <w:shd w:val="clear" w:color="auto" w:fill="F0F0F0"/>
          </w:tcPr>
          <w:p>
            <w:pPr>
              <w:spacing w:after="0"/>
              <w:rPr>
                <w:sz w:val="13"/>
                <w:szCs w:val="13"/>
                <w:color w:val="auto"/>
              </w:rPr>
            </w:pPr>
          </w:p>
        </w:tc>
        <w:tc>
          <w:tcPr>
            <w:tcW w:w="40" w:type="dxa"/>
            <w:vAlign w:val="bottom"/>
            <w:tcBorders>
              <w:bottom w:val="single" w:sz="8" w:color="F0F0F0"/>
            </w:tcBorders>
            <w:shd w:val="clear" w:color="auto" w:fill="F0F0F0"/>
          </w:tcPr>
          <w:p>
            <w:pPr>
              <w:spacing w:after="0"/>
              <w:rPr>
                <w:sz w:val="13"/>
                <w:szCs w:val="13"/>
                <w:color w:val="auto"/>
              </w:rPr>
            </w:pPr>
          </w:p>
        </w:tc>
        <w:tc>
          <w:tcPr>
            <w:tcW w:w="560" w:type="dxa"/>
            <w:vAlign w:val="bottom"/>
            <w:tcBorders>
              <w:bottom w:val="single" w:sz="8" w:color="F0F0F0"/>
            </w:tcBorders>
            <w:shd w:val="clear" w:color="auto" w:fill="F0F0F0"/>
          </w:tcPr>
          <w:p>
            <w:pPr>
              <w:spacing w:after="0"/>
              <w:rPr>
                <w:sz w:val="13"/>
                <w:szCs w:val="13"/>
                <w:color w:val="auto"/>
              </w:rPr>
            </w:pPr>
          </w:p>
        </w:tc>
        <w:tc>
          <w:tcPr>
            <w:tcW w:w="60" w:type="dxa"/>
            <w:vAlign w:val="bottom"/>
            <w:tcBorders>
              <w:bottom w:val="single" w:sz="8" w:color="F0F0F0"/>
            </w:tcBorders>
            <w:shd w:val="clear" w:color="auto" w:fill="F0F0F0"/>
          </w:tcPr>
          <w:p>
            <w:pPr>
              <w:spacing w:after="0"/>
              <w:rPr>
                <w:sz w:val="13"/>
                <w:szCs w:val="13"/>
                <w:color w:val="auto"/>
              </w:rPr>
            </w:pPr>
          </w:p>
        </w:tc>
        <w:tc>
          <w:tcPr>
            <w:tcW w:w="40" w:type="dxa"/>
            <w:vAlign w:val="bottom"/>
            <w:tcBorders>
              <w:bottom w:val="single" w:sz="8" w:color="F0F0F0"/>
            </w:tcBorders>
            <w:shd w:val="clear" w:color="auto" w:fill="F0F0F0"/>
          </w:tcPr>
          <w:p>
            <w:pPr>
              <w:spacing w:after="0"/>
              <w:rPr>
                <w:sz w:val="13"/>
                <w:szCs w:val="13"/>
                <w:color w:val="auto"/>
              </w:rPr>
            </w:pPr>
          </w:p>
        </w:tc>
        <w:tc>
          <w:tcPr>
            <w:tcW w:w="40" w:type="dxa"/>
            <w:vAlign w:val="bottom"/>
            <w:tcBorders>
              <w:bottom w:val="single" w:sz="8" w:color="F0F0F0"/>
            </w:tcBorders>
            <w:shd w:val="clear" w:color="auto" w:fill="F0F0F0"/>
          </w:tcPr>
          <w:p>
            <w:pPr>
              <w:spacing w:after="0"/>
              <w:rPr>
                <w:sz w:val="13"/>
                <w:szCs w:val="13"/>
                <w:color w:val="auto"/>
              </w:rPr>
            </w:pPr>
          </w:p>
        </w:tc>
        <w:tc>
          <w:tcPr>
            <w:tcW w:w="620" w:type="dxa"/>
            <w:vAlign w:val="bottom"/>
            <w:tcBorders>
              <w:bottom w:val="single" w:sz="8" w:color="F0F0F0"/>
              <w:right w:val="single" w:sz="8" w:color="F0F0F0"/>
            </w:tcBorders>
            <w:shd w:val="clear" w:color="auto" w:fill="F0F0F0"/>
          </w:tcPr>
          <w:p>
            <w:pPr>
              <w:spacing w:after="0"/>
              <w:rPr>
                <w:sz w:val="13"/>
                <w:szCs w:val="13"/>
                <w:color w:val="auto"/>
              </w:rPr>
            </w:pPr>
          </w:p>
        </w:tc>
        <w:tc>
          <w:tcPr>
            <w:tcW w:w="80" w:type="dxa"/>
            <w:vAlign w:val="bottom"/>
            <w:tcBorders>
              <w:left w:val="single" w:sz="8" w:color="F0F0F0"/>
              <w:bottom w:val="single" w:sz="8" w:color="F0F0F0"/>
            </w:tcBorders>
            <w:shd w:val="clear" w:color="auto" w:fill="F0F0F0"/>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140" w:type="dxa"/>
            <w:vAlign w:val="bottom"/>
            <w:shd w:val="clear" w:color="auto" w:fill="0C479D"/>
          </w:tcPr>
          <w:p>
            <w:pPr>
              <w:spacing w:after="0"/>
              <w:rPr>
                <w:sz w:val="2"/>
                <w:szCs w:val="2"/>
                <w:color w:val="auto"/>
              </w:rPr>
            </w:pPr>
          </w:p>
        </w:tc>
        <w:tc>
          <w:tcPr>
            <w:tcW w:w="680" w:type="dxa"/>
            <w:vAlign w:val="bottom"/>
            <w:shd w:val="clear" w:color="auto" w:fill="0C479D"/>
          </w:tcPr>
          <w:p>
            <w:pPr>
              <w:spacing w:after="0"/>
              <w:rPr>
                <w:sz w:val="2"/>
                <w:szCs w:val="2"/>
                <w:color w:val="auto"/>
              </w:rPr>
            </w:pPr>
          </w:p>
        </w:tc>
        <w:tc>
          <w:tcPr>
            <w:tcW w:w="80" w:type="dxa"/>
            <w:vAlign w:val="bottom"/>
            <w:shd w:val="clear" w:color="auto" w:fill="0C479D"/>
          </w:tcPr>
          <w:p>
            <w:pPr>
              <w:spacing w:after="0"/>
              <w:rPr>
                <w:sz w:val="2"/>
                <w:szCs w:val="2"/>
                <w:color w:val="auto"/>
              </w:rPr>
            </w:pPr>
          </w:p>
        </w:tc>
        <w:tc>
          <w:tcPr>
            <w:tcW w:w="40" w:type="dxa"/>
            <w:vAlign w:val="bottom"/>
            <w:tcBorders>
              <w:left w:val="single" w:sz="8" w:color="0C479D"/>
            </w:tcBorders>
            <w:shd w:val="clear" w:color="auto" w:fill="0C479D"/>
          </w:tcPr>
          <w:p>
            <w:pPr>
              <w:spacing w:after="0"/>
              <w:rPr>
                <w:sz w:val="2"/>
                <w:szCs w:val="2"/>
                <w:color w:val="auto"/>
              </w:rPr>
            </w:pPr>
          </w:p>
        </w:tc>
        <w:tc>
          <w:tcPr>
            <w:tcW w:w="120" w:type="dxa"/>
            <w:vAlign w:val="bottom"/>
            <w:tcBorders>
              <w:right w:val="single" w:sz="8" w:color="0C479D"/>
            </w:tcBorders>
            <w:shd w:val="clear" w:color="auto" w:fill="0C479D"/>
          </w:tcPr>
          <w:p>
            <w:pPr>
              <w:spacing w:after="0"/>
              <w:rPr>
                <w:sz w:val="2"/>
                <w:szCs w:val="2"/>
                <w:color w:val="auto"/>
              </w:rPr>
            </w:pPr>
          </w:p>
        </w:tc>
        <w:tc>
          <w:tcPr>
            <w:tcW w:w="540" w:type="dxa"/>
            <w:vAlign w:val="bottom"/>
            <w:shd w:val="clear" w:color="auto" w:fill="0C479D"/>
          </w:tcPr>
          <w:p>
            <w:pPr>
              <w:spacing w:after="0"/>
              <w:rPr>
                <w:sz w:val="2"/>
                <w:szCs w:val="2"/>
                <w:color w:val="auto"/>
              </w:rPr>
            </w:pPr>
          </w:p>
        </w:tc>
        <w:tc>
          <w:tcPr>
            <w:tcW w:w="40" w:type="dxa"/>
            <w:vAlign w:val="bottom"/>
            <w:shd w:val="clear" w:color="auto" w:fill="0C479D"/>
          </w:tcPr>
          <w:p>
            <w:pPr>
              <w:spacing w:after="0"/>
              <w:rPr>
                <w:sz w:val="2"/>
                <w:szCs w:val="2"/>
                <w:color w:val="auto"/>
              </w:rPr>
            </w:pPr>
          </w:p>
        </w:tc>
        <w:tc>
          <w:tcPr>
            <w:tcW w:w="40" w:type="dxa"/>
            <w:vAlign w:val="bottom"/>
            <w:shd w:val="clear" w:color="auto" w:fill="0C479D"/>
          </w:tcPr>
          <w:p>
            <w:pPr>
              <w:spacing w:after="0"/>
              <w:rPr>
                <w:sz w:val="2"/>
                <w:szCs w:val="2"/>
                <w:color w:val="auto"/>
              </w:rPr>
            </w:pPr>
          </w:p>
        </w:tc>
        <w:tc>
          <w:tcPr>
            <w:tcW w:w="60" w:type="dxa"/>
            <w:vAlign w:val="bottom"/>
            <w:shd w:val="clear" w:color="auto" w:fill="0C479D"/>
          </w:tcPr>
          <w:p>
            <w:pPr>
              <w:spacing w:after="0"/>
              <w:rPr>
                <w:sz w:val="2"/>
                <w:szCs w:val="2"/>
                <w:color w:val="auto"/>
              </w:rPr>
            </w:pPr>
          </w:p>
        </w:tc>
        <w:tc>
          <w:tcPr>
            <w:tcW w:w="40" w:type="dxa"/>
            <w:vAlign w:val="bottom"/>
            <w:shd w:val="clear" w:color="auto" w:fill="0C479D"/>
          </w:tcPr>
          <w:p>
            <w:pPr>
              <w:spacing w:after="0"/>
              <w:rPr>
                <w:sz w:val="2"/>
                <w:szCs w:val="2"/>
                <w:color w:val="auto"/>
              </w:rPr>
            </w:pPr>
          </w:p>
        </w:tc>
        <w:tc>
          <w:tcPr>
            <w:tcW w:w="560" w:type="dxa"/>
            <w:vAlign w:val="bottom"/>
            <w:shd w:val="clear" w:color="auto" w:fill="0C479D"/>
          </w:tcPr>
          <w:p>
            <w:pPr>
              <w:spacing w:after="0"/>
              <w:rPr>
                <w:sz w:val="2"/>
                <w:szCs w:val="2"/>
                <w:color w:val="auto"/>
              </w:rPr>
            </w:pPr>
          </w:p>
        </w:tc>
        <w:tc>
          <w:tcPr>
            <w:tcW w:w="60" w:type="dxa"/>
            <w:vAlign w:val="bottom"/>
            <w:shd w:val="clear" w:color="auto" w:fill="0C479D"/>
          </w:tcPr>
          <w:p>
            <w:pPr>
              <w:spacing w:after="0"/>
              <w:rPr>
                <w:sz w:val="2"/>
                <w:szCs w:val="2"/>
                <w:color w:val="auto"/>
              </w:rPr>
            </w:pPr>
          </w:p>
        </w:tc>
        <w:tc>
          <w:tcPr>
            <w:tcW w:w="40" w:type="dxa"/>
            <w:vAlign w:val="bottom"/>
            <w:shd w:val="clear" w:color="auto" w:fill="0C479D"/>
          </w:tcPr>
          <w:p>
            <w:pPr>
              <w:spacing w:after="0"/>
              <w:rPr>
                <w:sz w:val="2"/>
                <w:szCs w:val="2"/>
                <w:color w:val="auto"/>
              </w:rPr>
            </w:pPr>
          </w:p>
        </w:tc>
        <w:tc>
          <w:tcPr>
            <w:tcW w:w="40" w:type="dxa"/>
            <w:vAlign w:val="bottom"/>
            <w:shd w:val="clear" w:color="auto" w:fill="0C479D"/>
          </w:tcPr>
          <w:p>
            <w:pPr>
              <w:spacing w:after="0"/>
              <w:rPr>
                <w:sz w:val="2"/>
                <w:szCs w:val="2"/>
                <w:color w:val="auto"/>
              </w:rPr>
            </w:pPr>
          </w:p>
        </w:tc>
        <w:tc>
          <w:tcPr>
            <w:tcW w:w="620" w:type="dxa"/>
            <w:vAlign w:val="bottom"/>
            <w:tcBorders>
              <w:right w:val="single" w:sz="8" w:color="0C479D"/>
            </w:tcBorders>
            <w:shd w:val="clear" w:color="auto" w:fill="0C479D"/>
          </w:tcPr>
          <w:p>
            <w:pPr>
              <w:spacing w:after="0"/>
              <w:rPr>
                <w:sz w:val="2"/>
                <w:szCs w:val="2"/>
                <w:color w:val="auto"/>
              </w:rPr>
            </w:pPr>
          </w:p>
        </w:tc>
        <w:tc>
          <w:tcPr>
            <w:tcW w:w="80" w:type="dxa"/>
            <w:vAlign w:val="bottom"/>
            <w:tcBorders>
              <w:left w:val="single" w:sz="8" w:color="0C479D"/>
            </w:tcBorders>
            <w:shd w:val="clear" w:color="auto" w:fill="0C479D"/>
          </w:tcPr>
          <w:p>
            <w:pPr>
              <w:spacing w:after="0"/>
              <w:rPr>
                <w:sz w:val="2"/>
                <w:szCs w:val="2"/>
                <w:color w:val="auto"/>
              </w:rPr>
            </w:pPr>
          </w:p>
        </w:tc>
        <w:tc>
          <w:tcPr>
            <w:tcW w:w="140" w:type="dxa"/>
            <w:vAlign w:val="bottom"/>
            <w:tcBorders>
              <w:left w:val="single" w:sz="8" w:color="0C479D"/>
              <w:right w:val="single" w:sz="8" w:color="0C479D"/>
            </w:tcBorders>
            <w:shd w:val="clear" w:color="auto" w:fill="0C479D"/>
          </w:tcPr>
          <w:p>
            <w:pPr>
              <w:spacing w:after="0"/>
              <w:rPr>
                <w:sz w:val="2"/>
                <w:szCs w:val="2"/>
                <w:color w:val="auto"/>
              </w:rPr>
            </w:pPr>
          </w:p>
        </w:tc>
        <w:tc>
          <w:tcPr>
            <w:tcW w:w="660" w:type="dxa"/>
            <w:vAlign w:val="bottom"/>
            <w:shd w:val="clear" w:color="auto" w:fill="0C479D"/>
          </w:tcPr>
          <w:p>
            <w:pPr>
              <w:spacing w:after="0"/>
              <w:rPr>
                <w:sz w:val="2"/>
                <w:szCs w:val="2"/>
                <w:color w:val="auto"/>
              </w:rPr>
            </w:pPr>
          </w:p>
        </w:tc>
        <w:tc>
          <w:tcPr>
            <w:tcW w:w="60" w:type="dxa"/>
            <w:vAlign w:val="bottom"/>
            <w:shd w:val="clear" w:color="auto" w:fill="0C479D"/>
          </w:tcPr>
          <w:p>
            <w:pPr>
              <w:spacing w:after="0"/>
              <w:rPr>
                <w:sz w:val="2"/>
                <w:szCs w:val="2"/>
                <w:color w:val="auto"/>
              </w:rPr>
            </w:pPr>
          </w:p>
        </w:tc>
        <w:tc>
          <w:tcPr>
            <w:tcW w:w="720" w:type="dxa"/>
            <w:vAlign w:val="bottom"/>
            <w:shd w:val="clear" w:color="auto" w:fill="0C479D"/>
          </w:tcPr>
          <w:p>
            <w:pPr>
              <w:spacing w:after="0"/>
              <w:rPr>
                <w:sz w:val="2"/>
                <w:szCs w:val="2"/>
                <w:color w:val="auto"/>
              </w:rPr>
            </w:pPr>
          </w:p>
        </w:tc>
        <w:tc>
          <w:tcPr>
            <w:tcW w:w="660" w:type="dxa"/>
            <w:vAlign w:val="bottom"/>
            <w:shd w:val="clear" w:color="auto" w:fill="0C479D"/>
          </w:tcPr>
          <w:p>
            <w:pPr>
              <w:spacing w:after="0"/>
              <w:rPr>
                <w:sz w:val="2"/>
                <w:szCs w:val="2"/>
                <w:color w:val="auto"/>
              </w:rPr>
            </w:pPr>
          </w:p>
        </w:tc>
        <w:tc>
          <w:tcPr>
            <w:tcW w:w="160" w:type="dxa"/>
            <w:vAlign w:val="bottom"/>
            <w:tcBorders>
              <w:left w:val="single" w:sz="8" w:color="0C479D"/>
              <w:right w:val="single" w:sz="8" w:color="0C479D"/>
            </w:tcBorders>
            <w:shd w:val="clear" w:color="auto" w:fill="0C479D"/>
          </w:tcPr>
          <w:p>
            <w:pPr>
              <w:spacing w:after="0"/>
              <w:rPr>
                <w:sz w:val="2"/>
                <w:szCs w:val="2"/>
                <w:color w:val="auto"/>
              </w:rPr>
            </w:pPr>
          </w:p>
        </w:tc>
        <w:tc>
          <w:tcPr>
            <w:tcW w:w="680" w:type="dxa"/>
            <w:vAlign w:val="bottom"/>
            <w:shd w:val="clear" w:color="auto" w:fill="0C479D"/>
          </w:tcPr>
          <w:p>
            <w:pPr>
              <w:spacing w:after="0"/>
              <w:rPr>
                <w:sz w:val="2"/>
                <w:szCs w:val="2"/>
                <w:color w:val="auto"/>
              </w:rPr>
            </w:pPr>
          </w:p>
        </w:tc>
        <w:tc>
          <w:tcPr>
            <w:tcW w:w="800" w:type="dxa"/>
            <w:vAlign w:val="bottom"/>
            <w:shd w:val="clear" w:color="auto" w:fill="0C479D"/>
          </w:tcPr>
          <w:p>
            <w:pPr>
              <w:spacing w:after="0"/>
              <w:rPr>
                <w:sz w:val="2"/>
                <w:szCs w:val="2"/>
                <w:color w:val="auto"/>
              </w:rPr>
            </w:pPr>
          </w:p>
        </w:tc>
        <w:tc>
          <w:tcPr>
            <w:tcW w:w="660" w:type="dxa"/>
            <w:vAlign w:val="bottom"/>
            <w:shd w:val="clear" w:color="auto" w:fill="0C479D"/>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70" w:right="339" w:bottom="1440" w:gutter="0" w:footer="0" w:header="0"/>
        </w:sect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22"/>
          <w:szCs w:val="22"/>
          <w:b w:val="1"/>
          <w:bCs w:val="1"/>
          <w:color w:val="0C479D"/>
        </w:rPr>
        <w:t>FREQUENTLY USED TERMS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760" w:type="dxa"/>
        <w:tblCellMar>
          <w:top w:w="0" w:type="dxa"/>
          <w:left w:w="0" w:type="dxa"/>
          <w:bottom w:w="0" w:type="dxa"/>
          <w:right w:w="0" w:type="dxa"/>
        </w:tblCellMar>
      </w:tblPr>
      <w:tr>
        <w:trPr>
          <w:trHeight w:val="216"/>
        </w:trPr>
        <w:tc>
          <w:tcPr>
            <w:tcW w:w="5520" w:type="dxa"/>
            <w:vAlign w:val="bottom"/>
            <w:shd w:val="clear" w:color="auto" w:fill="0C479D"/>
          </w:tcPr>
          <w:p>
            <w:pPr>
              <w:ind w:left="20"/>
              <w:spacing w:after="0"/>
              <w:rPr>
                <w:sz w:val="20"/>
                <w:szCs w:val="20"/>
                <w:color w:val="auto"/>
              </w:rPr>
            </w:pPr>
            <w:r>
              <w:rPr>
                <w:rFonts w:ascii="Times New Roman" w:cs="Times New Roman" w:eastAsia="Times New Roman" w:hAnsi="Times New Roman"/>
                <w:sz w:val="18"/>
                <w:szCs w:val="18"/>
                <w:b w:val="1"/>
                <w:bCs w:val="1"/>
                <w:color w:val="FFFFFF"/>
              </w:rPr>
              <w:t>Corporate and Financing</w:t>
            </w:r>
          </w:p>
        </w:tc>
        <w:tc>
          <w:tcPr>
            <w:tcW w:w="120" w:type="dxa"/>
            <w:vAlign w:val="bottom"/>
          </w:tcPr>
          <w:p>
            <w:pPr>
              <w:spacing w:after="0"/>
              <w:rPr>
                <w:sz w:val="18"/>
                <w:szCs w:val="18"/>
                <w:color w:val="auto"/>
              </w:rPr>
            </w:pPr>
          </w:p>
        </w:tc>
        <w:tc>
          <w:tcPr>
            <w:tcW w:w="1280" w:type="dxa"/>
            <w:vAlign w:val="bottom"/>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120" w:type="dxa"/>
            <w:vAlign w:val="bottom"/>
          </w:tcPr>
          <w:p>
            <w:pPr>
              <w:spacing w:after="0"/>
              <w:rPr>
                <w:sz w:val="18"/>
                <w:szCs w:val="18"/>
                <w:color w:val="auto"/>
              </w:rPr>
            </w:pPr>
          </w:p>
        </w:tc>
        <w:tc>
          <w:tcPr>
            <w:tcW w:w="1280" w:type="dxa"/>
            <w:vAlign w:val="bottom"/>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120" w:type="dxa"/>
            <w:vAlign w:val="bottom"/>
          </w:tcPr>
          <w:p>
            <w:pPr>
              <w:spacing w:after="0"/>
              <w:rPr>
                <w:sz w:val="18"/>
                <w:szCs w:val="18"/>
                <w:color w:val="auto"/>
              </w:rPr>
            </w:pPr>
          </w:p>
        </w:tc>
        <w:tc>
          <w:tcPr>
            <w:tcW w:w="1280" w:type="dxa"/>
            <w:vAlign w:val="bottom"/>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2022</w:t>
            </w:r>
          </w:p>
        </w:tc>
      </w:tr>
      <w:tr>
        <w:trPr>
          <w:trHeight w:val="162"/>
        </w:trPr>
        <w:tc>
          <w:tcPr>
            <w:tcW w:w="5520" w:type="dxa"/>
            <w:vAlign w:val="bottom"/>
            <w:shd w:val="clear" w:color="auto" w:fill="0C479D"/>
          </w:tcPr>
          <w:p>
            <w:pPr>
              <w:ind w:left="20"/>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120" w:type="dxa"/>
            <w:vAlign w:val="bottom"/>
          </w:tcPr>
          <w:p>
            <w:pPr>
              <w:spacing w:after="0"/>
              <w:rPr>
                <w:sz w:val="14"/>
                <w:szCs w:val="14"/>
                <w:color w:val="auto"/>
              </w:rPr>
            </w:pPr>
          </w:p>
        </w:tc>
        <w:tc>
          <w:tcPr>
            <w:tcW w:w="1280" w:type="dxa"/>
            <w:vAlign w:val="bottom"/>
            <w:shd w:val="clear" w:color="auto" w:fill="0C479D"/>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shd w:val="clear" w:color="auto" w:fill="0C479D"/>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shd w:val="clear" w:color="auto" w:fill="0C479D"/>
          </w:tcPr>
          <w:p>
            <w:pPr>
              <w:spacing w:after="0"/>
              <w:rPr>
                <w:sz w:val="14"/>
                <w:szCs w:val="14"/>
                <w:color w:val="auto"/>
              </w:rPr>
            </w:pPr>
          </w:p>
        </w:tc>
      </w:tr>
      <w:tr>
        <w:trPr>
          <w:trHeight w:val="27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(U.S. GAAP)</w:t>
            </w:r>
          </w:p>
        </w:tc>
        <w:tc>
          <w:tcPr>
            <w:tcW w:w="120" w:type="dxa"/>
            <w:vAlign w:val="bottom"/>
          </w:tcPr>
          <w:p>
            <w:pPr>
              <w:spacing w:after="0"/>
              <w:rPr>
                <w:sz w:val="23"/>
                <w:szCs w:val="23"/>
                <w:color w:val="auto"/>
              </w:rPr>
            </w:pPr>
          </w:p>
        </w:tc>
        <w:tc>
          <w:tcPr>
            <w:tcW w:w="12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(1,663)</w:t>
            </w:r>
          </w:p>
        </w:tc>
      </w:tr>
      <w:tr>
        <w:trPr>
          <w:trHeight w:val="270"/>
        </w:trPr>
        <w:tc>
          <w:tcPr>
            <w:tcW w:w="5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Impairments</w:t>
            </w:r>
          </w:p>
        </w:tc>
        <w:tc>
          <w:tcPr>
            <w:tcW w:w="120" w:type="dxa"/>
            <w:vAlign w:val="bottom"/>
          </w:tcPr>
          <w:p>
            <w:pPr>
              <w:spacing w:after="0"/>
              <w:rPr>
                <w:sz w:val="23"/>
                <w:szCs w:val="23"/>
                <w:color w:val="auto"/>
              </w:rPr>
            </w:pPr>
          </w:p>
        </w:tc>
        <w:tc>
          <w:tcPr>
            <w:tcW w:w="12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70"/>
        </w:trPr>
        <w:tc>
          <w:tcPr>
            <w:tcW w:w="5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Gain/(loss) on sale of assets</w:t>
            </w:r>
          </w:p>
        </w:tc>
        <w:tc>
          <w:tcPr>
            <w:tcW w:w="120" w:type="dxa"/>
            <w:vAlign w:val="bottom"/>
          </w:tcPr>
          <w:p>
            <w:pPr>
              <w:spacing w:after="0"/>
              <w:rPr>
                <w:sz w:val="23"/>
                <w:szCs w:val="23"/>
                <w:color w:val="auto"/>
              </w:rPr>
            </w:pPr>
          </w:p>
        </w:tc>
        <w:tc>
          <w:tcPr>
            <w:tcW w:w="12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2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Tax-related items</w:t>
            </w:r>
          </w:p>
        </w:tc>
        <w:tc>
          <w:tcPr>
            <w:tcW w:w="120" w:type="dxa"/>
            <w:vAlign w:val="bottom"/>
          </w:tcPr>
          <w:p>
            <w:pPr>
              <w:spacing w:after="0"/>
              <w:rPr>
                <w:sz w:val="23"/>
                <w:szCs w:val="23"/>
                <w:color w:val="auto"/>
              </w:rPr>
            </w:pPr>
          </w:p>
        </w:tc>
        <w:tc>
          <w:tcPr>
            <w:tcW w:w="12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324</w:t>
            </w:r>
          </w:p>
        </w:tc>
      </w:tr>
      <w:tr>
        <w:trPr>
          <w:trHeight w:val="270"/>
        </w:trPr>
        <w:tc>
          <w:tcPr>
            <w:tcW w:w="5520" w:type="dxa"/>
            <w:vAlign w:val="bottom"/>
            <w:tcBorders>
              <w:bottom w:val="single" w:sz="8" w:color="0C479D"/>
            </w:tcBorders>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0C479D"/>
            </w:tcBorders>
          </w:tcPr>
          <w:p>
            <w:pPr>
              <w:spacing w:after="0"/>
              <w:rPr>
                <w:sz w:val="23"/>
                <w:szCs w:val="23"/>
                <w:color w:val="auto"/>
              </w:rPr>
            </w:pPr>
          </w:p>
        </w:tc>
        <w:tc>
          <w:tcPr>
            <w:tcW w:w="128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0C479D"/>
            </w:tcBorders>
          </w:tcPr>
          <w:p>
            <w:pPr>
              <w:spacing w:after="0"/>
              <w:rPr>
                <w:sz w:val="23"/>
                <w:szCs w:val="23"/>
                <w:color w:val="auto"/>
              </w:rPr>
            </w:pPr>
          </w:p>
        </w:tc>
        <w:tc>
          <w:tcPr>
            <w:tcW w:w="12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0C479D"/>
            </w:tcBorders>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76</w:t>
            </w:r>
          </w:p>
        </w:tc>
      </w:tr>
      <w:tr>
        <w:trPr>
          <w:trHeight w:val="250"/>
        </w:trPr>
        <w:tc>
          <w:tcPr>
            <w:tcW w:w="552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Identified Items</w:t>
            </w:r>
          </w:p>
        </w:tc>
        <w:tc>
          <w:tcPr>
            <w:tcW w:w="120" w:type="dxa"/>
            <w:vAlign w:val="bottom"/>
            <w:tcBorders>
              <w:bottom w:val="single" w:sz="8" w:color="0C479D"/>
            </w:tcBorders>
          </w:tcPr>
          <w:p>
            <w:pPr>
              <w:spacing w:after="0"/>
              <w:rPr>
                <w:sz w:val="21"/>
                <w:szCs w:val="21"/>
                <w:color w:val="auto"/>
              </w:rPr>
            </w:pPr>
          </w:p>
        </w:tc>
        <w:tc>
          <w:tcPr>
            <w:tcW w:w="128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0" w:type="dxa"/>
            <w:vAlign w:val="bottom"/>
            <w:tcBorders>
              <w:bottom w:val="single" w:sz="8" w:color="0C479D"/>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400" w:type="dxa"/>
            <w:vAlign w:val="bottom"/>
            <w:tcBorders>
              <w:bottom w:val="single" w:sz="8" w:color="0C479D"/>
            </w:tcBorders>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302</w:t>
            </w:r>
          </w:p>
        </w:tc>
      </w:tr>
      <w:tr>
        <w:trPr>
          <w:trHeight w:val="365"/>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Earnings (loss) excluding Identified Items </w:t>
            </w:r>
            <w:r>
              <w:rPr>
                <w:rFonts w:ascii="Times New Roman" w:cs="Times New Roman" w:eastAsia="Times New Roman" w:hAnsi="Times New Roman"/>
                <w:sz w:val="18"/>
                <w:szCs w:val="18"/>
                <w:color w:val="auto"/>
              </w:rPr>
              <w:t>(Non-GAAP)</w:t>
            </w:r>
          </w:p>
        </w:tc>
        <w:tc>
          <w:tcPr>
            <w:tcW w:w="120" w:type="dxa"/>
            <w:vAlign w:val="bottom"/>
          </w:tcPr>
          <w:p>
            <w:pPr>
              <w:spacing w:after="0"/>
              <w:rPr>
                <w:sz w:val="24"/>
                <w:szCs w:val="24"/>
                <w:color w:val="auto"/>
              </w:rPr>
            </w:pPr>
          </w:p>
        </w:tc>
        <w:tc>
          <w:tcPr>
            <w:tcW w:w="128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(1,402)</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(1,867)</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(1,965)</w:t>
            </w:r>
          </w:p>
        </w:tc>
      </w:tr>
      <w:tr>
        <w:trPr>
          <w:trHeight w:val="459"/>
        </w:trPr>
        <w:tc>
          <w:tcPr>
            <w:tcW w:w="5520" w:type="dxa"/>
            <w:vAlign w:val="bottom"/>
            <w:tcBorders>
              <w:top w:val="single" w:sz="8" w:color="0C479D"/>
            </w:tcBorders>
          </w:tcPr>
          <w:p>
            <w:pPr>
              <w:spacing w:after="0"/>
              <w:rPr>
                <w:sz w:val="24"/>
                <w:szCs w:val="24"/>
                <w:color w:val="auto"/>
              </w:rPr>
            </w:pPr>
          </w:p>
        </w:tc>
        <w:tc>
          <w:tcPr>
            <w:tcW w:w="1400" w:type="dxa"/>
            <w:vAlign w:val="bottom"/>
            <w:tcBorders>
              <w:top w:val="single" w:sz="8" w:color="0C479D"/>
            </w:tcBorders>
            <w:gridSpan w:val="2"/>
          </w:tcPr>
          <w:p>
            <w:pPr>
              <w:spacing w:after="0"/>
              <w:rPr>
                <w:sz w:val="24"/>
                <w:szCs w:val="24"/>
                <w:color w:val="auto"/>
              </w:rPr>
            </w:pPr>
          </w:p>
        </w:tc>
        <w:tc>
          <w:tcPr>
            <w:tcW w:w="1400" w:type="dxa"/>
            <w:vAlign w:val="bottom"/>
            <w:tcBorders>
              <w:top w:val="single" w:sz="8" w:color="0C479D"/>
            </w:tcBorders>
            <w:gridSpan w:val="2"/>
          </w:tcPr>
          <w:p>
            <w:pPr>
              <w:spacing w:after="0"/>
              <w:rPr>
                <w:sz w:val="24"/>
                <w:szCs w:val="24"/>
                <w:color w:val="auto"/>
              </w:rPr>
            </w:pPr>
          </w:p>
        </w:tc>
        <w:tc>
          <w:tcPr>
            <w:tcW w:w="1400" w:type="dxa"/>
            <w:vAlign w:val="bottom"/>
            <w:tcBorders>
              <w:top w:val="single" w:sz="8" w:color="0C479D"/>
            </w:tcBorders>
            <w:gridSpan w:val="2"/>
          </w:tcPr>
          <w:p>
            <w:pPr>
              <w:spacing w:after="0"/>
              <w:rPr>
                <w:sz w:val="24"/>
                <w:szCs w:val="24"/>
                <w:color w:val="auto"/>
              </w:rPr>
            </w:pPr>
          </w:p>
        </w:tc>
      </w:tr>
      <w:tr>
        <w:trPr>
          <w:trHeight w:val="182"/>
        </w:trPr>
        <w:tc>
          <w:tcPr>
            <w:tcW w:w="5520" w:type="dxa"/>
            <w:vAlign w:val="bottom"/>
            <w:shd w:val="clear" w:color="auto" w:fill="0C479D"/>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FFFFFF"/>
              </w:rPr>
              <w:t>Corporate Total</w:t>
            </w:r>
          </w:p>
        </w:tc>
        <w:tc>
          <w:tcPr>
            <w:tcW w:w="120" w:type="dxa"/>
            <w:vAlign w:val="bottom"/>
          </w:tcPr>
          <w:p>
            <w:pPr>
              <w:spacing w:after="0"/>
              <w:rPr>
                <w:sz w:val="15"/>
                <w:szCs w:val="15"/>
                <w:color w:val="auto"/>
              </w:rPr>
            </w:pPr>
          </w:p>
        </w:tc>
        <w:tc>
          <w:tcPr>
            <w:tcW w:w="1280" w:type="dxa"/>
            <w:vAlign w:val="bottom"/>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120" w:type="dxa"/>
            <w:vAlign w:val="bottom"/>
          </w:tcPr>
          <w:p>
            <w:pPr>
              <w:spacing w:after="0"/>
              <w:rPr>
                <w:sz w:val="15"/>
                <w:szCs w:val="15"/>
                <w:color w:val="auto"/>
              </w:rPr>
            </w:pPr>
          </w:p>
        </w:tc>
        <w:tc>
          <w:tcPr>
            <w:tcW w:w="1280" w:type="dxa"/>
            <w:vAlign w:val="bottom"/>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120" w:type="dxa"/>
            <w:vAlign w:val="bottom"/>
          </w:tcPr>
          <w:p>
            <w:pPr>
              <w:spacing w:after="0"/>
              <w:rPr>
                <w:sz w:val="15"/>
                <w:szCs w:val="15"/>
                <w:color w:val="auto"/>
              </w:rPr>
            </w:pPr>
          </w:p>
        </w:tc>
        <w:tc>
          <w:tcPr>
            <w:tcW w:w="1280" w:type="dxa"/>
            <w:vAlign w:val="bottom"/>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2022</w:t>
            </w:r>
          </w:p>
        </w:tc>
      </w:tr>
      <w:tr>
        <w:trPr>
          <w:trHeight w:val="196"/>
        </w:trPr>
        <w:tc>
          <w:tcPr>
            <w:tcW w:w="5520" w:type="dxa"/>
            <w:vAlign w:val="bottom"/>
            <w:shd w:val="clear" w:color="auto" w:fill="0C479D"/>
          </w:tcPr>
          <w:p>
            <w:pPr>
              <w:ind w:left="20"/>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120" w:type="dxa"/>
            <w:vAlign w:val="bottom"/>
          </w:tcPr>
          <w:p>
            <w:pPr>
              <w:spacing w:after="0"/>
              <w:rPr>
                <w:sz w:val="17"/>
                <w:szCs w:val="17"/>
                <w:color w:val="auto"/>
              </w:rPr>
            </w:pPr>
          </w:p>
        </w:tc>
        <w:tc>
          <w:tcPr>
            <w:tcW w:w="1280" w:type="dxa"/>
            <w:vAlign w:val="bottom"/>
            <w:shd w:val="clear" w:color="auto" w:fill="0C479D"/>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shd w:val="clear" w:color="auto" w:fill="0C479D"/>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shd w:val="clear" w:color="auto" w:fill="0C479D"/>
          </w:tcPr>
          <w:p>
            <w:pPr>
              <w:spacing w:after="0"/>
              <w:rPr>
                <w:sz w:val="17"/>
                <w:szCs w:val="17"/>
                <w:color w:val="auto"/>
              </w:rPr>
            </w:pPr>
          </w:p>
        </w:tc>
      </w:tr>
      <w:tr>
        <w:trPr>
          <w:trHeight w:val="27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ExxonMobil (U.S. GAAP)</w:t>
            </w:r>
          </w:p>
        </w:tc>
        <w:tc>
          <w:tcPr>
            <w:tcW w:w="120" w:type="dxa"/>
            <w:vAlign w:val="bottom"/>
          </w:tcPr>
          <w:p>
            <w:pPr>
              <w:spacing w:after="0"/>
              <w:rPr>
                <w:sz w:val="23"/>
                <w:szCs w:val="23"/>
                <w:color w:val="auto"/>
              </w:rPr>
            </w:pPr>
          </w:p>
        </w:tc>
        <w:tc>
          <w:tcPr>
            <w:tcW w:w="12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33,680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36,010</w:t>
            </w:r>
          </w:p>
        </w:tc>
        <w:tc>
          <w:tcPr>
            <w:tcW w:w="14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55,740</w:t>
            </w:r>
          </w:p>
        </w:tc>
      </w:tr>
      <w:tr>
        <w:trPr>
          <w:trHeight w:val="270"/>
        </w:trPr>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Impairments</w:t>
            </w:r>
          </w:p>
        </w:tc>
        <w:tc>
          <w:tcPr>
            <w:tcW w:w="120" w:type="dxa"/>
            <w:vAlign w:val="bottom"/>
          </w:tcPr>
          <w:p>
            <w:pPr>
              <w:spacing w:after="0"/>
              <w:rPr>
                <w:sz w:val="23"/>
                <w:szCs w:val="23"/>
                <w:color w:val="auto"/>
              </w:rPr>
            </w:pPr>
          </w:p>
        </w:tc>
        <w:tc>
          <w:tcPr>
            <w:tcW w:w="12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(4,202)</w:t>
            </w:r>
          </w:p>
        </w:tc>
      </w:tr>
      <w:tr>
        <w:trPr>
          <w:trHeight w:val="270"/>
        </w:trPr>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Gain/(loss) on sale of assets</w:t>
            </w:r>
          </w:p>
        </w:tc>
        <w:tc>
          <w:tcPr>
            <w:tcW w:w="120" w:type="dxa"/>
            <w:vAlign w:val="bottom"/>
          </w:tcPr>
          <w:p>
            <w:pPr>
              <w:spacing w:after="0"/>
              <w:rPr>
                <w:sz w:val="23"/>
                <w:szCs w:val="23"/>
                <w:color w:val="auto"/>
              </w:rPr>
            </w:pPr>
          </w:p>
        </w:tc>
        <w:tc>
          <w:tcPr>
            <w:tcW w:w="12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4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886</w:t>
            </w:r>
          </w:p>
        </w:tc>
      </w:tr>
      <w:tr>
        <w:trPr>
          <w:trHeight w:val="270"/>
        </w:trPr>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Tax-related items</w:t>
            </w:r>
          </w:p>
        </w:tc>
        <w:tc>
          <w:tcPr>
            <w:tcW w:w="120" w:type="dxa"/>
            <w:vAlign w:val="bottom"/>
          </w:tcPr>
          <w:p>
            <w:pPr>
              <w:spacing w:after="0"/>
              <w:rPr>
                <w:sz w:val="23"/>
                <w:szCs w:val="23"/>
                <w:color w:val="auto"/>
              </w:rPr>
            </w:pPr>
          </w:p>
        </w:tc>
        <w:tc>
          <w:tcPr>
            <w:tcW w:w="12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(1,501)</w:t>
            </w:r>
          </w:p>
        </w:tc>
      </w:tr>
      <w:tr>
        <w:trPr>
          <w:trHeight w:val="270"/>
        </w:trPr>
        <w:tc>
          <w:tcPr>
            <w:tcW w:w="5520" w:type="dxa"/>
            <w:vAlign w:val="bottom"/>
            <w:tcBorders>
              <w:bottom w:val="single" w:sz="8" w:color="0C479D"/>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0C479D"/>
            </w:tcBorders>
          </w:tcPr>
          <w:p>
            <w:pPr>
              <w:spacing w:after="0"/>
              <w:rPr>
                <w:sz w:val="23"/>
                <w:szCs w:val="23"/>
                <w:color w:val="auto"/>
              </w:rPr>
            </w:pPr>
          </w:p>
        </w:tc>
        <w:tc>
          <w:tcPr>
            <w:tcW w:w="128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0C479D"/>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400" w:type="dxa"/>
            <w:vAlign w:val="bottom"/>
            <w:tcBorders>
              <w:bottom w:val="single" w:sz="8" w:color="0C479D"/>
            </w:tcBorders>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1,456</w:t>
            </w:r>
          </w:p>
        </w:tc>
      </w:tr>
      <w:tr>
        <w:trPr>
          <w:trHeight w:val="250"/>
        </w:trPr>
        <w:tc>
          <w:tcPr>
            <w:tcW w:w="552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Identified Items</w:t>
            </w:r>
          </w:p>
        </w:tc>
        <w:tc>
          <w:tcPr>
            <w:tcW w:w="120" w:type="dxa"/>
            <w:vAlign w:val="bottom"/>
            <w:tcBorders>
              <w:bottom w:val="single" w:sz="8" w:color="0C479D"/>
            </w:tcBorders>
          </w:tcPr>
          <w:p>
            <w:pPr>
              <w:spacing w:after="0"/>
              <w:rPr>
                <w:sz w:val="21"/>
                <w:szCs w:val="21"/>
                <w:color w:val="auto"/>
              </w:rPr>
            </w:pPr>
          </w:p>
        </w:tc>
        <w:tc>
          <w:tcPr>
            <w:tcW w:w="128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400" w:type="dxa"/>
            <w:vAlign w:val="bottom"/>
            <w:tcBorders>
              <w:bottom w:val="single" w:sz="8" w:color="0C479D"/>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1400" w:type="dxa"/>
            <w:vAlign w:val="bottom"/>
            <w:tcBorders>
              <w:bottom w:val="single" w:sz="8" w:color="0C479D"/>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(3,361)</w:t>
            </w:r>
          </w:p>
        </w:tc>
      </w:tr>
      <w:tr>
        <w:trPr>
          <w:trHeight w:val="338"/>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Earnings (loss) excluding Identified Items </w:t>
            </w:r>
            <w:r>
              <w:rPr>
                <w:rFonts w:ascii="Times New Roman" w:cs="Times New Roman" w:eastAsia="Times New Roman" w:hAnsi="Times New Roman"/>
                <w:sz w:val="18"/>
                <w:szCs w:val="18"/>
                <w:color w:val="auto"/>
              </w:rPr>
              <w:t>(Non-GAAP)</w:t>
            </w:r>
          </w:p>
        </w:tc>
        <w:tc>
          <w:tcPr>
            <w:tcW w:w="120" w:type="dxa"/>
            <w:vAlign w:val="bottom"/>
          </w:tcPr>
          <w:p>
            <w:pPr>
              <w:spacing w:after="0"/>
              <w:rPr>
                <w:sz w:val="24"/>
                <w:szCs w:val="24"/>
                <w:color w:val="auto"/>
              </w:rPr>
            </w:pPr>
          </w:p>
        </w:tc>
        <w:tc>
          <w:tcPr>
            <w:tcW w:w="128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33,464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38,572</w:t>
            </w:r>
          </w:p>
        </w:tc>
        <w:tc>
          <w:tcPr>
            <w:tcW w:w="14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59,101</w:t>
            </w:r>
          </w:p>
        </w:tc>
      </w:tr>
      <w:tr>
        <w:trPr>
          <w:trHeight w:val="27"/>
        </w:trPr>
        <w:tc>
          <w:tcPr>
            <w:tcW w:w="5520" w:type="dxa"/>
            <w:vAlign w:val="bottom"/>
            <w:shd w:val="clear" w:color="auto" w:fill="0C479D"/>
          </w:tcPr>
          <w:p>
            <w:pPr>
              <w:spacing w:after="0"/>
              <w:rPr>
                <w:sz w:val="2"/>
                <w:szCs w:val="2"/>
                <w:color w:val="auto"/>
              </w:rPr>
            </w:pPr>
          </w:p>
        </w:tc>
        <w:tc>
          <w:tcPr>
            <w:tcW w:w="120" w:type="dxa"/>
            <w:vAlign w:val="bottom"/>
            <w:shd w:val="clear" w:color="auto" w:fill="0C479D"/>
          </w:tcPr>
          <w:p>
            <w:pPr>
              <w:spacing w:after="0"/>
              <w:rPr>
                <w:sz w:val="2"/>
                <w:szCs w:val="2"/>
                <w:color w:val="auto"/>
              </w:rPr>
            </w:pPr>
          </w:p>
        </w:tc>
        <w:tc>
          <w:tcPr>
            <w:tcW w:w="1280" w:type="dxa"/>
            <w:vAlign w:val="bottom"/>
            <w:shd w:val="clear" w:color="auto" w:fill="0C479D"/>
          </w:tcPr>
          <w:p>
            <w:pPr>
              <w:spacing w:after="0"/>
              <w:rPr>
                <w:sz w:val="2"/>
                <w:szCs w:val="2"/>
                <w:color w:val="auto"/>
              </w:rPr>
            </w:pPr>
          </w:p>
        </w:tc>
        <w:tc>
          <w:tcPr>
            <w:tcW w:w="120" w:type="dxa"/>
            <w:vAlign w:val="bottom"/>
            <w:shd w:val="clear" w:color="auto" w:fill="0C479D"/>
          </w:tcPr>
          <w:p>
            <w:pPr>
              <w:spacing w:after="0"/>
              <w:rPr>
                <w:sz w:val="2"/>
                <w:szCs w:val="2"/>
                <w:color w:val="auto"/>
              </w:rPr>
            </w:pPr>
          </w:p>
        </w:tc>
        <w:tc>
          <w:tcPr>
            <w:tcW w:w="1280" w:type="dxa"/>
            <w:vAlign w:val="bottom"/>
            <w:shd w:val="clear" w:color="auto" w:fill="0C479D"/>
          </w:tcPr>
          <w:p>
            <w:pPr>
              <w:spacing w:after="0"/>
              <w:rPr>
                <w:sz w:val="2"/>
                <w:szCs w:val="2"/>
                <w:color w:val="auto"/>
              </w:rPr>
            </w:pPr>
          </w:p>
        </w:tc>
        <w:tc>
          <w:tcPr>
            <w:tcW w:w="120" w:type="dxa"/>
            <w:vAlign w:val="bottom"/>
            <w:shd w:val="clear" w:color="auto" w:fill="0C479D"/>
          </w:tcPr>
          <w:p>
            <w:pPr>
              <w:spacing w:after="0"/>
              <w:rPr>
                <w:sz w:val="2"/>
                <w:szCs w:val="2"/>
                <w:color w:val="auto"/>
              </w:rPr>
            </w:pPr>
          </w:p>
        </w:tc>
        <w:tc>
          <w:tcPr>
            <w:tcW w:w="1280" w:type="dxa"/>
            <w:vAlign w:val="bottom"/>
            <w:shd w:val="clear" w:color="auto" w:fill="0C479D"/>
          </w:tcPr>
          <w:p>
            <w:pPr>
              <w:spacing w:after="0"/>
              <w:rPr>
                <w:sz w:val="2"/>
                <w:szCs w:val="2"/>
                <w:color w:val="auto"/>
              </w:rPr>
            </w:pPr>
          </w:p>
        </w:tc>
      </w:tr>
    </w:tbl>
    <w:p>
      <w:pPr>
        <w:spacing w:after="0" w:line="200" w:lineRule="exact"/>
        <w:rPr>
          <w:sz w:val="20"/>
          <w:szCs w:val="20"/>
          <w:color w:val="auto"/>
        </w:rPr>
      </w:pPr>
    </w:p>
    <w:p>
      <w:pPr>
        <w:spacing w:after="0" w:line="2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References in this discussion to Corporate earnings (loss) mean net income (loss) attributable to ExxonMobil (U.S. GAAP) from the Consolidated Statement of Income. Unless otherwise indicated, references to earnings (loss), Upstream, Energy Products, Chemical Products, Specialty Products, and Corporate and Financing earnings (loss), and earnings (loss) per share are ExxonMobil's share after excluding amounts attributable to noncontrolling interests.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Due to rounding, numbers presented may not add up precisely to the totals indicated.</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1"/>
          <w:szCs w:val="21"/>
          <w:b w:val="1"/>
          <w:bCs w:val="1"/>
          <w:color w:val="0C479D"/>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C479D"/>
        </w:rPr>
        <w:t>FORWARD-LOOKING STATEMENTS</w:t>
      </w:r>
    </w:p>
    <w:p>
      <w:pPr>
        <w:spacing w:after="0" w:line="9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Statements related to future events; projections; descriptions of strategic, operating, and financial plans and objectives; statements of future ambitions and plans; and other statements of future events or conditions are forward-looking statements. Similarly, discussion of roadmaps or future plans related to carbon capture, transportation and storage, lower-emission fuels, hydrogen, ammonia, direct air capture, Proxxima</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systems, carbon materials, lithium and other future plans to reduce emissions and emission intensity of ExxonMobil, its affiliates, and third parties are dependent on future market factors, such as continued technological progress, stable policy support and timely rule-making and permitting, and represent forward-looking statements.</w:t>
      </w:r>
    </w:p>
    <w:p>
      <w:pPr>
        <w:spacing w:after="0" w:line="7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 xml:space="preserve">Actual future results, including financial and operating performance; earnings power; potential earnings, cash flow, dividends or shareholder returns, including the timing and amounts of share repurchases; total capital expenditures and mix, including allocations of capital to low carbon and other new investments; realization and maintenance of structural cost reductions and efficiency gains, including the ability to offset inflationary pressure; plans to reduce future emissions and emissions intensity, including ambitions to reach Scope 1 and Scope 2 net zero from operated assets by 2050, to reach Scope 1 and 2 net zero in heritage Permian Basin </w:t>
      </w:r>
      <w:r>
        <w:rPr>
          <w:rFonts w:ascii="Times New Roman" w:cs="Times New Roman" w:eastAsia="Times New Roman" w:hAnsi="Times New Roman"/>
          <w:sz w:val="23"/>
          <w:szCs w:val="23"/>
          <w:i w:val="1"/>
          <w:iCs w:val="1"/>
          <w:color w:val="auto"/>
          <w:vertAlign w:val="superscript"/>
        </w:rPr>
        <w:t>(1)</w:t>
      </w:r>
      <w:r>
        <w:rPr>
          <w:rFonts w:ascii="Times New Roman" w:cs="Times New Roman" w:eastAsia="Times New Roman" w:hAnsi="Times New Roman"/>
          <w:sz w:val="18"/>
          <w:szCs w:val="18"/>
          <w:color w:val="auto"/>
        </w:rPr>
        <w:t xml:space="preserve"> unconventional operated assets by 2030, and in Pioneer Permian assets by 2035, to eliminate routine flaring in-line with World Bank Zero Routine Flaring, and to reach near-zero methane emissions from operated assets and other methane initiatives to meet ExxonMobil’s emission reduction plans and goals, divestment and start-up plans, and associated project plans as well as technology advances, including the timing and outcome of projects to capture, transport and store CO2, produce hydrogen and ammonia, produce lower-emission fuels, produce Proxxima</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systems, produce carbon materials, produce lithium, and use plastic waste as feedstock for advanced recycling; timely granting of governmental permits and certifications; future debt levels and credit ratings; business and project plans, timing, costs, capacities and profitability; resource recoveries and production rates; and planned Denbury Inc. (Denbury) and Pioneer integrated benefits, could differ materially due to a number of factors.</w:t>
      </w:r>
    </w:p>
    <w:p>
      <w:pPr>
        <w:spacing w:after="0" w:line="6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These include global or regional changes in the supply and demand for oil, natural gas, petrochemicals, and feedstocks and other market factors; economic conditions and seasonal fluctuations that impact prices and differentials for our products; developments or changes in local, national, or international laws, regulations, taxes, trade sanctions, trade tariffs, or policies affecting our business, such as government policies supporting lower carbon and new market investment opportunities, the punitive European taxes on the oil and gas sector and unequal support for different technological methods of emissions reduction or evolving, ambiguous and unharmonized standards imposed by various jurisdictions related to sustainability and GHG reporting; variable impacts of trading activities on our margins and results each quarter; actions of co-venturers, competitors and commercial counterparties; the outcome of commercial negotiations, including final agreed terms and conditions; the outcome of competitive bidding and project awards; the ability to access debt markets on favorable terms or at all; the occurrence, pace, rate of recovery and effects of public health crises; adoption of regulatory incentives consistent with law; reservoir performance, including variability and timing factors applicable to unconventional resources and the success of new unconventional technologies; the level, outcome, and timing of exploration and development projects and decisions to invest in future reserves and resources; timely completion of construction projects; final management approval of future projects and any changes in the scope, terms, costs or assumptions of such projects as approved; the actions of government or other actors against our core business activities and acquisitions, divestitures or financing opportunities; war, civil unrest, attacks against the Company or industry, and other geopolitical or security disturbances, including disruption of land or sea transportation routes; decoupling of economies, and disruptions in trade alliances and military alliances; expropriations, seizure, or capacity, insurance, shipping, import or export limitations imposed by governments or laws; opportunities for potential acquisitions, investments or divestments and satisfaction of applicable conditions to closing, including timely regulatory approvals; the capture of efficiencies within and between business lines and the ability to maintain near-term cost reductions as ongoing efficiencies without impairing our competitive positioning; unforeseen technical or operating difficulties and unplanned maintenance; the development and competitiveness of alternative energy and emission reduction technologies; consumer preferences including willingness and ability to pay for reduced emission products; the results of research programs and the ability to bring new technologies to commercial scale on a cost-competitive basis; and other factors discussed under </w:t>
      </w:r>
      <w:r>
        <w:rPr>
          <w:rFonts w:ascii="Times New Roman" w:cs="Times New Roman" w:eastAsia="Times New Roman" w:hAnsi="Times New Roman"/>
          <w:sz w:val="18"/>
          <w:szCs w:val="18"/>
          <w:color w:val="0000FF"/>
        </w:rPr>
        <w:t>Item 1A</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Forward-looking and other statements regarding environmental and other sustainability efforts and aspirations are not an indication that these statements are material to investors or require disclosure in our filing with the SEC or any other regulatory authority. In addition, historical, current, and forward-looking environmental and other sustainability-related statements may be based on standards for measuring progress that are still developing, internal controls and processes that continue to evolve, and assumptions that are subject to change in the future, including future rule-making.</w:t>
      </w:r>
    </w:p>
    <w:p>
      <w:pPr>
        <w:spacing w:after="0" w:line="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Energy demand models are forward-looking by nature and aim to replicate system dynamics of the global energy system, requiring simplifications. The reference to any scenario in this report, including any potential net-zero scenarios, does not imply ExxonMobil views any particular scenario as likely to occur. In addition, energy demand scenarios require assumptions on a variety of parameters. As such, the outcome of any given scenario using an energy demand model comes with a high degree of uncertainty. Third-party scenarios discussed in this report reflect the modeling assumptions and outputs of their respective authors, not ExxonMobil, and their</w:t>
      </w:r>
    </w:p>
    <w:p>
      <w:pPr>
        <w:spacing w:after="0" w:line="51" w:lineRule="exact"/>
        <w:rPr>
          <w:sz w:val="20"/>
          <w:szCs w:val="20"/>
          <w:color w:val="auto"/>
        </w:rPr>
      </w:pPr>
    </w:p>
    <w:p>
      <w:pPr>
        <w:ind w:left="140" w:hanging="132"/>
        <w:spacing w:after="0"/>
        <w:tabs>
          <w:tab w:leader="none" w:pos="140" w:val="left"/>
        </w:tabs>
        <w:numPr>
          <w:ilvl w:val="0"/>
          <w:numId w:val="19"/>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6"/>
          <w:szCs w:val="16"/>
          <w:i w:val="1"/>
          <w:iCs w:val="1"/>
          <w:color w:val="auto"/>
        </w:rPr>
        <w:t>H</w:t>
      </w:r>
      <w:r>
        <w:rPr>
          <w:rFonts w:ascii="Times New Roman" w:cs="Times New Roman" w:eastAsia="Times New Roman" w:hAnsi="Times New Roman"/>
          <w:sz w:val="14"/>
          <w:szCs w:val="14"/>
          <w:i w:val="1"/>
          <w:iCs w:val="1"/>
          <w:color w:val="auto"/>
        </w:rPr>
        <w:t>eritage Permian Basin assets exclude assets acquired as part of the acquisition of Pioneer that closed May 3, 2024.</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21"/>
          <w:szCs w:val="21"/>
          <w:b w:val="1"/>
          <w:bCs w:val="1"/>
          <w:color w:val="0C479D"/>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use by ExxonMobil is not an endorsement by ExxonMobil of their underlying assumptions, likelihood or probability. Investment decisions are made on the basis of ExxonMobil’s separate planning process. Any use of the modeling of a third-party organization within this report does not constitute or imply an endorsement by ExxonMobil of any or all of the positions or activities of such organization.</w:t>
      </w:r>
    </w:p>
    <w:p>
      <w:pPr>
        <w:spacing w:after="0" w:line="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Actions needed to advance ExxonMobil’s 2030 greenhouse gas emission-reductions plans are incorporated into its medium-term business plans, which are updated annually. The reference case for planning beyond 2030 is based on the Company’s Global Outlook (Outlook) research and publication. The Outlook is reflective of the existing global policy environment and an assumption of increasing policy stringency and technology improvement to 2050. Current trends for policy stringency and development of lower-emission solutions are not yet on a pathway to achieve net-zero by 2050. As such, the Outlook does not project the degree of required future policy and technology advancement and deployment for the world, or ExxonMobil, to meet net zero by 2050. As future policies and technology advancements emerge, they will be incorporated into the Outlook, and ExxonMobil’s business plans will be updated accordingly. References to projects or opportunities may not reflect investment decisions made by ExxonMobil or its affiliates. Individual projects or opportunities may advance based on a number of factors, including availability of stable and supportive policy, permitting, technological advancement for cost-effective abatement, insights from the Company planning process, and alignment with our partners and other stakeholders. Capital investment guidance in lower-emission investments is based on our corporate plan; however, actual investment levels will be subject to the availability of the opportunity set, public policy support, and focused on returns.</w:t>
      </w:r>
    </w:p>
    <w:p>
      <w:pPr>
        <w:spacing w:after="0" w:line="7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 “project” as used in this report can refer to a variety of different activities and does not necessarily have the same meaning as in any government payment transparency reports.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C479D"/>
        </w:rPr>
        <w:t>OVERVIEW</w:t>
      </w:r>
    </w:p>
    <w:p>
      <w:pPr>
        <w:spacing w:after="0" w:line="9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following discussion and analysis of ExxonMobil’s financial results, as well as the accompanying financial statements and related notes to consolidated financial statements to which they refer, are the responsibility of the management of Exxon Mobil Corporation. The Corporation’s accounting and financial reporting fairly reflect its integrated business model involving exploration for, and production of, crude oil and natural gas; manufacture, trade, transport and sale of crude oil, natural gas, petroleum products, petrochemicals, and a wide variety of specialty products; and pursuit of lower-emission and other new business opportunities, including carbon capture and storage, hydrogen, lower-emission fuels, Proxxima</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systems, carbon materials, and lithium. ExxonMobil's reportable segments are Upstream, Energy Products, Chemical Products, and Specialty Products. Where applicable, ExxonMobil voluntarily discloses additional U.S., Non-U.S., and regional splits to help investors better understand the Company's operations.</w:t>
      </w:r>
    </w:p>
    <w:p>
      <w:pPr>
        <w:spacing w:after="0" w:line="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organized along three businesses – Upstream, Product Solutions, and Low Carbon Solutions, aligning along market-focused value chains. Product Solutions consists of Energy Products, Chemical Products, and Specialty Products. Low Carbon Solutions is included in Corporate and Financing as the business continues to mature through commercialization and deployment of technology. The businesses are supported by centralized service-delivery groups, including Global Projects, Technology and Engineering, Global Operations and Sustainability, Global Trading, Supply Chain, and Global Business Solutions.</w:t>
      </w:r>
    </w:p>
    <w:p>
      <w:pPr>
        <w:spacing w:after="0" w:line="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ExxonMobil, with its resource base, financial strength, disciplined investment approach and technology portfolio, is well-positioned to participate in substantial investments to develop new supplies of reliable and affordable lower-emission energy and other critical products. The Company’s integrated business model, with significant investments in Upstream, Energy Products, Chemical Products, and Specialty Products segments and Low Carbon Solutions businesses, generally reduces the Corporation’s risk from changes in commodity prices. While commodity prices depend on supply and demand and may be volatile on a short-term basis, ExxonMobil’s investment decisions are grounded on fundamentals reflected in our long-term business outlook, and use a disciplined approach in selecting and pursuing the most attractive investment opportunities which target a low cost of supply to ensure long-term competitiveness. The annual Corporate Plan process establishes the economic assumptions used for evaluating investments and sets operating and capital objectives. The Global Outlook (Outlook), developed annually, is the foundation for the Corporate Plan assumptions. Price ranges for crude oil and natural gas, including price differentials, refinery and chemical margins, volumes, development and operating costs, including greenhouse gas emissions pricing, and foreign currency exchange rates are part of the Corporate Plan assumptions developed annually. Corporate Plan volume projections are based on individual field production profiles, which are also updated at least annually. Major investment opportunities are evaluated over a range of potential market conditions. All major investments are reappraised to ensure we learn from our decisions, and the development and execution of the project. Lessons learned are incorporated in future projects.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1"/>
          <w:szCs w:val="21"/>
          <w:b w:val="1"/>
          <w:bCs w:val="1"/>
          <w:color w:val="0C479D"/>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C479D"/>
        </w:rPr>
        <w:t>BUSINESS ENVIRONMENT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479D"/>
        </w:rPr>
        <w:t>Long-Term Business Outlook</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ExxonMobil’s business planning is underpinned by a deep understanding of long-term market fundamentals. These fundamentals include supply and demand trends; the scale and variety of energy needs worldwide; capability, practicality, and affordability of energy alternatives, including lower-carbon solutions; greenhouse gas emission-reduction technologies; and relevant government policies. The Outlook considers these fundamentals to form the basis for the Company’s long-term business planning, investment decisions, and research programs. The Outlook reflects the Company’s view of global energy demand and supply through 2050. It is a projection based on current trends in technology, government policies, consumer preferences, geopolitics, and economic development.</w:t>
      </w:r>
    </w:p>
    <w:p>
      <w:pPr>
        <w:spacing w:after="0" w:line="6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ExxonMobil considers a range of scenarios - including remote scenarios - to help inform perspective of the future and enhance strategic thinking over time. Included in the range of these scenarios are the Intergovernmental Panel on Climate Change (IPCC) Likely Below 2°C scenarios and three scenarios from the International Energy Agency (IEA): IEA Stated Policies Scenario (STEPS), which reflects a sector-by-sector assessment of current policy in place or announced by governments; IEA Announced Pledges Scenario (APS), which reflects aspirational government targets met on time and in full; and IEA Net Zero Emissions by 2050 Scenario (NZE), which the IEA describes as extremely challenging, acknowledging that society is not currently on the IEA NZE pathway. No single transition pathway can be reasonably predicted, given the wide range of uncertainties. Key unknowns include yet-to-be-developed or changes in developed government policies, market conditions, and advances in technology that may influence the cost, pace, and potential availability of certain pathways. Scenarios that employ a full complement of technology options are likely to provide the most economically efficient pathways.</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Using our own experts and third-party sources, we monitor a variety of signposts that may indicate a potential shift in the energy transition. For example, the regional pace of the transition could be influenced by the cost of new technologies compared to existing or alternative energy sources. To effectively evaluate the pace of change, ExxonMobil uses many scenarios to help identify signposts that provide leading indicators of future developments and allow for timely adjustments to future versions of the Outlook.</w:t>
      </w:r>
    </w:p>
    <w:p>
      <w:pPr>
        <w:sectPr>
          <w:pgSz w:w="11900" w:h="16838" w:orient="portrait"/>
          <w:cols w:equalWidth="0" w:num="1">
            <w:col w:w="11240"/>
          </w:cols>
          <w:pgMar w:left="320" w:top="270" w:right="339" w:bottom="1440" w:gutter="0" w:footer="0" w:header="0"/>
        </w:sectPr>
      </w:pPr>
    </w:p>
    <w:p>
      <w:pPr>
        <w:spacing w:after="0" w:line="243" w:lineRule="exact"/>
        <w:rPr>
          <w:sz w:val="20"/>
          <w:szCs w:val="20"/>
          <w:color w:val="auto"/>
        </w:rPr>
      </w:pPr>
    </w:p>
    <w:p>
      <w:pPr>
        <w:ind w:left="20"/>
        <w:spacing w:after="0" w:line="272" w:lineRule="auto"/>
        <w:rPr>
          <w:sz w:val="20"/>
          <w:szCs w:val="20"/>
          <w:color w:val="auto"/>
        </w:rPr>
      </w:pPr>
      <w:r>
        <w:rPr>
          <w:rFonts w:ascii="Times New Roman" w:cs="Times New Roman" w:eastAsia="Times New Roman" w:hAnsi="Times New Roman"/>
          <w:sz w:val="18"/>
          <w:szCs w:val="18"/>
          <w:b w:val="1"/>
          <w:bCs w:val="1"/>
          <w:i w:val="1"/>
          <w:iCs w:val="1"/>
          <w:color w:val="0C479D"/>
        </w:rPr>
        <w:t>Developing countries projected to drive energy demand growth</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Primary energy - Quadrillion Btu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50800</wp:posOffset>
            </wp:positionV>
            <wp:extent cx="2271395" cy="2057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27139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Source: ExxonMobil 2024 Global Outlook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By 2050, the world’s population is projected to be around 9.7 billion people, or nearly 2 billion more than in 2023. Coincident with this population increase, the Outlook projects worldwide economic growth to average approximately 2.5 percent per year, with economic output nearly doubling by 2050 compared to 2023. As economies and populations grow, and as living standards improve for billions of people, the need for energy is expected to continue to rise. Even with significant efficiency gains, global energy demand is projected to rise by almost 15 percent from 2023 to 2050. This increase in energy demand is expected to be driven by developing countries (i.e., those that are not member nations of the Organization for Economic Co-operation and Development (OECD)). By contrast, energy use in developed nations is expected to decline by more than 10 percent as efficiency improves.</w:t>
      </w:r>
    </w:p>
    <w:p>
      <w:pPr>
        <w:spacing w:after="0" w:line="221"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As expanding prosperity drives global energy demand higher, increasing use of energy-efficient technologies and practices as well as lower-emission products will continue to help significantly reduce energy consumption and CO2 emissions per unit of economic output over time. Substantial efficiency gains are likely in all key aspects of the world’s economy through 2050, affecting energy requirements for power generation, transportation, industrial applications, and residential and commercial needs.</w:t>
      </w:r>
    </w:p>
    <w:p>
      <w:pPr>
        <w:spacing w:after="0" w:line="501" w:lineRule="exact"/>
        <w:rPr>
          <w:sz w:val="20"/>
          <w:szCs w:val="20"/>
          <w:color w:val="auto"/>
        </w:rPr>
      </w:pPr>
    </w:p>
    <w:p>
      <w:pPr>
        <w:sectPr>
          <w:pgSz w:w="11900" w:h="16838" w:orient="portrait"/>
          <w:cols w:equalWidth="0" w:num="2">
            <w:col w:w="4100" w:space="300"/>
            <w:col w:w="6840"/>
          </w:cols>
          <w:pgMar w:left="320" w:top="270" w:right="339" w:bottom="1440" w:gutter="0" w:footer="0" w:header="0"/>
          <w:type w:val="continuous"/>
        </w:sectPr>
      </w:pPr>
    </w:p>
    <w:p>
      <w:pPr>
        <w:spacing w:after="0" w:line="3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our Outlook, global electricity demand is expected to increase more than 75 percent from 2023 to 2050, with developing countries likely to account for approximately 80 percent of the increase. Consistent with this projection, power generation is expected to remain the largest and fastest growing major segment of global primary energy demand, supported by a wide variety of energy sources. The share of coal-fired generation is expected to decline substantially to approximately 15 percent of the world’s electricity in 2050, versus approximately 35 percent in 2023, in part due to policies to improve air quality as well as reduce greenhouse gas emissions to address risks related to climate change. From 2023 to 2050, the amount of electricity supplied using natural gas, nuclear power, and renewables is expected to more than double, accounting for the entire growth in electricity supplies and offsetting the reduction of coal. Electricity from wind and solar is expected to increase more than 450 percent, helping total renewables (including other sources, e.g., hydropower) to account for approximately 90 percent of the increase in electricity supplies through 2050. Total renewables are expected to reach over 50 percent of global electricity supplies by 2050. Natural gas and nuclear are expected to be about 20 percent and 10 percent, respectively, of global electricity supplies by 2050. Supplies of electricity by energy type will reflect significant differences across regions reflecting a wide range of factors, including the cost and availability of various energy supplies and policy developments.</w:t>
      </w:r>
    </w:p>
    <w:p>
      <w:pPr>
        <w:sectPr>
          <w:pgSz w:w="11900" w:h="16838" w:orient="portrait"/>
          <w:cols w:equalWidth="0" w:num="1">
            <w:col w:w="11240"/>
          </w:cols>
          <w:pgMar w:left="320" w:top="270" w:right="339" w:bottom="1440" w:gutter="0" w:footer="0" w:header="0"/>
          <w:type w:val="continuous"/>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21"/>
          <w:szCs w:val="21"/>
          <w:b w:val="1"/>
          <w:bCs w:val="1"/>
          <w:color w:val="0C479D"/>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Energy for transportation - including cars, trucks, ships, trains, and airplanes - is expected to increase by about 25 percent from 2023 to 2050. Transportation energy demand is expected to account for about 60 percent of the growth in liquid fuels demand worldwide over this period. Light-duty vehicle demand for liquid fuels is projected to peak by around 2025, and then decline to levels seen in the early-2000s by 2050, as the impact of better fuel economy and significant growth in electric cars, led by China, Europe, and the United States, work to offset growth in the worldwide car fleet of approximately 65 percent. By 2050, light-duty vehicles are expected to account for around 20 percent of global liquid fuels demand. During the same time period, nearly all the world’s commercial transportation fleets are expected to continue to run on liquid fuels, including biofuels, which are expected to be widely available and offer practical advantages in providing a large quantity of energy in small volumes.</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Almost half of the world’s energy use is dedicated to industrial activity. As the global middle class continues to grow, demand for durable products, appliances, and consumable goods will increase. Industry uses energy products both as a fuel and as a feedstock for chemicals, asphalt, lubricants, waxes, and other specialty products. The Outlook anticipates technology advances, as well as the increasing shift toward cleaner forms of energy, such as electricity and natural gas, with coal declining. Demand for oil will continue to grow as a feedstock for industry.</w:t>
      </w:r>
    </w:p>
    <w:p>
      <w:pPr>
        <w:spacing w:after="0" w:line="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populations grow and prosperity rises, more energy will be needed to power homes, offices, schools, shopping centers, hospitals, etc. Combined residential and commercial energy demand is projected to rise by around 15 percent through 2050. Led by the growing economies of developing nations, average worldwide household electricity use is expected to rise more than 65 percent between 2023 and 2050.</w:t>
      </w:r>
    </w:p>
    <w:p>
      <w:pPr>
        <w:spacing w:after="0" w:line="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Liquid fuels provide the largest share of global energy supplies today reflecting broad-based availability, affordability, ease of transportation, and fitness as a practical solution to meet a wide variety of needs. By 2050, global demand for liquid fuels is projected to grow to approximately 110 million oil-equivalent barrels per day, an increase of about 10 percent from 2023. The non-OECD share of global liquid fuels demand is expected to increase to nearly 70 percent by 2050, as liquid fuels demand in the OECD is expected to decline by more than 25 percent. Much of the global liquid fuels demand today is met by crude production from conventional sources; these supplies will remain important, and significant development activity is expected to offset much of the natural declines from these fields. At the same time, a variety of supply sources - including tight oil, deepwater, oil sands, natural gas liquids, and biofuels - are expected to grow to help meet rising demand. Timely investments will remain critical to meeting global needs with reliable and affordable supplies.</w:t>
      </w:r>
    </w:p>
    <w:p>
      <w:pPr>
        <w:spacing w:after="0" w:line="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Natural gas is a lower-emission, versatile, and practical fuel for a wide variety of applications. Global natural gas demand is expected to rise more than 20 percent from 2023 to 2050, with approximately 75 percent of that increase coming from the Asia Pacific region. Significant growth in supplies of unconventional gas - the natural gas found in shale and other tight rock formations - will help meet these needs. In total, about 35 percent of the growth in natural gas supplies is expected to come from unconventional sources. At the same time, conventionally-produced natural gas is likely to remain the cornerstone of global supply, meeting around two-thirds of worldwide demand in 2050. LNG trade will expand significantly, meeting about 70 percent of the increase in global demand growth, with much of this supply expected to help meet rising demand in Asia Pacific.</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1"/>
          <w:szCs w:val="21"/>
          <w:b w:val="1"/>
          <w:bCs w:val="1"/>
          <w:color w:val="0C479D"/>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C479D"/>
        </w:rPr>
        <w:t>Oil and natural gas projected to play a critical role in the global energy mix</w:t>
      </w:r>
    </w:p>
    <w:p>
      <w:pPr>
        <w:spacing w:after="0" w:line="155" w:lineRule="exact"/>
        <w:rPr>
          <w:sz w:val="20"/>
          <w:szCs w:val="20"/>
          <w:color w:val="auto"/>
        </w:rPr>
      </w:pPr>
    </w:p>
    <w:p>
      <w:pPr>
        <w:ind w:left="1780"/>
        <w:spacing w:after="0"/>
        <w:tabs>
          <w:tab w:leader="none" w:pos="6540" w:val="left"/>
        </w:tabs>
        <w:rPr>
          <w:sz w:val="20"/>
          <w:szCs w:val="20"/>
          <w:color w:val="auto"/>
        </w:rPr>
      </w:pPr>
      <w:r>
        <w:rPr>
          <w:rFonts w:ascii="Times New Roman" w:cs="Times New Roman" w:eastAsia="Times New Roman" w:hAnsi="Times New Roman"/>
          <w:sz w:val="14"/>
          <w:szCs w:val="14"/>
          <w:i w:val="1"/>
          <w:iCs w:val="1"/>
          <w:color w:val="auto"/>
        </w:rPr>
        <w:t>Primary energy - Quadrillion Btu</w:t>
      </w:r>
      <w:r>
        <w:rPr>
          <w:sz w:val="20"/>
          <w:szCs w:val="20"/>
          <w:color w:val="auto"/>
        </w:rPr>
        <w:tab/>
      </w:r>
      <w:r>
        <w:rPr>
          <w:rFonts w:ascii="Times New Roman" w:cs="Times New Roman" w:eastAsia="Times New Roman" w:hAnsi="Times New Roman"/>
          <w:sz w:val="14"/>
          <w:szCs w:val="14"/>
          <w:i w:val="1"/>
          <w:iCs w:val="1"/>
          <w:color w:val="auto"/>
        </w:rPr>
        <w:t>Percent of primary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153670</wp:posOffset>
            </wp:positionV>
            <wp:extent cx="5443220" cy="22028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443220"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400"/>
        <w:spacing w:after="0"/>
        <w:tabs>
          <w:tab w:leader="none" w:pos="6160" w:val="left"/>
        </w:tabs>
        <w:rPr>
          <w:sz w:val="20"/>
          <w:szCs w:val="20"/>
          <w:color w:val="auto"/>
        </w:rPr>
      </w:pPr>
      <w:r>
        <w:rPr>
          <w:rFonts w:ascii="Times New Roman" w:cs="Times New Roman" w:eastAsia="Times New Roman" w:hAnsi="Times New Roman"/>
          <w:sz w:val="14"/>
          <w:szCs w:val="14"/>
          <w:i w:val="1"/>
          <w:iCs w:val="1"/>
          <w:color w:val="auto"/>
        </w:rPr>
        <w:t>Source: ExxonMobil 2024 Global Outlook</w:t>
      </w:r>
      <w:r>
        <w:rPr>
          <w:sz w:val="20"/>
          <w:szCs w:val="20"/>
          <w:color w:val="auto"/>
        </w:rPr>
        <w:tab/>
      </w:r>
      <w:r>
        <w:rPr>
          <w:rFonts w:ascii="Times New Roman" w:cs="Times New Roman" w:eastAsia="Times New Roman" w:hAnsi="Times New Roman"/>
          <w:sz w:val="14"/>
          <w:szCs w:val="14"/>
          <w:i w:val="1"/>
          <w:iCs w:val="1"/>
          <w:color w:val="auto"/>
        </w:rPr>
        <w:t>Source: ExxonMobil 2024 Global Outlook</w:t>
      </w:r>
    </w:p>
    <w:p>
      <w:pPr>
        <w:spacing w:after="0" w:line="123" w:lineRule="exact"/>
        <w:rPr>
          <w:sz w:val="20"/>
          <w:szCs w:val="20"/>
          <w:color w:val="auto"/>
        </w:rPr>
      </w:pPr>
    </w:p>
    <w:p>
      <w:pPr>
        <w:ind w:left="1400" w:right="4500" w:hanging="4"/>
        <w:spacing w:after="0" w:line="385" w:lineRule="auto"/>
        <w:tabs>
          <w:tab w:leader="none" w:pos="1508" w:val="left"/>
        </w:tabs>
        <w:numPr>
          <w:ilvl w:val="0"/>
          <w:numId w:val="2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Electricity and hydrogen are secondary energies derived from the primary energies shown. **Includes biomass, biofuels, hydropower, and geothermal.</w:t>
      </w:r>
    </w:p>
    <w:p>
      <w:pPr>
        <w:spacing w:after="0" w:line="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world’s energy mix is highly diverse and will remain so through 2050. Oil is expected to continue as the largest source of energy with its share remaining close to 30 percent in 2050. Coal and natural gas are the next largest sources of energy today, with the share of natural gas growing to more than 25 percent by 2050, while the share of coal falls to about half that of natural gas. Nuclear power is projected to grow, as many nations are likely to expand nuclear capacity to address rising electricity needs as well as energy security and environmental issues. Total renewable energy is expected to exceed 20 percent of global energy by 2050, with other renewables (e.g., biomass, hydropower, geothermal) contributing a combined share of more than 10 percent. Total energy supplied from wind and solar is expected to increase rapidly, growing over 400 percent from 2023 to 2050, when they are projected to be nearly 12 percent of the world energy mix.</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Decarbonization of industrial activities will require a suite of nascent or future lower-carbon technologies and stable supporting policies. Lower-emission fuels, hydrogen-based fuels, and carbon capture and storage are three key lower-carbon solutions needed to support a lower-emission future, in addition to wind and solar. Along with electrification, lower-emission fuels are expected to play an important role in decarbonization of the transportation sector, particularly in hard-to-decarbonize areas, such as aviation. Hydrogen will be a key enabler replacing traditional furnace fuel to decarbonize the industrial sector. Hydrogen and hydrogen-based fuels like ammonia are also expected to make inroads into commercial transportation as technology improves to lower its cost and policy develops to support the needed infrastructure development. Carbon capture and storage on its own, or in combination with hydrogen production, is among the few proven technologies that could enable CO2 emission reductions from high-emitting and hard-to-decarbonize sectors such as power generation and heavy industries, including manufacturing, refining, and petrochemicals.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1"/>
          <w:szCs w:val="21"/>
          <w:b w:val="1"/>
          <w:bCs w:val="1"/>
          <w:color w:val="0C479D"/>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0C479D"/>
        </w:rPr>
        <w:t>Significant oil and natural gas investment needed to meet projected global demand</w:t>
      </w:r>
    </w:p>
    <w:p>
      <w:pPr>
        <w:sectPr>
          <w:pgSz w:w="11900" w:h="16838" w:orient="portrait"/>
          <w:cols w:equalWidth="0" w:num="1">
            <w:col w:w="11240"/>
          </w:cols>
          <w:pgMar w:left="320" w:top="270" w:right="339" w:bottom="1440" w:gutter="0" w:footer="0" w:header="0"/>
        </w:sectPr>
      </w:pP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Projected global oil supply and demand</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Projected global natural gas supply and demand</w:t>
      </w:r>
    </w:p>
    <w:p>
      <w:pPr>
        <w:spacing w:after="0" w:line="43" w:lineRule="exact"/>
        <w:rPr>
          <w:sz w:val="20"/>
          <w:szCs w:val="20"/>
          <w:color w:val="auto"/>
        </w:rPr>
      </w:pPr>
    </w:p>
    <w:p>
      <w:pPr>
        <w:sectPr>
          <w:pgSz w:w="11900" w:h="16838" w:orient="portrait"/>
          <w:cols w:equalWidth="0" w:num="2">
            <w:col w:w="5160" w:space="720"/>
            <w:col w:w="5360"/>
          </w:cols>
          <w:pgMar w:left="320" w:top="27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i w:val="1"/>
          <w:iCs w:val="1"/>
          <w:color w:val="auto"/>
        </w:rPr>
        <w:t>Million barrels per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26035</wp:posOffset>
            </wp:positionV>
            <wp:extent cx="2751455" cy="17316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751455" cy="17316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i w:val="1"/>
          <w:iCs w:val="1"/>
          <w:color w:val="auto"/>
        </w:rPr>
        <w:t>Billion cubic feet per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26035</wp:posOffset>
            </wp:positionV>
            <wp:extent cx="2751455" cy="17316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751455" cy="17316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60" w:space="720"/>
            <w:col w:w="5360"/>
          </w:cols>
          <w:pgMar w:left="320" w:top="27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i w:val="1"/>
          <w:iCs w:val="1"/>
          <w:color w:val="auto"/>
        </w:rPr>
        <w:t>Excludes biofuels; IEA STEPS, IEA APS, and IEA NZE Source: IEA WEO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IEA STEPS, IEA APS, and IEA NZE Source: IEA WEO 2024; Global Outlook</w:t>
      </w:r>
    </w:p>
    <w:p>
      <w:pPr>
        <w:spacing w:after="0" w:line="29" w:lineRule="exact"/>
        <w:rPr>
          <w:sz w:val="20"/>
          <w:szCs w:val="20"/>
          <w:color w:val="auto"/>
        </w:rPr>
      </w:pPr>
    </w:p>
    <w:p>
      <w:pPr>
        <w:sectPr>
          <w:pgSz w:w="11900" w:h="16838" w:orient="portrait"/>
          <w:cols w:equalWidth="0" w:num="2">
            <w:col w:w="5220" w:space="720"/>
            <w:col w:w="5300"/>
          </w:cols>
          <w:pgMar w:left="320" w:top="270" w:right="339"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4"/>
          <w:szCs w:val="14"/>
          <w:i w:val="1"/>
          <w:iCs w:val="1"/>
          <w:color w:val="auto"/>
        </w:rPr>
        <w:t>Global Outlook Source: ExxonMobil 2024 Global Outlook; IPCC Likely Below</w:t>
      </w:r>
    </w:p>
    <w:p>
      <w:pPr>
        <w:spacing w:after="0" w:line="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i w:val="1"/>
          <w:iCs w:val="1"/>
          <w:color w:val="auto"/>
        </w:rPr>
        <w:t>2°C Average and Range Source: IPCC AR6 Scenarios Database hosted 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i w:val="1"/>
          <w:iCs w:val="1"/>
          <w:color w:val="auto"/>
        </w:rPr>
        <w:t>Source: ExxonMobil 2024 Global Outlook; IPCC Likely Below 2°C Average and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Range Source: IPCC AR6 Scenarios Database hosted by IIASA release 1.0</w:t>
      </w:r>
    </w:p>
    <w:p>
      <w:pPr>
        <w:spacing w:after="0" w:line="11" w:lineRule="exact"/>
        <w:rPr>
          <w:sz w:val="20"/>
          <w:szCs w:val="20"/>
          <w:color w:val="auto"/>
        </w:rPr>
      </w:pPr>
    </w:p>
    <w:p>
      <w:pPr>
        <w:sectPr>
          <w:pgSz w:w="11900" w:h="16838" w:orient="portrait"/>
          <w:cols w:equalWidth="0" w:num="2">
            <w:col w:w="5220" w:space="720"/>
            <w:col w:w="5300"/>
          </w:cols>
          <w:pgMar w:left="320" w:top="270" w:right="339"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4"/>
          <w:szCs w:val="14"/>
          <w:i w:val="1"/>
          <w:iCs w:val="1"/>
          <w:color w:val="auto"/>
        </w:rPr>
        <w:t>IIASA release 1.0 average IPCC C3: 311 “Likely below 2°C” scenarios used;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i w:val="1"/>
          <w:iCs w:val="1"/>
          <w:color w:val="auto"/>
        </w:rPr>
        <w:t>average IPCC C3: 311 “Likely below 2°C” scenarios used; decline rates based</w:t>
      </w:r>
    </w:p>
    <w:p>
      <w:pPr>
        <w:spacing w:after="0" w:line="15" w:lineRule="exact"/>
        <w:rPr>
          <w:sz w:val="20"/>
          <w:szCs w:val="20"/>
          <w:color w:val="auto"/>
        </w:rPr>
      </w:pPr>
    </w:p>
    <w:p>
      <w:pPr>
        <w:sectPr>
          <w:pgSz w:w="11900" w:h="16838" w:orient="portrait"/>
          <w:cols w:equalWidth="0" w:num="2">
            <w:col w:w="5220" w:space="720"/>
            <w:col w:w="5300"/>
          </w:cols>
          <w:pgMar w:left="320" w:top="270" w:right="339" w:bottom="1440" w:gutter="0" w:footer="0" w:header="0"/>
          <w:type w:val="continuous"/>
        </w:sectPr>
      </w:pPr>
    </w:p>
    <w:p>
      <w:pPr>
        <w:ind w:left="60"/>
        <w:spacing w:after="0"/>
        <w:rPr>
          <w:sz w:val="20"/>
          <w:szCs w:val="20"/>
          <w:color w:val="auto"/>
        </w:rPr>
      </w:pPr>
      <w:r>
        <w:rPr>
          <w:rFonts w:ascii="Times New Roman" w:cs="Times New Roman" w:eastAsia="Times New Roman" w:hAnsi="Times New Roman"/>
          <w:sz w:val="14"/>
          <w:szCs w:val="14"/>
          <w:i w:val="1"/>
          <w:iCs w:val="1"/>
          <w:color w:val="auto"/>
        </w:rPr>
        <w:t>decline rates based on 10-yr Compound Annual Growth Rate (CAGR)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i w:val="1"/>
          <w:iCs w:val="1"/>
          <w:color w:val="auto"/>
        </w:rPr>
        <w:t>on 10-yr CAGR</w:t>
      </w:r>
    </w:p>
    <w:p>
      <w:pPr>
        <w:spacing w:after="0" w:line="200" w:lineRule="exact"/>
        <w:rPr>
          <w:sz w:val="20"/>
          <w:szCs w:val="20"/>
          <w:color w:val="auto"/>
        </w:rPr>
      </w:pPr>
    </w:p>
    <w:p>
      <w:pPr>
        <w:sectPr>
          <w:pgSz w:w="11900" w:h="16838" w:orient="portrait"/>
          <w:cols w:equalWidth="0" w:num="2">
            <w:col w:w="5220" w:space="720"/>
            <w:col w:w="5300"/>
          </w:cols>
          <w:pgMar w:left="320" w:top="270" w:right="339" w:bottom="1440" w:gutter="0" w:footer="0" w:header="0"/>
          <w:type w:val="continuous"/>
        </w:sectPr>
      </w:pPr>
    </w:p>
    <w:p>
      <w:pPr>
        <w:spacing w:after="0" w:line="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Outlook projects that oil demand will remain above 100 million barrels per day to 2050. Even under the average of IPCC Likely Below 2°C scenarios, oil demand still comes to 66 million barrels per day in 2050 – about two thirds of current consumption.</w:t>
      </w:r>
    </w:p>
    <w:p>
      <w:pPr>
        <w:spacing w:after="0" w:line="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Outlook shows oil production declines at a rate of about 15 percent per year. At that rate, in the absence of continued investment, by 2030 oil supplies would fall from 100 million barrels per day to less than 30 million barrels, more than 70 million barrels per day short of what is needed to meet demand. Limiting investment to only existing fields would slow the decline to about 4 percent; however, this would still be well below the oil demand in the IEA APS and average of IPCC Likely Below 2°C scenarios.</w:t>
      </w:r>
    </w:p>
    <w:p>
      <w:pPr>
        <w:spacing w:after="0" w:line="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meet projected demand, the Corporation anticipates that the world’s available oil and gas resource base will grow, not only from new discoveries, but also from increases in previously discovered fields. Technology will underpin these increases. The investments to develop and supply resources to meet global demand through 2050 will be significant and would be needed to meet even rapidly declining demand for oil and gas envisioned in aggressive decarbonization scenarios.</w:t>
      </w:r>
    </w:p>
    <w:p>
      <w:pPr>
        <w:spacing w:after="0" w:line="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International accords and underlying regional and national regulations covering greenhouse gas emissions continue to evolve with uncertain timing and outcome, making it difficult to predict their business impact. For many years, the Corporation has taken into account policies established to reduce energy-related greenhouse gas emissions in its long-term Outlook. The climate accord reached at the 2015 Conference of the Parties (COP 21) in Paris set many new goals, and many related policies are still emerging. Our Outlook reflects an environment with increasingly stringent climate policies and seeks to identify potential impacts of these climate-related government policies, which often target specific sectors. For purposes of the Outlook, a proxy cost on energy-related CO2 emissions is assumed, based on regional considerations and relative levels of economic development, and by 2050, reaches up to $150 per metric ton for OECD nations and up to $100 per metric ton for non-OECD nations. As people and nations look for ways to reduce risks of global climate change, they will continue to need practical solutions that do not jeopardize the affordability or reliability of the energy they need. The Corporation continues to monitor the updates to the Nationally Determined Contributions (NDCs) that are submitted by nations that are signatories to the Paris Agreement, as well as other policy developments in light of net-zero ambitions formulated by some nations.</w:t>
      </w:r>
    </w:p>
    <w:p>
      <w:pPr>
        <w:spacing w:after="0" w:line="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provided in the Outlook includes ExxonMobil’s internal estimates and projections based upon internal data and analyses as well as publicly available information from external sources including the International Energy Agency.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21"/>
          <w:szCs w:val="21"/>
          <w:b w:val="1"/>
          <w:bCs w:val="1"/>
          <w:color w:val="0C479D"/>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479D"/>
        </w:rPr>
        <w:t>Progress Reducing Emissions</w:t>
      </w:r>
    </w:p>
    <w:p>
      <w:pPr>
        <w:spacing w:after="0" w:line="1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The Corporation’s strategy seeks to maximize the advantages of our scale, business integration, leading technology, execution excellence, and our people to build globally competitive businesses that lead industry in earnings and cash flow growth across a range of future scenarios. We strive to play a leading role, regardless of how an energy transition unfolds. Across our portfolio of opportunities, we retain investment flexibility to maximize shareholder value. With advancements in technology and clear, consistent, stable, and effective government policies, we aim to achieve net-zero Scope 1 and 2 greenhouse gas emissions in our operated assets by 2050. Our net-zero ambition is backed by a comprehensive approach centered on detailed emission-reduction roadmaps for our major operated assets that were completed in 2022. The roadmaps build on the Company’s 2030 emission-intensity reduction plans and, notably, include reaching net-zero Scope 1 and 2 emissions in our heritage Permian Basin </w:t>
      </w:r>
      <w:r>
        <w:rPr>
          <w:rFonts w:ascii="Times New Roman" w:cs="Times New Roman" w:eastAsia="Times New Roman" w:hAnsi="Times New Roman"/>
          <w:sz w:val="23"/>
          <w:szCs w:val="23"/>
          <w:i w:val="1"/>
          <w:iCs w:val="1"/>
          <w:color w:val="auto"/>
          <w:vertAlign w:val="superscript"/>
        </w:rPr>
        <w:t>(1)</w:t>
      </w:r>
      <w:r>
        <w:rPr>
          <w:rFonts w:ascii="Times New Roman" w:cs="Times New Roman" w:eastAsia="Times New Roman" w:hAnsi="Times New Roman"/>
          <w:sz w:val="18"/>
          <w:szCs w:val="18"/>
          <w:color w:val="auto"/>
        </w:rPr>
        <w:t xml:space="preserve"> unconventional operated assets by 2030, and by 2035 for Pioneer assets. We continue to update the roadmaps, including to account for portfolio changes, to reflect technology and policy, and to account for the many potential pathways, and the pace of an energy transition.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Compared to 2016 levels, our 2030 plans are expected to drive the following reductions:</w:t>
      </w:r>
    </w:p>
    <w:p>
      <w:pPr>
        <w:spacing w:after="0" w:line="90"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20-30 percent reduction in corporate-wide greenhouse gas intensity;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70-80 percent reduction in corporate-wide methane intensity;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40-50 percent reduction in upstream greenhouse gas intensity;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60-70 percent reduction in corporate-wide flaring intensity.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emission-reduction plans and 2050 net-zero ambition cover Scope 1 and 2 emissions from assets we operate, which now include Pioneer and Denbury.</w:t>
      </w:r>
    </w:p>
    <w:p>
      <w:pPr>
        <w:spacing w:after="0" w:line="1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Corporation plans to continue to pursue advantaged growth opportunities and lower-emission investments. These investments are targeted at reducing emissions in the Company’s operations as well as reducing the emissions of other companies. At this early stage, stable and supportive policy remains critical to enable emissions reductions, advance technology, and drive scale to improve costs.</w:t>
      </w:r>
    </w:p>
    <w:p>
      <w:pPr>
        <w:spacing w:after="0" w:line="4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ExxonMobil’s Low Carbon Solutions business is working with the Product Solutions and Upstream businesses to grow a pipeline of emission-reduction opportunities in carbon capture and storage, hydrogen, lower-emission fuels, Proxxima</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systems, and carbon materials, as well as lithium to supply the global battery and electric vehicle markets. Our customers, many governments, and strategic partners recognize our combination of experience, skills, and capabilities that have the potential to help reduce emissions for ourselves and others. For example, on the U.S. Gulf Coast, we see an opportunity to create a carbon capture and storage business that will enable industrial customers to reduce their emissions. The acquisition of Denbury expanded our capabilities in this area, providing ExxonMobil with the largest owned and operated network of CO2 pipelines in the United States, including more than 900 miles of pipelines and multiple CO2 storage sites near the largest industrial complexes on the Gulf Coast. Combining Denbury’s assets and our experience we have created the largest CO2 network in the world which gives us a unique ability to help customers in the region reduce their emissions at a lower cost and faster pace. A cost-efficient transportation and storage system has the potential to accelerate carbon capture and storage deployment for both ExxonMobil and our third-party customers. Stable policy support, along with technology advancements and the development of market-driven mechanisms, will continue to be important to the development and deployment of lower-emission solutions.</w:t>
      </w:r>
    </w:p>
    <w:p>
      <w:pPr>
        <w:spacing w:after="0" w:line="80" w:lineRule="exact"/>
        <w:rPr>
          <w:sz w:val="20"/>
          <w:szCs w:val="20"/>
          <w:color w:val="auto"/>
        </w:rPr>
      </w:pPr>
    </w:p>
    <w:p>
      <w:pPr>
        <w:ind w:left="140" w:hanging="132"/>
        <w:spacing w:after="0"/>
        <w:tabs>
          <w:tab w:leader="none" w:pos="140" w:val="left"/>
        </w:tabs>
        <w:numPr>
          <w:ilvl w:val="0"/>
          <w:numId w:val="22"/>
        </w:numPr>
        <w:rPr>
          <w:rFonts w:ascii="Times New Roman" w:cs="Times New Roman" w:eastAsia="Times New Roman" w:hAnsi="Times New Roman"/>
          <w:sz w:val="16"/>
          <w:szCs w:val="16"/>
          <w:i w:val="1"/>
          <w:iCs w:val="1"/>
          <w:color w:val="auto"/>
          <w:vertAlign w:val="superscript"/>
        </w:rPr>
      </w:pPr>
      <w:r>
        <w:rPr>
          <w:rFonts w:ascii="Times New Roman" w:cs="Times New Roman" w:eastAsia="Times New Roman" w:hAnsi="Times New Roman"/>
          <w:sz w:val="14"/>
          <w:szCs w:val="14"/>
          <w:i w:val="1"/>
          <w:iCs w:val="1"/>
          <w:color w:val="auto"/>
        </w:rPr>
        <w:t>H</w:t>
      </w:r>
      <w:r>
        <w:rPr>
          <w:rFonts w:ascii="Times New Roman" w:cs="Times New Roman" w:eastAsia="Times New Roman" w:hAnsi="Times New Roman"/>
          <w:sz w:val="12"/>
          <w:szCs w:val="12"/>
          <w:i w:val="1"/>
          <w:iCs w:val="1"/>
          <w:color w:val="auto"/>
        </w:rPr>
        <w:t>eritage Permian Basin assets exclude assets acquired as part of the acquisition of Pioneer that closed May 3, 2024.</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1"/>
          <w:szCs w:val="21"/>
          <w:b w:val="1"/>
          <w:bCs w:val="1"/>
          <w:color w:val="0C479D"/>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479D"/>
        </w:rPr>
        <w:t>Recent Business Environment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2024, the price of crude oil remained near the middle of the pre-COVID 10-year range (2010-2019), as markets remained balanced. Through the first nine months of the year, natural gas prices declined towards the middle of the 10-year range due to strong supply and lower demand. In the fourth quarter, natural gas prices increased on rising demand driven by colder weather in the U.S. and Europe.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Refining margins declined in 2024 from high 2023 levels as increased supply from industry capacity additions outpaced record global demand and remain near the bottom of the 10-year range. Chemical margins improved slightly in 2024 but remained well below the 10-year range driven by over-supply, primarily in Asia.</w:t>
      </w:r>
    </w:p>
    <w:p>
      <w:pPr>
        <w:spacing w:after="0" w:line="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general rate of inflation across major countries peaked in 2022, rising from already elevated levels in 2021, due to additional impacts on energy and other commodities from the Russia-Ukraine conflict. Inflation has trended down since 2023 as a result of aggressive monetary tightening by major central banks and slowing global economic growth. However, there has been significant variation on the pace of change across OECD and non-OECD countries. With inflation gradually approaching the official targets in the U.S. and Eurozone, the Federal Reserve and the European Central Bank began lowering interest rates in 2024. Meanwhile, China has been under persistent deflationary pressure since 2023.</w:t>
      </w:r>
    </w:p>
    <w:p>
      <w:pPr>
        <w:spacing w:after="0" w:line="6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Corporation closely monitors market trends and works to mitigate both operating and capital cost impacts in all price environments. Organizational changes implemented over the past several years enabled the Corporation to capture $12.1 billion of structural cost savings</w:t>
      </w:r>
      <w:r>
        <w:rPr>
          <w:rFonts w:ascii="Times New Roman" w:cs="Times New Roman" w:eastAsia="Times New Roman" w:hAnsi="Times New Roman"/>
          <w:sz w:val="23"/>
          <w:szCs w:val="23"/>
          <w:i w:val="1"/>
          <w:iCs w:val="1"/>
          <w:color w:val="auto"/>
          <w:vertAlign w:val="superscript"/>
        </w:rPr>
        <w:t>(1)</w:t>
      </w:r>
      <w:r>
        <w:rPr>
          <w:rFonts w:ascii="Times New Roman" w:cs="Times New Roman" w:eastAsia="Times New Roman" w:hAnsi="Times New Roman"/>
          <w:sz w:val="18"/>
          <w:szCs w:val="18"/>
          <w:color w:val="auto"/>
        </w:rPr>
        <w:t xml:space="preserve"> versus 2019, including $2.4 billion of savings during 2024, through increased operational efficiencies, workforce reductions, divestment-related reductions, and other cost-saving measures. The Company sees additional opportunities in areas such as supply chain efficiency, improved maintenance and turnarounds, modernized data management, centralization of activities, and simplified business processes. These savings are key drivers to further reduce our structural costs by $6 billion by 2030, thereby improving the earnings power of the Corporation.</w:t>
      </w:r>
    </w:p>
    <w:p>
      <w:pPr>
        <w:spacing w:after="0" w:line="41" w:lineRule="exact"/>
        <w:rPr>
          <w:sz w:val="20"/>
          <w:szCs w:val="20"/>
          <w:color w:val="auto"/>
        </w:rPr>
      </w:pPr>
    </w:p>
    <w:p>
      <w:pPr>
        <w:ind w:left="160" w:hanging="152"/>
        <w:spacing w:after="0"/>
        <w:tabs>
          <w:tab w:leader="none" w:pos="160" w:val="left"/>
        </w:tabs>
        <w:numPr>
          <w:ilvl w:val="0"/>
          <w:numId w:val="23"/>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 xml:space="preserve">Refer to </w:t>
      </w:r>
      <w:r>
        <w:rPr>
          <w:rFonts w:ascii="Times New Roman" w:cs="Times New Roman" w:eastAsia="Times New Roman" w:hAnsi="Times New Roman"/>
          <w:sz w:val="14"/>
          <w:szCs w:val="14"/>
          <w:i w:val="1"/>
          <w:iCs w:val="1"/>
          <w:color w:val="0000FF"/>
        </w:rPr>
        <w:t>Frequently Used Terms</w:t>
      </w:r>
      <w:r>
        <w:rPr>
          <w:rFonts w:ascii="Times New Roman" w:cs="Times New Roman" w:eastAsia="Times New Roman" w:hAnsi="Times New Roman"/>
          <w:sz w:val="14"/>
          <w:szCs w:val="14"/>
          <w:i w:val="1"/>
          <w:iCs w:val="1"/>
          <w:color w:val="auto"/>
        </w:rPr>
        <w:t xml:space="preserve"> for definition of structural cost savings.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479D"/>
        </w:rPr>
        <w:t>Transportation of Kazakhstan Production</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Corporation holds a 25 percent interest in Tengizchevroil, LLP (TCO), which operates the Tengiz and Korolev oil fields in Kazakhstan, and a 16.8 percent working interest in the Kashagan field in Kazakhstan. Oil production from those operations is exported primarily through the Caspian Pipeline Consortium (CPC), in which the Corporation holds a 7.5 percent interest. CPC traverses parts of Kazakhstan and Russia to tanker-loading facilities on the Russian coast of the Black Sea. In the event geopolitical issues escalate in the region, including ongoing military conflict, it is possible that the transportation of Kazakhstan oil through the CPC pipeline could be disrupted, curtailed, temporarily suspended, or otherwise restricted. In such a case, the Corporation could experience a loss of cash flows of uncertain duration from its operations in Kazakhstan. For reference, after-tax earnings related to the Corporation’s interests in Kazakhstan in 2024 were approximately $1.9 billion, and its share of combined oil and gas production was approximately 260 thousand oil-equivalent barrels per day.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1"/>
          <w:szCs w:val="21"/>
          <w:b w:val="1"/>
          <w:bCs w:val="1"/>
          <w:color w:val="0C479D"/>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C479D"/>
        </w:rPr>
        <w:t>BUSINESS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2914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FFFFFF"/>
        </w:rPr>
        <w:t>Upstream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-148590</wp:posOffset>
            </wp:positionV>
            <wp:extent cx="5709285" cy="2311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09285" cy="231140"/>
                    </a:xfrm>
                    <a:prstGeom prst="rect">
                      <a:avLst/>
                    </a:prstGeom>
                    <a:noFill/>
                  </pic:spPr>
                </pic:pic>
              </a:graphicData>
            </a:graphic>
          </wp:anchor>
        </w:drawing>
      </w:r>
    </w:p>
    <w:p>
      <w:pPr>
        <w:spacing w:after="0" w:line="2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ExxonMobil has a diverse growth portfolio of exploration and development opportunities, which allows the Corporation to be selective in our investments, maximizing shareholder value and mitigating political and technical risks. ExxonMobil’s competitive strengths enable the Upstream’s business strategy, which is focused on developing an industry-leading portfolio underpinned by advantaged growth projects, applying ExxonMobil’s technology to enhance value and improve development efficiency, and leveraging the unique capabilities of the Company's global projects organization to deliver projects on time and in line with budgets.</w:t>
      </w:r>
    </w:p>
    <w:p>
      <w:pPr>
        <w:spacing w:after="0" w:line="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Upstream capital program is focused on low cost-of-supply opportunities. ExxonMobil has a strong pipeline of development projects, including continued growth in Guyana and the Permian Basin, as well as LNG expansion opportunities in Qatar, Mozambique, Papua New Guinea, and the United States. As future development projects and drilling activities bring new production online, the Corporation expects a shift in the geographic mix and in the type of opportunities from which volumes are produced. Based on the current investment plans, the proportion of oil-equivalent production from the Americas is generally expected to increase over the next several years. Currently about two thirds of the Corporation's global production comes from unconventional, deepwater, and LNG resources. This proportion is generally expected to grow.</w:t>
      </w:r>
    </w:p>
    <w:p>
      <w:pPr>
        <w:spacing w:after="0" w:line="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Corporation anticipates several projects will come online over the next few years providing additional production capacity. However, actual volumes will vary from year to year due to the timing of individual project start-ups, operational outages, reservoir performance, regulatory changes, the impact of fiscal and commercial terms, asset sales, weather events, price effects on production sharing contracts, changes in the amount and timing of capital investments that may vary depending on the oil and gas price environment, international trade patterns and relations, and other factors described in </w:t>
      </w:r>
      <w:r>
        <w:rPr>
          <w:rFonts w:ascii="Times New Roman" w:cs="Times New Roman" w:eastAsia="Times New Roman" w:hAnsi="Times New Roman"/>
          <w:sz w:val="18"/>
          <w:szCs w:val="18"/>
          <w:color w:val="0000FF"/>
        </w:rPr>
        <w:t>Item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1A</w:t>
      </w:r>
      <w:r>
        <w:rPr>
          <w:rFonts w:ascii="Times New Roman" w:cs="Times New Roman" w:eastAsia="Times New Roman" w:hAnsi="Times New Roman"/>
          <w:sz w:val="18"/>
          <w:szCs w:val="18"/>
          <w:color w:val="000000"/>
        </w:rPr>
        <w:t>.</w:t>
      </w:r>
    </w:p>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2024, crude and gas prices were within the pre-COVID 10-year historical range (2010-2019). ExxonMobil believes prices over the long term will continue to be driven by market supply and demand, with the demand side largely being a function of general economic activities, levels of prosperity, technology advances, consumer preference, and government policies. On the supply side, prices may be significantly impacted by political events, the actions of OPEC or OPEC+ and other large government resource owners, alternative energy sources, and other factors.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479D"/>
        </w:rPr>
        <w:t>Key Recent Events</w:t>
      </w:r>
    </w:p>
    <w:p>
      <w:pPr>
        <w:spacing w:after="0" w:line="1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Guyana: </w:t>
      </w:r>
      <w:r>
        <w:rPr>
          <w:rFonts w:ascii="Times New Roman" w:cs="Times New Roman" w:eastAsia="Times New Roman" w:hAnsi="Times New Roman"/>
          <w:sz w:val="18"/>
          <w:szCs w:val="18"/>
          <w:color w:val="auto"/>
        </w:rPr>
        <w:t>Liza Destiny, Liza Unity and Prosperity floating production, storage and offloading (FPSO) vessels continued to produce above investment basis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capacity in 2024. The combined gross production from the three operating vessels exceeded 615 thousand barrels of oil per day (kbd) in 2024 and exceeded 650 kbd in the fourth quarter of 2024. Yellowtail, Uaru and Whiptail, the fourth, fifth and sixth developments on the Stabroek Block, respectively, are progressing on schedule and each has an investment basis capacity of approximately 250 kbd. We announced plans for two additional developments and anticipate eight FPSO vessels will be in operation on the Stabroek Block by year-end 2030. We are working with the government of Guyana to secure regulatory approvals for the seventh project.</w:t>
      </w:r>
    </w:p>
    <w:p>
      <w:pPr>
        <w:spacing w:after="0" w:line="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Permian: </w:t>
      </w:r>
      <w:r>
        <w:rPr>
          <w:rFonts w:ascii="Times New Roman" w:cs="Times New Roman" w:eastAsia="Times New Roman" w:hAnsi="Times New Roman"/>
          <w:sz w:val="18"/>
          <w:szCs w:val="18"/>
          <w:color w:val="auto"/>
        </w:rPr>
        <w:t>ExxonMobil successfully closed the Pioneer Natural Resources Company (Pioneer) acquisition in May 2024, significantly increasing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Permian footprint. Total production volumes averaged approximately 1,185 thousand oil-equivalent barrels per day (koebd) in 2024, approximately 570 koebd higher than the previous year. ExxonMobil operations continue to deliver industry-leading capital efficiency and cost performance by leveraging scale, integration, and technology. Examples include deploying ExxonMobil cube design and proprietary proppant as well as leading capabilities and technology in drilling and completions. ExxonMobil remains on track to achieve industry-leading plans of Scope 1 and 2 net zero greenhouse gas emissions in the heritage Permian Basin </w:t>
      </w:r>
      <w:r>
        <w:rPr>
          <w:rFonts w:ascii="Times New Roman" w:cs="Times New Roman" w:eastAsia="Times New Roman" w:hAnsi="Times New Roman"/>
          <w:sz w:val="9"/>
          <w:szCs w:val="9"/>
          <w:i w:val="1"/>
          <w:iCs w:val="1"/>
          <w:color w:val="auto"/>
        </w:rPr>
        <w:t>(1)</w:t>
      </w:r>
      <w:r>
        <w:rPr>
          <w:rFonts w:ascii="Times New Roman" w:cs="Times New Roman" w:eastAsia="Times New Roman" w:hAnsi="Times New Roman"/>
          <w:sz w:val="18"/>
          <w:szCs w:val="18"/>
          <w:color w:val="auto"/>
        </w:rPr>
        <w:t xml:space="preserve"> unconventional operated assets by 2030, and in Pioneer assets by 2035. ExxonMobil expects to roughly double production in the Permian Basin to approximately 2.3 Moebd by 2030.</w:t>
      </w:r>
    </w:p>
    <w:p>
      <w:pPr>
        <w:spacing w:after="0" w:line="6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LNG: </w:t>
      </w:r>
      <w:r>
        <w:rPr>
          <w:rFonts w:ascii="Times New Roman" w:cs="Times New Roman" w:eastAsia="Times New Roman" w:hAnsi="Times New Roman"/>
          <w:sz w:val="18"/>
          <w:szCs w:val="18"/>
          <w:color w:val="auto"/>
        </w:rPr>
        <w:t>ExxonMobil continued work on LNG growth projects in 2024. Production commenced from two new gas wells in Papua New Guinea (PNG),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marking completion of the Angore project and additional supply to support LNG export from the PNG LNG joint venture. In Mozambique, the Rovuma LNG project began the front-end engineering and design stage in 2024, in support of a final investment decision in 2026, to develop the Area 4 offshore gas resources. Construction continues on the Golden Pass LNG project with Train 1 mechanical completion and first LNG production expected at the end of 2025.</w:t>
      </w:r>
    </w:p>
    <w:p>
      <w:pPr>
        <w:spacing w:after="0" w:line="307" w:lineRule="exact"/>
        <w:rPr>
          <w:sz w:val="20"/>
          <w:szCs w:val="20"/>
          <w:color w:val="auto"/>
        </w:rPr>
      </w:pPr>
    </w:p>
    <w:p>
      <w:pPr>
        <w:ind w:left="140" w:hanging="132"/>
        <w:spacing w:after="0"/>
        <w:tabs>
          <w:tab w:leader="none" w:pos="140" w:val="left"/>
        </w:tabs>
        <w:numPr>
          <w:ilvl w:val="0"/>
          <w:numId w:val="24"/>
        </w:numPr>
        <w:rPr>
          <w:rFonts w:ascii="Times New Roman" w:cs="Times New Roman" w:eastAsia="Times New Roman" w:hAnsi="Times New Roman"/>
          <w:sz w:val="16"/>
          <w:szCs w:val="16"/>
          <w:i w:val="1"/>
          <w:iCs w:val="1"/>
          <w:color w:val="auto"/>
          <w:vertAlign w:val="superscript"/>
        </w:rPr>
      </w:pPr>
      <w:r>
        <w:rPr>
          <w:rFonts w:ascii="Times New Roman" w:cs="Times New Roman" w:eastAsia="Times New Roman" w:hAnsi="Times New Roman"/>
          <w:sz w:val="14"/>
          <w:szCs w:val="14"/>
          <w:i w:val="1"/>
          <w:iCs w:val="1"/>
          <w:color w:val="auto"/>
        </w:rPr>
        <w:t>H</w:t>
      </w:r>
      <w:r>
        <w:rPr>
          <w:rFonts w:ascii="Times New Roman" w:cs="Times New Roman" w:eastAsia="Times New Roman" w:hAnsi="Times New Roman"/>
          <w:sz w:val="12"/>
          <w:szCs w:val="12"/>
          <w:i w:val="1"/>
          <w:iCs w:val="1"/>
          <w:color w:val="auto"/>
        </w:rPr>
        <w:t>eritage Permian Basin assets exclude assets acquired as part of the acquisition of Pioneer that closed May 3, 2024.</w:t>
      </w: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21"/>
          <w:szCs w:val="21"/>
          <w:b w:val="1"/>
          <w:bCs w:val="1"/>
          <w:color w:val="0C479D"/>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479D"/>
        </w:rPr>
        <w:t>Upstream Financial Results</w:t>
      </w:r>
    </w:p>
    <w:p>
      <w:pPr>
        <w:spacing w:after="0" w:line="58" w:lineRule="exact"/>
        <w:rPr>
          <w:sz w:val="20"/>
          <w:szCs w:val="20"/>
          <w:color w:val="auto"/>
        </w:rPr>
      </w:pPr>
    </w:p>
    <w:tbl>
      <w:tblPr>
        <w:tblLayout w:type="fixed"/>
        <w:tblInd w:w="800" w:type="dxa"/>
        <w:tblCellMar>
          <w:top w:w="0" w:type="dxa"/>
          <w:left w:w="0" w:type="dxa"/>
          <w:bottom w:w="0" w:type="dxa"/>
          <w:right w:w="0" w:type="dxa"/>
        </w:tblCellMar>
      </w:tblPr>
      <w:tr>
        <w:trPr>
          <w:trHeight w:val="250"/>
        </w:trPr>
        <w:tc>
          <w:tcPr>
            <w:tcW w:w="6520" w:type="dxa"/>
            <w:vAlign w:val="bottom"/>
            <w:tcBorders>
              <w:bottom w:val="single" w:sz="8" w:color="0C479D"/>
            </w:tcBorders>
            <w:shd w:val="clear" w:color="auto" w:fill="0C479D"/>
          </w:tcPr>
          <w:p>
            <w:pPr>
              <w:ind w:left="20"/>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940" w:type="dxa"/>
            <w:vAlign w:val="bottom"/>
            <w:tcBorders>
              <w:bottom w:val="single" w:sz="8" w:color="0C479D"/>
            </w:tcBorders>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1340" w:type="dxa"/>
            <w:vAlign w:val="bottom"/>
            <w:tcBorders>
              <w:bottom w:val="single" w:sz="8" w:color="0C479D"/>
            </w:tcBorders>
            <w:shd w:val="clear" w:color="auto" w:fill="0C479D"/>
          </w:tcPr>
          <w:p>
            <w:pPr>
              <w:jc w:val="right"/>
              <w:ind w:right="172"/>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860" w:type="dxa"/>
            <w:vAlign w:val="bottom"/>
            <w:tcBorders>
              <w:bottom w:val="single" w:sz="8" w:color="0C479D"/>
            </w:tcBorders>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2022</w:t>
            </w:r>
          </w:p>
        </w:tc>
      </w:tr>
      <w:tr>
        <w:trPr>
          <w:trHeight w:val="238"/>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C479D"/>
              </w:rPr>
              <w:t>Earnings (loss) (U.S. GAAP)</w:t>
            </w:r>
          </w:p>
        </w:tc>
        <w:tc>
          <w:tcPr>
            <w:tcW w:w="940" w:type="dxa"/>
            <w:vAlign w:val="bottom"/>
            <w:shd w:val="clear" w:color="auto" w:fill="F0F0F0"/>
          </w:tcPr>
          <w:p>
            <w:pPr>
              <w:spacing w:after="0"/>
              <w:rPr>
                <w:sz w:val="20"/>
                <w:szCs w:val="20"/>
                <w:color w:val="auto"/>
              </w:rPr>
            </w:pPr>
          </w:p>
        </w:tc>
        <w:tc>
          <w:tcPr>
            <w:tcW w:w="13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5"/>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9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6,426</w:t>
            </w:r>
          </w:p>
        </w:tc>
        <w:tc>
          <w:tcPr>
            <w:tcW w:w="13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4,202</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11,728</w:t>
            </w:r>
          </w:p>
        </w:tc>
      </w:tr>
      <w:tr>
        <w:trPr>
          <w:trHeight w:val="297"/>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Non-U.S.</w:t>
            </w:r>
          </w:p>
        </w:tc>
        <w:tc>
          <w:tcPr>
            <w:tcW w:w="94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18,964</w:t>
            </w:r>
          </w:p>
        </w:tc>
        <w:tc>
          <w:tcPr>
            <w:tcW w:w="13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17,106</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24,751</w:t>
            </w:r>
          </w:p>
        </w:tc>
      </w:tr>
      <w:tr>
        <w:trPr>
          <w:trHeight w:val="244"/>
        </w:trPr>
        <w:tc>
          <w:tcPr>
            <w:tcW w:w="6520" w:type="dxa"/>
            <w:vAlign w:val="bottom"/>
            <w:tcBorders>
              <w:top w:val="single" w:sz="8" w:color="0C479D"/>
              <w:bottom w:val="single" w:sz="8" w:color="0C479D"/>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top w:val="single" w:sz="8" w:color="0C479D"/>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25,390</w:t>
            </w:r>
          </w:p>
        </w:tc>
        <w:tc>
          <w:tcPr>
            <w:tcW w:w="1340" w:type="dxa"/>
            <w:vAlign w:val="bottom"/>
            <w:tcBorders>
              <w:top w:val="single" w:sz="8" w:color="0C479D"/>
              <w:bottom w:val="single" w:sz="8" w:color="0C479D"/>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21,308</w:t>
            </w:r>
          </w:p>
        </w:tc>
        <w:tc>
          <w:tcPr>
            <w:tcW w:w="860" w:type="dxa"/>
            <w:vAlign w:val="bottom"/>
            <w:tcBorders>
              <w:top w:val="single" w:sz="8" w:color="0C479D"/>
              <w:bottom w:val="single" w:sz="8" w:color="0C479D"/>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36,479</w:t>
            </w:r>
          </w:p>
        </w:tc>
      </w:tr>
      <w:tr>
        <w:trPr>
          <w:trHeight w:val="378"/>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C479D"/>
              </w:rPr>
              <w:t xml:space="preserve">Identified Items </w:t>
            </w:r>
            <w:r>
              <w:rPr>
                <w:rFonts w:ascii="Times New Roman" w:cs="Times New Roman" w:eastAsia="Times New Roman" w:hAnsi="Times New Roman"/>
                <w:sz w:val="9"/>
                <w:szCs w:val="9"/>
                <w:i w:val="1"/>
                <w:iCs w:val="1"/>
                <w:color w:val="0C479D"/>
              </w:rPr>
              <w:t>(1)</w:t>
            </w:r>
          </w:p>
        </w:tc>
        <w:tc>
          <w:tcPr>
            <w:tcW w:w="940" w:type="dxa"/>
            <w:vAlign w:val="bottom"/>
            <w:shd w:val="clear" w:color="auto" w:fill="F0F0F0"/>
          </w:tcPr>
          <w:p>
            <w:pPr>
              <w:spacing w:after="0"/>
              <w:rPr>
                <w:sz w:val="24"/>
                <w:szCs w:val="24"/>
                <w:color w:val="auto"/>
              </w:rPr>
            </w:pPr>
          </w:p>
        </w:tc>
        <w:tc>
          <w:tcPr>
            <w:tcW w:w="13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84"/>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9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3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(1,489)</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299</w:t>
            </w:r>
          </w:p>
        </w:tc>
      </w:tr>
      <w:tr>
        <w:trPr>
          <w:trHeight w:val="297"/>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Non-U.S.</w:t>
            </w:r>
          </w:p>
        </w:tc>
        <w:tc>
          <w:tcPr>
            <w:tcW w:w="94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3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(812)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w:t>
            </w:r>
          </w:p>
        </w:tc>
      </w:tr>
      <w:tr>
        <w:trPr>
          <w:trHeight w:val="243"/>
        </w:trPr>
        <w:tc>
          <w:tcPr>
            <w:tcW w:w="6520" w:type="dxa"/>
            <w:vAlign w:val="bottom"/>
            <w:tcBorders>
              <w:top w:val="single" w:sz="8" w:color="0C479D"/>
              <w:bottom w:val="single" w:sz="8" w:color="0C479D"/>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top w:val="single" w:sz="8" w:color="0C479D"/>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215</w:t>
            </w:r>
          </w:p>
        </w:tc>
        <w:tc>
          <w:tcPr>
            <w:tcW w:w="1340" w:type="dxa"/>
            <w:vAlign w:val="bottom"/>
            <w:tcBorders>
              <w:top w:val="single" w:sz="8" w:color="0C479D"/>
              <w:bottom w:val="single" w:sz="8" w:color="0C479D"/>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(2,301)</w:t>
            </w:r>
          </w:p>
        </w:tc>
        <w:tc>
          <w:tcPr>
            <w:tcW w:w="860" w:type="dxa"/>
            <w:vAlign w:val="bottom"/>
            <w:tcBorders>
              <w:top w:val="single" w:sz="8" w:color="0C479D"/>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(2,939)</w:t>
            </w:r>
          </w:p>
        </w:tc>
      </w:tr>
      <w:tr>
        <w:trPr>
          <w:trHeight w:val="48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C479D"/>
              </w:rPr>
              <w:t xml:space="preserve">Earnings (loss) excluding Identified Items </w:t>
            </w:r>
            <w:r>
              <w:rPr>
                <w:rFonts w:ascii="Times New Roman" w:cs="Times New Roman" w:eastAsia="Times New Roman" w:hAnsi="Times New Roman"/>
                <w:sz w:val="9"/>
                <w:szCs w:val="9"/>
                <w:i w:val="1"/>
                <w:iCs w:val="1"/>
                <w:color w:val="0C479D"/>
              </w:rPr>
              <w:t>(1)</w:t>
            </w:r>
            <w:r>
              <w:rPr>
                <w:rFonts w:ascii="Times New Roman" w:cs="Times New Roman" w:eastAsia="Times New Roman" w:hAnsi="Times New Roman"/>
                <w:sz w:val="18"/>
                <w:szCs w:val="18"/>
                <w:b w:val="1"/>
                <w:bCs w:val="1"/>
                <w:color w:val="0C479D"/>
              </w:rPr>
              <w:t xml:space="preserve"> </w:t>
            </w:r>
            <w:r>
              <w:rPr>
                <w:rFonts w:ascii="Times New Roman" w:cs="Times New Roman" w:eastAsia="Times New Roman" w:hAnsi="Times New Roman"/>
                <w:sz w:val="18"/>
                <w:szCs w:val="18"/>
                <w:color w:val="0C479D"/>
              </w:rPr>
              <w:t>(Non-GAAP)</w:t>
            </w:r>
          </w:p>
        </w:tc>
        <w:tc>
          <w:tcPr>
            <w:tcW w:w="940" w:type="dxa"/>
            <w:vAlign w:val="bottom"/>
            <w:shd w:val="clear" w:color="auto" w:fill="F0F0F0"/>
          </w:tcPr>
          <w:p>
            <w:pPr>
              <w:spacing w:after="0"/>
              <w:rPr>
                <w:sz w:val="24"/>
                <w:szCs w:val="24"/>
                <w:color w:val="auto"/>
              </w:rPr>
            </w:pPr>
          </w:p>
        </w:tc>
        <w:tc>
          <w:tcPr>
            <w:tcW w:w="13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9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6,786</w:t>
            </w:r>
          </w:p>
        </w:tc>
        <w:tc>
          <w:tcPr>
            <w:tcW w:w="13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5,691</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11,429</w:t>
            </w:r>
          </w:p>
        </w:tc>
      </w:tr>
      <w:tr>
        <w:trPr>
          <w:trHeight w:val="297"/>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Non-U.S.</w:t>
            </w:r>
          </w:p>
        </w:tc>
        <w:tc>
          <w:tcPr>
            <w:tcW w:w="94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18,389</w:t>
            </w:r>
          </w:p>
        </w:tc>
        <w:tc>
          <w:tcPr>
            <w:tcW w:w="13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17,918</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27,989</w:t>
            </w:r>
          </w:p>
        </w:tc>
      </w:tr>
      <w:tr>
        <w:trPr>
          <w:trHeight w:val="244"/>
        </w:trPr>
        <w:tc>
          <w:tcPr>
            <w:tcW w:w="6520" w:type="dxa"/>
            <w:vAlign w:val="bottom"/>
            <w:tcBorders>
              <w:top w:val="single" w:sz="8" w:color="0C479D"/>
              <w:bottom w:val="single" w:sz="8" w:color="0C479D"/>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tcBorders>
              <w:top w:val="single" w:sz="8" w:color="0C479D"/>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25,175</w:t>
            </w:r>
          </w:p>
        </w:tc>
        <w:tc>
          <w:tcPr>
            <w:tcW w:w="1340" w:type="dxa"/>
            <w:vAlign w:val="bottom"/>
            <w:tcBorders>
              <w:top w:val="single" w:sz="8" w:color="0C479D"/>
              <w:bottom w:val="single" w:sz="8" w:color="0C479D"/>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23,609</w:t>
            </w:r>
          </w:p>
        </w:tc>
        <w:tc>
          <w:tcPr>
            <w:tcW w:w="860" w:type="dxa"/>
            <w:vAlign w:val="bottom"/>
            <w:tcBorders>
              <w:top w:val="single" w:sz="8" w:color="0C479D"/>
              <w:bottom w:val="single" w:sz="8" w:color="0C479D"/>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39,418</w:t>
            </w:r>
          </w:p>
        </w:tc>
      </w:tr>
    </w:tbl>
    <w:p>
      <w:pPr>
        <w:spacing w:after="0" w:line="83" w:lineRule="exact"/>
        <w:rPr>
          <w:sz w:val="20"/>
          <w:szCs w:val="20"/>
          <w:color w:val="auto"/>
        </w:rPr>
      </w:pPr>
    </w:p>
    <w:p>
      <w:pPr>
        <w:ind w:left="960" w:hanging="144"/>
        <w:spacing w:after="0"/>
        <w:tabs>
          <w:tab w:leader="none" w:pos="960" w:val="left"/>
        </w:tabs>
        <w:numPr>
          <w:ilvl w:val="0"/>
          <w:numId w:val="25"/>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 xml:space="preserve">Refer to </w:t>
      </w:r>
      <w:r>
        <w:rPr>
          <w:rFonts w:ascii="Times New Roman" w:cs="Times New Roman" w:eastAsia="Times New Roman" w:hAnsi="Times New Roman"/>
          <w:sz w:val="14"/>
          <w:szCs w:val="14"/>
          <w:i w:val="1"/>
          <w:iCs w:val="1"/>
          <w:color w:val="0000FF"/>
        </w:rPr>
        <w:t>Frequently Used Terms</w:t>
      </w:r>
      <w:r>
        <w:rPr>
          <w:rFonts w:ascii="Times New Roman" w:cs="Times New Roman" w:eastAsia="Times New Roman" w:hAnsi="Times New Roman"/>
          <w:sz w:val="14"/>
          <w:szCs w:val="14"/>
          <w:i w:val="1"/>
          <w:iCs w:val="1"/>
          <w:color w:val="auto"/>
        </w:rPr>
        <w:t xml:space="preserve"> for definition of Identified Items and Earnings (loss) excluding Identified Items.</w:t>
      </w:r>
    </w:p>
    <w:p>
      <w:pPr>
        <w:spacing w:after="0" w:line="28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0C479D"/>
        </w:rPr>
        <w:t>2024 Upstream Earnings Driver Analysis</w:t>
      </w:r>
    </w:p>
    <w:p>
      <w:pPr>
        <w:spacing w:after="0" w:line="4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i w:val="1"/>
          <w:iCs w:val="1"/>
          <w:color w:val="auto"/>
        </w:rPr>
        <w:t>(millions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144780</wp:posOffset>
            </wp:positionV>
            <wp:extent cx="5991860" cy="18859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91860"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 Price impacts decreased earnings by $1,250 million, driven by lower gas realizations.</w:t>
      </w:r>
    </w:p>
    <w:p>
      <w:pPr>
        <w:spacing w:after="0" w:line="9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Advantaged Volume Growth – Higher volumes from advantaged projects increased earnings by $3,760 million, as a result of record production in Permian, driven by the Pioneer acquisition and growth in the heritage Permian </w:t>
      </w:r>
      <w:r>
        <w:rPr>
          <w:rFonts w:ascii="Times New Roman" w:cs="Times New Roman" w:eastAsia="Times New Roman" w:hAnsi="Times New Roman"/>
          <w:sz w:val="9"/>
          <w:szCs w:val="9"/>
          <w:i w:val="1"/>
          <w:iCs w:val="1"/>
          <w:color w:val="auto"/>
        </w:rPr>
        <w:t>(2)</w:t>
      </w:r>
      <w:r>
        <w:rPr>
          <w:rFonts w:ascii="Times New Roman" w:cs="Times New Roman" w:eastAsia="Times New Roman" w:hAnsi="Times New Roman"/>
          <w:sz w:val="18"/>
          <w:szCs w:val="18"/>
          <w:color w:val="auto"/>
        </w:rPr>
        <w:t>, and record production in Guyana driven by the Prosperity FPSO start-up.</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 Volume – Divestments of non-strategic assets and entitlements decreased earnings by $820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Structural Cost Savings – Increased earnings by $830 million.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 Higher expenses decreased earnings by $1,350 million, primarily from higher depreciation (non-cash).</w:t>
      </w:r>
    </w:p>
    <w:p>
      <w:pPr>
        <w:spacing w:after="0" w:line="10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Other – All other items increased earnings by $120 million, mainly driven by favorable impacts from divestments, partially offset by unfavorable tax and foreign exchange impacts.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Timing Effects – Less unfavorable timing effects from derivatives mark-to-market impacts increased earnings by $280 million.</w:t>
      </w:r>
    </w:p>
    <w:p>
      <w:pPr>
        <w:spacing w:after="0" w:line="9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 xml:space="preserve">Identified Items </w:t>
      </w:r>
      <w:r>
        <w:rPr>
          <w:rFonts w:ascii="Times New Roman" w:cs="Times New Roman" w:eastAsia="Times New Roman" w:hAnsi="Times New Roman"/>
          <w:sz w:val="9"/>
          <w:szCs w:val="9"/>
          <w:i w:val="1"/>
          <w:iCs w:val="1"/>
          <w:color w:val="auto"/>
        </w:rPr>
        <w:t>(1)</w:t>
      </w:r>
      <w:r>
        <w:rPr>
          <w:rFonts w:ascii="Times New Roman" w:cs="Times New Roman" w:eastAsia="Times New Roman" w:hAnsi="Times New Roman"/>
          <w:sz w:val="18"/>
          <w:szCs w:val="18"/>
          <w:color w:val="auto"/>
        </w:rPr>
        <w:t xml:space="preserve"> – 2023 $(2,301) million loss primarily due to the impairment of the idled Santa Ynez Unit assets and associated facilities in California; 2024 $215 million gain mainly due to Argentina divestment, partly offset by Nigeria divestment and U.S. impairment.</w:t>
      </w:r>
    </w:p>
    <w:p>
      <w:pPr>
        <w:spacing w:after="0" w:line="5" w:lineRule="exact"/>
        <w:rPr>
          <w:sz w:val="20"/>
          <w:szCs w:val="20"/>
          <w:color w:val="auto"/>
        </w:rPr>
      </w:pPr>
    </w:p>
    <w:p>
      <w:pPr>
        <w:ind w:left="160" w:hanging="152"/>
        <w:spacing w:after="0"/>
        <w:tabs>
          <w:tab w:leader="none" w:pos="160" w:val="left"/>
        </w:tabs>
        <w:numPr>
          <w:ilvl w:val="0"/>
          <w:numId w:val="26"/>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 xml:space="preserve">Refer to </w:t>
      </w:r>
      <w:r>
        <w:rPr>
          <w:rFonts w:ascii="Times New Roman" w:cs="Times New Roman" w:eastAsia="Times New Roman" w:hAnsi="Times New Roman"/>
          <w:sz w:val="14"/>
          <w:szCs w:val="14"/>
          <w:i w:val="1"/>
          <w:iCs w:val="1"/>
          <w:color w:val="0000FF"/>
        </w:rPr>
        <w:t>Frequently Used Terms</w:t>
      </w:r>
      <w:r>
        <w:rPr>
          <w:rFonts w:ascii="Times New Roman" w:cs="Times New Roman" w:eastAsia="Times New Roman" w:hAnsi="Times New Roman"/>
          <w:sz w:val="14"/>
          <w:szCs w:val="14"/>
          <w:i w:val="1"/>
          <w:iCs w:val="1"/>
          <w:color w:val="auto"/>
        </w:rPr>
        <w:t xml:space="preserve"> for definition of Identified Items and Earnings (loss) excluding Identified Items.</w:t>
      </w:r>
    </w:p>
    <w:p>
      <w:pPr>
        <w:spacing w:after="0" w:line="75" w:lineRule="exact"/>
        <w:rPr>
          <w:rFonts w:ascii="Times New Roman" w:cs="Times New Roman" w:eastAsia="Times New Roman" w:hAnsi="Times New Roman"/>
          <w:sz w:val="19"/>
          <w:szCs w:val="19"/>
          <w:i w:val="1"/>
          <w:iCs w:val="1"/>
          <w:color w:val="auto"/>
          <w:vertAlign w:val="superscript"/>
        </w:rPr>
      </w:pPr>
    </w:p>
    <w:p>
      <w:pPr>
        <w:ind w:left="140" w:hanging="132"/>
        <w:spacing w:after="0"/>
        <w:tabs>
          <w:tab w:leader="none" w:pos="140" w:val="left"/>
        </w:tabs>
        <w:numPr>
          <w:ilvl w:val="0"/>
          <w:numId w:val="26"/>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6"/>
          <w:szCs w:val="16"/>
          <w:i w:val="1"/>
          <w:iCs w:val="1"/>
          <w:color w:val="auto"/>
        </w:rPr>
        <w:t>H</w:t>
      </w:r>
      <w:r>
        <w:rPr>
          <w:rFonts w:ascii="Times New Roman" w:cs="Times New Roman" w:eastAsia="Times New Roman" w:hAnsi="Times New Roman"/>
          <w:sz w:val="14"/>
          <w:szCs w:val="14"/>
          <w:i w:val="1"/>
          <w:iCs w:val="1"/>
          <w:color w:val="auto"/>
        </w:rPr>
        <w:t>eritage Permian Basin assets exclude assets acquired as part of the acquisition of Pioneer that closed May 3, 2024.</w:t>
      </w: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21"/>
          <w:szCs w:val="21"/>
          <w:b w:val="1"/>
          <w:bCs w:val="1"/>
          <w:color w:val="0C479D"/>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0C479D"/>
        </w:rPr>
        <w:t>2023 Upstream Earnings Driver Analysis</w:t>
      </w:r>
    </w:p>
    <w:p>
      <w:pPr>
        <w:spacing w:after="0" w:line="4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i w:val="1"/>
          <w:iCs w:val="1"/>
          <w:color w:val="auto"/>
        </w:rPr>
        <w:t>(millions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93345</wp:posOffset>
            </wp:positionV>
            <wp:extent cx="5991860" cy="18859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991860"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Price – Lower realizations decreased earnings by $14,290 million, reflecting lower gas prices and crude price moderation resulting from increased inventory levels.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Advantaged Volume Growth – Higher volumes from advantaged assets increased earnings by $1,270 million, driven by Guyana and Permian production.</w:t>
      </w:r>
      <w:r>
        <w:rPr>
          <w:rFonts w:ascii="Times New Roman" w:cs="Times New Roman" w:eastAsia="Times New Roman" w:hAnsi="Times New Roman"/>
          <w:sz w:val="9"/>
          <w:szCs w:val="9"/>
          <w:i w:val="1"/>
          <w:iCs w:val="1"/>
          <w:color w:val="auto"/>
        </w:rPr>
        <w:t>.</w:t>
      </w:r>
    </w:p>
    <w:p>
      <w:pPr>
        <w:spacing w:after="0" w:line="1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 Volume – Base volumes decreased earnings by $800 million as a results of divestments, the Russia expropriation, and higher government-mandated curtailments.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Structural Cost Savings – Increased earnings by $730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 Higher expenses decreased earnings by $650 million, primarily on increased activity and depreciation.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 All other items increased earnings by $320 million, mainly driven by favorable foreign exchange effects.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Timing Effects – Unfavorable timing effects from derivatives mark-to-market impacts decreased earnings by $2,390 million.</w:t>
      </w:r>
    </w:p>
    <w:p>
      <w:pPr>
        <w:spacing w:after="0" w:line="1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Identified Items </w:t>
      </w:r>
      <w:r>
        <w:rPr>
          <w:rFonts w:ascii="Times New Roman" w:cs="Times New Roman" w:eastAsia="Times New Roman" w:hAnsi="Times New Roman"/>
          <w:sz w:val="9"/>
          <w:szCs w:val="9"/>
          <w:i w:val="1"/>
          <w:iCs w:val="1"/>
          <w:color w:val="auto"/>
        </w:rPr>
        <w:t>(1)</w:t>
      </w:r>
      <w:r>
        <w:rPr>
          <w:rFonts w:ascii="Times New Roman" w:cs="Times New Roman" w:eastAsia="Times New Roman" w:hAnsi="Times New Roman"/>
          <w:sz w:val="18"/>
          <w:szCs w:val="18"/>
          <w:color w:val="auto"/>
        </w:rPr>
        <w:t xml:space="preserve"> – 2022 $(2,939) million loss mainly driven by the Russia expropriation $(2,185) million and impacts from additional European taxes $(1,415) million, partly offset by gains of $886 million on the sale of the Romania, U.S. Barnett Shale, and XTO Energy Canada assets; 2023 $(2,301) million loss primarily due to the impairment of the idled Santa Ynez Unit assets and associated facilities in California.</w:t>
      </w:r>
    </w:p>
    <w:p>
      <w:pPr>
        <w:spacing w:after="0" w:line="20" w:lineRule="exact"/>
        <w:rPr>
          <w:sz w:val="20"/>
          <w:szCs w:val="20"/>
          <w:color w:val="auto"/>
        </w:rPr>
      </w:pPr>
    </w:p>
    <w:p>
      <w:pPr>
        <w:ind w:left="160" w:hanging="152"/>
        <w:spacing w:after="0"/>
        <w:tabs>
          <w:tab w:leader="none" w:pos="160" w:val="left"/>
        </w:tabs>
        <w:numPr>
          <w:ilvl w:val="0"/>
          <w:numId w:val="27"/>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 xml:space="preserve">Refer to </w:t>
      </w:r>
      <w:r>
        <w:rPr>
          <w:rFonts w:ascii="Times New Roman" w:cs="Times New Roman" w:eastAsia="Times New Roman" w:hAnsi="Times New Roman"/>
          <w:sz w:val="14"/>
          <w:szCs w:val="14"/>
          <w:i w:val="1"/>
          <w:iCs w:val="1"/>
          <w:color w:val="0000FF"/>
        </w:rPr>
        <w:t>Frequently Used Terms</w:t>
      </w:r>
      <w:r>
        <w:rPr>
          <w:rFonts w:ascii="Times New Roman" w:cs="Times New Roman" w:eastAsia="Times New Roman" w:hAnsi="Times New Roman"/>
          <w:sz w:val="14"/>
          <w:szCs w:val="14"/>
          <w:i w:val="1"/>
          <w:iCs w:val="1"/>
          <w:color w:val="auto"/>
        </w:rPr>
        <w:t xml:space="preserve"> for definition of Identified Items and Earnings (loss) excluding Identified Items.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1"/>
          <w:szCs w:val="21"/>
          <w:b w:val="1"/>
          <w:bCs w:val="1"/>
          <w:color w:val="0C479D"/>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479D"/>
        </w:rPr>
        <w:t>Upstream Operational Results</w:t>
      </w:r>
    </w:p>
    <w:p>
      <w:pPr>
        <w:spacing w:after="0" w:line="58" w:lineRule="exact"/>
        <w:rPr>
          <w:sz w:val="20"/>
          <w:szCs w:val="20"/>
          <w:color w:val="auto"/>
        </w:rPr>
      </w:pPr>
    </w:p>
    <w:tbl>
      <w:tblPr>
        <w:tblLayout w:type="fixed"/>
        <w:tblInd w:w="780" w:type="dxa"/>
        <w:tblCellMar>
          <w:top w:w="0" w:type="dxa"/>
          <w:left w:w="0" w:type="dxa"/>
          <w:bottom w:w="0" w:type="dxa"/>
          <w:right w:w="0" w:type="dxa"/>
        </w:tblCellMar>
      </w:tblPr>
      <w:tr>
        <w:trPr>
          <w:trHeight w:val="250"/>
        </w:trPr>
        <w:tc>
          <w:tcPr>
            <w:tcW w:w="6620" w:type="dxa"/>
            <w:vAlign w:val="bottom"/>
            <w:tcBorders>
              <w:bottom w:val="single" w:sz="8" w:color="0C479D"/>
            </w:tcBorders>
            <w:shd w:val="clear" w:color="auto" w:fill="0C479D"/>
          </w:tcPr>
          <w:p>
            <w:pPr>
              <w:spacing w:after="0"/>
              <w:rPr>
                <w:sz w:val="21"/>
                <w:szCs w:val="21"/>
                <w:color w:val="auto"/>
              </w:rPr>
            </w:pPr>
          </w:p>
        </w:tc>
        <w:tc>
          <w:tcPr>
            <w:tcW w:w="960" w:type="dxa"/>
            <w:vAlign w:val="bottom"/>
            <w:tcBorders>
              <w:bottom w:val="single" w:sz="8" w:color="0C479D"/>
            </w:tcBorders>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1360" w:type="dxa"/>
            <w:vAlign w:val="bottom"/>
            <w:tcBorders>
              <w:bottom w:val="single" w:sz="8" w:color="0C479D"/>
            </w:tcBorders>
            <w:shd w:val="clear" w:color="auto" w:fill="0C479D"/>
          </w:tcPr>
          <w:p>
            <w:pPr>
              <w:jc w:val="right"/>
              <w:ind w:right="231"/>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760" w:type="dxa"/>
            <w:vAlign w:val="bottom"/>
            <w:tcBorders>
              <w:bottom w:val="single" w:sz="8" w:color="0C479D"/>
            </w:tcBorders>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2022</w:t>
            </w:r>
          </w:p>
        </w:tc>
        <w:tc>
          <w:tcPr>
            <w:tcW w:w="0" w:type="dxa"/>
            <w:vAlign w:val="bottom"/>
          </w:tcPr>
          <w:p>
            <w:pPr>
              <w:spacing w:after="0"/>
              <w:rPr>
                <w:sz w:val="1"/>
                <w:szCs w:val="1"/>
                <w:color w:val="auto"/>
              </w:rPr>
            </w:pPr>
          </w:p>
        </w:tc>
      </w:tr>
      <w:tr>
        <w:trPr>
          <w:trHeight w:val="191"/>
        </w:trPr>
        <w:tc>
          <w:tcPr>
            <w:tcW w:w="662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0C479D"/>
              </w:rPr>
              <w:t>Net production of crude oil, natural gas liquids, bitumen and synthetic oil</w:t>
            </w:r>
          </w:p>
        </w:tc>
        <w:tc>
          <w:tcPr>
            <w:tcW w:w="960" w:type="dxa"/>
            <w:vAlign w:val="bottom"/>
            <w:shd w:val="clear" w:color="auto" w:fill="F0F0F0"/>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6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(thousands of barrels daily)</w:t>
            </w:r>
          </w:p>
        </w:tc>
        <w:tc>
          <w:tcPr>
            <w:tcW w:w="960" w:type="dxa"/>
            <w:vAlign w:val="bottom"/>
            <w:shd w:val="clear" w:color="auto" w:fill="F0F0F0"/>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9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3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803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0" w:type="dxa"/>
            <w:vAlign w:val="bottom"/>
          </w:tcPr>
          <w:p>
            <w:pPr>
              <w:spacing w:after="0"/>
              <w:rPr>
                <w:sz w:val="1"/>
                <w:szCs w:val="1"/>
                <w:color w:val="auto"/>
              </w:rPr>
            </w:pPr>
          </w:p>
        </w:tc>
      </w:tr>
      <w:tr>
        <w:trPr>
          <w:trHeight w:val="27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Canada/Other Americas</w:t>
            </w:r>
          </w:p>
        </w:tc>
        <w:tc>
          <w:tcPr>
            <w:tcW w:w="9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3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664</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27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9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3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4</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Africa</w:t>
            </w:r>
          </w:p>
        </w:tc>
        <w:tc>
          <w:tcPr>
            <w:tcW w:w="9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3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221</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7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Asia</w:t>
            </w:r>
          </w:p>
        </w:tc>
        <w:tc>
          <w:tcPr>
            <w:tcW w:w="9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3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721</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97"/>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Australia/Oceania</w:t>
            </w:r>
          </w:p>
        </w:tc>
        <w:tc>
          <w:tcPr>
            <w:tcW w:w="96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3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36</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43"/>
        </w:trPr>
        <w:tc>
          <w:tcPr>
            <w:tcW w:w="6620" w:type="dxa"/>
            <w:vAlign w:val="bottom"/>
            <w:tcBorders>
              <w:top w:val="single" w:sz="8" w:color="0C479D"/>
              <w:bottom w:val="single" w:sz="8" w:color="0C479D"/>
            </w:tcBorders>
          </w:tcPr>
          <w:p>
            <w:pPr>
              <w:spacing w:after="0"/>
              <w:rPr>
                <w:sz w:val="20"/>
                <w:szCs w:val="20"/>
                <w:color w:val="auto"/>
              </w:rPr>
            </w:pPr>
            <w:r>
              <w:rPr>
                <w:rFonts w:ascii="Times New Roman" w:cs="Times New Roman" w:eastAsia="Times New Roman" w:hAnsi="Times New Roman"/>
                <w:sz w:val="18"/>
                <w:szCs w:val="18"/>
                <w:b w:val="1"/>
                <w:bCs w:val="1"/>
                <w:color w:val="auto"/>
              </w:rPr>
              <w:t>Worldwide</w:t>
            </w:r>
          </w:p>
        </w:tc>
        <w:tc>
          <w:tcPr>
            <w:tcW w:w="960" w:type="dxa"/>
            <w:vAlign w:val="bottom"/>
            <w:tcBorders>
              <w:top w:val="single" w:sz="8" w:color="0C479D"/>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2,987</w:t>
            </w:r>
          </w:p>
        </w:tc>
        <w:tc>
          <w:tcPr>
            <w:tcW w:w="1360" w:type="dxa"/>
            <w:vAlign w:val="bottom"/>
            <w:tcBorders>
              <w:top w:val="single" w:sz="8" w:color="0C479D"/>
              <w:bottom w:val="single" w:sz="8" w:color="0C479D"/>
            </w:tcBorders>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2,449</w:t>
            </w:r>
          </w:p>
        </w:tc>
        <w:tc>
          <w:tcPr>
            <w:tcW w:w="760" w:type="dxa"/>
            <w:vAlign w:val="bottom"/>
            <w:tcBorders>
              <w:top w:val="single" w:sz="8" w:color="0C479D"/>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2,354</w:t>
            </w:r>
          </w:p>
        </w:tc>
        <w:tc>
          <w:tcPr>
            <w:tcW w:w="0" w:type="dxa"/>
            <w:vAlign w:val="bottom"/>
          </w:tcPr>
          <w:p>
            <w:pPr>
              <w:spacing w:after="0"/>
              <w:rPr>
                <w:sz w:val="1"/>
                <w:szCs w:val="1"/>
                <w:color w:val="auto"/>
              </w:rPr>
            </w:pPr>
          </w:p>
        </w:tc>
      </w:tr>
      <w:tr>
        <w:trPr>
          <w:trHeight w:val="272"/>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0C479D"/>
              </w:rPr>
              <w:t>Net natural gas production available for sale</w:t>
            </w:r>
          </w:p>
        </w:tc>
        <w:tc>
          <w:tcPr>
            <w:tcW w:w="960" w:type="dxa"/>
            <w:vAlign w:val="bottom"/>
            <w:shd w:val="clear" w:color="auto" w:fill="F0F0F0"/>
          </w:tcPr>
          <w:p>
            <w:pPr>
              <w:spacing w:after="0"/>
              <w:rPr>
                <w:sz w:val="23"/>
                <w:szCs w:val="23"/>
                <w:color w:val="auto"/>
              </w:rPr>
            </w:pPr>
          </w:p>
        </w:tc>
        <w:tc>
          <w:tcPr>
            <w:tcW w:w="1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66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(millions of cubic feet daily)</w:t>
            </w:r>
          </w:p>
        </w:tc>
        <w:tc>
          <w:tcPr>
            <w:tcW w:w="960" w:type="dxa"/>
            <w:vAlign w:val="bottom"/>
            <w:shd w:val="clear" w:color="auto" w:fill="F0F0F0"/>
          </w:tcPr>
          <w:p>
            <w:pPr>
              <w:spacing w:after="0"/>
              <w:rPr>
                <w:sz w:val="16"/>
                <w:szCs w:val="16"/>
                <w:color w:val="auto"/>
              </w:rPr>
            </w:pPr>
          </w:p>
        </w:tc>
        <w:tc>
          <w:tcPr>
            <w:tcW w:w="1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9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13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2,311</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0" w:type="dxa"/>
            <w:vAlign w:val="bottom"/>
          </w:tcPr>
          <w:p>
            <w:pPr>
              <w:spacing w:after="0"/>
              <w:rPr>
                <w:sz w:val="1"/>
                <w:szCs w:val="1"/>
                <w:color w:val="auto"/>
              </w:rPr>
            </w:pPr>
          </w:p>
        </w:tc>
      </w:tr>
      <w:tr>
        <w:trPr>
          <w:trHeight w:val="27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Canada/Other Americas</w:t>
            </w:r>
          </w:p>
        </w:tc>
        <w:tc>
          <w:tcPr>
            <w:tcW w:w="9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3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96</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7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9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3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414</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7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Africa</w:t>
            </w:r>
          </w:p>
        </w:tc>
        <w:tc>
          <w:tcPr>
            <w:tcW w:w="9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3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125</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7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Asia</w:t>
            </w:r>
          </w:p>
        </w:tc>
        <w:tc>
          <w:tcPr>
            <w:tcW w:w="9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3,322</w:t>
            </w:r>
          </w:p>
        </w:tc>
        <w:tc>
          <w:tcPr>
            <w:tcW w:w="13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3,490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w:t>
            </w:r>
          </w:p>
        </w:tc>
        <w:tc>
          <w:tcPr>
            <w:tcW w:w="0" w:type="dxa"/>
            <w:vAlign w:val="bottom"/>
          </w:tcPr>
          <w:p>
            <w:pPr>
              <w:spacing w:after="0"/>
              <w:rPr>
                <w:sz w:val="1"/>
                <w:szCs w:val="1"/>
                <w:color w:val="auto"/>
              </w:rPr>
            </w:pPr>
          </w:p>
        </w:tc>
      </w:tr>
      <w:tr>
        <w:trPr>
          <w:trHeight w:val="297"/>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Australia/Oceania</w:t>
            </w:r>
          </w:p>
        </w:tc>
        <w:tc>
          <w:tcPr>
            <w:tcW w:w="96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3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1,298</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w:t>
            </w:r>
          </w:p>
        </w:tc>
        <w:tc>
          <w:tcPr>
            <w:tcW w:w="0" w:type="dxa"/>
            <w:vAlign w:val="bottom"/>
          </w:tcPr>
          <w:p>
            <w:pPr>
              <w:spacing w:after="0"/>
              <w:rPr>
                <w:sz w:val="1"/>
                <w:szCs w:val="1"/>
                <w:color w:val="auto"/>
              </w:rPr>
            </w:pPr>
          </w:p>
        </w:tc>
      </w:tr>
      <w:tr>
        <w:trPr>
          <w:trHeight w:val="243"/>
        </w:trPr>
        <w:tc>
          <w:tcPr>
            <w:tcW w:w="6620" w:type="dxa"/>
            <w:vAlign w:val="bottom"/>
            <w:tcBorders>
              <w:top w:val="single" w:sz="8" w:color="0C479D"/>
              <w:bottom w:val="single" w:sz="8" w:color="0C479D"/>
            </w:tcBorders>
          </w:tcPr>
          <w:p>
            <w:pPr>
              <w:spacing w:after="0"/>
              <w:rPr>
                <w:sz w:val="20"/>
                <w:szCs w:val="20"/>
                <w:color w:val="auto"/>
              </w:rPr>
            </w:pPr>
            <w:r>
              <w:rPr>
                <w:rFonts w:ascii="Times New Roman" w:cs="Times New Roman" w:eastAsia="Times New Roman" w:hAnsi="Times New Roman"/>
                <w:sz w:val="18"/>
                <w:szCs w:val="18"/>
                <w:b w:val="1"/>
                <w:bCs w:val="1"/>
                <w:color w:val="auto"/>
              </w:rPr>
              <w:t>Worldwide</w:t>
            </w:r>
          </w:p>
        </w:tc>
        <w:tc>
          <w:tcPr>
            <w:tcW w:w="960" w:type="dxa"/>
            <w:vAlign w:val="bottom"/>
            <w:tcBorders>
              <w:top w:val="single" w:sz="8" w:color="0C479D"/>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8,078</w:t>
            </w:r>
          </w:p>
        </w:tc>
        <w:tc>
          <w:tcPr>
            <w:tcW w:w="1360" w:type="dxa"/>
            <w:vAlign w:val="bottom"/>
            <w:tcBorders>
              <w:top w:val="single" w:sz="8" w:color="0C479D"/>
              <w:bottom w:val="single" w:sz="8" w:color="0C479D"/>
            </w:tcBorders>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7,734</w:t>
            </w:r>
          </w:p>
        </w:tc>
        <w:tc>
          <w:tcPr>
            <w:tcW w:w="760" w:type="dxa"/>
            <w:vAlign w:val="bottom"/>
            <w:tcBorders>
              <w:top w:val="single" w:sz="8" w:color="0C479D"/>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8,295</w:t>
            </w:r>
          </w:p>
        </w:tc>
        <w:tc>
          <w:tcPr>
            <w:tcW w:w="0" w:type="dxa"/>
            <w:vAlign w:val="bottom"/>
          </w:tcPr>
          <w:p>
            <w:pPr>
              <w:spacing w:after="0"/>
              <w:rPr>
                <w:sz w:val="1"/>
                <w:szCs w:val="1"/>
                <w:color w:val="auto"/>
              </w:rPr>
            </w:pPr>
          </w:p>
        </w:tc>
      </w:tr>
      <w:tr>
        <w:trPr>
          <w:trHeight w:val="259"/>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0C479D"/>
              </w:rPr>
              <w:t xml:space="preserve">Oil-equivalent production </w:t>
            </w:r>
            <w:r>
              <w:rPr>
                <w:rFonts w:ascii="Times New Roman" w:cs="Times New Roman" w:eastAsia="Times New Roman" w:hAnsi="Times New Roman"/>
                <w:sz w:val="9"/>
                <w:szCs w:val="9"/>
                <w:i w:val="1"/>
                <w:iCs w:val="1"/>
                <w:color w:val="0C479D"/>
              </w:rPr>
              <w:t>(1)</w:t>
            </w:r>
          </w:p>
        </w:tc>
        <w:tc>
          <w:tcPr>
            <w:tcW w:w="96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4,333</w:t>
            </w:r>
          </w:p>
        </w:tc>
        <w:tc>
          <w:tcPr>
            <w:tcW w:w="1360" w:type="dxa"/>
            <w:vAlign w:val="bottom"/>
            <w:vMerge w:val="restart"/>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3,738</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3,737</w:t>
            </w:r>
          </w:p>
        </w:tc>
        <w:tc>
          <w:tcPr>
            <w:tcW w:w="0" w:type="dxa"/>
            <w:vAlign w:val="bottom"/>
          </w:tcPr>
          <w:p>
            <w:pPr>
              <w:spacing w:after="0"/>
              <w:rPr>
                <w:sz w:val="1"/>
                <w:szCs w:val="1"/>
                <w:color w:val="auto"/>
              </w:rPr>
            </w:pPr>
          </w:p>
        </w:tc>
      </w:tr>
      <w:tr>
        <w:trPr>
          <w:trHeight w:val="119"/>
        </w:trPr>
        <w:tc>
          <w:tcPr>
            <w:tcW w:w="66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(thousands of oil-equivalent barrels daily)</w:t>
            </w:r>
          </w:p>
        </w:tc>
        <w:tc>
          <w:tcPr>
            <w:tcW w:w="960" w:type="dxa"/>
            <w:vAlign w:val="bottom"/>
            <w:vMerge w:val="continue"/>
            <w:shd w:val="clear" w:color="auto" w:fill="F0F0F0"/>
          </w:tcPr>
          <w:p>
            <w:pPr>
              <w:spacing w:after="0"/>
              <w:rPr>
                <w:sz w:val="10"/>
                <w:szCs w:val="10"/>
                <w:color w:val="auto"/>
              </w:rPr>
            </w:pPr>
          </w:p>
        </w:tc>
        <w:tc>
          <w:tcPr>
            <w:tcW w:w="13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6620" w:type="dxa"/>
            <w:vAlign w:val="bottom"/>
            <w:tcBorders>
              <w:bottom w:val="single" w:sz="8" w:color="0C479D"/>
            </w:tcBorders>
            <w:vMerge w:val="continue"/>
          </w:tcPr>
          <w:p>
            <w:pPr>
              <w:spacing w:after="0"/>
              <w:rPr>
                <w:sz w:val="7"/>
                <w:szCs w:val="7"/>
                <w:color w:val="auto"/>
              </w:rPr>
            </w:pPr>
          </w:p>
        </w:tc>
        <w:tc>
          <w:tcPr>
            <w:tcW w:w="960" w:type="dxa"/>
            <w:vAlign w:val="bottom"/>
            <w:tcBorders>
              <w:bottom w:val="single" w:sz="8" w:color="0C479D"/>
            </w:tcBorders>
            <w:shd w:val="clear" w:color="auto" w:fill="F0F0F0"/>
          </w:tcPr>
          <w:p>
            <w:pPr>
              <w:spacing w:after="0"/>
              <w:rPr>
                <w:sz w:val="7"/>
                <w:szCs w:val="7"/>
                <w:color w:val="auto"/>
              </w:rPr>
            </w:pPr>
          </w:p>
        </w:tc>
        <w:tc>
          <w:tcPr>
            <w:tcW w:w="1360" w:type="dxa"/>
            <w:vAlign w:val="bottom"/>
            <w:tcBorders>
              <w:bottom w:val="single" w:sz="8" w:color="0C479D"/>
            </w:tcBorders>
          </w:tcPr>
          <w:p>
            <w:pPr>
              <w:spacing w:after="0"/>
              <w:rPr>
                <w:sz w:val="7"/>
                <w:szCs w:val="7"/>
                <w:color w:val="auto"/>
              </w:rPr>
            </w:pPr>
          </w:p>
        </w:tc>
        <w:tc>
          <w:tcPr>
            <w:tcW w:w="760" w:type="dxa"/>
            <w:vAlign w:val="bottom"/>
            <w:tcBorders>
              <w:bottom w:val="single" w:sz="8" w:color="0C479D"/>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940" w:hanging="151"/>
        <w:spacing w:after="0"/>
        <w:tabs>
          <w:tab w:leader="none" w:pos="940" w:val="left"/>
        </w:tabs>
        <w:numPr>
          <w:ilvl w:val="0"/>
          <w:numId w:val="28"/>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Natural gas is converted to an oil-equivalent basis at six million cubic feet per one thousand barrels.</w:t>
      </w:r>
    </w:p>
    <w:p>
      <w:pPr>
        <w:spacing w:after="0" w:line="27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0C479D"/>
        </w:rPr>
        <w:t>Upstream Additional Information</w:t>
      </w:r>
    </w:p>
    <w:p>
      <w:pPr>
        <w:spacing w:after="0" w:line="72" w:lineRule="exact"/>
        <w:rPr>
          <w:sz w:val="20"/>
          <w:szCs w:val="20"/>
          <w:color w:val="auto"/>
        </w:rPr>
      </w:pPr>
    </w:p>
    <w:tbl>
      <w:tblPr>
        <w:tblLayout w:type="fixed"/>
        <w:tblInd w:w="780" w:type="dxa"/>
        <w:tblCellMar>
          <w:top w:w="0" w:type="dxa"/>
          <w:left w:w="0" w:type="dxa"/>
          <w:bottom w:w="0" w:type="dxa"/>
          <w:right w:w="0" w:type="dxa"/>
        </w:tblCellMar>
      </w:tblPr>
      <w:tr>
        <w:trPr>
          <w:trHeight w:val="250"/>
        </w:trPr>
        <w:tc>
          <w:tcPr>
            <w:tcW w:w="7320" w:type="dxa"/>
            <w:vAlign w:val="bottom"/>
            <w:tcBorders>
              <w:bottom w:val="single" w:sz="8" w:color="0C479D"/>
            </w:tcBorders>
            <w:shd w:val="clear" w:color="auto" w:fill="0C479D"/>
          </w:tcPr>
          <w:p>
            <w:pPr>
              <w:spacing w:after="0"/>
              <w:rPr>
                <w:sz w:val="20"/>
                <w:szCs w:val="20"/>
                <w:color w:val="auto"/>
              </w:rPr>
            </w:pPr>
            <w:r>
              <w:rPr>
                <w:rFonts w:ascii="Times New Roman" w:cs="Times New Roman" w:eastAsia="Times New Roman" w:hAnsi="Times New Roman"/>
                <w:sz w:val="14"/>
                <w:szCs w:val="14"/>
                <w:i w:val="1"/>
                <w:iCs w:val="1"/>
                <w:color w:val="FFFFFF"/>
              </w:rPr>
              <w:t>(thousands of barrels daily)</w:t>
            </w:r>
          </w:p>
        </w:tc>
        <w:tc>
          <w:tcPr>
            <w:tcW w:w="1120" w:type="dxa"/>
            <w:vAlign w:val="bottom"/>
            <w:tcBorders>
              <w:bottom w:val="single" w:sz="8" w:color="0C479D"/>
            </w:tcBorders>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1260" w:type="dxa"/>
            <w:vAlign w:val="bottom"/>
            <w:tcBorders>
              <w:bottom w:val="single" w:sz="8" w:color="0C479D"/>
            </w:tcBorders>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2023</w:t>
            </w:r>
          </w:p>
        </w:tc>
      </w:tr>
      <w:tr>
        <w:trPr>
          <w:trHeight w:val="270"/>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0C479D"/>
              </w:rPr>
              <w:t xml:space="preserve">Volumes Reconciliation (Oil-equivalent production) </w:t>
            </w:r>
            <w:r>
              <w:rPr>
                <w:rFonts w:ascii="Times New Roman" w:cs="Times New Roman" w:eastAsia="Times New Roman" w:hAnsi="Times New Roman"/>
                <w:sz w:val="9"/>
                <w:szCs w:val="9"/>
                <w:i w:val="1"/>
                <w:iCs w:val="1"/>
                <w:color w:val="0C479D"/>
              </w:rPr>
              <w:t>(1)</w:t>
            </w:r>
          </w:p>
        </w:tc>
        <w:tc>
          <w:tcPr>
            <w:tcW w:w="1120" w:type="dxa"/>
            <w:vAlign w:val="bottom"/>
            <w:shd w:val="clear" w:color="auto" w:fill="F0F0F0"/>
          </w:tcPr>
          <w:p>
            <w:pPr>
              <w:spacing w:after="0"/>
              <w:rPr>
                <w:sz w:val="23"/>
                <w:szCs w:val="23"/>
                <w:color w:val="auto"/>
              </w:rPr>
            </w:pPr>
          </w:p>
        </w:tc>
        <w:tc>
          <w:tcPr>
            <w:tcW w:w="1260" w:type="dxa"/>
            <w:vAlign w:val="bottom"/>
          </w:tcPr>
          <w:p>
            <w:pPr>
              <w:spacing w:after="0"/>
              <w:rPr>
                <w:sz w:val="23"/>
                <w:szCs w:val="23"/>
                <w:color w:val="auto"/>
              </w:rPr>
            </w:pPr>
          </w:p>
        </w:tc>
      </w:tr>
      <w:tr>
        <w:trPr>
          <w:trHeight w:val="270"/>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Prior Year</w:t>
            </w:r>
          </w:p>
        </w:tc>
        <w:tc>
          <w:tcPr>
            <w:tcW w:w="11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3,738</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w:t>
            </w:r>
          </w:p>
        </w:tc>
      </w:tr>
      <w:tr>
        <w:trPr>
          <w:trHeight w:val="27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Entitlements - Net Interest</w:t>
            </w:r>
          </w:p>
        </w:tc>
        <w:tc>
          <w:tcPr>
            <w:tcW w:w="11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7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Entitlements - Price / Spend / Other</w:t>
            </w:r>
          </w:p>
        </w:tc>
        <w:tc>
          <w:tcPr>
            <w:tcW w:w="11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7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Government Mandates</w:t>
            </w:r>
          </w:p>
        </w:tc>
        <w:tc>
          <w:tcPr>
            <w:tcW w:w="11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7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Divestments</w:t>
            </w:r>
          </w:p>
        </w:tc>
        <w:tc>
          <w:tcPr>
            <w:tcW w:w="11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70"/>
        </w:trPr>
        <w:tc>
          <w:tcPr>
            <w:tcW w:w="732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color w:val="auto"/>
              </w:rPr>
              <w:t>Growth / Other</w:t>
            </w:r>
          </w:p>
        </w:tc>
        <w:tc>
          <w:tcPr>
            <w:tcW w:w="112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2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43"/>
        </w:trPr>
        <w:tc>
          <w:tcPr>
            <w:tcW w:w="732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b w:val="1"/>
                <w:bCs w:val="1"/>
                <w:color w:val="auto"/>
              </w:rPr>
              <w:t>Current Year</w:t>
            </w:r>
          </w:p>
        </w:tc>
        <w:tc>
          <w:tcPr>
            <w:tcW w:w="112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4,333</w:t>
            </w:r>
          </w:p>
        </w:tc>
        <w:tc>
          <w:tcPr>
            <w:tcW w:w="12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3,738</w:t>
            </w:r>
          </w:p>
        </w:tc>
      </w:tr>
    </w:tbl>
    <w:p>
      <w:pPr>
        <w:spacing w:after="0" w:line="55" w:lineRule="exact"/>
        <w:rPr>
          <w:sz w:val="20"/>
          <w:szCs w:val="20"/>
          <w:color w:val="auto"/>
        </w:rPr>
      </w:pPr>
    </w:p>
    <w:p>
      <w:pPr>
        <w:ind w:left="940" w:hanging="151"/>
        <w:spacing w:after="0"/>
        <w:tabs>
          <w:tab w:leader="none" w:pos="940" w:val="left"/>
        </w:tabs>
        <w:numPr>
          <w:ilvl w:val="0"/>
          <w:numId w:val="29"/>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Natural gas is converted to an oil-equivalent basis at six million cubic feet per one thousand barrels.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151765</wp:posOffset>
            </wp:positionV>
            <wp:extent cx="61722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55" w:lineRule="exact"/>
        <w:rPr>
          <w:sz w:val="20"/>
          <w:szCs w:val="20"/>
          <w:color w:val="auto"/>
        </w:rPr>
      </w:pPr>
    </w:p>
    <w:p>
      <w:pPr>
        <w:jc w:val="right"/>
        <w:ind w:left="880" w:right="720"/>
        <w:spacing w:after="0" w:line="196" w:lineRule="auto"/>
        <w:rPr>
          <w:sz w:val="20"/>
          <w:szCs w:val="20"/>
          <w:color w:val="auto"/>
        </w:rPr>
      </w:pPr>
      <w:r>
        <w:rPr>
          <w:rFonts w:ascii="Times New Roman" w:cs="Times New Roman" w:eastAsia="Times New Roman" w:hAnsi="Times New Roman"/>
          <w:sz w:val="18"/>
          <w:szCs w:val="18"/>
          <w:color w:val="auto"/>
        </w:rPr>
        <w:t xml:space="preserve">2024 production of 4.3 million oil-equivalent barrels per day increased 595 thousand barrels per day from 2023. Permian and Guyana production grew by 680 thousand oil-equivalent barrels per day, more than offsetting </w:t>
      </w:r>
      <w:r>
        <w:rPr>
          <w:rFonts w:ascii="Times New Roman" w:cs="Times New Roman" w:eastAsia="Times New Roman" w:hAnsi="Times New Roman"/>
          <w:sz w:val="35"/>
          <w:szCs w:val="35"/>
          <w:b w:val="1"/>
          <w:bCs w:val="1"/>
          <w:color w:val="auto"/>
          <w:vertAlign w:val="superscript"/>
        </w:rPr>
        <w:t>2024 versus 2023</w:t>
      </w:r>
      <w:r>
        <w:rPr>
          <w:rFonts w:ascii="Times New Roman" w:cs="Times New Roman" w:eastAsia="Times New Roman" w:hAnsi="Times New Roman"/>
          <w:sz w:val="18"/>
          <w:szCs w:val="18"/>
          <w:color w:val="auto"/>
        </w:rPr>
        <w:t xml:space="preserve">  impacts from divestments and entitlements. Excluding the impacts from entitlements, divestments, and</w:t>
      </w:r>
    </w:p>
    <w:p>
      <w:pPr>
        <w:spacing w:after="0" w:line="1"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government-mandated curtailments, net production grew by 685 thousand oil-equivalent barrels per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38735</wp:posOffset>
            </wp:positionV>
            <wp:extent cx="61722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64"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2023 production of 3.7 million oil-equivalent barrels per day is in line with 2022. Permian and Guyana</w:t>
      </w:r>
    </w:p>
    <w:p>
      <w:pPr>
        <w:spacing w:after="0" w:line="27" w:lineRule="exact"/>
        <w:rPr>
          <w:sz w:val="20"/>
          <w:szCs w:val="20"/>
          <w:color w:val="auto"/>
        </w:rPr>
      </w:pPr>
    </w:p>
    <w:p>
      <w:pPr>
        <w:jc w:val="both"/>
        <w:ind w:left="2300" w:right="720" w:hanging="1423"/>
        <w:spacing w:after="0" w:line="180" w:lineRule="auto"/>
        <w:rPr>
          <w:sz w:val="20"/>
          <w:szCs w:val="20"/>
          <w:color w:val="auto"/>
        </w:rPr>
      </w:pPr>
      <w:r>
        <w:rPr>
          <w:rFonts w:ascii="Times New Roman" w:cs="Times New Roman" w:eastAsia="Times New Roman" w:hAnsi="Times New Roman"/>
          <w:sz w:val="33"/>
          <w:szCs w:val="33"/>
          <w:b w:val="1"/>
          <w:bCs w:val="1"/>
          <w:color w:val="auto"/>
          <w:vertAlign w:val="subscript"/>
        </w:rPr>
        <w:t>2023 versus 2022</w:t>
      </w:r>
      <w:r>
        <w:rPr>
          <w:rFonts w:ascii="Times New Roman" w:cs="Times New Roman" w:eastAsia="Times New Roman" w:hAnsi="Times New Roman"/>
          <w:sz w:val="17"/>
          <w:szCs w:val="17"/>
          <w:color w:val="auto"/>
        </w:rPr>
        <w:t xml:space="preserve"> production grew by more than 120 thousand oil-equivalent barrels per day, more than offsetting impacts from divestments. Excluding the impacts from entitlements, divestments, and higher government-mandated</w:t>
      </w:r>
    </w:p>
    <w:p>
      <w:pPr>
        <w:spacing w:after="0" w:line="1"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curtailments, net production grew by 111 thousand oil-equivalent barrels per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22860</wp:posOffset>
            </wp:positionV>
            <wp:extent cx="617220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11180"/>
          </w:cols>
          <w:pgMar w:left="320" w:top="27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70" w:right="39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21"/>
          <w:szCs w:val="21"/>
          <w:b w:val="1"/>
          <w:bCs w:val="1"/>
          <w:color w:val="0C479D"/>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Listed below are descriptions of ExxonMobil’s volumes reconciliation drivers, which are provided to facilitate understanding of the terms.</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Entitlements - Net Interest </w:t>
      </w:r>
      <w:r>
        <w:rPr>
          <w:rFonts w:ascii="Times New Roman" w:cs="Times New Roman" w:eastAsia="Times New Roman" w:hAnsi="Times New Roman"/>
          <w:sz w:val="18"/>
          <w:szCs w:val="18"/>
          <w:color w:val="auto"/>
        </w:rPr>
        <w:t>are changes to ExxonMobil’s share of production volumes caused by non-operational changes to volume-determining drivers.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drivers consist of net interest changes specified in Production Sharing Contracts (PSCs), which typically occur when cumulative investment returns or production volumes achieve defined thresholds, changes in equity upon achieving pay-out in partner investment carry situations, equity redeterminations as specified in venture agreements, or as a result of the termination or expiry of a concession. Once a net interest change has occurred, it typically will not be reversed by subsequent events, such as lower crude oil prices.</w:t>
      </w:r>
    </w:p>
    <w:p>
      <w:pPr>
        <w:spacing w:after="0" w:line="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Entitlements - Price, Spend and Other </w:t>
      </w:r>
      <w:r>
        <w:rPr>
          <w:rFonts w:ascii="Times New Roman" w:cs="Times New Roman" w:eastAsia="Times New Roman" w:hAnsi="Times New Roman"/>
          <w:sz w:val="18"/>
          <w:szCs w:val="18"/>
          <w:color w:val="auto"/>
        </w:rPr>
        <w:t>are changes to ExxonMobil’s share of production volumes resulting from temporary changes to non-operational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volume-determining drivers. These drivers include changes in oil and gas prices or spending levels from one period to another. According to the terms of contractual arrangements or government royalty regimes, price or spending variability can increase or decrease royalty burdens and/or volumes attributable to ExxonMobil. For example, at higher prices, fewer barrels are required for ExxonMobil to recover its costs. These effects generally vary from period to period with field spending patterns or market prices for oil and natural gas. Such drivers can also include other temporary changes in net interest as dictated by specific provisions in production agreements.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Government Mandates </w:t>
      </w:r>
      <w:r>
        <w:rPr>
          <w:rFonts w:ascii="Times New Roman" w:cs="Times New Roman" w:eastAsia="Times New Roman" w:hAnsi="Times New Roman"/>
          <w:sz w:val="18"/>
          <w:szCs w:val="18"/>
          <w:color w:val="auto"/>
        </w:rPr>
        <w:t>are changes to ExxonMobil's sustainable production levels as a result of production limits or sanctions imposed by governments.</w:t>
      </w:r>
    </w:p>
    <w:p>
      <w:pPr>
        <w:spacing w:after="0" w:line="10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Divestments </w:t>
      </w:r>
      <w:r>
        <w:rPr>
          <w:rFonts w:ascii="Times New Roman" w:cs="Times New Roman" w:eastAsia="Times New Roman" w:hAnsi="Times New Roman"/>
          <w:sz w:val="18"/>
          <w:szCs w:val="18"/>
          <w:color w:val="auto"/>
        </w:rPr>
        <w:t>are reductions in ExxonMobil’s production arising from commercial arrangements to fully or partially reduce equity in a field or asset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for financial or other economic consideration.</w:t>
      </w:r>
    </w:p>
    <w:p>
      <w:pPr>
        <w:spacing w:after="0" w:line="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Growth and Other </w:t>
      </w:r>
      <w:r>
        <w:rPr>
          <w:rFonts w:ascii="Times New Roman" w:cs="Times New Roman" w:eastAsia="Times New Roman" w:hAnsi="Times New Roman"/>
          <w:sz w:val="18"/>
          <w:szCs w:val="18"/>
          <w:color w:val="auto"/>
        </w:rPr>
        <w:t>drivers comprise all other operational and non-operational drivers not covered by the above definitions that may affect volumes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attributable to ExxonMobil. Such drivers include, but are not limited to, production enhancements from project and work program activities, acquisitions including additions from asset exchanges, downtime, market demand, natural field decline, and any fiscal or commercial terms that do not affect entitlements.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2914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FFFFFF"/>
        </w:rPr>
        <w:t>Energy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-148590</wp:posOffset>
            </wp:positionV>
            <wp:extent cx="5709285" cy="2311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709285" cy="231140"/>
                    </a:xfrm>
                    <a:prstGeom prst="rect">
                      <a:avLst/>
                    </a:prstGeom>
                    <a:noFill/>
                  </pic:spPr>
                </pic:pic>
              </a:graphicData>
            </a:graphic>
          </wp:anchor>
        </w:drawing>
      </w:r>
    </w:p>
    <w:p>
      <w:pPr>
        <w:spacing w:after="0" w:line="2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ExxonMobil's Energy Products is one of the largest, most integrated businesses of its kind among international oil companies, with significant representation across the entire fuels value chain, including refining, logistics, trading, and marketing. This segment includes the fuels and aromatics value chains, and catalysts and licensing.</w:t>
      </w:r>
    </w:p>
    <w:p>
      <w:pPr>
        <w:spacing w:after="0" w:line="4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the largest refining footprint among international oil companies, ExxonMobil’s Energy Products earnings are closely tied to industry refining margins. Refining margins are largely driven by differences in commodity prices and are a function of the difference between what a refinery pays for its raw materials and the market prices for the products produced. Crude oil and many products are widely traded with published prices, including those quoted on multiple exchanges around the world (e.g. New York Mercantile Exchange and Intercontinental Exchange). Prices for these commodities are determined by the global marketplace and are influenced by many factors, including global and regional supply/demand balances, inventory levels, industry refinery operations, import/export balances, currency fluctuations, seasonal demand, weather, and political considerations. While industry refining margins significantly impact Energy Products earnings, strong operational performance, product mix optimization, and disciplined cost control are also critical to strong financial performance.</w:t>
      </w:r>
    </w:p>
    <w:p>
      <w:pPr>
        <w:spacing w:after="0" w:line="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2024, refining margins decreased to the middle of the pre-COVID 10-year historical range (2010-2019) despite record demand, due to supply length. Refining margins are expected to remain volatile with changes in global factors, including geopolitical developments; demand growth; recession fears; inventory levels; and refining capacity utilization, additions and rationalizations.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479D"/>
        </w:rPr>
        <w:t>Key Recent Events</w:t>
      </w:r>
    </w:p>
    <w:p>
      <w:pPr>
        <w:spacing w:after="0" w:line="1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Strathcona Renewable Diesel project: </w:t>
      </w:r>
      <w:r>
        <w:rPr>
          <w:rFonts w:ascii="Times New Roman" w:cs="Times New Roman" w:eastAsia="Times New Roman" w:hAnsi="Times New Roman"/>
          <w:sz w:val="18"/>
          <w:szCs w:val="18"/>
          <w:color w:val="auto"/>
        </w:rPr>
        <w:t>Progressed project with expected start-up in 2025 at Strathcona refinery to use low-carbon hydrogen, locally-sourced and grown feedstocks, and our proprietary catalyst to produce 20 thousand barrels of renewable diesel per day to help reduce greenhouse gas emissions.</w:t>
      </w:r>
    </w:p>
    <w:p>
      <w:pPr>
        <w:spacing w:after="0" w:line="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Fawley Hydrofiner project</w:t>
      </w:r>
      <w:r>
        <w:rPr>
          <w:rFonts w:ascii="Times New Roman" w:cs="Times New Roman" w:eastAsia="Times New Roman" w:hAnsi="Times New Roman"/>
          <w:sz w:val="18"/>
          <w:szCs w:val="18"/>
          <w:color w:val="auto"/>
        </w:rPr>
        <w:t>: Progressed project with expected start-up in 2025 at Fawley site to increase production of ultra-low sulfur diesel and reduce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production of other products, including high-sulfur distillates.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Fos-sur-Mer Refinery divestment: </w:t>
      </w:r>
      <w:r>
        <w:rPr>
          <w:rFonts w:ascii="Times New Roman" w:cs="Times New Roman" w:eastAsia="Times New Roman" w:hAnsi="Times New Roman"/>
          <w:sz w:val="18"/>
          <w:szCs w:val="18"/>
          <w:color w:val="auto"/>
        </w:rPr>
        <w:t>In October 2024, ExxonMobil divested the Fos refinery and select midstream assets in France.</w:t>
      </w:r>
    </w:p>
    <w:p>
      <w:pPr>
        <w:spacing w:after="0" w:line="10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MiRO Refinery sale: </w:t>
      </w:r>
      <w:r>
        <w:rPr>
          <w:rFonts w:ascii="Times New Roman" w:cs="Times New Roman" w:eastAsia="Times New Roman" w:hAnsi="Times New Roman"/>
          <w:sz w:val="18"/>
          <w:szCs w:val="18"/>
          <w:color w:val="auto"/>
        </w:rPr>
        <w:t>In October 2023, ExxonMobil reached an agreement to sell its interest in the MiRO refinery located in Karlsruhe, Germany.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is expected to close in 2025.</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21"/>
          <w:szCs w:val="21"/>
          <w:b w:val="1"/>
          <w:bCs w:val="1"/>
          <w:color w:val="0C479D"/>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479D"/>
        </w:rPr>
        <w:t>Energy Products Financial Results</w:t>
      </w:r>
    </w:p>
    <w:p>
      <w:pPr>
        <w:spacing w:after="0" w:line="193" w:lineRule="exact"/>
        <w:rPr>
          <w:sz w:val="20"/>
          <w:szCs w:val="20"/>
          <w:color w:val="auto"/>
        </w:rPr>
      </w:pPr>
    </w:p>
    <w:tbl>
      <w:tblPr>
        <w:tblLayout w:type="fixed"/>
        <w:tblInd w:w="780" w:type="dxa"/>
        <w:tblCellMar>
          <w:top w:w="0" w:type="dxa"/>
          <w:left w:w="0" w:type="dxa"/>
          <w:bottom w:w="0" w:type="dxa"/>
          <w:right w:w="0" w:type="dxa"/>
        </w:tblCellMar>
      </w:tblPr>
      <w:tr>
        <w:trPr>
          <w:trHeight w:val="250"/>
        </w:trPr>
        <w:tc>
          <w:tcPr>
            <w:tcW w:w="6580" w:type="dxa"/>
            <w:vAlign w:val="bottom"/>
            <w:tcBorders>
              <w:bottom w:val="single" w:sz="8" w:color="0C479D"/>
            </w:tcBorders>
            <w:shd w:val="clear" w:color="auto" w:fill="0C479D"/>
          </w:tcPr>
          <w:p>
            <w:pPr>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960" w:type="dxa"/>
            <w:vAlign w:val="bottom"/>
            <w:tcBorders>
              <w:bottom w:val="single" w:sz="8" w:color="0C479D"/>
            </w:tcBorders>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1320" w:type="dxa"/>
            <w:vAlign w:val="bottom"/>
            <w:tcBorders>
              <w:bottom w:val="single" w:sz="8" w:color="0C479D"/>
            </w:tcBorders>
            <w:shd w:val="clear" w:color="auto" w:fill="0C479D"/>
          </w:tcPr>
          <w:p>
            <w:pPr>
              <w:jc w:val="right"/>
              <w:ind w:right="172"/>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840" w:type="dxa"/>
            <w:vAlign w:val="bottom"/>
            <w:tcBorders>
              <w:bottom w:val="single" w:sz="8" w:color="0C479D"/>
            </w:tcBorders>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2022</w:t>
            </w:r>
          </w:p>
        </w:tc>
      </w:tr>
      <w:tr>
        <w:trPr>
          <w:trHeight w:val="238"/>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0C479D"/>
              </w:rPr>
              <w:t>Earnings (loss) (U.S. GAAP)</w:t>
            </w:r>
          </w:p>
        </w:tc>
        <w:tc>
          <w:tcPr>
            <w:tcW w:w="960" w:type="dxa"/>
            <w:vAlign w:val="bottom"/>
            <w:shd w:val="clear" w:color="auto" w:fill="F0F0F0"/>
          </w:tcPr>
          <w:p>
            <w:pPr>
              <w:spacing w:after="0"/>
              <w:rPr>
                <w:sz w:val="20"/>
                <w:szCs w:val="20"/>
                <w:color w:val="auto"/>
              </w:rPr>
            </w:pPr>
          </w:p>
        </w:tc>
        <w:tc>
          <w:tcPr>
            <w:tcW w:w="13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5"/>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9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6,123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8,340</w:t>
            </w:r>
          </w:p>
        </w:tc>
      </w:tr>
      <w:tr>
        <w:trPr>
          <w:trHeight w:val="297"/>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Non-U.S.</w:t>
            </w:r>
          </w:p>
        </w:tc>
        <w:tc>
          <w:tcPr>
            <w:tcW w:w="96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1,934</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6,019</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6,626</w:t>
            </w:r>
          </w:p>
        </w:tc>
      </w:tr>
      <w:tr>
        <w:trPr>
          <w:trHeight w:val="243"/>
        </w:trPr>
        <w:tc>
          <w:tcPr>
            <w:tcW w:w="6580" w:type="dxa"/>
            <w:vAlign w:val="bottom"/>
            <w:tcBorders>
              <w:top w:val="single" w:sz="8" w:color="0C479D"/>
              <w:bottom w:val="single" w:sz="8" w:color="0C479D"/>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60" w:type="dxa"/>
            <w:vAlign w:val="bottom"/>
            <w:tcBorders>
              <w:top w:val="single" w:sz="8" w:color="0C479D"/>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4,033</w:t>
            </w:r>
          </w:p>
        </w:tc>
        <w:tc>
          <w:tcPr>
            <w:tcW w:w="1320" w:type="dxa"/>
            <w:vAlign w:val="bottom"/>
            <w:tcBorders>
              <w:top w:val="single" w:sz="8" w:color="0C479D"/>
              <w:bottom w:val="single" w:sz="8" w:color="0C479D"/>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12,142</w:t>
            </w:r>
          </w:p>
        </w:tc>
        <w:tc>
          <w:tcPr>
            <w:tcW w:w="840" w:type="dxa"/>
            <w:vAlign w:val="bottom"/>
            <w:tcBorders>
              <w:top w:val="single" w:sz="8" w:color="0C479D"/>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14,966</w:t>
            </w:r>
          </w:p>
        </w:tc>
      </w:tr>
      <w:tr>
        <w:trPr>
          <w:trHeight w:val="378"/>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0C479D"/>
              </w:rPr>
              <w:t xml:space="preserve">Identified Items </w:t>
            </w:r>
            <w:r>
              <w:rPr>
                <w:rFonts w:ascii="Times New Roman" w:cs="Times New Roman" w:eastAsia="Times New Roman" w:hAnsi="Times New Roman"/>
                <w:sz w:val="9"/>
                <w:szCs w:val="9"/>
                <w:i w:val="1"/>
                <w:iCs w:val="1"/>
                <w:color w:val="0C479D"/>
              </w:rPr>
              <w:t>(1)</w:t>
            </w:r>
          </w:p>
        </w:tc>
        <w:tc>
          <w:tcPr>
            <w:tcW w:w="960" w:type="dxa"/>
            <w:vAlign w:val="bottom"/>
            <w:shd w:val="clear" w:color="auto" w:fill="F0F0F0"/>
          </w:tcPr>
          <w:p>
            <w:pPr>
              <w:spacing w:after="0"/>
              <w:rPr>
                <w:sz w:val="24"/>
                <w:szCs w:val="24"/>
                <w:color w:val="auto"/>
              </w:rPr>
            </w:pP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84"/>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9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192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97"/>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Non-U.S.</w:t>
            </w:r>
          </w:p>
        </w:tc>
        <w:tc>
          <w:tcPr>
            <w:tcW w:w="96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3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(48)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r>
      <w:tr>
        <w:trPr>
          <w:trHeight w:val="243"/>
        </w:trPr>
        <w:tc>
          <w:tcPr>
            <w:tcW w:w="6580" w:type="dxa"/>
            <w:vAlign w:val="bottom"/>
            <w:tcBorders>
              <w:top w:val="single" w:sz="8" w:color="0C479D"/>
              <w:bottom w:val="single" w:sz="8" w:color="0C479D"/>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60" w:type="dxa"/>
            <w:vAlign w:val="bottom"/>
            <w:tcBorders>
              <w:top w:val="single" w:sz="8" w:color="0C479D"/>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1320" w:type="dxa"/>
            <w:vAlign w:val="bottom"/>
            <w:tcBorders>
              <w:top w:val="single" w:sz="8" w:color="0C479D"/>
              <w:bottom w:val="single" w:sz="8" w:color="0C479D"/>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144</w:t>
            </w:r>
          </w:p>
        </w:tc>
        <w:tc>
          <w:tcPr>
            <w:tcW w:w="840" w:type="dxa"/>
            <w:vAlign w:val="bottom"/>
            <w:tcBorders>
              <w:top w:val="single" w:sz="8" w:color="0C479D"/>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(684)</w:t>
            </w:r>
          </w:p>
        </w:tc>
      </w:tr>
      <w:tr>
        <w:trPr>
          <w:trHeight w:val="486"/>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0C479D"/>
              </w:rPr>
              <w:t xml:space="preserve">Earnings (loss) excluding Identified Items </w:t>
            </w:r>
            <w:r>
              <w:rPr>
                <w:rFonts w:ascii="Times New Roman" w:cs="Times New Roman" w:eastAsia="Times New Roman" w:hAnsi="Times New Roman"/>
                <w:sz w:val="9"/>
                <w:szCs w:val="9"/>
                <w:i w:val="1"/>
                <w:iCs w:val="1"/>
                <w:color w:val="0C479D"/>
              </w:rPr>
              <w:t>(1)</w:t>
            </w:r>
            <w:r>
              <w:rPr>
                <w:rFonts w:ascii="Times New Roman" w:cs="Times New Roman" w:eastAsia="Times New Roman" w:hAnsi="Times New Roman"/>
                <w:sz w:val="18"/>
                <w:szCs w:val="18"/>
                <w:b w:val="1"/>
                <w:bCs w:val="1"/>
                <w:color w:val="0C479D"/>
              </w:rPr>
              <w:t xml:space="preserve"> </w:t>
            </w:r>
            <w:r>
              <w:rPr>
                <w:rFonts w:ascii="Times New Roman" w:cs="Times New Roman" w:eastAsia="Times New Roman" w:hAnsi="Times New Roman"/>
                <w:sz w:val="18"/>
                <w:szCs w:val="18"/>
                <w:color w:val="0C479D"/>
              </w:rPr>
              <w:t>(Non-GAAP)</w:t>
            </w:r>
          </w:p>
        </w:tc>
        <w:tc>
          <w:tcPr>
            <w:tcW w:w="960" w:type="dxa"/>
            <w:vAlign w:val="bottom"/>
            <w:shd w:val="clear" w:color="auto" w:fill="F0F0F0"/>
          </w:tcPr>
          <w:p>
            <w:pPr>
              <w:spacing w:after="0"/>
              <w:rPr>
                <w:sz w:val="24"/>
                <w:szCs w:val="24"/>
                <w:color w:val="auto"/>
              </w:rPr>
            </w:pP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70"/>
        </w:trPr>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9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5,931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8,398</w:t>
            </w:r>
          </w:p>
        </w:tc>
      </w:tr>
      <w:tr>
        <w:trPr>
          <w:trHeight w:val="297"/>
        </w:trPr>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Non-U.S.</w:t>
            </w:r>
          </w:p>
        </w:tc>
        <w:tc>
          <w:tcPr>
            <w:tcW w:w="96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6,067</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7,252</w:t>
            </w:r>
          </w:p>
        </w:tc>
      </w:tr>
      <w:tr>
        <w:trPr>
          <w:trHeight w:val="243"/>
        </w:trPr>
        <w:tc>
          <w:tcPr>
            <w:tcW w:w="6580" w:type="dxa"/>
            <w:vAlign w:val="bottom"/>
            <w:tcBorders>
              <w:top w:val="single" w:sz="8" w:color="0C479D"/>
              <w:bottom w:val="single" w:sz="8" w:color="0C479D"/>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60" w:type="dxa"/>
            <w:vAlign w:val="bottom"/>
            <w:tcBorders>
              <w:top w:val="single" w:sz="8" w:color="0C479D"/>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3,954</w:t>
            </w:r>
          </w:p>
        </w:tc>
        <w:tc>
          <w:tcPr>
            <w:tcW w:w="1320" w:type="dxa"/>
            <w:vAlign w:val="bottom"/>
            <w:tcBorders>
              <w:top w:val="single" w:sz="8" w:color="0C479D"/>
              <w:bottom w:val="single" w:sz="8" w:color="0C479D"/>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11,998</w:t>
            </w:r>
          </w:p>
        </w:tc>
        <w:tc>
          <w:tcPr>
            <w:tcW w:w="840" w:type="dxa"/>
            <w:vAlign w:val="bottom"/>
            <w:tcBorders>
              <w:top w:val="single" w:sz="8" w:color="0C479D"/>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15,650</w:t>
            </w:r>
          </w:p>
        </w:tc>
      </w:tr>
    </w:tbl>
    <w:p>
      <w:pPr>
        <w:spacing w:after="0" w:line="83" w:lineRule="exact"/>
        <w:rPr>
          <w:sz w:val="20"/>
          <w:szCs w:val="20"/>
          <w:color w:val="auto"/>
        </w:rPr>
      </w:pPr>
    </w:p>
    <w:p>
      <w:pPr>
        <w:ind w:left="780" w:right="3860" w:firstLine="9"/>
        <w:spacing w:after="0" w:line="385" w:lineRule="auto"/>
        <w:tabs>
          <w:tab w:leader="none" w:pos="925" w:val="left"/>
        </w:tabs>
        <w:numPr>
          <w:ilvl w:val="0"/>
          <w:numId w:val="30"/>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 xml:space="preserve">Refer to </w:t>
      </w:r>
      <w:r>
        <w:rPr>
          <w:rFonts w:ascii="Times New Roman" w:cs="Times New Roman" w:eastAsia="Times New Roman" w:hAnsi="Times New Roman"/>
          <w:sz w:val="14"/>
          <w:szCs w:val="14"/>
          <w:i w:val="1"/>
          <w:iCs w:val="1"/>
          <w:color w:val="0000FF"/>
        </w:rPr>
        <w:t>Frequently Used Terms</w:t>
      </w:r>
      <w:r>
        <w:rPr>
          <w:rFonts w:ascii="Times New Roman" w:cs="Times New Roman" w:eastAsia="Times New Roman" w:hAnsi="Times New Roman"/>
          <w:sz w:val="14"/>
          <w:szCs w:val="14"/>
          <w:i w:val="1"/>
          <w:iCs w:val="1"/>
          <w:color w:val="auto"/>
        </w:rPr>
        <w:t xml:space="preserve"> for definition of Identified Items and Earnings (loss) excluding Identified Items. Due to rounding, numbers presented may not add up precisely to the totals indicated.</w:t>
      </w:r>
    </w:p>
    <w:p>
      <w:pPr>
        <w:spacing w:after="0" w:line="17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0C479D"/>
        </w:rPr>
        <w:t>2024 Energy Products Earnings Driver Analysis</w:t>
      </w:r>
    </w:p>
    <w:p>
      <w:pPr>
        <w:spacing w:after="0" w:line="4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i w:val="1"/>
          <w:iCs w:val="1"/>
          <w:color w:val="auto"/>
        </w:rPr>
        <w:t>(millions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153670</wp:posOffset>
            </wp:positionV>
            <wp:extent cx="5991860" cy="18859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91860"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Margin – Significantly weaker industry refining margins decreased earnings by $6,280 million. Margins declined from historically high levels as increased supply from industry capacity additions outpaced record global demand.</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Advantaged Volume Growth – Higher volumes from advantaged projects increased earnings by $140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 Volume – Lower base volumes decreased earnings by $1,240 million, driven by scheduled maintenance and divestments.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Structural Cost Savings – Increased earnings by $630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 Higher expenses related to scheduled turnarounds and maintenance, and advantaged project spend decreased earnings by $970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 All other items, mainly unfavorable tax and forex impacts, decreased earnings by $310 million.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Timing Effects – Decreased earnings by $10 million.</w:t>
      </w:r>
    </w:p>
    <w:p>
      <w:pPr>
        <w:spacing w:after="0" w:line="104"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 xml:space="preserve">Identified Items </w:t>
      </w:r>
      <w:r>
        <w:rPr>
          <w:rFonts w:ascii="Times New Roman" w:cs="Times New Roman" w:eastAsia="Times New Roman" w:hAnsi="Times New Roman"/>
          <w:sz w:val="9"/>
          <w:szCs w:val="9"/>
          <w:i w:val="1"/>
          <w:iCs w:val="1"/>
          <w:color w:val="auto"/>
        </w:rPr>
        <w:t>(1)</w:t>
      </w:r>
      <w:r>
        <w:rPr>
          <w:rFonts w:ascii="Times New Roman" w:cs="Times New Roman" w:eastAsia="Times New Roman" w:hAnsi="Times New Roman"/>
          <w:sz w:val="18"/>
          <w:szCs w:val="18"/>
          <w:color w:val="auto"/>
        </w:rPr>
        <w:t xml:space="preserve"> – 2023 $144 million gain driven by favorable tax effects partially offset by additional European taxes on the energy sector; 2024 $79 million gain.</w:t>
      </w:r>
    </w:p>
    <w:p>
      <w:pPr>
        <w:spacing w:after="0" w:line="4" w:lineRule="exact"/>
        <w:rPr>
          <w:sz w:val="20"/>
          <w:szCs w:val="20"/>
          <w:color w:val="auto"/>
        </w:rPr>
      </w:pPr>
    </w:p>
    <w:p>
      <w:pPr>
        <w:ind w:left="140" w:hanging="132"/>
        <w:spacing w:after="0"/>
        <w:tabs>
          <w:tab w:leader="none" w:pos="140" w:val="left"/>
        </w:tabs>
        <w:numPr>
          <w:ilvl w:val="0"/>
          <w:numId w:val="31"/>
        </w:numPr>
        <w:rPr>
          <w:rFonts w:ascii="Times New Roman" w:cs="Times New Roman" w:eastAsia="Times New Roman" w:hAnsi="Times New Roman"/>
          <w:sz w:val="16"/>
          <w:szCs w:val="16"/>
          <w:i w:val="1"/>
          <w:iCs w:val="1"/>
          <w:color w:val="auto"/>
          <w:vertAlign w:val="superscript"/>
        </w:rPr>
      </w:pPr>
      <w:r>
        <w:rPr>
          <w:rFonts w:ascii="Times New Roman" w:cs="Times New Roman" w:eastAsia="Times New Roman" w:hAnsi="Times New Roman"/>
          <w:sz w:val="12"/>
          <w:szCs w:val="12"/>
          <w:i w:val="1"/>
          <w:iCs w:val="1"/>
          <w:color w:val="auto"/>
        </w:rPr>
        <w:t xml:space="preserve">Refer to </w:t>
      </w:r>
      <w:r>
        <w:rPr>
          <w:rFonts w:ascii="Times New Roman" w:cs="Times New Roman" w:eastAsia="Times New Roman" w:hAnsi="Times New Roman"/>
          <w:sz w:val="12"/>
          <w:szCs w:val="12"/>
          <w:i w:val="1"/>
          <w:iCs w:val="1"/>
          <w:color w:val="0000FF"/>
        </w:rPr>
        <w:t>Frequently Used Terms</w:t>
      </w:r>
      <w:r>
        <w:rPr>
          <w:rFonts w:ascii="Times New Roman" w:cs="Times New Roman" w:eastAsia="Times New Roman" w:hAnsi="Times New Roman"/>
          <w:sz w:val="12"/>
          <w:szCs w:val="12"/>
          <w:i w:val="1"/>
          <w:iCs w:val="1"/>
          <w:color w:val="auto"/>
        </w:rPr>
        <w:t xml:space="preserve"> for definition of Identified Items and Earnings (loss) excluding Identified Items.</w:t>
      </w: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21"/>
          <w:szCs w:val="21"/>
          <w:b w:val="1"/>
          <w:bCs w:val="1"/>
          <w:color w:val="0C479D"/>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0C479D"/>
        </w:rPr>
        <w:t>2023 Energy Products Earnings Driver Analysis</w:t>
      </w:r>
    </w:p>
    <w:p>
      <w:pPr>
        <w:spacing w:after="0" w:line="4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i w:val="1"/>
          <w:iCs w:val="1"/>
          <w:color w:val="auto"/>
        </w:rPr>
        <w:t>(millions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153670</wp:posOffset>
            </wp:positionV>
            <wp:extent cx="5991860" cy="18859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91860"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Margin – Margins decreased earnings by $3,510 million, mainly driven by industry refining margins which declined from 2022 highs, partially offset by stronger marketing margins.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Advantaged Volume Growth – Higher volumes from advantaged projects, increased earnings by $480 million, mainly driven by the Beaumont expansion.</w:t>
      </w:r>
    </w:p>
    <w:p>
      <w:pPr>
        <w:spacing w:after="0" w:line="10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 Volume – Lower base volumes decreased earnings by $560 million driven by higher planned maintenance and divestments, partially offset by improved reliability.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Structural Cost Savings – Increased earnings by $450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 Higher expenses decreased earnings by $830 million, mainly driven by Beaumont project activities and planned maintenance costs.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 All other items decreased earnings by $10 million.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Timing Effects – Absence of unfavorable timing effects associated with derivatives increased earnings by $330 million.</w:t>
      </w:r>
    </w:p>
    <w:p>
      <w:pPr>
        <w:spacing w:after="0" w:line="104"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 xml:space="preserve">Identified Items </w:t>
      </w:r>
      <w:r>
        <w:rPr>
          <w:rFonts w:ascii="Times New Roman" w:cs="Times New Roman" w:eastAsia="Times New Roman" w:hAnsi="Times New Roman"/>
          <w:sz w:val="9"/>
          <w:szCs w:val="9"/>
          <w:i w:val="1"/>
          <w:iCs w:val="1"/>
          <w:color w:val="auto"/>
        </w:rPr>
        <w:t>(1)</w:t>
      </w:r>
      <w:r>
        <w:rPr>
          <w:rFonts w:ascii="Times New Roman" w:cs="Times New Roman" w:eastAsia="Times New Roman" w:hAnsi="Times New Roman"/>
          <w:sz w:val="18"/>
          <w:szCs w:val="18"/>
          <w:color w:val="auto"/>
        </w:rPr>
        <w:t xml:space="preserve"> – 2022 $(684) million loss was primarily as a result of impairments and unfavorable tax items. 2023 $144 million gain driven by favorable tax effects partially offset by additional European taxes on the energy sector.</w:t>
      </w:r>
    </w:p>
    <w:p>
      <w:pPr>
        <w:spacing w:after="0" w:line="4" w:lineRule="exact"/>
        <w:rPr>
          <w:sz w:val="20"/>
          <w:szCs w:val="20"/>
          <w:color w:val="auto"/>
        </w:rPr>
      </w:pPr>
    </w:p>
    <w:p>
      <w:pPr>
        <w:ind w:left="140" w:hanging="132"/>
        <w:spacing w:after="0"/>
        <w:tabs>
          <w:tab w:leader="none" w:pos="140" w:val="left"/>
        </w:tabs>
        <w:numPr>
          <w:ilvl w:val="0"/>
          <w:numId w:val="32"/>
        </w:numPr>
        <w:rPr>
          <w:rFonts w:ascii="Times New Roman" w:cs="Times New Roman" w:eastAsia="Times New Roman" w:hAnsi="Times New Roman"/>
          <w:sz w:val="16"/>
          <w:szCs w:val="16"/>
          <w:i w:val="1"/>
          <w:iCs w:val="1"/>
          <w:color w:val="auto"/>
          <w:vertAlign w:val="superscript"/>
        </w:rPr>
      </w:pPr>
      <w:r>
        <w:rPr>
          <w:rFonts w:ascii="Times New Roman" w:cs="Times New Roman" w:eastAsia="Times New Roman" w:hAnsi="Times New Roman"/>
          <w:sz w:val="12"/>
          <w:szCs w:val="12"/>
          <w:i w:val="1"/>
          <w:iCs w:val="1"/>
          <w:color w:val="auto"/>
        </w:rPr>
        <w:t xml:space="preserve">Refer to </w:t>
      </w:r>
      <w:r>
        <w:rPr>
          <w:rFonts w:ascii="Times New Roman" w:cs="Times New Roman" w:eastAsia="Times New Roman" w:hAnsi="Times New Roman"/>
          <w:sz w:val="12"/>
          <w:szCs w:val="12"/>
          <w:i w:val="1"/>
          <w:iCs w:val="1"/>
          <w:color w:val="0000FF"/>
        </w:rPr>
        <w:t>Frequently Used Terms</w:t>
      </w:r>
      <w:r>
        <w:rPr>
          <w:rFonts w:ascii="Times New Roman" w:cs="Times New Roman" w:eastAsia="Times New Roman" w:hAnsi="Times New Roman"/>
          <w:sz w:val="12"/>
          <w:szCs w:val="12"/>
          <w:i w:val="1"/>
          <w:iCs w:val="1"/>
          <w:color w:val="auto"/>
        </w:rPr>
        <w:t xml:space="preserve"> for definition of Identified Items and Earnings (loss) excluding Identified Items.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1"/>
          <w:szCs w:val="21"/>
          <w:b w:val="1"/>
          <w:bCs w:val="1"/>
          <w:color w:val="0C479D"/>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479D"/>
        </w:rPr>
        <w:t>Energy Products Operational Results</w:t>
      </w:r>
    </w:p>
    <w:p>
      <w:pPr>
        <w:spacing w:after="0" w:line="153" w:lineRule="exact"/>
        <w:rPr>
          <w:sz w:val="20"/>
          <w:szCs w:val="20"/>
          <w:color w:val="auto"/>
        </w:rPr>
      </w:pPr>
    </w:p>
    <w:tbl>
      <w:tblPr>
        <w:tblLayout w:type="fixed"/>
        <w:tblInd w:w="780" w:type="dxa"/>
        <w:tblCellMar>
          <w:top w:w="0" w:type="dxa"/>
          <w:left w:w="0" w:type="dxa"/>
          <w:bottom w:w="0" w:type="dxa"/>
          <w:right w:w="0" w:type="dxa"/>
        </w:tblCellMar>
      </w:tblPr>
      <w:tr>
        <w:trPr>
          <w:trHeight w:val="250"/>
        </w:trPr>
        <w:tc>
          <w:tcPr>
            <w:tcW w:w="6620" w:type="dxa"/>
            <w:vAlign w:val="bottom"/>
            <w:tcBorders>
              <w:bottom w:val="single" w:sz="8" w:color="0C479D"/>
            </w:tcBorders>
            <w:shd w:val="clear" w:color="auto" w:fill="0C479D"/>
          </w:tcPr>
          <w:p>
            <w:pPr>
              <w:spacing w:after="0"/>
              <w:rPr>
                <w:sz w:val="20"/>
                <w:szCs w:val="20"/>
                <w:color w:val="auto"/>
              </w:rPr>
            </w:pPr>
            <w:r>
              <w:rPr>
                <w:rFonts w:ascii="Times New Roman" w:cs="Times New Roman" w:eastAsia="Times New Roman" w:hAnsi="Times New Roman"/>
                <w:sz w:val="14"/>
                <w:szCs w:val="14"/>
                <w:i w:val="1"/>
                <w:iCs w:val="1"/>
                <w:color w:val="FFFFFF"/>
              </w:rPr>
              <w:t>(thousands of barrels daily)</w:t>
            </w:r>
          </w:p>
        </w:tc>
        <w:tc>
          <w:tcPr>
            <w:tcW w:w="960" w:type="dxa"/>
            <w:vAlign w:val="bottom"/>
            <w:tcBorders>
              <w:bottom w:val="single" w:sz="8" w:color="0C479D"/>
            </w:tcBorders>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1360" w:type="dxa"/>
            <w:vAlign w:val="bottom"/>
            <w:tcBorders>
              <w:bottom w:val="single" w:sz="8" w:color="0C479D"/>
            </w:tcBorders>
            <w:shd w:val="clear" w:color="auto" w:fill="0C479D"/>
          </w:tcPr>
          <w:p>
            <w:pPr>
              <w:jc w:val="right"/>
              <w:ind w:right="231"/>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760" w:type="dxa"/>
            <w:vAlign w:val="bottom"/>
            <w:tcBorders>
              <w:bottom w:val="single" w:sz="8" w:color="0C479D"/>
            </w:tcBorders>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2022</w:t>
            </w:r>
          </w:p>
        </w:tc>
      </w:tr>
      <w:tr>
        <w:trPr>
          <w:trHeight w:val="243"/>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0C479D"/>
              </w:rPr>
              <w:t>Refinery throughput</w:t>
            </w:r>
          </w:p>
        </w:tc>
        <w:tc>
          <w:tcPr>
            <w:tcW w:w="960" w:type="dxa"/>
            <w:vAlign w:val="bottom"/>
            <w:shd w:val="clear" w:color="auto" w:fill="F0F0F0"/>
          </w:tcPr>
          <w:p>
            <w:pPr>
              <w:spacing w:after="0"/>
              <w:rPr>
                <w:sz w:val="21"/>
                <w:szCs w:val="21"/>
                <w:color w:val="auto"/>
              </w:rPr>
            </w:pPr>
          </w:p>
        </w:tc>
        <w:tc>
          <w:tcPr>
            <w:tcW w:w="13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9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3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1,848</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w:t>
            </w:r>
          </w:p>
        </w:tc>
      </w:tr>
      <w:tr>
        <w:trPr>
          <w:trHeight w:val="27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9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3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407</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r>
      <w:tr>
        <w:trPr>
          <w:trHeight w:val="27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9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3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1,166</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r>
      <w:tr>
        <w:trPr>
          <w:trHeight w:val="27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9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3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498</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r>
      <w:tr>
        <w:trPr>
          <w:trHeight w:val="297"/>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3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149</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43"/>
        </w:trPr>
        <w:tc>
          <w:tcPr>
            <w:tcW w:w="6620" w:type="dxa"/>
            <w:vAlign w:val="bottom"/>
            <w:tcBorders>
              <w:top w:val="single" w:sz="8" w:color="0C479D"/>
              <w:bottom w:val="single" w:sz="8" w:color="0C479D"/>
            </w:tcBorders>
          </w:tcPr>
          <w:p>
            <w:pPr>
              <w:spacing w:after="0"/>
              <w:rPr>
                <w:sz w:val="20"/>
                <w:szCs w:val="20"/>
                <w:color w:val="auto"/>
              </w:rPr>
            </w:pPr>
            <w:r>
              <w:rPr>
                <w:rFonts w:ascii="Times New Roman" w:cs="Times New Roman" w:eastAsia="Times New Roman" w:hAnsi="Times New Roman"/>
                <w:sz w:val="18"/>
                <w:szCs w:val="18"/>
                <w:b w:val="1"/>
                <w:bCs w:val="1"/>
                <w:color w:val="auto"/>
              </w:rPr>
              <w:t>Worldwide</w:t>
            </w:r>
          </w:p>
        </w:tc>
        <w:tc>
          <w:tcPr>
            <w:tcW w:w="960" w:type="dxa"/>
            <w:vAlign w:val="bottom"/>
            <w:tcBorders>
              <w:top w:val="single" w:sz="8" w:color="0C479D"/>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3,900</w:t>
            </w:r>
          </w:p>
        </w:tc>
        <w:tc>
          <w:tcPr>
            <w:tcW w:w="1360" w:type="dxa"/>
            <w:vAlign w:val="bottom"/>
            <w:tcBorders>
              <w:top w:val="single" w:sz="8" w:color="0C479D"/>
              <w:bottom w:val="single" w:sz="8" w:color="0C479D"/>
            </w:tcBorders>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4,068</w:t>
            </w:r>
          </w:p>
        </w:tc>
        <w:tc>
          <w:tcPr>
            <w:tcW w:w="760" w:type="dxa"/>
            <w:vAlign w:val="bottom"/>
            <w:tcBorders>
              <w:top w:val="single" w:sz="8" w:color="0C479D"/>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4,030</w:t>
            </w:r>
          </w:p>
        </w:tc>
      </w:tr>
      <w:tr>
        <w:trPr>
          <w:trHeight w:val="351"/>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0C479D"/>
              </w:rPr>
              <w:t xml:space="preserve">Energy Products sales </w:t>
            </w:r>
            <w:r>
              <w:rPr>
                <w:rFonts w:ascii="Times New Roman" w:cs="Times New Roman" w:eastAsia="Times New Roman" w:hAnsi="Times New Roman"/>
                <w:sz w:val="9"/>
                <w:szCs w:val="9"/>
                <w:i w:val="1"/>
                <w:iCs w:val="1"/>
                <w:color w:val="0C479D"/>
              </w:rPr>
              <w:t>(1)</w:t>
            </w:r>
          </w:p>
        </w:tc>
        <w:tc>
          <w:tcPr>
            <w:tcW w:w="960" w:type="dxa"/>
            <w:vAlign w:val="bottom"/>
            <w:shd w:val="clear" w:color="auto" w:fill="F0F0F0"/>
          </w:tcPr>
          <w:p>
            <w:pPr>
              <w:spacing w:after="0"/>
              <w:rPr>
                <w:sz w:val="24"/>
                <w:szCs w:val="24"/>
                <w:color w:val="auto"/>
              </w:rPr>
            </w:pPr>
          </w:p>
        </w:tc>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43"/>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9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13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2,633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w:t>
            </w:r>
          </w:p>
        </w:tc>
      </w:tr>
      <w:tr>
        <w:trPr>
          <w:trHeight w:val="297"/>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Non-U.S.</w:t>
            </w:r>
          </w:p>
        </w:tc>
        <w:tc>
          <w:tcPr>
            <w:tcW w:w="96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2,696</w:t>
            </w:r>
          </w:p>
        </w:tc>
        <w:tc>
          <w:tcPr>
            <w:tcW w:w="13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2,828</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w:t>
            </w:r>
          </w:p>
        </w:tc>
      </w:tr>
      <w:tr>
        <w:trPr>
          <w:trHeight w:val="243"/>
        </w:trPr>
        <w:tc>
          <w:tcPr>
            <w:tcW w:w="6620" w:type="dxa"/>
            <w:vAlign w:val="bottom"/>
            <w:tcBorders>
              <w:top w:val="single" w:sz="8" w:color="0C479D"/>
              <w:bottom w:val="single" w:sz="8" w:color="0C479D"/>
            </w:tcBorders>
          </w:tcPr>
          <w:p>
            <w:pPr>
              <w:spacing w:after="0"/>
              <w:rPr>
                <w:sz w:val="20"/>
                <w:szCs w:val="20"/>
                <w:color w:val="auto"/>
              </w:rPr>
            </w:pPr>
            <w:r>
              <w:rPr>
                <w:rFonts w:ascii="Times New Roman" w:cs="Times New Roman" w:eastAsia="Times New Roman" w:hAnsi="Times New Roman"/>
                <w:sz w:val="18"/>
                <w:szCs w:val="18"/>
                <w:b w:val="1"/>
                <w:bCs w:val="1"/>
                <w:color w:val="auto"/>
              </w:rPr>
              <w:t>Worldwide</w:t>
            </w:r>
          </w:p>
        </w:tc>
        <w:tc>
          <w:tcPr>
            <w:tcW w:w="960" w:type="dxa"/>
            <w:vAlign w:val="bottom"/>
            <w:tcBorders>
              <w:top w:val="single" w:sz="8" w:color="0C479D"/>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5,418</w:t>
            </w:r>
          </w:p>
        </w:tc>
        <w:tc>
          <w:tcPr>
            <w:tcW w:w="1360" w:type="dxa"/>
            <w:vAlign w:val="bottom"/>
            <w:tcBorders>
              <w:top w:val="single" w:sz="8" w:color="0C479D"/>
              <w:bottom w:val="single" w:sz="8" w:color="0C479D"/>
            </w:tcBorders>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5,461</w:t>
            </w:r>
          </w:p>
        </w:tc>
        <w:tc>
          <w:tcPr>
            <w:tcW w:w="760" w:type="dxa"/>
            <w:vAlign w:val="bottom"/>
            <w:tcBorders>
              <w:top w:val="single" w:sz="8" w:color="0C479D"/>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5,347</w:t>
            </w:r>
          </w:p>
        </w:tc>
      </w:tr>
      <w:tr>
        <w:trPr>
          <w:trHeight w:val="324"/>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Gasoline, naphthas</w:t>
            </w:r>
          </w:p>
        </w:tc>
        <w:tc>
          <w:tcPr>
            <w:tcW w:w="9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13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2,288</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w:t>
            </w:r>
          </w:p>
        </w:tc>
      </w:tr>
      <w:tr>
        <w:trPr>
          <w:trHeight w:val="27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Heating oils, kerosene, diesel</w:t>
            </w:r>
          </w:p>
        </w:tc>
        <w:tc>
          <w:tcPr>
            <w:tcW w:w="9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13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1,795</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w:t>
            </w:r>
          </w:p>
        </w:tc>
      </w:tr>
      <w:tr>
        <w:trPr>
          <w:trHeight w:val="27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Aviation fuels</w:t>
            </w:r>
          </w:p>
        </w:tc>
        <w:tc>
          <w:tcPr>
            <w:tcW w:w="9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3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336</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7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Heavy fuels</w:t>
            </w:r>
          </w:p>
        </w:tc>
        <w:tc>
          <w:tcPr>
            <w:tcW w:w="9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3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214</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97"/>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Other energy products</w:t>
            </w:r>
          </w:p>
        </w:tc>
        <w:tc>
          <w:tcPr>
            <w:tcW w:w="96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3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829</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r>
      <w:tr>
        <w:trPr>
          <w:trHeight w:val="244"/>
        </w:trPr>
        <w:tc>
          <w:tcPr>
            <w:tcW w:w="6620" w:type="dxa"/>
            <w:vAlign w:val="bottom"/>
            <w:tcBorders>
              <w:top w:val="single" w:sz="8" w:color="0C479D"/>
              <w:bottom w:val="single" w:sz="8" w:color="0C479D"/>
            </w:tcBorders>
          </w:tcPr>
          <w:p>
            <w:pPr>
              <w:spacing w:after="0"/>
              <w:rPr>
                <w:sz w:val="20"/>
                <w:szCs w:val="20"/>
                <w:color w:val="auto"/>
              </w:rPr>
            </w:pPr>
            <w:r>
              <w:rPr>
                <w:rFonts w:ascii="Times New Roman" w:cs="Times New Roman" w:eastAsia="Times New Roman" w:hAnsi="Times New Roman"/>
                <w:sz w:val="18"/>
                <w:szCs w:val="18"/>
                <w:b w:val="1"/>
                <w:bCs w:val="1"/>
                <w:color w:val="auto"/>
              </w:rPr>
              <w:t>Worldwide</w:t>
            </w:r>
          </w:p>
        </w:tc>
        <w:tc>
          <w:tcPr>
            <w:tcW w:w="960" w:type="dxa"/>
            <w:vAlign w:val="bottom"/>
            <w:tcBorders>
              <w:top w:val="single" w:sz="8" w:color="0C479D"/>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5,418</w:t>
            </w:r>
          </w:p>
        </w:tc>
        <w:tc>
          <w:tcPr>
            <w:tcW w:w="1360" w:type="dxa"/>
            <w:vAlign w:val="bottom"/>
            <w:tcBorders>
              <w:top w:val="single" w:sz="8" w:color="0C479D"/>
              <w:bottom w:val="single" w:sz="8" w:color="0C479D"/>
            </w:tcBorders>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5,461</w:t>
            </w:r>
          </w:p>
        </w:tc>
        <w:tc>
          <w:tcPr>
            <w:tcW w:w="760" w:type="dxa"/>
            <w:vAlign w:val="bottom"/>
            <w:tcBorders>
              <w:top w:val="single" w:sz="8" w:color="0C479D"/>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5,347</w:t>
            </w:r>
          </w:p>
        </w:tc>
      </w:tr>
    </w:tbl>
    <w:p>
      <w:pPr>
        <w:spacing w:after="0" w:line="8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i w:val="1"/>
          <w:iCs w:val="1"/>
          <w:color w:val="auto"/>
          <w:vertAlign w:val="superscript"/>
        </w:rPr>
        <w:t>(1)</w:t>
      </w:r>
      <w:r>
        <w:rPr>
          <w:rFonts w:ascii="Times New Roman" w:cs="Times New Roman" w:eastAsia="Times New Roman" w:hAnsi="Times New Roman"/>
          <w:sz w:val="14"/>
          <w:szCs w:val="14"/>
          <w:i w:val="1"/>
          <w:iCs w:val="1"/>
          <w:color w:val="auto"/>
        </w:rPr>
        <w:t xml:space="preserve"> Data reported net of purchases/sales contracts with the same counterparty.</w:t>
      </w:r>
    </w:p>
    <w:p>
      <w:pPr>
        <w:spacing w:after="0" w:line="4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i w:val="1"/>
          <w:iCs w:val="1"/>
          <w:color w:val="auto"/>
        </w:rPr>
        <w:t>Due to rounding, numbers presented may not add up precisely to the totals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2914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3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FFFFFF"/>
        </w:rPr>
        <w:t>Chemical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-148590</wp:posOffset>
            </wp:positionV>
            <wp:extent cx="5709285" cy="2311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709285" cy="231140"/>
                    </a:xfrm>
                    <a:prstGeom prst="rect">
                      <a:avLst/>
                    </a:prstGeom>
                    <a:noFill/>
                  </pic:spPr>
                </pic:pic>
              </a:graphicData>
            </a:graphic>
          </wp:anchor>
        </w:drawing>
      </w:r>
    </w:p>
    <w:p>
      <w:pPr>
        <w:spacing w:after="0" w:line="2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ExxonMobil is a leading global manufacturer and marketer of petrochemicals that support modern living. Chemical Products help meet society’s essential needs by providing a wide range of innovative products efficiently and responsibly. The Company is uniquely positioned with a combination of industry-leading scale, integration, and proprietary technology, which are fundamental to producing affordable products that are more sustainable, use less material, save energy, and reduce waste. These competitive advantages are underpinned by operational excellence, advantaged investments, and cost discipline. This segment includes olefins, polyolefins, and intermediates.</w:t>
      </w:r>
    </w:p>
    <w:p>
      <w:pPr>
        <w:spacing w:after="0" w:line="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Over the long term, worldwide demand for chemicals is expected to grow faster than the economy, driven by global population growth, an expanding middle class, and improving living standards. Chemical Products integration with refineries, performance product mix, and project execution capability improves returns on investments across a range of market environments.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2024, chemical industry margins remained bottom-of-cycle, below the pre-COVID 10-year historical range (2010-2019), as capacity additions from 2022-2024 have exceeded demand growth. The Company optimized production across our global footprint to profitably meet customer demand. Our earnings benefited from record reliability, record high-value products sales, and a large North American footprint where low ethane prices provide a feed advantage.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479D"/>
        </w:rPr>
        <w:t>Key Recent Events</w:t>
      </w:r>
    </w:p>
    <w:p>
      <w:pPr>
        <w:spacing w:after="0" w:line="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China Chemical Complex: </w:t>
      </w:r>
      <w:r>
        <w:rPr>
          <w:rFonts w:ascii="Times New Roman" w:cs="Times New Roman" w:eastAsia="Times New Roman" w:hAnsi="Times New Roman"/>
          <w:sz w:val="18"/>
          <w:szCs w:val="18"/>
          <w:color w:val="auto"/>
        </w:rPr>
        <w:t>ExxonMobil is investing in a petrochemical complex in the Dayawan Petrochemical Industrial Park in Huizhou, Guangdong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Province, which is a significant step in growing our global manufacturing footprint and will be the first 100 percent foreign-owned petrochemical complex built in China. The facility will be focused on producing our unique high-performance polyethylene and polypropylene products. When completed, the complex will have three polyethylene and two polypropylene production lines for a combined capacity of over 2.5 million metric tons per year. This capacity will more efficiently serve China’s domestic demand, which is currently being met with imports.</w:t>
      </w:r>
    </w:p>
    <w:p>
      <w:pPr>
        <w:spacing w:after="0" w:line="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Advanced Recycling: </w:t>
      </w:r>
      <w:r>
        <w:rPr>
          <w:rFonts w:ascii="Times New Roman" w:cs="Times New Roman" w:eastAsia="Times New Roman" w:hAnsi="Times New Roman"/>
          <w:sz w:val="18"/>
          <w:szCs w:val="18"/>
          <w:color w:val="auto"/>
        </w:rPr>
        <w:t>ExxonMobil is combining proprietary technology and advantaged integrated sites to process hard-to-recycle plastic waste.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first Baytown facility started up in 2022 and represents one of the largest advanced recycling facilities in North America. ExxonMobil is expanding advanced recycling capacity with two additional Baytown units starting up during 2025. The Company plans to build additional units to reach a global recycling capacity of 1 billion pounds per year by 2027.</w:t>
      </w:r>
    </w:p>
    <w:p>
      <w:pPr>
        <w:sectPr>
          <w:pgSz w:w="11900" w:h="16838" w:orient="portrait"/>
          <w:cols w:equalWidth="0" w:num="1">
            <w:col w:w="11240"/>
          </w:cols>
          <w:pgMar w:left="320" w:top="270" w:right="3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21"/>
          <w:szCs w:val="21"/>
          <w:b w:val="1"/>
          <w:bCs w:val="1"/>
          <w:color w:val="0C479D"/>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479D"/>
        </w:rPr>
        <w:t>Chemical Products Financial Results</w:t>
      </w:r>
    </w:p>
    <w:p>
      <w:pPr>
        <w:spacing w:after="0" w:line="153" w:lineRule="exact"/>
        <w:rPr>
          <w:sz w:val="20"/>
          <w:szCs w:val="20"/>
          <w:color w:val="auto"/>
        </w:rPr>
      </w:pPr>
    </w:p>
    <w:tbl>
      <w:tblPr>
        <w:tblLayout w:type="fixed"/>
        <w:tblInd w:w="800" w:type="dxa"/>
        <w:tblCellMar>
          <w:top w:w="0" w:type="dxa"/>
          <w:left w:w="0" w:type="dxa"/>
          <w:bottom w:w="0" w:type="dxa"/>
          <w:right w:w="0" w:type="dxa"/>
        </w:tblCellMar>
      </w:tblPr>
      <w:tr>
        <w:trPr>
          <w:trHeight w:val="250"/>
        </w:trPr>
        <w:tc>
          <w:tcPr>
            <w:tcW w:w="6540" w:type="dxa"/>
            <w:vAlign w:val="bottom"/>
            <w:tcBorders>
              <w:bottom w:val="single" w:sz="8" w:color="0C479D"/>
            </w:tcBorders>
            <w:shd w:val="clear" w:color="auto" w:fill="0C479D"/>
          </w:tcPr>
          <w:p>
            <w:pPr>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960" w:type="dxa"/>
            <w:vAlign w:val="bottom"/>
            <w:tcBorders>
              <w:bottom w:val="single" w:sz="8" w:color="0C479D"/>
            </w:tcBorders>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1360" w:type="dxa"/>
            <w:vAlign w:val="bottom"/>
            <w:tcBorders>
              <w:bottom w:val="single" w:sz="8" w:color="0C479D"/>
            </w:tcBorders>
            <w:shd w:val="clear" w:color="auto" w:fill="0C479D"/>
          </w:tcPr>
          <w:p>
            <w:pPr>
              <w:jc w:val="right"/>
              <w:ind w:right="212"/>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800" w:type="dxa"/>
            <w:vAlign w:val="bottom"/>
            <w:tcBorders>
              <w:bottom w:val="single" w:sz="8" w:color="0C479D"/>
            </w:tcBorders>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2022</w:t>
            </w:r>
          </w:p>
        </w:tc>
      </w:tr>
      <w:tr>
        <w:trPr>
          <w:trHeight w:val="238"/>
        </w:trPr>
        <w:tc>
          <w:tcPr>
            <w:tcW w:w="6540" w:type="dxa"/>
            <w:vAlign w:val="bottom"/>
          </w:tcPr>
          <w:p>
            <w:pPr>
              <w:spacing w:after="0"/>
              <w:rPr>
                <w:sz w:val="20"/>
                <w:szCs w:val="20"/>
                <w:color w:val="auto"/>
              </w:rPr>
            </w:pPr>
            <w:r>
              <w:rPr>
                <w:rFonts w:ascii="Times New Roman" w:cs="Times New Roman" w:eastAsia="Times New Roman" w:hAnsi="Times New Roman"/>
                <w:sz w:val="18"/>
                <w:szCs w:val="18"/>
                <w:b w:val="1"/>
                <w:bCs w:val="1"/>
                <w:color w:val="0C479D"/>
              </w:rPr>
              <w:t>Earnings (loss) (U.S. GAAP)</w:t>
            </w:r>
          </w:p>
        </w:tc>
        <w:tc>
          <w:tcPr>
            <w:tcW w:w="960" w:type="dxa"/>
            <w:vAlign w:val="bottom"/>
            <w:shd w:val="clear" w:color="auto" w:fill="F0F0F0"/>
          </w:tcPr>
          <w:p>
            <w:pPr>
              <w:spacing w:after="0"/>
              <w:rPr>
                <w:sz w:val="20"/>
                <w:szCs w:val="20"/>
                <w:color w:val="auto"/>
              </w:rPr>
            </w:pPr>
          </w:p>
        </w:tc>
        <w:tc>
          <w:tcPr>
            <w:tcW w:w="13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5"/>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9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13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1,626</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w:t>
            </w:r>
          </w:p>
        </w:tc>
      </w:tr>
      <w:tr>
        <w:trPr>
          <w:trHeight w:val="297"/>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Non-U.S.</w:t>
            </w:r>
          </w:p>
        </w:tc>
        <w:tc>
          <w:tcPr>
            <w:tcW w:w="96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3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11</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r>
      <w:tr>
        <w:trPr>
          <w:trHeight w:val="243"/>
        </w:trPr>
        <w:tc>
          <w:tcPr>
            <w:tcW w:w="6540" w:type="dxa"/>
            <w:vAlign w:val="bottom"/>
            <w:tcBorders>
              <w:top w:val="single" w:sz="8" w:color="0C479D"/>
              <w:bottom w:val="single" w:sz="8" w:color="0C479D"/>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60" w:type="dxa"/>
            <w:vAlign w:val="bottom"/>
            <w:tcBorders>
              <w:top w:val="single" w:sz="8" w:color="0C479D"/>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2,577</w:t>
            </w:r>
          </w:p>
        </w:tc>
        <w:tc>
          <w:tcPr>
            <w:tcW w:w="1360" w:type="dxa"/>
            <w:vAlign w:val="bottom"/>
            <w:tcBorders>
              <w:top w:val="single" w:sz="8" w:color="0C479D"/>
              <w:bottom w:val="single" w:sz="8" w:color="0C479D"/>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1,637</w:t>
            </w:r>
          </w:p>
        </w:tc>
        <w:tc>
          <w:tcPr>
            <w:tcW w:w="800" w:type="dxa"/>
            <w:vAlign w:val="bottom"/>
            <w:tcBorders>
              <w:top w:val="single" w:sz="8" w:color="0C479D"/>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3,543</w:t>
            </w:r>
          </w:p>
        </w:tc>
      </w:tr>
      <w:tr>
        <w:trPr>
          <w:trHeight w:val="378"/>
        </w:trPr>
        <w:tc>
          <w:tcPr>
            <w:tcW w:w="6540" w:type="dxa"/>
            <w:vAlign w:val="bottom"/>
          </w:tcPr>
          <w:p>
            <w:pPr>
              <w:spacing w:after="0"/>
              <w:rPr>
                <w:sz w:val="20"/>
                <w:szCs w:val="20"/>
                <w:color w:val="auto"/>
              </w:rPr>
            </w:pPr>
            <w:r>
              <w:rPr>
                <w:rFonts w:ascii="Times New Roman" w:cs="Times New Roman" w:eastAsia="Times New Roman" w:hAnsi="Times New Roman"/>
                <w:sz w:val="18"/>
                <w:szCs w:val="18"/>
                <w:b w:val="1"/>
                <w:bCs w:val="1"/>
                <w:color w:val="0C479D"/>
              </w:rPr>
              <w:t xml:space="preserve">Identified Items </w:t>
            </w:r>
            <w:r>
              <w:rPr>
                <w:rFonts w:ascii="Times New Roman" w:cs="Times New Roman" w:eastAsia="Times New Roman" w:hAnsi="Times New Roman"/>
                <w:sz w:val="9"/>
                <w:szCs w:val="9"/>
                <w:i w:val="1"/>
                <w:iCs w:val="1"/>
                <w:color w:val="0C479D"/>
              </w:rPr>
              <w:t>(1)</w:t>
            </w:r>
          </w:p>
        </w:tc>
        <w:tc>
          <w:tcPr>
            <w:tcW w:w="960" w:type="dxa"/>
            <w:vAlign w:val="bottom"/>
            <w:shd w:val="clear" w:color="auto" w:fill="F0F0F0"/>
          </w:tcPr>
          <w:p>
            <w:pPr>
              <w:spacing w:after="0"/>
              <w:rPr>
                <w:sz w:val="24"/>
                <w:szCs w:val="24"/>
                <w:color w:val="auto"/>
              </w:rPr>
            </w:pPr>
          </w:p>
        </w:tc>
        <w:tc>
          <w:tcPr>
            <w:tcW w:w="1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83"/>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9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3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32</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Non-U.S.</w:t>
            </w:r>
          </w:p>
        </w:tc>
        <w:tc>
          <w:tcPr>
            <w:tcW w:w="96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3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(420)</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4"/>
        </w:trPr>
        <w:tc>
          <w:tcPr>
            <w:tcW w:w="6540" w:type="dxa"/>
            <w:vAlign w:val="bottom"/>
            <w:tcBorders>
              <w:top w:val="single" w:sz="8" w:color="0C479D"/>
              <w:bottom w:val="single" w:sz="8" w:color="0C479D"/>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60" w:type="dxa"/>
            <w:vAlign w:val="bottom"/>
            <w:tcBorders>
              <w:top w:val="single" w:sz="8" w:color="0C479D"/>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c>
          <w:tcPr>
            <w:tcW w:w="1360" w:type="dxa"/>
            <w:vAlign w:val="bottom"/>
            <w:tcBorders>
              <w:top w:val="single" w:sz="8" w:color="0C479D"/>
              <w:bottom w:val="single" w:sz="8" w:color="0C479D"/>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(388)</w:t>
            </w:r>
          </w:p>
        </w:tc>
        <w:tc>
          <w:tcPr>
            <w:tcW w:w="800" w:type="dxa"/>
            <w:vAlign w:val="bottom"/>
            <w:tcBorders>
              <w:top w:val="single" w:sz="8" w:color="0C479D"/>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86"/>
        </w:trPr>
        <w:tc>
          <w:tcPr>
            <w:tcW w:w="6540" w:type="dxa"/>
            <w:vAlign w:val="bottom"/>
          </w:tcPr>
          <w:p>
            <w:pPr>
              <w:spacing w:after="0"/>
              <w:rPr>
                <w:sz w:val="20"/>
                <w:szCs w:val="20"/>
                <w:color w:val="auto"/>
              </w:rPr>
            </w:pPr>
            <w:r>
              <w:rPr>
                <w:rFonts w:ascii="Times New Roman" w:cs="Times New Roman" w:eastAsia="Times New Roman" w:hAnsi="Times New Roman"/>
                <w:sz w:val="18"/>
                <w:szCs w:val="18"/>
                <w:b w:val="1"/>
                <w:bCs w:val="1"/>
                <w:color w:val="0C479D"/>
              </w:rPr>
              <w:t xml:space="preserve">Earnings (loss) excluding Identified Items </w:t>
            </w:r>
            <w:r>
              <w:rPr>
                <w:rFonts w:ascii="Times New Roman" w:cs="Times New Roman" w:eastAsia="Times New Roman" w:hAnsi="Times New Roman"/>
                <w:sz w:val="9"/>
                <w:szCs w:val="9"/>
                <w:i w:val="1"/>
                <w:iCs w:val="1"/>
                <w:color w:val="0C479D"/>
              </w:rPr>
              <w:t>(1)</w:t>
            </w:r>
            <w:r>
              <w:rPr>
                <w:rFonts w:ascii="Times New Roman" w:cs="Times New Roman" w:eastAsia="Times New Roman" w:hAnsi="Times New Roman"/>
                <w:sz w:val="18"/>
                <w:szCs w:val="18"/>
                <w:b w:val="1"/>
                <w:bCs w:val="1"/>
                <w:color w:val="0C479D"/>
              </w:rPr>
              <w:t xml:space="preserve"> </w:t>
            </w:r>
            <w:r>
              <w:rPr>
                <w:rFonts w:ascii="Times New Roman" w:cs="Times New Roman" w:eastAsia="Times New Roman" w:hAnsi="Times New Roman"/>
                <w:sz w:val="18"/>
                <w:szCs w:val="18"/>
                <w:color w:val="0C479D"/>
              </w:rPr>
              <w:t>(Non-GAAP)</w:t>
            </w:r>
          </w:p>
        </w:tc>
        <w:tc>
          <w:tcPr>
            <w:tcW w:w="960" w:type="dxa"/>
            <w:vAlign w:val="bottom"/>
            <w:shd w:val="clear" w:color="auto" w:fill="F0F0F0"/>
          </w:tcPr>
          <w:p>
            <w:pPr>
              <w:spacing w:after="0"/>
              <w:rPr>
                <w:sz w:val="24"/>
                <w:szCs w:val="24"/>
                <w:color w:val="auto"/>
              </w:rPr>
            </w:pPr>
          </w:p>
        </w:tc>
        <w:tc>
          <w:tcPr>
            <w:tcW w:w="1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9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3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1,594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w:t>
            </w:r>
          </w:p>
        </w:tc>
      </w:tr>
      <w:tr>
        <w:trPr>
          <w:trHeight w:val="297"/>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Non-U.S.</w:t>
            </w:r>
          </w:p>
        </w:tc>
        <w:tc>
          <w:tcPr>
            <w:tcW w:w="96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3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431</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r>
      <w:tr>
        <w:trPr>
          <w:trHeight w:val="243"/>
        </w:trPr>
        <w:tc>
          <w:tcPr>
            <w:tcW w:w="6540" w:type="dxa"/>
            <w:vAlign w:val="bottom"/>
            <w:tcBorders>
              <w:top w:val="single" w:sz="8" w:color="0C479D"/>
              <w:bottom w:val="single" w:sz="8" w:color="0C479D"/>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60" w:type="dxa"/>
            <w:vAlign w:val="bottom"/>
            <w:tcBorders>
              <w:top w:val="single" w:sz="8" w:color="0C479D"/>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2,672</w:t>
            </w:r>
          </w:p>
        </w:tc>
        <w:tc>
          <w:tcPr>
            <w:tcW w:w="1360" w:type="dxa"/>
            <w:vAlign w:val="bottom"/>
            <w:tcBorders>
              <w:top w:val="single" w:sz="8" w:color="0C479D"/>
              <w:bottom w:val="single" w:sz="8" w:color="0C479D"/>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0" w:type="dxa"/>
            <w:vAlign w:val="bottom"/>
            <w:tcBorders>
              <w:top w:val="single" w:sz="8" w:color="0C479D"/>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3,543</w:t>
            </w:r>
          </w:p>
        </w:tc>
      </w:tr>
    </w:tbl>
    <w:p>
      <w:pPr>
        <w:spacing w:after="0" w:line="83" w:lineRule="exact"/>
        <w:rPr>
          <w:sz w:val="20"/>
          <w:szCs w:val="20"/>
          <w:color w:val="auto"/>
        </w:rPr>
      </w:pPr>
    </w:p>
    <w:p>
      <w:pPr>
        <w:ind w:left="940" w:hanging="131"/>
        <w:spacing w:after="0"/>
        <w:tabs>
          <w:tab w:leader="none" w:pos="940" w:val="left"/>
        </w:tabs>
        <w:numPr>
          <w:ilvl w:val="0"/>
          <w:numId w:val="33"/>
        </w:numPr>
        <w:rPr>
          <w:rFonts w:ascii="Times New Roman" w:cs="Times New Roman" w:eastAsia="Times New Roman" w:hAnsi="Times New Roman"/>
          <w:sz w:val="16"/>
          <w:szCs w:val="16"/>
          <w:i w:val="1"/>
          <w:iCs w:val="1"/>
          <w:color w:val="auto"/>
          <w:vertAlign w:val="superscript"/>
        </w:rPr>
      </w:pPr>
      <w:r>
        <w:rPr>
          <w:rFonts w:ascii="Times New Roman" w:cs="Times New Roman" w:eastAsia="Times New Roman" w:hAnsi="Times New Roman"/>
          <w:sz w:val="12"/>
          <w:szCs w:val="12"/>
          <w:i w:val="1"/>
          <w:iCs w:val="1"/>
          <w:color w:val="auto"/>
        </w:rPr>
        <w:t xml:space="preserve">Refer to </w:t>
      </w:r>
      <w:r>
        <w:rPr>
          <w:rFonts w:ascii="Times New Roman" w:cs="Times New Roman" w:eastAsia="Times New Roman" w:hAnsi="Times New Roman"/>
          <w:sz w:val="12"/>
          <w:szCs w:val="12"/>
          <w:i w:val="1"/>
          <w:iCs w:val="1"/>
          <w:color w:val="0000FF"/>
        </w:rPr>
        <w:t>Frequently Used Terms</w:t>
      </w:r>
      <w:r>
        <w:rPr>
          <w:rFonts w:ascii="Times New Roman" w:cs="Times New Roman" w:eastAsia="Times New Roman" w:hAnsi="Times New Roman"/>
          <w:sz w:val="12"/>
          <w:szCs w:val="12"/>
          <w:i w:val="1"/>
          <w:iCs w:val="1"/>
          <w:color w:val="auto"/>
        </w:rPr>
        <w:t xml:space="preserve"> for definition of Identified Items and Earnings (loss) excluding Identified Items.</w:t>
      </w:r>
    </w:p>
    <w:p>
      <w:pPr>
        <w:spacing w:after="0" w:line="26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0C479D"/>
        </w:rPr>
        <w:t>2024 Chemical Products Earnings Driver Analysis</w:t>
      </w:r>
    </w:p>
    <w:p>
      <w:pPr>
        <w:spacing w:after="0" w:line="4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i w:val="1"/>
          <w:iCs w:val="1"/>
          <w:color w:val="auto"/>
        </w:rPr>
        <w:t>(millions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153670</wp:posOffset>
            </wp:positionV>
            <wp:extent cx="5991860" cy="18859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91860"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Margin – Improved company margins on North American ethane feed advantage and improved product realizations increased earnings by $890 million, despite continued bottom-of-cycle market conditions.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Advantaged Volume Growth – Record high-value product sales increased earnings by $410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 Volume – Portfolio optimization and product sales mix decreased earnings by $270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Structural Cost Savings – Increased earnings by $190 million.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 Higher advantaged project spend and inflation effects decreased earnings by $490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 All other items decreased earnings by $80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Identified Items </w:t>
      </w:r>
      <w:r>
        <w:rPr>
          <w:rFonts w:ascii="Times New Roman" w:cs="Times New Roman" w:eastAsia="Times New Roman" w:hAnsi="Times New Roman"/>
          <w:sz w:val="9"/>
          <w:szCs w:val="9"/>
          <w:i w:val="1"/>
          <w:iCs w:val="1"/>
          <w:color w:val="auto"/>
        </w:rPr>
        <w:t>(1)</w:t>
      </w:r>
      <w:r>
        <w:rPr>
          <w:rFonts w:ascii="Times New Roman" w:cs="Times New Roman" w:eastAsia="Times New Roman" w:hAnsi="Times New Roman"/>
          <w:sz w:val="18"/>
          <w:szCs w:val="18"/>
          <w:color w:val="auto"/>
        </w:rPr>
        <w:t xml:space="preserve"> – 2023 $(388) million loss was primarily driven by impairments; 2024 $(95) million loss driven by impairments.</w:t>
      </w:r>
    </w:p>
    <w:p>
      <w:pPr>
        <w:spacing w:after="0" w:line="57" w:lineRule="exact"/>
        <w:rPr>
          <w:sz w:val="20"/>
          <w:szCs w:val="20"/>
          <w:color w:val="auto"/>
        </w:rPr>
      </w:pPr>
    </w:p>
    <w:p>
      <w:pPr>
        <w:ind w:left="140" w:hanging="132"/>
        <w:spacing w:after="0"/>
        <w:tabs>
          <w:tab w:leader="none" w:pos="140" w:val="left"/>
        </w:tabs>
        <w:numPr>
          <w:ilvl w:val="0"/>
          <w:numId w:val="34"/>
        </w:numPr>
        <w:rPr>
          <w:rFonts w:ascii="Times New Roman" w:cs="Times New Roman" w:eastAsia="Times New Roman" w:hAnsi="Times New Roman"/>
          <w:sz w:val="16"/>
          <w:szCs w:val="16"/>
          <w:i w:val="1"/>
          <w:iCs w:val="1"/>
          <w:color w:val="auto"/>
          <w:vertAlign w:val="superscript"/>
        </w:rPr>
      </w:pPr>
      <w:r>
        <w:rPr>
          <w:rFonts w:ascii="Times New Roman" w:cs="Times New Roman" w:eastAsia="Times New Roman" w:hAnsi="Times New Roman"/>
          <w:sz w:val="12"/>
          <w:szCs w:val="12"/>
          <w:i w:val="1"/>
          <w:iCs w:val="1"/>
          <w:color w:val="auto"/>
        </w:rPr>
        <w:t xml:space="preserve">Refer to </w:t>
      </w:r>
      <w:r>
        <w:rPr>
          <w:rFonts w:ascii="Times New Roman" w:cs="Times New Roman" w:eastAsia="Times New Roman" w:hAnsi="Times New Roman"/>
          <w:sz w:val="12"/>
          <w:szCs w:val="12"/>
          <w:i w:val="1"/>
          <w:iCs w:val="1"/>
          <w:color w:val="0000FF"/>
        </w:rPr>
        <w:t>Frequently Used Terms</w:t>
      </w:r>
      <w:r>
        <w:rPr>
          <w:rFonts w:ascii="Times New Roman" w:cs="Times New Roman" w:eastAsia="Times New Roman" w:hAnsi="Times New Roman"/>
          <w:sz w:val="12"/>
          <w:szCs w:val="12"/>
          <w:i w:val="1"/>
          <w:iCs w:val="1"/>
          <w:color w:val="auto"/>
        </w:rPr>
        <w:t xml:space="preserve"> for definition of Identified Items and Earnings (loss) excluding Identified Items.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21"/>
          <w:szCs w:val="21"/>
          <w:b w:val="1"/>
          <w:bCs w:val="1"/>
          <w:color w:val="0C479D"/>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0C479D"/>
        </w:rPr>
        <w:t>2023 Chemical Products Earnings Driver Analysis</w:t>
      </w:r>
    </w:p>
    <w:p>
      <w:pPr>
        <w:spacing w:after="0" w:line="4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i w:val="1"/>
          <w:iCs w:val="1"/>
          <w:color w:val="auto"/>
        </w:rPr>
        <w:t>(millions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153670</wp:posOffset>
            </wp:positionV>
            <wp:extent cx="5991860" cy="18859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991860"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Margin – Weaker margins decreased earnings by $870 million due to bottom-of-cycle price conditions, as industry supply additions continued to outpace demand growth.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Advantaged Volume Growth – High-value product sales growth increased earnings by $210 million.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 Volume – Reduced volumes from product sales mix decreased earnings by $360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Structural Cost Savings – Increased earnings by $220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 Higher project spend and scheduled maintenance costs decreased earnings by $690 million.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 All other items decreased earnings by $30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Identified Items </w:t>
      </w:r>
      <w:r>
        <w:rPr>
          <w:rFonts w:ascii="Times New Roman" w:cs="Times New Roman" w:eastAsia="Times New Roman" w:hAnsi="Times New Roman"/>
          <w:sz w:val="9"/>
          <w:szCs w:val="9"/>
          <w:i w:val="1"/>
          <w:iCs w:val="1"/>
          <w:color w:val="auto"/>
        </w:rPr>
        <w:t>(1)</w:t>
      </w:r>
      <w:r>
        <w:rPr>
          <w:rFonts w:ascii="Times New Roman" w:cs="Times New Roman" w:eastAsia="Times New Roman" w:hAnsi="Times New Roman"/>
          <w:sz w:val="18"/>
          <w:szCs w:val="18"/>
          <w:color w:val="auto"/>
        </w:rPr>
        <w:t xml:space="preserve"> – 2023 $(388) million loss was primarily driven by impairments.</w:t>
      </w:r>
    </w:p>
    <w:p>
      <w:pPr>
        <w:spacing w:after="0" w:line="57" w:lineRule="exact"/>
        <w:rPr>
          <w:sz w:val="20"/>
          <w:szCs w:val="20"/>
          <w:color w:val="auto"/>
        </w:rPr>
      </w:pPr>
    </w:p>
    <w:p>
      <w:pPr>
        <w:ind w:left="140" w:hanging="132"/>
        <w:spacing w:after="0"/>
        <w:tabs>
          <w:tab w:leader="none" w:pos="140" w:val="left"/>
        </w:tabs>
        <w:numPr>
          <w:ilvl w:val="0"/>
          <w:numId w:val="35"/>
        </w:numPr>
        <w:rPr>
          <w:rFonts w:ascii="Times New Roman" w:cs="Times New Roman" w:eastAsia="Times New Roman" w:hAnsi="Times New Roman"/>
          <w:sz w:val="16"/>
          <w:szCs w:val="16"/>
          <w:i w:val="1"/>
          <w:iCs w:val="1"/>
          <w:color w:val="auto"/>
          <w:vertAlign w:val="superscript"/>
        </w:rPr>
      </w:pPr>
      <w:r>
        <w:rPr>
          <w:rFonts w:ascii="Times New Roman" w:cs="Times New Roman" w:eastAsia="Times New Roman" w:hAnsi="Times New Roman"/>
          <w:sz w:val="12"/>
          <w:szCs w:val="12"/>
          <w:i w:val="1"/>
          <w:iCs w:val="1"/>
          <w:color w:val="auto"/>
        </w:rPr>
        <w:t xml:space="preserve">Refer to </w:t>
      </w:r>
      <w:r>
        <w:rPr>
          <w:rFonts w:ascii="Times New Roman" w:cs="Times New Roman" w:eastAsia="Times New Roman" w:hAnsi="Times New Roman"/>
          <w:sz w:val="12"/>
          <w:szCs w:val="12"/>
          <w:i w:val="1"/>
          <w:iCs w:val="1"/>
          <w:color w:val="0000FF"/>
        </w:rPr>
        <w:t>Frequently Used Terms</w:t>
      </w:r>
      <w:r>
        <w:rPr>
          <w:rFonts w:ascii="Times New Roman" w:cs="Times New Roman" w:eastAsia="Times New Roman" w:hAnsi="Times New Roman"/>
          <w:sz w:val="12"/>
          <w:szCs w:val="12"/>
          <w:i w:val="1"/>
          <w:iCs w:val="1"/>
          <w:color w:val="auto"/>
        </w:rPr>
        <w:t xml:space="preserve"> for definition of Identified Items and Earnings (loss) excluding Identified Items.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479D"/>
        </w:rPr>
        <w:t>Chemical Products Operational Results</w:t>
      </w:r>
    </w:p>
    <w:p>
      <w:pPr>
        <w:spacing w:after="0" w:line="207" w:lineRule="exact"/>
        <w:rPr>
          <w:sz w:val="20"/>
          <w:szCs w:val="20"/>
          <w:color w:val="auto"/>
        </w:rPr>
      </w:pPr>
    </w:p>
    <w:tbl>
      <w:tblPr>
        <w:tblLayout w:type="fixed"/>
        <w:tblInd w:w="780" w:type="dxa"/>
        <w:tblCellMar>
          <w:top w:w="0" w:type="dxa"/>
          <w:left w:w="0" w:type="dxa"/>
          <w:bottom w:w="0" w:type="dxa"/>
          <w:right w:w="0" w:type="dxa"/>
        </w:tblCellMar>
      </w:tblPr>
      <w:tr>
        <w:trPr>
          <w:trHeight w:val="210"/>
        </w:trPr>
        <w:tc>
          <w:tcPr>
            <w:tcW w:w="4380" w:type="dxa"/>
            <w:vAlign w:val="bottom"/>
            <w:shd w:val="clear" w:color="auto" w:fill="0C479D"/>
          </w:tcPr>
          <w:p>
            <w:pPr>
              <w:ind w:left="20"/>
              <w:spacing w:after="0"/>
              <w:rPr>
                <w:sz w:val="20"/>
                <w:szCs w:val="20"/>
                <w:color w:val="auto"/>
              </w:rPr>
            </w:pPr>
            <w:r>
              <w:rPr>
                <w:rFonts w:ascii="Times New Roman" w:cs="Times New Roman" w:eastAsia="Times New Roman" w:hAnsi="Times New Roman"/>
                <w:sz w:val="14"/>
                <w:szCs w:val="14"/>
                <w:i w:val="1"/>
                <w:iCs w:val="1"/>
                <w:color w:val="FFFFFF"/>
              </w:rPr>
              <w:t>(thousands of metric tons)</w:t>
            </w:r>
          </w:p>
        </w:tc>
        <w:tc>
          <w:tcPr>
            <w:tcW w:w="3520" w:type="dxa"/>
            <w:vAlign w:val="bottom"/>
            <w:shd w:val="clear" w:color="auto" w:fill="0C479D"/>
          </w:tcPr>
          <w:p>
            <w:pPr>
              <w:jc w:val="right"/>
              <w:ind w:right="308"/>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1080" w:type="dxa"/>
            <w:vAlign w:val="bottom"/>
            <w:shd w:val="clear" w:color="auto" w:fill="0C479D"/>
          </w:tcPr>
          <w:p>
            <w:pPr>
              <w:jc w:val="right"/>
              <w:ind w:right="308"/>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720" w:type="dxa"/>
            <w:vAlign w:val="bottom"/>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2022</w:t>
            </w:r>
          </w:p>
        </w:tc>
      </w:tr>
      <w:tr>
        <w:trPr>
          <w:trHeight w:val="60"/>
        </w:trPr>
        <w:tc>
          <w:tcPr>
            <w:tcW w:w="4380" w:type="dxa"/>
            <w:vAlign w:val="bottom"/>
            <w:shd w:val="clear" w:color="auto" w:fill="0C479D"/>
          </w:tcPr>
          <w:p>
            <w:pPr>
              <w:spacing w:after="0"/>
              <w:rPr>
                <w:sz w:val="5"/>
                <w:szCs w:val="5"/>
                <w:color w:val="auto"/>
              </w:rPr>
            </w:pPr>
          </w:p>
        </w:tc>
        <w:tc>
          <w:tcPr>
            <w:tcW w:w="3520" w:type="dxa"/>
            <w:vAlign w:val="bottom"/>
            <w:shd w:val="clear" w:color="auto" w:fill="0C479D"/>
          </w:tcPr>
          <w:p>
            <w:pPr>
              <w:spacing w:after="0"/>
              <w:rPr>
                <w:sz w:val="5"/>
                <w:szCs w:val="5"/>
                <w:color w:val="auto"/>
              </w:rPr>
            </w:pPr>
          </w:p>
        </w:tc>
        <w:tc>
          <w:tcPr>
            <w:tcW w:w="1080" w:type="dxa"/>
            <w:vAlign w:val="bottom"/>
            <w:shd w:val="clear" w:color="auto" w:fill="0C479D"/>
          </w:tcPr>
          <w:p>
            <w:pPr>
              <w:spacing w:after="0"/>
              <w:rPr>
                <w:sz w:val="5"/>
                <w:szCs w:val="5"/>
                <w:color w:val="auto"/>
              </w:rPr>
            </w:pPr>
          </w:p>
        </w:tc>
        <w:tc>
          <w:tcPr>
            <w:tcW w:w="720" w:type="dxa"/>
            <w:vAlign w:val="bottom"/>
            <w:shd w:val="clear" w:color="auto" w:fill="0C479D"/>
          </w:tcPr>
          <w:p>
            <w:pPr>
              <w:spacing w:after="0"/>
              <w:rPr>
                <w:sz w:val="5"/>
                <w:szCs w:val="5"/>
                <w:color w:val="auto"/>
              </w:rPr>
            </w:pPr>
          </w:p>
        </w:tc>
      </w:tr>
    </w:tbl>
    <w:p>
      <w:pPr>
        <w:spacing w:after="0" w:line="20" w:lineRule="exact"/>
        <w:rPr>
          <w:sz w:val="20"/>
          <w:szCs w:val="20"/>
          <w:color w:val="auto"/>
        </w:rPr>
      </w:pPr>
    </w:p>
    <w:tbl>
      <w:tblPr>
        <w:tblLayout w:type="fixed"/>
        <w:tblInd w:w="780" w:type="dxa"/>
        <w:tblCellMar>
          <w:top w:w="0" w:type="dxa"/>
          <w:left w:w="0" w:type="dxa"/>
          <w:bottom w:w="0" w:type="dxa"/>
          <w:right w:w="0" w:type="dxa"/>
        </w:tblCellMar>
      </w:tblPr>
      <w:tr>
        <w:trPr>
          <w:trHeight w:val="250"/>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C479D"/>
              </w:rPr>
              <w:t xml:space="preserve">Chemical product sales </w:t>
            </w:r>
            <w:r>
              <w:rPr>
                <w:rFonts w:ascii="Times New Roman" w:cs="Times New Roman" w:eastAsia="Times New Roman" w:hAnsi="Times New Roman"/>
                <w:sz w:val="9"/>
                <w:szCs w:val="9"/>
                <w:i w:val="1"/>
                <w:iCs w:val="1"/>
                <w:color w:val="0C479D"/>
              </w:rPr>
              <w:t>(2)</w:t>
            </w:r>
          </w:p>
        </w:tc>
        <w:tc>
          <w:tcPr>
            <w:tcW w:w="960" w:type="dxa"/>
            <w:vAlign w:val="bottom"/>
            <w:shd w:val="clear" w:color="auto" w:fill="F0F0F0"/>
          </w:tcPr>
          <w:p>
            <w:pPr>
              <w:spacing w:after="0"/>
              <w:rPr>
                <w:sz w:val="21"/>
                <w:szCs w:val="21"/>
                <w:color w:val="auto"/>
              </w:rPr>
            </w:pPr>
          </w:p>
        </w:tc>
        <w:tc>
          <w:tcPr>
            <w:tcW w:w="12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43"/>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960" w:type="dxa"/>
            <w:vAlign w:val="bottom"/>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7,038</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6,779</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7,270</w:t>
            </w:r>
          </w:p>
        </w:tc>
      </w:tr>
      <w:tr>
        <w:trPr>
          <w:trHeight w:val="297"/>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Non-U.S.</w:t>
            </w:r>
          </w:p>
        </w:tc>
        <w:tc>
          <w:tcPr>
            <w:tcW w:w="960" w:type="dxa"/>
            <w:vAlign w:val="bottom"/>
            <w:tcBorders>
              <w:bottom w:val="single" w:sz="8" w:color="F0F0F0"/>
            </w:tcBorders>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12,354</w:t>
            </w: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12,603</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11,897</w:t>
            </w:r>
          </w:p>
        </w:tc>
      </w:tr>
      <w:tr>
        <w:trPr>
          <w:trHeight w:val="243"/>
        </w:trPr>
        <w:tc>
          <w:tcPr>
            <w:tcW w:w="6580" w:type="dxa"/>
            <w:vAlign w:val="bottom"/>
            <w:tcBorders>
              <w:top w:val="single" w:sz="8" w:color="0C479D"/>
              <w:bottom w:val="single" w:sz="8" w:color="0C479D"/>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Worldwide</w:t>
            </w:r>
          </w:p>
        </w:tc>
        <w:tc>
          <w:tcPr>
            <w:tcW w:w="960" w:type="dxa"/>
            <w:vAlign w:val="bottom"/>
            <w:tcBorders>
              <w:top w:val="single" w:sz="8" w:color="0C479D"/>
              <w:bottom w:val="single" w:sz="8" w:color="0C479D"/>
            </w:tcBorders>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19,392</w:t>
            </w:r>
          </w:p>
        </w:tc>
        <w:tc>
          <w:tcPr>
            <w:tcW w:w="1280" w:type="dxa"/>
            <w:vAlign w:val="bottom"/>
            <w:tcBorders>
              <w:top w:val="single" w:sz="8" w:color="0C479D"/>
              <w:bottom w:val="single" w:sz="8" w:color="0C479D"/>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19,382</w:t>
            </w:r>
          </w:p>
        </w:tc>
        <w:tc>
          <w:tcPr>
            <w:tcW w:w="880" w:type="dxa"/>
            <w:vAlign w:val="bottom"/>
            <w:tcBorders>
              <w:top w:val="single" w:sz="8" w:color="0C479D"/>
              <w:bottom w:val="single" w:sz="8" w:color="0C479D"/>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19,167</w:t>
            </w:r>
          </w:p>
        </w:tc>
      </w:tr>
    </w:tbl>
    <w:p>
      <w:pPr>
        <w:spacing w:after="0" w:line="8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i w:val="1"/>
          <w:iCs w:val="1"/>
          <w:color w:val="auto"/>
          <w:vertAlign w:val="superscript"/>
        </w:rPr>
        <w:t>(2)</w:t>
      </w:r>
      <w:r>
        <w:rPr>
          <w:rFonts w:ascii="Times New Roman" w:cs="Times New Roman" w:eastAsia="Times New Roman" w:hAnsi="Times New Roman"/>
          <w:sz w:val="14"/>
          <w:szCs w:val="14"/>
          <w:i w:val="1"/>
          <w:iCs w:val="1"/>
          <w:color w:val="auto"/>
        </w:rPr>
        <w:t xml:space="preserve"> Data reported net of purchases/sales contracts with the same counterparty.</w:t>
      </w:r>
    </w:p>
    <w:p>
      <w:pPr>
        <w:spacing w:after="0" w:line="4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i w:val="1"/>
          <w:iCs w:val="1"/>
          <w:color w:val="auto"/>
        </w:rPr>
        <w:t>Due to rounding, numbers presented may not add up precisely to the totals indicated.</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0"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21"/>
          <w:szCs w:val="21"/>
          <w:b w:val="1"/>
          <w:bCs w:val="1"/>
          <w:color w:val="0C479D"/>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680720</wp:posOffset>
            </wp:positionV>
            <wp:extent cx="7132320" cy="2914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FFFFFF"/>
        </w:rPr>
        <w:t>Specialty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-148590</wp:posOffset>
            </wp:positionV>
            <wp:extent cx="5709285" cy="2317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709285" cy="231775"/>
                    </a:xfrm>
                    <a:prstGeom prst="rect">
                      <a:avLst/>
                    </a:prstGeom>
                    <a:noFill/>
                  </pic:spPr>
                </pic:pic>
              </a:graphicData>
            </a:graphic>
          </wp:anchor>
        </w:drawing>
      </w:r>
    </w:p>
    <w:p>
      <w:pPr>
        <w:spacing w:after="0" w:line="2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ExxonMobil Specialty Products is a combination of business units that manufacture and market a range of performance products, including high-quality lubricants, basestocks, waxes, synthetics, elastomers, and resins. Leveraging ExxonMobil’s proprietary technologies, Specialty Products focuses on providing performance products that help customers improve efficiency in the transportation and industrial sectors.</w:t>
      </w:r>
    </w:p>
    <w:p>
      <w:pPr>
        <w:spacing w:after="0" w:line="5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Specialty Products is well-positioned to help meet growth in lubricants demand through advantaged projects that leverage ExxonMobil's integration, technology, and world-class brands, such as Mobil 1</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w:t>
      </w:r>
    </w:p>
    <w:p>
      <w:pPr>
        <w:spacing w:after="0"/>
        <w:rPr>
          <w:sz w:val="20"/>
          <w:szCs w:val="20"/>
          <w:color w:val="auto"/>
        </w:rPr>
      </w:pPr>
      <w:r>
        <w:rPr>
          <w:rFonts w:ascii="Times New Roman" w:cs="Times New Roman" w:eastAsia="Times New Roman" w:hAnsi="Times New Roman"/>
          <w:sz w:val="18"/>
          <w:szCs w:val="18"/>
          <w:color w:val="auto"/>
        </w:rPr>
        <w:t>In 2024, Specialty Products continued to deliver strong earnings from our portfolio of high-value products and brand market position.</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479D"/>
        </w:rPr>
        <w:t>Key Recent Events</w:t>
      </w:r>
    </w:p>
    <w:p>
      <w:pPr>
        <w:spacing w:after="0" w:line="10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Singapore Resid Upgrade project: </w:t>
      </w:r>
      <w:r>
        <w:rPr>
          <w:rFonts w:ascii="Times New Roman" w:cs="Times New Roman" w:eastAsia="Times New Roman" w:hAnsi="Times New Roman"/>
          <w:sz w:val="18"/>
          <w:szCs w:val="18"/>
          <w:color w:val="auto"/>
        </w:rPr>
        <w:t>Progressed project with expected start-up in 2025, which will leverage two proprietary technologies to upgrade fuel oil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Group II lubes and diesel, further strengthening ExxonMobil’s position as the largest basestock producer in the world.</w:t>
      </w:r>
    </w:p>
    <w:p>
      <w:pPr>
        <w:spacing w:after="0" w:line="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b w:val="1"/>
          <w:bCs w:val="1"/>
          <w:color w:val="auto"/>
        </w:rPr>
        <w:t>Proxxima</w:t>
      </w:r>
      <w:r>
        <w:rPr>
          <w:rFonts w:ascii="Times New Roman" w:cs="Times New Roman" w:eastAsia="Times New Roman" w:hAnsi="Times New Roman"/>
          <w:sz w:val="23"/>
          <w:szCs w:val="23"/>
          <w:b w:val="1"/>
          <w:bCs w:val="1"/>
          <w:color w:val="auto"/>
          <w:vertAlign w:val="superscript"/>
        </w:rPr>
        <w:t>TM</w:t>
      </w:r>
      <w:r>
        <w:rPr>
          <w:rFonts w:ascii="Times New Roman" w:cs="Times New Roman" w:eastAsia="Times New Roman" w:hAnsi="Times New Roman"/>
          <w:sz w:val="18"/>
          <w:szCs w:val="18"/>
          <w:b w:val="1"/>
          <w:bCs w:val="1"/>
          <w:color w:val="auto"/>
        </w:rPr>
        <w:t xml:space="preserve"> Systems: </w:t>
      </w:r>
      <w:r>
        <w:rPr>
          <w:rFonts w:ascii="Times New Roman" w:cs="Times New Roman" w:eastAsia="Times New Roman" w:hAnsi="Times New Roman"/>
          <w:sz w:val="18"/>
          <w:szCs w:val="18"/>
          <w:color w:val="auto"/>
        </w:rPr>
        <w:t>ExxonMobil's advanced polyolefin thermoset resin uses components of gasoline and catalyst technology to create a material that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lighter, stronger, and more durable than conventional products, providing alternatives for the construction, coatings and transportation industries. These systems are designed to drive product substitutions in existing markets and enable expansion into new applications like structural composites and steel substitutes. ExxonMobil plans to grow the manufacturing capacity of Proxxima</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products up to 200,000 tons per year by 2030.</w:t>
      </w:r>
    </w:p>
    <w:p>
      <w:pPr>
        <w:spacing w:after="0" w:line="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Carbon Materials venture: </w:t>
      </w:r>
      <w:r>
        <w:rPr>
          <w:rFonts w:ascii="Times New Roman" w:cs="Times New Roman" w:eastAsia="Times New Roman" w:hAnsi="Times New Roman"/>
          <w:sz w:val="18"/>
          <w:szCs w:val="18"/>
          <w:color w:val="auto"/>
        </w:rPr>
        <w:t>ExxonMobil is growing its carbon materials venture by applying proprietary process technology to capture attractive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opportunities in the battery anode market. The Company has developed an advanced coke product by converting low-value, bottom-of-the-barrel molecules that can deliver a higher performance differentiated graphite. These carbon materials enable batteries that can provide up to 30 percent higher capacity, 30 percent faster charging time, and extended battery life.</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479D"/>
        </w:rPr>
        <w:t>Specialty Products Financial Results</w:t>
      </w:r>
    </w:p>
    <w:p>
      <w:pPr>
        <w:spacing w:after="0" w:line="153" w:lineRule="exact"/>
        <w:rPr>
          <w:sz w:val="20"/>
          <w:szCs w:val="20"/>
          <w:color w:val="auto"/>
        </w:rPr>
      </w:pPr>
    </w:p>
    <w:tbl>
      <w:tblPr>
        <w:tblLayout w:type="fixed"/>
        <w:tblInd w:w="780" w:type="dxa"/>
        <w:tblCellMar>
          <w:top w:w="0" w:type="dxa"/>
          <w:left w:w="0" w:type="dxa"/>
          <w:bottom w:w="0" w:type="dxa"/>
          <w:right w:w="0" w:type="dxa"/>
        </w:tblCellMar>
      </w:tblPr>
      <w:tr>
        <w:trPr>
          <w:trHeight w:val="250"/>
        </w:trPr>
        <w:tc>
          <w:tcPr>
            <w:tcW w:w="6580" w:type="dxa"/>
            <w:vAlign w:val="bottom"/>
            <w:tcBorders>
              <w:bottom w:val="single" w:sz="8" w:color="0C479D"/>
            </w:tcBorders>
            <w:shd w:val="clear" w:color="auto" w:fill="0C479D"/>
          </w:tcPr>
          <w:p>
            <w:pPr>
              <w:ind w:left="20"/>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960" w:type="dxa"/>
            <w:vAlign w:val="bottom"/>
            <w:tcBorders>
              <w:bottom w:val="single" w:sz="8" w:color="0C479D"/>
            </w:tcBorders>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1360" w:type="dxa"/>
            <w:vAlign w:val="bottom"/>
            <w:tcBorders>
              <w:bottom w:val="single" w:sz="8" w:color="0C479D"/>
            </w:tcBorders>
            <w:shd w:val="clear" w:color="auto" w:fill="0C479D"/>
          </w:tcPr>
          <w:p>
            <w:pPr>
              <w:jc w:val="right"/>
              <w:ind w:right="212"/>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800" w:type="dxa"/>
            <w:vAlign w:val="bottom"/>
            <w:tcBorders>
              <w:bottom w:val="single" w:sz="8" w:color="0C479D"/>
            </w:tcBorders>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2022</w:t>
            </w:r>
          </w:p>
        </w:tc>
      </w:tr>
      <w:tr>
        <w:trPr>
          <w:trHeight w:val="2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C479D"/>
              </w:rPr>
              <w:t>Earnings (loss) (U.S. GAAP)</w:t>
            </w:r>
          </w:p>
        </w:tc>
        <w:tc>
          <w:tcPr>
            <w:tcW w:w="960" w:type="dxa"/>
            <w:vAlign w:val="bottom"/>
            <w:shd w:val="clear" w:color="auto" w:fill="F0F0F0"/>
          </w:tcPr>
          <w:p>
            <w:pPr>
              <w:spacing w:after="0"/>
              <w:rPr>
                <w:sz w:val="20"/>
                <w:szCs w:val="20"/>
                <w:color w:val="auto"/>
              </w:rPr>
            </w:pPr>
          </w:p>
        </w:tc>
        <w:tc>
          <w:tcPr>
            <w:tcW w:w="136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5"/>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960" w:type="dxa"/>
            <w:vAlign w:val="bottom"/>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color w:val="auto"/>
              </w:rPr>
              <w:t>1,576</w:t>
            </w:r>
          </w:p>
        </w:tc>
        <w:tc>
          <w:tcPr>
            <w:tcW w:w="13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1,536</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1,190</w:t>
            </w:r>
          </w:p>
        </w:tc>
      </w:tr>
      <w:tr>
        <w:trPr>
          <w:trHeight w:val="297"/>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Non-U.S.</w:t>
            </w:r>
          </w:p>
        </w:tc>
        <w:tc>
          <w:tcPr>
            <w:tcW w:w="960" w:type="dxa"/>
            <w:vAlign w:val="bottom"/>
            <w:tcBorders>
              <w:bottom w:val="single" w:sz="8" w:color="F0F0F0"/>
            </w:tcBorders>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color w:val="auto"/>
              </w:rPr>
              <w:t>1,476</w:t>
            </w:r>
          </w:p>
        </w:tc>
        <w:tc>
          <w:tcPr>
            <w:tcW w:w="13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1,178</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1,225</w:t>
            </w:r>
          </w:p>
        </w:tc>
      </w:tr>
      <w:tr>
        <w:trPr>
          <w:trHeight w:val="243"/>
        </w:trPr>
        <w:tc>
          <w:tcPr>
            <w:tcW w:w="6580" w:type="dxa"/>
            <w:vAlign w:val="bottom"/>
            <w:tcBorders>
              <w:top w:val="single" w:sz="8" w:color="0C479D"/>
              <w:bottom w:val="single" w:sz="8" w:color="0C479D"/>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60" w:type="dxa"/>
            <w:vAlign w:val="bottom"/>
            <w:tcBorders>
              <w:top w:val="single" w:sz="8" w:color="0C479D"/>
              <w:bottom w:val="single" w:sz="8" w:color="0C479D"/>
            </w:tcBorders>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3,052</w:t>
            </w:r>
          </w:p>
        </w:tc>
        <w:tc>
          <w:tcPr>
            <w:tcW w:w="1360" w:type="dxa"/>
            <w:vAlign w:val="bottom"/>
            <w:tcBorders>
              <w:top w:val="single" w:sz="8" w:color="0C479D"/>
              <w:bottom w:val="single" w:sz="8" w:color="0C479D"/>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2,714</w:t>
            </w:r>
          </w:p>
        </w:tc>
        <w:tc>
          <w:tcPr>
            <w:tcW w:w="800" w:type="dxa"/>
            <w:vAlign w:val="bottom"/>
            <w:tcBorders>
              <w:top w:val="single" w:sz="8" w:color="0C479D"/>
              <w:bottom w:val="single" w:sz="8" w:color="0C479D"/>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2,415</w:t>
            </w:r>
          </w:p>
        </w:tc>
      </w:tr>
      <w:tr>
        <w:trPr>
          <w:trHeight w:val="37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C479D"/>
              </w:rPr>
              <w:t xml:space="preserve">Identified Items </w:t>
            </w:r>
            <w:r>
              <w:rPr>
                <w:rFonts w:ascii="Times New Roman" w:cs="Times New Roman" w:eastAsia="Times New Roman" w:hAnsi="Times New Roman"/>
                <w:sz w:val="9"/>
                <w:szCs w:val="9"/>
                <w:i w:val="1"/>
                <w:iCs w:val="1"/>
                <w:color w:val="0C479D"/>
              </w:rPr>
              <w:t>(1)</w:t>
            </w:r>
          </w:p>
        </w:tc>
        <w:tc>
          <w:tcPr>
            <w:tcW w:w="960" w:type="dxa"/>
            <w:vAlign w:val="bottom"/>
            <w:shd w:val="clear" w:color="auto" w:fill="F0F0F0"/>
          </w:tcPr>
          <w:p>
            <w:pPr>
              <w:spacing w:after="0"/>
              <w:rPr>
                <w:sz w:val="24"/>
                <w:szCs w:val="24"/>
                <w:color w:val="auto"/>
              </w:rPr>
            </w:pPr>
          </w:p>
        </w:tc>
        <w:tc>
          <w:tcPr>
            <w:tcW w:w="1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83"/>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9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3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12</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Non-U.S.</w:t>
            </w:r>
          </w:p>
        </w:tc>
        <w:tc>
          <w:tcPr>
            <w:tcW w:w="96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3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(105)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44"/>
        </w:trPr>
        <w:tc>
          <w:tcPr>
            <w:tcW w:w="6580" w:type="dxa"/>
            <w:vAlign w:val="bottom"/>
            <w:tcBorders>
              <w:top w:val="single" w:sz="8" w:color="0C479D"/>
              <w:bottom w:val="single" w:sz="8" w:color="0C479D"/>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60" w:type="dxa"/>
            <w:vAlign w:val="bottom"/>
            <w:tcBorders>
              <w:top w:val="single" w:sz="8" w:color="0C479D"/>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1360" w:type="dxa"/>
            <w:vAlign w:val="bottom"/>
            <w:tcBorders>
              <w:top w:val="single" w:sz="8" w:color="0C479D"/>
              <w:bottom w:val="single" w:sz="8" w:color="0C479D"/>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(93)</w:t>
            </w:r>
          </w:p>
        </w:tc>
        <w:tc>
          <w:tcPr>
            <w:tcW w:w="800" w:type="dxa"/>
            <w:vAlign w:val="bottom"/>
            <w:tcBorders>
              <w:top w:val="single" w:sz="8" w:color="0C479D"/>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r>
      <w:tr>
        <w:trPr>
          <w:trHeight w:val="486"/>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C479D"/>
              </w:rPr>
              <w:t xml:space="preserve">Earnings (loss) excluding Identified Items </w:t>
            </w:r>
            <w:r>
              <w:rPr>
                <w:rFonts w:ascii="Times New Roman" w:cs="Times New Roman" w:eastAsia="Times New Roman" w:hAnsi="Times New Roman"/>
                <w:sz w:val="9"/>
                <w:szCs w:val="9"/>
                <w:i w:val="1"/>
                <w:iCs w:val="1"/>
                <w:color w:val="0C479D"/>
              </w:rPr>
              <w:t>(1)</w:t>
            </w:r>
            <w:r>
              <w:rPr>
                <w:rFonts w:ascii="Times New Roman" w:cs="Times New Roman" w:eastAsia="Times New Roman" w:hAnsi="Times New Roman"/>
                <w:sz w:val="18"/>
                <w:szCs w:val="18"/>
                <w:b w:val="1"/>
                <w:bCs w:val="1"/>
                <w:color w:val="0C479D"/>
              </w:rPr>
              <w:t xml:space="preserve"> </w:t>
            </w:r>
            <w:r>
              <w:rPr>
                <w:rFonts w:ascii="Times New Roman" w:cs="Times New Roman" w:eastAsia="Times New Roman" w:hAnsi="Times New Roman"/>
                <w:sz w:val="18"/>
                <w:szCs w:val="18"/>
                <w:color w:val="0C479D"/>
              </w:rPr>
              <w:t>(Non-GAAP)</w:t>
            </w:r>
          </w:p>
        </w:tc>
        <w:tc>
          <w:tcPr>
            <w:tcW w:w="960" w:type="dxa"/>
            <w:vAlign w:val="bottom"/>
            <w:shd w:val="clear" w:color="auto" w:fill="F0F0F0"/>
          </w:tcPr>
          <w:p>
            <w:pPr>
              <w:spacing w:after="0"/>
              <w:rPr>
                <w:sz w:val="24"/>
                <w:szCs w:val="24"/>
                <w:color w:val="auto"/>
              </w:rPr>
            </w:pPr>
          </w:p>
        </w:tc>
        <w:tc>
          <w:tcPr>
            <w:tcW w:w="13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960" w:type="dxa"/>
            <w:vAlign w:val="bottom"/>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color w:val="auto"/>
              </w:rPr>
              <w:t>1,580</w:t>
            </w:r>
          </w:p>
        </w:tc>
        <w:tc>
          <w:tcPr>
            <w:tcW w:w="13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1,524</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1,190</w:t>
            </w:r>
          </w:p>
        </w:tc>
      </w:tr>
      <w:tr>
        <w:trPr>
          <w:trHeight w:val="297"/>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Non-U.S.</w:t>
            </w:r>
          </w:p>
        </w:tc>
        <w:tc>
          <w:tcPr>
            <w:tcW w:w="960" w:type="dxa"/>
            <w:vAlign w:val="bottom"/>
            <w:tcBorders>
              <w:bottom w:val="single" w:sz="8" w:color="F0F0F0"/>
            </w:tcBorders>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color w:val="auto"/>
              </w:rPr>
              <w:t>1,485</w:t>
            </w:r>
          </w:p>
        </w:tc>
        <w:tc>
          <w:tcPr>
            <w:tcW w:w="136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1,283</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1,265</w:t>
            </w:r>
          </w:p>
        </w:tc>
      </w:tr>
      <w:tr>
        <w:trPr>
          <w:trHeight w:val="243"/>
        </w:trPr>
        <w:tc>
          <w:tcPr>
            <w:tcW w:w="6580" w:type="dxa"/>
            <w:vAlign w:val="bottom"/>
            <w:tcBorders>
              <w:top w:val="single" w:sz="8" w:color="0C479D"/>
              <w:bottom w:val="single" w:sz="8" w:color="0C479D"/>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60" w:type="dxa"/>
            <w:vAlign w:val="bottom"/>
            <w:tcBorders>
              <w:top w:val="single" w:sz="8" w:color="0C479D"/>
              <w:bottom w:val="single" w:sz="8" w:color="0C479D"/>
            </w:tcBorders>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3,065</w:t>
            </w:r>
          </w:p>
        </w:tc>
        <w:tc>
          <w:tcPr>
            <w:tcW w:w="1360" w:type="dxa"/>
            <w:vAlign w:val="bottom"/>
            <w:tcBorders>
              <w:top w:val="single" w:sz="8" w:color="0C479D"/>
              <w:bottom w:val="single" w:sz="8" w:color="0C479D"/>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2,807</w:t>
            </w:r>
          </w:p>
        </w:tc>
        <w:tc>
          <w:tcPr>
            <w:tcW w:w="800" w:type="dxa"/>
            <w:vAlign w:val="bottom"/>
            <w:tcBorders>
              <w:top w:val="single" w:sz="8" w:color="0C479D"/>
              <w:bottom w:val="single" w:sz="8" w:color="0C479D"/>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2,455</w:t>
            </w:r>
          </w:p>
        </w:tc>
      </w:tr>
    </w:tbl>
    <w:p>
      <w:pPr>
        <w:spacing w:after="0" w:line="83" w:lineRule="exact"/>
        <w:rPr>
          <w:sz w:val="20"/>
          <w:szCs w:val="20"/>
          <w:color w:val="auto"/>
        </w:rPr>
      </w:pPr>
    </w:p>
    <w:p>
      <w:pPr>
        <w:ind w:left="800" w:right="3860" w:hanging="5"/>
        <w:spacing w:after="0" w:line="300" w:lineRule="auto"/>
        <w:tabs>
          <w:tab w:leader="none" w:pos="945" w:val="left"/>
        </w:tabs>
        <w:numPr>
          <w:ilvl w:val="0"/>
          <w:numId w:val="36"/>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 xml:space="preserve">Refer to </w:t>
      </w:r>
      <w:r>
        <w:rPr>
          <w:rFonts w:ascii="Times New Roman" w:cs="Times New Roman" w:eastAsia="Times New Roman" w:hAnsi="Times New Roman"/>
          <w:sz w:val="14"/>
          <w:szCs w:val="14"/>
          <w:i w:val="1"/>
          <w:iCs w:val="1"/>
          <w:color w:val="0000FF"/>
        </w:rPr>
        <w:t>Frequently Used Terms</w:t>
      </w:r>
      <w:r>
        <w:rPr>
          <w:rFonts w:ascii="Times New Roman" w:cs="Times New Roman" w:eastAsia="Times New Roman" w:hAnsi="Times New Roman"/>
          <w:sz w:val="14"/>
          <w:szCs w:val="14"/>
          <w:i w:val="1"/>
          <w:iCs w:val="1"/>
          <w:color w:val="auto"/>
        </w:rPr>
        <w:t xml:space="preserve"> for definition of Identified Items and Earnings (loss) excluding Identified Items. Due to rounding, numbers presented may not add up precisely to the totals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1"/>
          <w:szCs w:val="21"/>
          <w:b w:val="1"/>
          <w:bCs w:val="1"/>
          <w:color w:val="0C479D"/>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0C479D"/>
        </w:rPr>
        <w:t>2024 Specialty Products Earnings Driver Analysis</w:t>
      </w:r>
    </w:p>
    <w:p>
      <w:pPr>
        <w:spacing w:after="0" w:line="4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i w:val="1"/>
          <w:iCs w:val="1"/>
          <w:color w:val="auto"/>
        </w:rPr>
        <w:t>(millions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153670</wp:posOffset>
            </wp:positionV>
            <wp:extent cx="5991860" cy="18859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91860"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Margin – Stronger basestocks and finished lubes margins increased earnings by $590 million.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Advantaged Volume Growth – High-value products volume growth increased earnings by $70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 Volume – Decreased earnings by $10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Structural Cost Savings – Increased earnings by $130 million.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 Higher expenses including new product development costs, decreased earnings by $300 million.</w:t>
      </w:r>
    </w:p>
    <w:p>
      <w:pPr>
        <w:spacing w:after="0" w:line="10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Other – All other items decreased earnings by $220 million, mainly unfavorable foreign exchange effects and absence of prior year favorable year-end inventory effects.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Identified Items </w:t>
      </w:r>
      <w:r>
        <w:rPr>
          <w:rFonts w:ascii="Times New Roman" w:cs="Times New Roman" w:eastAsia="Times New Roman" w:hAnsi="Times New Roman"/>
          <w:sz w:val="9"/>
          <w:szCs w:val="9"/>
          <w:i w:val="1"/>
          <w:iCs w:val="1"/>
          <w:color w:val="auto"/>
        </w:rPr>
        <w:t>(1)</w:t>
      </w:r>
      <w:r>
        <w:rPr>
          <w:rFonts w:ascii="Times New Roman" w:cs="Times New Roman" w:eastAsia="Times New Roman" w:hAnsi="Times New Roman"/>
          <w:sz w:val="18"/>
          <w:szCs w:val="18"/>
          <w:color w:val="auto"/>
        </w:rPr>
        <w:t xml:space="preserve"> – 2023 $(93) million loss mainly from impairments; 2024 $(13) million loss.</w:t>
      </w:r>
    </w:p>
    <w:p>
      <w:pPr>
        <w:spacing w:after="0" w:line="57" w:lineRule="exact"/>
        <w:rPr>
          <w:sz w:val="20"/>
          <w:szCs w:val="20"/>
          <w:color w:val="auto"/>
        </w:rPr>
      </w:pPr>
    </w:p>
    <w:p>
      <w:pPr>
        <w:ind w:left="140" w:hanging="132"/>
        <w:spacing w:after="0"/>
        <w:tabs>
          <w:tab w:leader="none" w:pos="140" w:val="left"/>
        </w:tabs>
        <w:numPr>
          <w:ilvl w:val="0"/>
          <w:numId w:val="37"/>
        </w:numPr>
        <w:rPr>
          <w:rFonts w:ascii="Times New Roman" w:cs="Times New Roman" w:eastAsia="Times New Roman" w:hAnsi="Times New Roman"/>
          <w:sz w:val="16"/>
          <w:szCs w:val="16"/>
          <w:i w:val="1"/>
          <w:iCs w:val="1"/>
          <w:color w:val="auto"/>
          <w:vertAlign w:val="superscript"/>
        </w:rPr>
      </w:pPr>
      <w:r>
        <w:rPr>
          <w:rFonts w:ascii="Times New Roman" w:cs="Times New Roman" w:eastAsia="Times New Roman" w:hAnsi="Times New Roman"/>
          <w:sz w:val="12"/>
          <w:szCs w:val="12"/>
          <w:i w:val="1"/>
          <w:iCs w:val="1"/>
          <w:color w:val="auto"/>
        </w:rPr>
        <w:t xml:space="preserve">Refer to </w:t>
      </w:r>
      <w:r>
        <w:rPr>
          <w:rFonts w:ascii="Times New Roman" w:cs="Times New Roman" w:eastAsia="Times New Roman" w:hAnsi="Times New Roman"/>
          <w:sz w:val="12"/>
          <w:szCs w:val="12"/>
          <w:i w:val="1"/>
          <w:iCs w:val="1"/>
          <w:color w:val="0000FF"/>
        </w:rPr>
        <w:t>Frequently Used Terms</w:t>
      </w:r>
      <w:r>
        <w:rPr>
          <w:rFonts w:ascii="Times New Roman" w:cs="Times New Roman" w:eastAsia="Times New Roman" w:hAnsi="Times New Roman"/>
          <w:sz w:val="12"/>
          <w:szCs w:val="12"/>
          <w:i w:val="1"/>
          <w:iCs w:val="1"/>
          <w:color w:val="auto"/>
        </w:rPr>
        <w:t xml:space="preserve"> for definition of Identified Items and Earnings (loss) excluding Identified Items.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1"/>
          <w:szCs w:val="21"/>
          <w:b w:val="1"/>
          <w:bCs w:val="1"/>
          <w:color w:val="0C479D"/>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0C479D"/>
        </w:rPr>
        <w:t>2023 Specialty Products Earnings Driver Analysis</w:t>
      </w:r>
    </w:p>
    <w:p>
      <w:pPr>
        <w:spacing w:after="0" w:line="4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i w:val="1"/>
          <w:iCs w:val="1"/>
          <w:color w:val="auto"/>
        </w:rPr>
        <w:t>(millions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93345</wp:posOffset>
            </wp:positionV>
            <wp:extent cx="5991860" cy="18859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91860"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Margin – Stronger margins increased earnings by $450 million, driven by high-value products and lower feed costs.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Advantaged Volume Growth – High-value products volume growth decreased earnings by $20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 Volume – Base Volumes decreased earnings by $100 million on weaker global demand.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Structural Cost Savings – Increased earnings by $120 million.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 Higher expenses decreased earnings by $100 million.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Identified Items </w:t>
      </w:r>
      <w:r>
        <w:rPr>
          <w:rFonts w:ascii="Times New Roman" w:cs="Times New Roman" w:eastAsia="Times New Roman" w:hAnsi="Times New Roman"/>
          <w:sz w:val="9"/>
          <w:szCs w:val="9"/>
          <w:i w:val="1"/>
          <w:iCs w:val="1"/>
          <w:color w:val="auto"/>
        </w:rPr>
        <w:t>(1)</w:t>
      </w:r>
      <w:r>
        <w:rPr>
          <w:rFonts w:ascii="Times New Roman" w:cs="Times New Roman" w:eastAsia="Times New Roman" w:hAnsi="Times New Roman"/>
          <w:sz w:val="18"/>
          <w:szCs w:val="18"/>
          <w:color w:val="auto"/>
        </w:rPr>
        <w:t xml:space="preserve"> – 2022 $(40) million loss from impairments; 2023 $(93) million loss mainly from impairments.</w:t>
      </w:r>
    </w:p>
    <w:p>
      <w:pPr>
        <w:spacing w:after="0" w:line="69" w:lineRule="exact"/>
        <w:rPr>
          <w:sz w:val="20"/>
          <w:szCs w:val="20"/>
          <w:color w:val="auto"/>
        </w:rPr>
      </w:pPr>
    </w:p>
    <w:p>
      <w:pPr>
        <w:ind w:left="160" w:hanging="152"/>
        <w:spacing w:after="0"/>
        <w:tabs>
          <w:tab w:leader="none" w:pos="160" w:val="left"/>
        </w:tabs>
        <w:numPr>
          <w:ilvl w:val="0"/>
          <w:numId w:val="38"/>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 xml:space="preserve">Refer to </w:t>
      </w:r>
      <w:r>
        <w:rPr>
          <w:rFonts w:ascii="Times New Roman" w:cs="Times New Roman" w:eastAsia="Times New Roman" w:hAnsi="Times New Roman"/>
          <w:sz w:val="14"/>
          <w:szCs w:val="14"/>
          <w:i w:val="1"/>
          <w:iCs w:val="1"/>
          <w:color w:val="0000FF"/>
        </w:rPr>
        <w:t>Frequently Used Terms</w:t>
      </w:r>
      <w:r>
        <w:rPr>
          <w:rFonts w:ascii="Times New Roman" w:cs="Times New Roman" w:eastAsia="Times New Roman" w:hAnsi="Times New Roman"/>
          <w:sz w:val="14"/>
          <w:szCs w:val="14"/>
          <w:i w:val="1"/>
          <w:iCs w:val="1"/>
          <w:color w:val="auto"/>
        </w:rPr>
        <w:t xml:space="preserve"> for definition of Identified Items and Earnings (loss) excluding Identified Items.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479D"/>
        </w:rPr>
        <w:t>Specialty Products Operational Results</w:t>
      </w:r>
    </w:p>
    <w:p>
      <w:pPr>
        <w:spacing w:after="0" w:line="153" w:lineRule="exact"/>
        <w:rPr>
          <w:sz w:val="20"/>
          <w:szCs w:val="20"/>
          <w:color w:val="auto"/>
        </w:rPr>
      </w:pPr>
    </w:p>
    <w:tbl>
      <w:tblPr>
        <w:tblLayout w:type="fixed"/>
        <w:tblInd w:w="780" w:type="dxa"/>
        <w:tblCellMar>
          <w:top w:w="0" w:type="dxa"/>
          <w:left w:w="0" w:type="dxa"/>
          <w:bottom w:w="0" w:type="dxa"/>
          <w:right w:w="0" w:type="dxa"/>
        </w:tblCellMar>
      </w:tblPr>
      <w:tr>
        <w:trPr>
          <w:trHeight w:val="210"/>
        </w:trPr>
        <w:tc>
          <w:tcPr>
            <w:tcW w:w="4380" w:type="dxa"/>
            <w:vAlign w:val="bottom"/>
            <w:shd w:val="clear" w:color="auto" w:fill="0C479D"/>
          </w:tcPr>
          <w:p>
            <w:pPr>
              <w:spacing w:after="0"/>
              <w:rPr>
                <w:sz w:val="20"/>
                <w:szCs w:val="20"/>
                <w:color w:val="auto"/>
              </w:rPr>
            </w:pPr>
            <w:r>
              <w:rPr>
                <w:rFonts w:ascii="Times New Roman" w:cs="Times New Roman" w:eastAsia="Times New Roman" w:hAnsi="Times New Roman"/>
                <w:sz w:val="14"/>
                <w:szCs w:val="14"/>
                <w:i w:val="1"/>
                <w:iCs w:val="1"/>
                <w:color w:val="FFFFFF"/>
              </w:rPr>
              <w:t>(thousands of metric tons)</w:t>
            </w:r>
          </w:p>
        </w:tc>
        <w:tc>
          <w:tcPr>
            <w:tcW w:w="3560" w:type="dxa"/>
            <w:vAlign w:val="bottom"/>
            <w:shd w:val="clear" w:color="auto" w:fill="0C479D"/>
          </w:tcPr>
          <w:p>
            <w:pPr>
              <w:jc w:val="right"/>
              <w:ind w:right="328"/>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1060" w:type="dxa"/>
            <w:vAlign w:val="bottom"/>
            <w:shd w:val="clear" w:color="auto" w:fill="0C479D"/>
          </w:tcPr>
          <w:p>
            <w:pPr>
              <w:jc w:val="right"/>
              <w:ind w:right="308"/>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700" w:type="dxa"/>
            <w:vAlign w:val="bottom"/>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2022</w:t>
            </w:r>
          </w:p>
        </w:tc>
      </w:tr>
      <w:tr>
        <w:trPr>
          <w:trHeight w:val="60"/>
        </w:trPr>
        <w:tc>
          <w:tcPr>
            <w:tcW w:w="4380" w:type="dxa"/>
            <w:vAlign w:val="bottom"/>
            <w:shd w:val="clear" w:color="auto" w:fill="0C479D"/>
          </w:tcPr>
          <w:p>
            <w:pPr>
              <w:spacing w:after="0"/>
              <w:rPr>
                <w:sz w:val="5"/>
                <w:szCs w:val="5"/>
                <w:color w:val="auto"/>
              </w:rPr>
            </w:pPr>
          </w:p>
        </w:tc>
        <w:tc>
          <w:tcPr>
            <w:tcW w:w="3560" w:type="dxa"/>
            <w:vAlign w:val="bottom"/>
            <w:shd w:val="clear" w:color="auto" w:fill="0C479D"/>
          </w:tcPr>
          <w:p>
            <w:pPr>
              <w:spacing w:after="0"/>
              <w:rPr>
                <w:sz w:val="5"/>
                <w:szCs w:val="5"/>
                <w:color w:val="auto"/>
              </w:rPr>
            </w:pPr>
          </w:p>
        </w:tc>
        <w:tc>
          <w:tcPr>
            <w:tcW w:w="1060" w:type="dxa"/>
            <w:vAlign w:val="bottom"/>
            <w:shd w:val="clear" w:color="auto" w:fill="0C479D"/>
          </w:tcPr>
          <w:p>
            <w:pPr>
              <w:spacing w:after="0"/>
              <w:rPr>
                <w:sz w:val="5"/>
                <w:szCs w:val="5"/>
                <w:color w:val="auto"/>
              </w:rPr>
            </w:pPr>
          </w:p>
        </w:tc>
        <w:tc>
          <w:tcPr>
            <w:tcW w:w="700" w:type="dxa"/>
            <w:vAlign w:val="bottom"/>
            <w:shd w:val="clear" w:color="auto" w:fill="0C479D"/>
          </w:tcPr>
          <w:p>
            <w:pPr>
              <w:spacing w:after="0"/>
              <w:rPr>
                <w:sz w:val="5"/>
                <w:szCs w:val="5"/>
                <w:color w:val="auto"/>
              </w:rPr>
            </w:pPr>
          </w:p>
        </w:tc>
      </w:tr>
    </w:tbl>
    <w:p>
      <w:pPr>
        <w:spacing w:after="0" w:line="20" w:lineRule="exact"/>
        <w:rPr>
          <w:sz w:val="20"/>
          <w:szCs w:val="20"/>
          <w:color w:val="auto"/>
        </w:rPr>
      </w:pPr>
    </w:p>
    <w:tbl>
      <w:tblPr>
        <w:tblLayout w:type="fixed"/>
        <w:tblInd w:w="780" w:type="dxa"/>
        <w:tblCellMar>
          <w:top w:w="0" w:type="dxa"/>
          <w:left w:w="0" w:type="dxa"/>
          <w:bottom w:w="0" w:type="dxa"/>
          <w:right w:w="0" w:type="dxa"/>
        </w:tblCellMar>
      </w:tblPr>
      <w:tr>
        <w:trPr>
          <w:trHeight w:val="250"/>
        </w:trPr>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0C479D"/>
              </w:rPr>
              <w:t xml:space="preserve">Specialty Products sales </w:t>
            </w:r>
            <w:r>
              <w:rPr>
                <w:rFonts w:ascii="Times New Roman" w:cs="Times New Roman" w:eastAsia="Times New Roman" w:hAnsi="Times New Roman"/>
                <w:sz w:val="9"/>
                <w:szCs w:val="9"/>
                <w:i w:val="1"/>
                <w:iCs w:val="1"/>
                <w:color w:val="0C479D"/>
              </w:rPr>
              <w:t>(2)</w:t>
            </w:r>
          </w:p>
        </w:tc>
        <w:tc>
          <w:tcPr>
            <w:tcW w:w="960" w:type="dxa"/>
            <w:vAlign w:val="bottom"/>
            <w:shd w:val="clear" w:color="auto" w:fill="F0F0F0"/>
          </w:tcPr>
          <w:p>
            <w:pPr>
              <w:spacing w:after="0"/>
              <w:rPr>
                <w:sz w:val="21"/>
                <w:szCs w:val="21"/>
                <w:color w:val="auto"/>
              </w:rPr>
            </w:pPr>
          </w:p>
        </w:tc>
        <w:tc>
          <w:tcPr>
            <w:tcW w:w="13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3"/>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960" w:type="dxa"/>
            <w:vAlign w:val="bottom"/>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1,922</w:t>
            </w:r>
          </w:p>
        </w:tc>
        <w:tc>
          <w:tcPr>
            <w:tcW w:w="13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1,962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w:t>
            </w:r>
          </w:p>
        </w:tc>
      </w:tr>
      <w:tr>
        <w:trPr>
          <w:trHeight w:val="297"/>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Non-U.S.</w:t>
            </w:r>
          </w:p>
        </w:tc>
        <w:tc>
          <w:tcPr>
            <w:tcW w:w="960" w:type="dxa"/>
            <w:vAlign w:val="bottom"/>
            <w:tcBorders>
              <w:bottom w:val="single" w:sz="8" w:color="F0F0F0"/>
            </w:tcBorders>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5,745</w:t>
            </w:r>
          </w:p>
        </w:tc>
        <w:tc>
          <w:tcPr>
            <w:tcW w:w="13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5,635</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5,762</w:t>
            </w:r>
          </w:p>
        </w:tc>
      </w:tr>
      <w:tr>
        <w:trPr>
          <w:trHeight w:val="243"/>
        </w:trPr>
        <w:tc>
          <w:tcPr>
            <w:tcW w:w="6620" w:type="dxa"/>
            <w:vAlign w:val="bottom"/>
            <w:tcBorders>
              <w:top w:val="single" w:sz="8" w:color="0C479D"/>
              <w:bottom w:val="single" w:sz="8" w:color="0C479D"/>
            </w:tcBorders>
          </w:tcPr>
          <w:p>
            <w:pPr>
              <w:spacing w:after="0"/>
              <w:rPr>
                <w:sz w:val="20"/>
                <w:szCs w:val="20"/>
                <w:color w:val="auto"/>
              </w:rPr>
            </w:pPr>
            <w:r>
              <w:rPr>
                <w:rFonts w:ascii="Times New Roman" w:cs="Times New Roman" w:eastAsia="Times New Roman" w:hAnsi="Times New Roman"/>
                <w:sz w:val="18"/>
                <w:szCs w:val="18"/>
                <w:b w:val="1"/>
                <w:bCs w:val="1"/>
                <w:color w:val="auto"/>
              </w:rPr>
              <w:t>Worldwide</w:t>
            </w:r>
          </w:p>
        </w:tc>
        <w:tc>
          <w:tcPr>
            <w:tcW w:w="960" w:type="dxa"/>
            <w:vAlign w:val="bottom"/>
            <w:tcBorders>
              <w:top w:val="single" w:sz="8" w:color="0C479D"/>
              <w:bottom w:val="single" w:sz="8" w:color="0C479D"/>
            </w:tcBorders>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7,666</w:t>
            </w:r>
          </w:p>
        </w:tc>
        <w:tc>
          <w:tcPr>
            <w:tcW w:w="1300" w:type="dxa"/>
            <w:vAlign w:val="bottom"/>
            <w:tcBorders>
              <w:top w:val="single" w:sz="8" w:color="0C479D"/>
              <w:bottom w:val="single" w:sz="8" w:color="0C479D"/>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7,597</w:t>
            </w:r>
          </w:p>
        </w:tc>
        <w:tc>
          <w:tcPr>
            <w:tcW w:w="820" w:type="dxa"/>
            <w:vAlign w:val="bottom"/>
            <w:tcBorders>
              <w:top w:val="single" w:sz="8" w:color="0C479D"/>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7,810</w:t>
            </w:r>
          </w:p>
        </w:tc>
      </w:tr>
    </w:tbl>
    <w:p>
      <w:pPr>
        <w:spacing w:after="0" w:line="8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i w:val="1"/>
          <w:iCs w:val="1"/>
          <w:color w:val="auto"/>
          <w:vertAlign w:val="superscript"/>
        </w:rPr>
        <w:t>(2)</w:t>
      </w:r>
      <w:r>
        <w:rPr>
          <w:rFonts w:ascii="Times New Roman" w:cs="Times New Roman" w:eastAsia="Times New Roman" w:hAnsi="Times New Roman"/>
          <w:sz w:val="14"/>
          <w:szCs w:val="14"/>
          <w:i w:val="1"/>
          <w:iCs w:val="1"/>
          <w:color w:val="auto"/>
        </w:rPr>
        <w:t xml:space="preserve"> Data reported net of purchases/sales contracts with the same counterparty.</w:t>
      </w:r>
    </w:p>
    <w:p>
      <w:pPr>
        <w:spacing w:after="0" w:line="4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i w:val="1"/>
          <w:iCs w:val="1"/>
          <w:color w:val="auto"/>
        </w:rPr>
        <w:t>Due to rounding, numbers presented may not add up precisely to the totals indicated.</w:t>
      </w:r>
    </w:p>
    <w:p>
      <w:pPr>
        <w:spacing w:after="0" w:line="200" w:lineRule="exact"/>
        <w:rPr>
          <w:sz w:val="20"/>
          <w:szCs w:val="20"/>
          <w:color w:val="auto"/>
        </w:rPr>
      </w:pPr>
    </w:p>
    <w:p>
      <w:pPr>
        <w:spacing w:after="0" w:line="3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70" w:right="3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21"/>
          <w:szCs w:val="21"/>
          <w:b w:val="1"/>
          <w:bCs w:val="1"/>
          <w:color w:val="0C479D"/>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621030</wp:posOffset>
            </wp:positionV>
            <wp:extent cx="7132320" cy="2914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FFFFFF"/>
        </w:rPr>
        <w:t>Corporate and 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-148590</wp:posOffset>
            </wp:positionV>
            <wp:extent cx="4286250" cy="2317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286250" cy="231775"/>
                    </a:xfrm>
                    <a:prstGeom prst="rect">
                      <a:avLst/>
                    </a:prstGeom>
                    <a:noFill/>
                  </pic:spPr>
                </pic:pic>
              </a:graphicData>
            </a:graphic>
          </wp:anchor>
        </w:drawing>
      </w:r>
    </w:p>
    <w:p>
      <w:pPr>
        <w:spacing w:after="0" w:line="2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Corporate and Financing is comprised of corporate activities that support ExxonMobil's operating segments and Low Carbon Solutions business. Corporate activities include general administrative support functions, financing, and insurance activities. Low Carbon Solutions activities will be included in Corporate and Financing until the business is established with a material level of assets and revenue.</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479D"/>
        </w:rPr>
        <w:t>Corporate and Financing Financial Results</w:t>
      </w:r>
    </w:p>
    <w:p>
      <w:pPr>
        <w:spacing w:after="0" w:line="153" w:lineRule="exact"/>
        <w:rPr>
          <w:sz w:val="20"/>
          <w:szCs w:val="20"/>
          <w:color w:val="auto"/>
        </w:rPr>
      </w:pPr>
    </w:p>
    <w:tbl>
      <w:tblPr>
        <w:tblLayout w:type="fixed"/>
        <w:tblInd w:w="780" w:type="dxa"/>
        <w:tblCellMar>
          <w:top w:w="0" w:type="dxa"/>
          <w:left w:w="0" w:type="dxa"/>
          <w:bottom w:w="0" w:type="dxa"/>
          <w:right w:w="0" w:type="dxa"/>
        </w:tblCellMar>
      </w:tblPr>
      <w:tr>
        <w:trPr>
          <w:trHeight w:val="275"/>
        </w:trPr>
        <w:tc>
          <w:tcPr>
            <w:tcW w:w="6580" w:type="dxa"/>
            <w:vAlign w:val="bottom"/>
            <w:tcBorders>
              <w:bottom w:val="single" w:sz="8" w:color="0C479D"/>
            </w:tcBorders>
            <w:shd w:val="clear" w:color="auto" w:fill="0C479D"/>
          </w:tcPr>
          <w:p>
            <w:pPr>
              <w:ind w:left="60"/>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960" w:type="dxa"/>
            <w:vAlign w:val="bottom"/>
            <w:tcBorders>
              <w:bottom w:val="single" w:sz="8" w:color="0C479D"/>
            </w:tcBorders>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1320" w:type="dxa"/>
            <w:vAlign w:val="bottom"/>
            <w:tcBorders>
              <w:bottom w:val="single" w:sz="8" w:color="0C479D"/>
            </w:tcBorders>
            <w:shd w:val="clear" w:color="auto" w:fill="0C479D"/>
          </w:tcPr>
          <w:p>
            <w:pPr>
              <w:jc w:val="right"/>
              <w:ind w:right="175"/>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840" w:type="dxa"/>
            <w:vAlign w:val="bottom"/>
            <w:tcBorders>
              <w:bottom w:val="single" w:sz="8" w:color="0C479D"/>
            </w:tcBorders>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2022</w:t>
            </w:r>
          </w:p>
        </w:tc>
      </w:tr>
      <w:tr>
        <w:trPr>
          <w:trHeight w:val="237"/>
        </w:trPr>
        <w:tc>
          <w:tcPr>
            <w:tcW w:w="6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(U.S. GAAP)</w:t>
            </w:r>
          </w:p>
        </w:tc>
        <w:tc>
          <w:tcPr>
            <w:tcW w:w="960" w:type="dxa"/>
            <w:vAlign w:val="bottom"/>
            <w:tcBorders>
              <w:top w:val="single" w:sz="8" w:color="auto"/>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320" w:type="dxa"/>
            <w:vAlign w:val="bottom"/>
            <w:tcBorders>
              <w:top w:val="single" w:sz="8" w:color="auto"/>
            </w:tcBorders>
          </w:tcPr>
          <w:p>
            <w:pPr>
              <w:jc w:val="right"/>
              <w:ind w:right="195"/>
              <w:spacing w:after="0"/>
              <w:rPr>
                <w:sz w:val="20"/>
                <w:szCs w:val="20"/>
                <w:color w:val="auto"/>
              </w:rPr>
            </w:pPr>
            <w:r>
              <w:rPr>
                <w:rFonts w:ascii="Times New Roman" w:cs="Times New Roman" w:eastAsia="Times New Roman" w:hAnsi="Times New Roman"/>
                <w:sz w:val="18"/>
                <w:szCs w:val="18"/>
                <w:color w:val="auto"/>
              </w:rPr>
              <w:t>(1,791)</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w:t>
            </w:r>
          </w:p>
        </w:tc>
      </w:tr>
      <w:tr>
        <w:trPr>
          <w:trHeight w:val="283"/>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Identified Items </w:t>
            </w:r>
            <w:r>
              <w:rPr>
                <w:rFonts w:ascii="Times New Roman" w:cs="Times New Roman" w:eastAsia="Times New Roman" w:hAnsi="Times New Roman"/>
                <w:sz w:val="9"/>
                <w:szCs w:val="9"/>
                <w:i w:val="1"/>
                <w:iCs w:val="1"/>
                <w:color w:val="auto"/>
              </w:rPr>
              <w:t>(1)</w:t>
            </w:r>
          </w:p>
        </w:tc>
        <w:tc>
          <w:tcPr>
            <w:tcW w:w="960" w:type="dxa"/>
            <w:vAlign w:val="bottom"/>
            <w:tcBorders>
              <w:bottom w:val="single" w:sz="8" w:color="F0F0F0"/>
            </w:tcBorders>
            <w:shd w:val="clear" w:color="auto" w:fill="F0F0F0"/>
          </w:tcPr>
          <w:p>
            <w:pPr>
              <w:jc w:val="right"/>
              <w:ind w:right="15"/>
              <w:spacing w:after="0"/>
              <w:rPr>
                <w:sz w:val="20"/>
                <w:szCs w:val="20"/>
                <w:color w:val="auto"/>
              </w:rPr>
            </w:pPr>
            <w:r>
              <w:rPr>
                <w:rFonts w:ascii="Times New Roman" w:cs="Times New Roman" w:eastAsia="Times New Roman" w:hAnsi="Times New Roman"/>
                <w:sz w:val="18"/>
                <w:szCs w:val="18"/>
                <w:color w:val="auto"/>
              </w:rPr>
              <w:t>30</w:t>
            </w:r>
          </w:p>
        </w:tc>
        <w:tc>
          <w:tcPr>
            <w:tcW w:w="132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76</w:t>
            </w:r>
          </w:p>
        </w:tc>
        <w:tc>
          <w:tcPr>
            <w:tcW w:w="8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302</w:t>
            </w:r>
          </w:p>
        </w:tc>
      </w:tr>
      <w:tr>
        <w:trPr>
          <w:trHeight w:val="338"/>
        </w:trPr>
        <w:tc>
          <w:tcPr>
            <w:tcW w:w="6580" w:type="dxa"/>
            <w:vAlign w:val="bottom"/>
            <w:tcBorders>
              <w:top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 xml:space="preserve">Earnings (loss) excluding Identified Items </w:t>
            </w:r>
            <w:r>
              <w:rPr>
                <w:rFonts w:ascii="Times New Roman" w:cs="Times New Roman" w:eastAsia="Times New Roman" w:hAnsi="Times New Roman"/>
                <w:sz w:val="9"/>
                <w:szCs w:val="9"/>
                <w:i w:val="1"/>
                <w:iCs w:val="1"/>
                <w:color w:val="auto"/>
              </w:rPr>
              <w:t>(1)</w:t>
            </w:r>
            <w:r>
              <w:rPr>
                <w:rFonts w:ascii="Times New Roman" w:cs="Times New Roman" w:eastAsia="Times New Roman" w:hAnsi="Times New Roman"/>
                <w:sz w:val="18"/>
                <w:szCs w:val="18"/>
                <w:color w:val="auto"/>
              </w:rPr>
              <w:t xml:space="preserve"> (Non-GAAP)</w:t>
            </w:r>
          </w:p>
        </w:tc>
        <w:tc>
          <w:tcPr>
            <w:tcW w:w="960" w:type="dxa"/>
            <w:vAlign w:val="bottom"/>
            <w:tcBorders>
              <w:top w:val="single" w:sz="8" w:color="0C479D"/>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320" w:type="dxa"/>
            <w:vAlign w:val="bottom"/>
            <w:tcBorders>
              <w:top w:val="single" w:sz="8" w:color="0C479D"/>
            </w:tcBorders>
          </w:tcPr>
          <w:p>
            <w:pPr>
              <w:jc w:val="right"/>
              <w:ind w:right="195"/>
              <w:spacing w:after="0"/>
              <w:rPr>
                <w:sz w:val="20"/>
                <w:szCs w:val="20"/>
                <w:color w:val="auto"/>
              </w:rPr>
            </w:pPr>
            <w:r>
              <w:rPr>
                <w:rFonts w:ascii="Times New Roman" w:cs="Times New Roman" w:eastAsia="Times New Roman" w:hAnsi="Times New Roman"/>
                <w:sz w:val="18"/>
                <w:szCs w:val="18"/>
                <w:color w:val="auto"/>
              </w:rPr>
              <w:t>(1,867)</w:t>
            </w:r>
          </w:p>
        </w:tc>
        <w:tc>
          <w:tcPr>
            <w:tcW w:w="840" w:type="dxa"/>
            <w:vAlign w:val="bottom"/>
            <w:tcBorders>
              <w:top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(1,965)</w:t>
            </w:r>
          </w:p>
        </w:tc>
      </w:tr>
      <w:tr>
        <w:trPr>
          <w:trHeight w:val="27"/>
        </w:trPr>
        <w:tc>
          <w:tcPr>
            <w:tcW w:w="6580" w:type="dxa"/>
            <w:vAlign w:val="bottom"/>
            <w:shd w:val="clear" w:color="auto" w:fill="0C479D"/>
          </w:tcPr>
          <w:p>
            <w:pPr>
              <w:spacing w:after="0"/>
              <w:rPr>
                <w:sz w:val="2"/>
                <w:szCs w:val="2"/>
                <w:color w:val="auto"/>
              </w:rPr>
            </w:pPr>
          </w:p>
        </w:tc>
        <w:tc>
          <w:tcPr>
            <w:tcW w:w="960" w:type="dxa"/>
            <w:vAlign w:val="bottom"/>
            <w:shd w:val="clear" w:color="auto" w:fill="0C479D"/>
          </w:tcPr>
          <w:p>
            <w:pPr>
              <w:spacing w:after="0"/>
              <w:rPr>
                <w:sz w:val="2"/>
                <w:szCs w:val="2"/>
                <w:color w:val="auto"/>
              </w:rPr>
            </w:pPr>
          </w:p>
        </w:tc>
        <w:tc>
          <w:tcPr>
            <w:tcW w:w="1320" w:type="dxa"/>
            <w:vAlign w:val="bottom"/>
            <w:shd w:val="clear" w:color="auto" w:fill="0C479D"/>
          </w:tcPr>
          <w:p>
            <w:pPr>
              <w:spacing w:after="0"/>
              <w:rPr>
                <w:sz w:val="2"/>
                <w:szCs w:val="2"/>
                <w:color w:val="auto"/>
              </w:rPr>
            </w:pPr>
          </w:p>
        </w:tc>
        <w:tc>
          <w:tcPr>
            <w:tcW w:w="840" w:type="dxa"/>
            <w:vAlign w:val="bottom"/>
            <w:shd w:val="clear" w:color="auto" w:fill="0C479D"/>
          </w:tcPr>
          <w:p>
            <w:pPr>
              <w:spacing w:after="0"/>
              <w:rPr>
                <w:sz w:val="2"/>
                <w:szCs w:val="2"/>
                <w:color w:val="auto"/>
              </w:rPr>
            </w:pPr>
          </w:p>
        </w:tc>
      </w:tr>
    </w:tbl>
    <w:p>
      <w:pPr>
        <w:spacing w:after="0" w:line="83" w:lineRule="exact"/>
        <w:rPr>
          <w:sz w:val="20"/>
          <w:szCs w:val="20"/>
          <w:color w:val="auto"/>
        </w:rPr>
      </w:pPr>
    </w:p>
    <w:p>
      <w:pPr>
        <w:ind w:left="920" w:hanging="125"/>
        <w:spacing w:after="0"/>
        <w:tabs>
          <w:tab w:leader="none" w:pos="920" w:val="left"/>
        </w:tabs>
        <w:numPr>
          <w:ilvl w:val="0"/>
          <w:numId w:val="39"/>
        </w:numPr>
        <w:rPr>
          <w:rFonts w:ascii="Times New Roman" w:cs="Times New Roman" w:eastAsia="Times New Roman" w:hAnsi="Times New Roman"/>
          <w:sz w:val="16"/>
          <w:szCs w:val="16"/>
          <w:i w:val="1"/>
          <w:iCs w:val="1"/>
          <w:color w:val="auto"/>
          <w:vertAlign w:val="superscript"/>
        </w:rPr>
      </w:pPr>
      <w:r>
        <w:rPr>
          <w:rFonts w:ascii="Times New Roman" w:cs="Times New Roman" w:eastAsia="Times New Roman" w:hAnsi="Times New Roman"/>
          <w:sz w:val="12"/>
          <w:szCs w:val="12"/>
          <w:i w:val="1"/>
          <w:iCs w:val="1"/>
          <w:color w:val="auto"/>
        </w:rPr>
        <w:t xml:space="preserve">Refer to </w:t>
      </w:r>
      <w:r>
        <w:rPr>
          <w:rFonts w:ascii="Times New Roman" w:cs="Times New Roman" w:eastAsia="Times New Roman" w:hAnsi="Times New Roman"/>
          <w:sz w:val="12"/>
          <w:szCs w:val="12"/>
          <w:i w:val="1"/>
          <w:iCs w:val="1"/>
          <w:color w:val="0000FF"/>
        </w:rPr>
        <w:t>Frequently Used Terms</w:t>
      </w:r>
      <w:r>
        <w:rPr>
          <w:rFonts w:ascii="Times New Roman" w:cs="Times New Roman" w:eastAsia="Times New Roman" w:hAnsi="Times New Roman"/>
          <w:sz w:val="12"/>
          <w:szCs w:val="12"/>
          <w:i w:val="1"/>
          <w:iCs w:val="1"/>
          <w:color w:val="auto"/>
        </w:rPr>
        <w:t xml:space="preserve"> for definition of Identified Items and Earnings (loss) excluding Identified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370205</wp:posOffset>
            </wp:positionV>
            <wp:extent cx="61722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760" w:type="dxa"/>
        <w:tblCellMar>
          <w:top w:w="0" w:type="dxa"/>
          <w:left w:w="0" w:type="dxa"/>
          <w:bottom w:w="0" w:type="dxa"/>
          <w:right w:w="0" w:type="dxa"/>
        </w:tblCellMar>
      </w:tblPr>
      <w:tr>
        <w:trPr>
          <w:trHeight w:val="216"/>
        </w:trPr>
        <w:tc>
          <w:tcPr>
            <w:tcW w:w="12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Corporate and Financing expenses were $1,372</w:t>
            </w: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 in 2024</w:t>
            </w:r>
          </w:p>
        </w:tc>
        <w:tc>
          <w:tcPr>
            <w:tcW w:w="1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compared to $1,791</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 in 2023, with the</w:t>
            </w:r>
          </w:p>
        </w:tc>
        <w:tc>
          <w:tcPr>
            <w:tcW w:w="0" w:type="dxa"/>
            <w:vAlign w:val="bottom"/>
          </w:tcPr>
          <w:p>
            <w:pPr>
              <w:spacing w:after="0"/>
              <w:rPr>
                <w:sz w:val="1"/>
                <w:szCs w:val="1"/>
                <w:color w:val="auto"/>
              </w:rPr>
            </w:pPr>
          </w:p>
        </w:tc>
      </w:tr>
      <w:tr>
        <w:trPr>
          <w:trHeight w:val="126"/>
        </w:trPr>
        <w:tc>
          <w:tcPr>
            <w:tcW w:w="1240" w:type="dxa"/>
            <w:vAlign w:val="bottom"/>
            <w:vMerge w:val="continue"/>
          </w:tcPr>
          <w:p>
            <w:pPr>
              <w:spacing w:after="0"/>
              <w:rPr>
                <w:sz w:val="10"/>
                <w:szCs w:val="10"/>
                <w:color w:val="auto"/>
              </w:rPr>
            </w:pPr>
          </w:p>
        </w:tc>
        <w:tc>
          <w:tcPr>
            <w:tcW w:w="384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decrease mainly due to lower financing costs.</w:t>
            </w:r>
          </w:p>
        </w:tc>
        <w:tc>
          <w:tcPr>
            <w:tcW w:w="1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40" w:type="dxa"/>
            <w:vAlign w:val="bottom"/>
          </w:tcPr>
          <w:p>
            <w:pPr>
              <w:spacing w:after="0"/>
              <w:rPr>
                <w:sz w:val="9"/>
                <w:szCs w:val="9"/>
                <w:color w:val="auto"/>
              </w:rPr>
            </w:pPr>
          </w:p>
        </w:tc>
        <w:tc>
          <w:tcPr>
            <w:tcW w:w="384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240" w:type="dxa"/>
            <w:vAlign w:val="bottom"/>
            <w:tcBorders>
              <w:bottom w:val="single" w:sz="8" w:color="0C479D"/>
            </w:tcBorders>
          </w:tcPr>
          <w:p>
            <w:pPr>
              <w:spacing w:after="0"/>
              <w:rPr>
                <w:sz w:val="10"/>
                <w:szCs w:val="10"/>
                <w:color w:val="auto"/>
              </w:rPr>
            </w:pPr>
          </w:p>
        </w:tc>
        <w:tc>
          <w:tcPr>
            <w:tcW w:w="3840" w:type="dxa"/>
            <w:vAlign w:val="bottom"/>
            <w:tcBorders>
              <w:bottom w:val="single" w:sz="8" w:color="0C479D"/>
            </w:tcBorders>
          </w:tcPr>
          <w:p>
            <w:pPr>
              <w:spacing w:after="0"/>
              <w:rPr>
                <w:sz w:val="10"/>
                <w:szCs w:val="10"/>
                <w:color w:val="auto"/>
              </w:rPr>
            </w:pPr>
          </w:p>
        </w:tc>
        <w:tc>
          <w:tcPr>
            <w:tcW w:w="1200" w:type="dxa"/>
            <w:vAlign w:val="bottom"/>
            <w:tcBorders>
              <w:bottom w:val="single" w:sz="8" w:color="0C479D"/>
            </w:tcBorders>
          </w:tcPr>
          <w:p>
            <w:pPr>
              <w:spacing w:after="0"/>
              <w:rPr>
                <w:sz w:val="10"/>
                <w:szCs w:val="10"/>
                <w:color w:val="auto"/>
              </w:rPr>
            </w:pPr>
          </w:p>
        </w:tc>
        <w:tc>
          <w:tcPr>
            <w:tcW w:w="1540" w:type="dxa"/>
            <w:vAlign w:val="bottom"/>
            <w:tcBorders>
              <w:bottom w:val="single" w:sz="8" w:color="0C479D"/>
            </w:tcBorders>
          </w:tcPr>
          <w:p>
            <w:pPr>
              <w:spacing w:after="0"/>
              <w:rPr>
                <w:sz w:val="10"/>
                <w:szCs w:val="10"/>
                <w:color w:val="auto"/>
              </w:rPr>
            </w:pPr>
          </w:p>
        </w:tc>
        <w:tc>
          <w:tcPr>
            <w:tcW w:w="1900" w:type="dxa"/>
            <w:vAlign w:val="bottom"/>
            <w:tcBorders>
              <w:bottom w:val="single" w:sz="8" w:color="0C479D"/>
            </w:tcBorders>
          </w:tcPr>
          <w:p>
            <w:pPr>
              <w:spacing w:after="0"/>
              <w:rPr>
                <w:sz w:val="10"/>
                <w:szCs w:val="10"/>
                <w:color w:val="auto"/>
              </w:rPr>
            </w:pPr>
          </w:p>
        </w:tc>
        <w:tc>
          <w:tcPr>
            <w:tcW w:w="0" w:type="dxa"/>
            <w:vAlign w:val="bottom"/>
          </w:tcPr>
          <w:p>
            <w:pPr>
              <w:spacing w:after="0"/>
              <w:rPr>
                <w:sz w:val="1"/>
                <w:szCs w:val="1"/>
                <w:color w:val="auto"/>
              </w:rPr>
            </w:pPr>
          </w:p>
        </w:tc>
      </w:tr>
      <w:tr>
        <w:trPr>
          <w:trHeight w:val="218"/>
        </w:trPr>
        <w:tc>
          <w:tcPr>
            <w:tcW w:w="12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Corporate and Financing expenses were $1,791</w:t>
            </w: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 in 2023</w:t>
            </w:r>
          </w:p>
        </w:tc>
        <w:tc>
          <w:tcPr>
            <w:tcW w:w="1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compared to $1,663</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million in 2022, with the</w:t>
            </w:r>
          </w:p>
        </w:tc>
        <w:tc>
          <w:tcPr>
            <w:tcW w:w="0" w:type="dxa"/>
            <w:vAlign w:val="bottom"/>
          </w:tcPr>
          <w:p>
            <w:pPr>
              <w:spacing w:after="0"/>
              <w:rPr>
                <w:sz w:val="1"/>
                <w:szCs w:val="1"/>
                <w:color w:val="auto"/>
              </w:rPr>
            </w:pPr>
          </w:p>
        </w:tc>
      </w:tr>
      <w:tr>
        <w:trPr>
          <w:trHeight w:val="216"/>
        </w:trPr>
        <w:tc>
          <w:tcPr>
            <w:tcW w:w="1240" w:type="dxa"/>
            <w:vAlign w:val="bottom"/>
            <w:vMerge w:val="continue"/>
          </w:tcPr>
          <w:p>
            <w:pPr>
              <w:spacing w:after="0"/>
              <w:rPr>
                <w:sz w:val="18"/>
                <w:szCs w:val="18"/>
                <w:color w:val="auto"/>
              </w:rPr>
            </w:pPr>
          </w:p>
        </w:tc>
        <w:tc>
          <w:tcPr>
            <w:tcW w:w="848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increase mainly due to the absence of prior year favorable tax-related items, partly offset by lower financing</w:t>
            </w: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38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costs.</w:t>
            </w:r>
          </w:p>
        </w:tc>
        <w:tc>
          <w:tcPr>
            <w:tcW w:w="1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1240" w:type="dxa"/>
            <w:vAlign w:val="bottom"/>
            <w:tcBorders>
              <w:bottom w:val="single" w:sz="8" w:color="0C479D"/>
            </w:tcBorders>
          </w:tcPr>
          <w:p>
            <w:pPr>
              <w:spacing w:after="0"/>
              <w:rPr>
                <w:sz w:val="2"/>
                <w:szCs w:val="2"/>
                <w:color w:val="auto"/>
              </w:rPr>
            </w:pPr>
          </w:p>
        </w:tc>
        <w:tc>
          <w:tcPr>
            <w:tcW w:w="3840" w:type="dxa"/>
            <w:vAlign w:val="bottom"/>
            <w:tcBorders>
              <w:bottom w:val="single" w:sz="8" w:color="0C479D"/>
            </w:tcBorders>
          </w:tcPr>
          <w:p>
            <w:pPr>
              <w:spacing w:after="0"/>
              <w:rPr>
                <w:sz w:val="2"/>
                <w:szCs w:val="2"/>
                <w:color w:val="auto"/>
              </w:rPr>
            </w:pPr>
          </w:p>
        </w:tc>
        <w:tc>
          <w:tcPr>
            <w:tcW w:w="1200" w:type="dxa"/>
            <w:vAlign w:val="bottom"/>
            <w:tcBorders>
              <w:bottom w:val="single" w:sz="8" w:color="0C479D"/>
            </w:tcBorders>
          </w:tcPr>
          <w:p>
            <w:pPr>
              <w:spacing w:after="0"/>
              <w:rPr>
                <w:sz w:val="2"/>
                <w:szCs w:val="2"/>
                <w:color w:val="auto"/>
              </w:rPr>
            </w:pPr>
          </w:p>
        </w:tc>
        <w:tc>
          <w:tcPr>
            <w:tcW w:w="1540" w:type="dxa"/>
            <w:vAlign w:val="bottom"/>
            <w:tcBorders>
              <w:bottom w:val="single" w:sz="8" w:color="0C479D"/>
            </w:tcBorders>
          </w:tcPr>
          <w:p>
            <w:pPr>
              <w:spacing w:after="0"/>
              <w:rPr>
                <w:sz w:val="2"/>
                <w:szCs w:val="2"/>
                <w:color w:val="auto"/>
              </w:rPr>
            </w:pPr>
          </w:p>
        </w:tc>
        <w:tc>
          <w:tcPr>
            <w:tcW w:w="1900" w:type="dxa"/>
            <w:vAlign w:val="bottom"/>
            <w:tcBorders>
              <w:bottom w:val="single" w:sz="8" w:color="0C479D"/>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21"/>
          <w:szCs w:val="21"/>
          <w:b w:val="1"/>
          <w:bCs w:val="1"/>
          <w:color w:val="0C479D"/>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C479D"/>
        </w:rPr>
        <w:t>LIQUIDITY AND CAPITAL RESOURCES</w:t>
      </w:r>
    </w:p>
    <w:p>
      <w:pPr>
        <w:spacing w:after="0" w:line="22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0C479D"/>
        </w:rPr>
        <w:t>Sources and Uses of Cash</w:t>
      </w:r>
    </w:p>
    <w:p>
      <w:pPr>
        <w:spacing w:after="0" w:line="51" w:lineRule="exact"/>
        <w:rPr>
          <w:sz w:val="20"/>
          <w:szCs w:val="20"/>
          <w:color w:val="auto"/>
        </w:rPr>
      </w:pPr>
    </w:p>
    <w:tbl>
      <w:tblPr>
        <w:tblLayout w:type="fixed"/>
        <w:tblInd w:w="800" w:type="dxa"/>
        <w:tblCellMar>
          <w:top w:w="0" w:type="dxa"/>
          <w:left w:w="0" w:type="dxa"/>
          <w:bottom w:w="0" w:type="dxa"/>
          <w:right w:w="0" w:type="dxa"/>
        </w:tblCellMar>
      </w:tblPr>
      <w:tr>
        <w:trPr>
          <w:trHeight w:val="230"/>
        </w:trPr>
        <w:tc>
          <w:tcPr>
            <w:tcW w:w="6540" w:type="dxa"/>
            <w:vAlign w:val="bottom"/>
            <w:tcBorders>
              <w:bottom w:val="single" w:sz="8" w:color="0C479D"/>
            </w:tcBorders>
            <w:shd w:val="clear" w:color="auto" w:fill="0C479D"/>
          </w:tcPr>
          <w:p>
            <w:pPr>
              <w:ind w:left="60"/>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960" w:type="dxa"/>
            <w:vAlign w:val="bottom"/>
            <w:tcBorders>
              <w:bottom w:val="single" w:sz="8" w:color="0C479D"/>
            </w:tcBorders>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1280" w:type="dxa"/>
            <w:vAlign w:val="bottom"/>
            <w:tcBorders>
              <w:bottom w:val="single" w:sz="8" w:color="0C479D"/>
            </w:tcBorders>
            <w:shd w:val="clear" w:color="auto" w:fill="0C479D"/>
          </w:tcPr>
          <w:p>
            <w:pPr>
              <w:jc w:val="right"/>
              <w:ind w:right="133"/>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880" w:type="dxa"/>
            <w:vAlign w:val="bottom"/>
            <w:tcBorders>
              <w:bottom w:val="single" w:sz="8" w:color="0C479D"/>
            </w:tcBorders>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2022</w:t>
            </w:r>
          </w:p>
        </w:tc>
      </w:tr>
      <w:tr>
        <w:trPr>
          <w:trHeight w:val="270"/>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C479D"/>
              </w:rPr>
              <w:t>Net cash provided by/(used in)</w:t>
            </w:r>
          </w:p>
        </w:tc>
        <w:tc>
          <w:tcPr>
            <w:tcW w:w="960" w:type="dxa"/>
            <w:vAlign w:val="bottom"/>
            <w:shd w:val="clear" w:color="auto" w:fill="F0F0F0"/>
          </w:tcPr>
          <w:p>
            <w:pPr>
              <w:spacing w:after="0"/>
              <w:rPr>
                <w:sz w:val="23"/>
                <w:szCs w:val="23"/>
                <w:color w:val="auto"/>
              </w:rPr>
            </w:pPr>
          </w:p>
        </w:tc>
        <w:tc>
          <w:tcPr>
            <w:tcW w:w="128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960" w:type="dxa"/>
            <w:vAlign w:val="bottom"/>
            <w:shd w:val="clear" w:color="auto" w:fill="F0F0F0"/>
          </w:tcPr>
          <w:p>
            <w:pPr>
              <w:jc w:val="right"/>
              <w:ind w:right="13"/>
              <w:spacing w:after="0"/>
              <w:rPr>
                <w:sz w:val="20"/>
                <w:szCs w:val="20"/>
                <w:color w:val="auto"/>
              </w:rPr>
            </w:pPr>
            <w:r>
              <w:rPr>
                <w:rFonts w:ascii="Times New Roman" w:cs="Times New Roman" w:eastAsia="Times New Roman" w:hAnsi="Times New Roman"/>
                <w:sz w:val="18"/>
                <w:szCs w:val="18"/>
                <w:color w:val="auto"/>
              </w:rPr>
              <w:t>55,022</w:t>
            </w:r>
          </w:p>
        </w:tc>
        <w:tc>
          <w:tcPr>
            <w:tcW w:w="128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55,369</w:t>
            </w: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76,797</w:t>
            </w:r>
          </w:p>
        </w:tc>
      </w:tr>
      <w:tr>
        <w:trPr>
          <w:trHeight w:val="270"/>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9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(19,938)</w:t>
            </w:r>
          </w:p>
        </w:tc>
        <w:tc>
          <w:tcPr>
            <w:tcW w:w="12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(19,274)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(14,742)</w:t>
            </w:r>
          </w:p>
        </w:tc>
      </w:tr>
      <w:tr>
        <w:trPr>
          <w:trHeight w:val="270"/>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9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(42,789)</w:t>
            </w:r>
          </w:p>
        </w:tc>
        <w:tc>
          <w:tcPr>
            <w:tcW w:w="12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(34,297)</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(39,114)</w:t>
            </w:r>
          </w:p>
        </w:tc>
      </w:tr>
      <w:tr>
        <w:trPr>
          <w:trHeight w:val="270"/>
        </w:trPr>
        <w:tc>
          <w:tcPr>
            <w:tcW w:w="654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9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280" w:type="dxa"/>
            <w:vAlign w:val="bottom"/>
            <w:tcBorders>
              <w:bottom w:val="single" w:sz="8" w:color="0C479D"/>
            </w:tcBorders>
          </w:tcPr>
          <w:p>
            <w:pPr>
              <w:jc w:val="right"/>
              <w:ind w:right="213"/>
              <w:spacing w:after="0"/>
              <w:rPr>
                <w:sz w:val="20"/>
                <w:szCs w:val="20"/>
                <w:color w:val="auto"/>
              </w:rPr>
            </w:pPr>
            <w:r>
              <w:rPr>
                <w:rFonts w:ascii="Times New Roman" w:cs="Times New Roman" w:eastAsia="Times New Roman" w:hAnsi="Times New Roman"/>
                <w:sz w:val="18"/>
                <w:szCs w:val="18"/>
                <w:color w:val="auto"/>
              </w:rPr>
              <w:t>105</w:t>
            </w:r>
          </w:p>
        </w:tc>
        <w:tc>
          <w:tcPr>
            <w:tcW w:w="8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44"/>
        </w:trPr>
        <w:tc>
          <w:tcPr>
            <w:tcW w:w="654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Increase/(decrease) in cash and cash equivalents</w:t>
            </w:r>
          </w:p>
        </w:tc>
        <w:tc>
          <w:tcPr>
            <w:tcW w:w="9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(8,381)</w:t>
            </w:r>
          </w:p>
        </w:tc>
        <w:tc>
          <w:tcPr>
            <w:tcW w:w="1280" w:type="dxa"/>
            <w:vAlign w:val="bottom"/>
            <w:tcBorders>
              <w:bottom w:val="single" w:sz="8" w:color="0C479D"/>
            </w:tcBorders>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1,903</w:t>
            </w:r>
          </w:p>
        </w:tc>
        <w:tc>
          <w:tcPr>
            <w:tcW w:w="880" w:type="dxa"/>
            <w:vAlign w:val="bottom"/>
            <w:tcBorders>
              <w:bottom w:val="single" w:sz="8" w:color="0C479D"/>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22,863</w:t>
            </w:r>
          </w:p>
        </w:tc>
      </w:tr>
      <w:tr>
        <w:trPr>
          <w:trHeight w:val="256"/>
        </w:trPr>
        <w:tc>
          <w:tcPr>
            <w:tcW w:w="6540" w:type="dxa"/>
            <w:vAlign w:val="bottom"/>
            <w:tcBorders>
              <w:bottom w:val="single" w:sz="8" w:color="0C479D"/>
            </w:tcBorders>
          </w:tcPr>
          <w:p>
            <w:pPr>
              <w:spacing w:after="0"/>
              <w:rPr>
                <w:sz w:val="22"/>
                <w:szCs w:val="22"/>
                <w:color w:val="auto"/>
              </w:rPr>
            </w:pPr>
          </w:p>
        </w:tc>
        <w:tc>
          <w:tcPr>
            <w:tcW w:w="960" w:type="dxa"/>
            <w:vAlign w:val="bottom"/>
            <w:tcBorders>
              <w:bottom w:val="single" w:sz="8" w:color="0C479D"/>
            </w:tcBorders>
            <w:shd w:val="clear" w:color="auto" w:fill="F0F0F0"/>
          </w:tcPr>
          <w:p>
            <w:pPr>
              <w:spacing w:after="0"/>
              <w:rPr>
                <w:sz w:val="22"/>
                <w:szCs w:val="22"/>
                <w:color w:val="auto"/>
              </w:rPr>
            </w:pPr>
          </w:p>
        </w:tc>
        <w:tc>
          <w:tcPr>
            <w:tcW w:w="1280" w:type="dxa"/>
            <w:vAlign w:val="bottom"/>
            <w:tcBorders>
              <w:bottom w:val="single" w:sz="8" w:color="0C479D"/>
            </w:tcBorders>
          </w:tcPr>
          <w:p>
            <w:pPr>
              <w:spacing w:after="0"/>
              <w:rPr>
                <w:sz w:val="22"/>
                <w:szCs w:val="22"/>
                <w:color w:val="auto"/>
              </w:rPr>
            </w:pPr>
          </w:p>
        </w:tc>
        <w:tc>
          <w:tcPr>
            <w:tcW w:w="880" w:type="dxa"/>
            <w:vAlign w:val="bottom"/>
            <w:tcBorders>
              <w:bottom w:val="single" w:sz="8" w:color="0C479D"/>
            </w:tcBorders>
          </w:tcPr>
          <w:p>
            <w:pPr>
              <w:spacing w:after="0"/>
              <w:rPr>
                <w:sz w:val="22"/>
                <w:szCs w:val="22"/>
                <w:color w:val="auto"/>
              </w:rPr>
            </w:pPr>
          </w:p>
        </w:tc>
      </w:tr>
      <w:tr>
        <w:trPr>
          <w:trHeight w:val="250"/>
        </w:trPr>
        <w:tc>
          <w:tcPr>
            <w:tcW w:w="654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b w:val="1"/>
                <w:bCs w:val="1"/>
                <w:color w:val="0C479D"/>
              </w:rPr>
              <w:t>Total cash and cash equivalents (December 31)</w:t>
            </w:r>
          </w:p>
        </w:tc>
        <w:tc>
          <w:tcPr>
            <w:tcW w:w="960" w:type="dxa"/>
            <w:vAlign w:val="bottom"/>
            <w:tcBorders>
              <w:bottom w:val="single" w:sz="8" w:color="0C479D"/>
            </w:tcBorders>
            <w:shd w:val="clear" w:color="auto" w:fill="F0F0F0"/>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23,187</w:t>
            </w:r>
          </w:p>
        </w:tc>
        <w:tc>
          <w:tcPr>
            <w:tcW w:w="1280" w:type="dxa"/>
            <w:vAlign w:val="bottom"/>
            <w:tcBorders>
              <w:bottom w:val="single" w:sz="8" w:color="0C479D"/>
            </w:tcBorders>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rPr>
              <w:t>31,568</w:t>
            </w:r>
          </w:p>
        </w:tc>
        <w:tc>
          <w:tcPr>
            <w:tcW w:w="880" w:type="dxa"/>
            <w:vAlign w:val="bottom"/>
            <w:tcBorders>
              <w:bottom w:val="single" w:sz="8" w:color="0C479D"/>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29,665</w:t>
            </w:r>
          </w:p>
        </w:tc>
      </w:tr>
    </w:tbl>
    <w:p>
      <w:pPr>
        <w:spacing w:after="0" w:line="1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Total cash and cash equivalents were $23.2 billion at the end of 2024, down $8.4 billion from the prior year. The major sources of funds in 2024 were net income including noncontrolling interests of $35.1 billion, the adjustment for the noncash provision of $23.4 billion for depreciation and depletion, proceeds from asset sales of $5.0 billion, other investing activities of $1.9 billion, and cash acquired from mergers and acquisitions of $0.8 billion. The major uses of funds included spending for additions to property, plant and equipment of $24.3 billion; dividends to shareholders of $16.7 billion; the purchase of ExxonMobil stock of $19.6 billion; debt repayment of $5.9 billion; additional investments and advances of $3.3 billion; and an increase in working capital of $1.8 billion.</w:t>
      </w:r>
    </w:p>
    <w:p>
      <w:pPr>
        <w:spacing w:after="0" w:line="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cash and cash equivalents were $31.6 billion at the end of 2023, up $1.9 billion from the prior year. The major sources of funds in 2023 were net income including noncontrolling interests of $37.4 billion, the adjustment for the noncash provision of $20.6 billion for depreciation and depletion, proceeds from asset sales of $4.1 billion, and other investing activities of $1.6 billion. The major uses of funds included spending for additions to property, plant and equipment of $21.9 billion; dividends to shareholders of $14.9 billion; the purchase of ExxonMobil stock of $17.7 billion; additional investments and advances of $3.0 billion; and a change in working capital of $4.3 billion.</w:t>
      </w:r>
    </w:p>
    <w:p>
      <w:pPr>
        <w:spacing w:after="0" w:line="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Corporation has access to significant capacity of long-term and short-term liquidity. Internally generated funds are expected to cover the majority of financial requirements, supplemented by long-term and short-term debt. On December 31, 2024, the Corporation had undrawn short-term committed lines of credit of $0.2 billion and undrawn long-term lines of credit of $1.3 billion.</w:t>
      </w:r>
    </w:p>
    <w:p>
      <w:pPr>
        <w:spacing w:after="0" w:line="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support cash flows in future periods, the Corporation will need to continually find or acquire and develop new fields, and continue to develop and apply new technologies and recovery processes to existing fields, in order to maintain or increase production. After a period of production at plateau rates, it is the nature of oil and gas fields to eventually produce at declining rates for the remainder of their economic life. Decline rates can vary widely by individual field due to a number of factors, including, but not limited to, the type of reservoir, fluid properties, recovery mechanisms, work activity, and age of the field. In particular, the Corporation’s key tight-oil plays have higher initial decline rates which tend to moderate over time. Furthermore, the Corporation’s net interest in production for individual fields can vary with price and the impact of fiscal and commercial terms.</w:t>
      </w:r>
    </w:p>
    <w:p>
      <w:pPr>
        <w:spacing w:after="0" w:line="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Corporation has long been successful at mitigating the effects of natural field decline through disciplined investments in quality opportunities and project execution. The Corporation anticipates several projects will come online over the next few years providing additional production capacity. However, actual volumes will vary from year to year due to the timing of individual project start-ups; operational outages; reservoir performance; regulatory changes; the impact of fiscal and commercial terms; asset sales; weather events; price effects on production sharing contracts; changes in the amount and timing of investments that may vary depending on the oil and gas price environment; and international trade patterns and relations. The Corporation’s cash flows are also highly dependent on crude oil and natural gas prices. Please refer to </w:t>
      </w:r>
      <w:r>
        <w:rPr>
          <w:rFonts w:ascii="Times New Roman" w:cs="Times New Roman" w:eastAsia="Times New Roman" w:hAnsi="Times New Roman"/>
          <w:sz w:val="18"/>
          <w:szCs w:val="18"/>
          <w:color w:val="0000FF"/>
        </w:rPr>
        <w:t>Item 1A</w:t>
      </w:r>
      <w:r>
        <w:rPr>
          <w:rFonts w:ascii="Times New Roman" w:cs="Times New Roman" w:eastAsia="Times New Roman" w:hAnsi="Times New Roman"/>
          <w:sz w:val="18"/>
          <w:szCs w:val="18"/>
          <w:color w:val="auto"/>
        </w:rPr>
        <w:t xml:space="preserve"> for a more complete discussion of risks.</w:t>
      </w:r>
    </w:p>
    <w:p>
      <w:pPr>
        <w:spacing w:after="0" w:line="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Corporation’s financial strength enables it to make large, long-term capital expenditures. Cash Capex in 2024 was $25.6 billion, reflecting the Corporation’s continued active investment program, and includes plans to invest in the range of $27 billion to $29 billion in 2025 (see the </w:t>
      </w:r>
      <w:r>
        <w:rPr>
          <w:rFonts w:ascii="Times New Roman" w:cs="Times New Roman" w:eastAsia="Times New Roman" w:hAnsi="Times New Roman"/>
          <w:sz w:val="18"/>
          <w:szCs w:val="18"/>
          <w:color w:val="0000FF"/>
        </w:rPr>
        <w:t>Cash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 xml:space="preserve">Expenditures </w:t>
      </w:r>
      <w:r>
        <w:rPr>
          <w:rFonts w:ascii="Times New Roman" w:cs="Times New Roman" w:eastAsia="Times New Roman" w:hAnsi="Times New Roman"/>
          <w:sz w:val="18"/>
          <w:szCs w:val="18"/>
          <w:color w:val="000000"/>
        </w:rPr>
        <w:t>section for more details).</w:t>
      </w:r>
    </w:p>
    <w:p>
      <w:pPr>
        <w:spacing w:after="0" w:line="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Actual spending could vary depending on the progress of individual projects and property acquisitions. The Corporation has a large and diverse portfolio of development projects and exploration opportunities, which helps mitigate the overall political and technical risks of the Corporation’s Upstream segment and associated cash flow. Further, due to its financial strength and diverse portfolio of opportunities, the risk associated with failure or delay of any single project would not have a significant impact on the Corporation’s liquidity or ability to generate sufficient cash flows for operations and its fixed commitments.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1"/>
          <w:szCs w:val="21"/>
          <w:b w:val="1"/>
          <w:bCs w:val="1"/>
          <w:color w:val="0C479D"/>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Corporation, as part of its ongoing asset management program, continues to evaluate its mix of assets for potential upgrade. Because of the ongoing nature of this program, dispositions will continue to be made from time to time which will result in either gains or losses. Additionally, the Corporation continues to evaluate opportunities to enhance its business portfolio through acquisitions of assets or companies, and enters into such transactions from time to time. Key criteria for evaluating acquisitions include strategic fit, cost and other synergies, potential for future growth, low cost of supply, and attractive valuations. Acquisitions may be made with cash, shares of the Corporation’s common stock, or both.</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479D"/>
        </w:rPr>
        <w:t>Cash Flow from Operating Activities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provided by operating activities totaled $55.0 billion in 2024, $0.3 billion lower than 2023. The major source of funds was net income including noncontrolling interests of $35.1 billion, a decrease of $2.3 billion. The noncash provision for depreciation and depletion was $23.4 billion, up $2.8 billion from the prior year. The adjustment for the net gain on asset sales was $1.2 billion, an increase of $0.7 billion. The adjustment for dividends received less than equity in current earnings of equity companies was an increase of $0.2 billion, compared to an increase of $0.5 billion in 2023. Changes in operational working capital, excluding cash and debt, decreased cash in 2024 by $1.8 billion.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provided by operating activities totaled $55.4 billion in 2023, $21.4 billion lower than 2022. The major source of funds was net income including noncontrolling interests of $37.4 billion, a decrease of $20.2 billion. The noncash provision for depreciation and depletion was $20.6 billion, down $3.4 billion from the prior year. The adjustment for the net gain on asset sales was $0.5 billion, a decrease of $0.5 billion. The adjustment for dividends received less than equity in current earnings of equity companies was an increase of $0.5 billion, compared to a reduction of $2.4 billion in 2022. Changes in operational working capital, excluding cash and debt, decreased cash in 2023 by $4.3 billion.</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479D"/>
        </w:rPr>
        <w:t>Cash Flow from Investing Activities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netted to $19.9 billion in 2024, $0.7 billion higher than 2023. Spending for property, plant and equipment of $24.3 billion increased $2.4 billion from 2023. Proceeds from asset sales and returns of investments of $5.0 billion compared to $4.1 billion in 2023. Additional investments and advances were $0.3 billion higher in 2024, while proceeds from other investing activities including collection of advances increased by $0.4 billion.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netted to $19.3 billion in 2023, $4.5 billion higher than 2022. Spending for property, plant and equipment of $21.9 billion increased $3.5 billion from 2022. Proceeds from asset sales and returns of investments of $4.1 billion compared to $5.2 billion in 2022. Additional investments and advances were $0.1 billion lower in 2023, while proceeds from other investing activities including collection of advances increased by $0.1 billion.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21"/>
          <w:szCs w:val="21"/>
          <w:b w:val="1"/>
          <w:bCs w:val="1"/>
          <w:color w:val="0C479D"/>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479D"/>
        </w:rPr>
        <w:t>Cash Flow from Financing Activities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was $42.8 billion in 2024, $8.5 billion higher than 2023. Dividend payments on common shares increased to $3.84 per share from $3.68 per share and totaled $16.7 billion. During 2024, the Corporation utilized cash to repay debt of $5.9 billion.</w:t>
      </w:r>
    </w:p>
    <w:p>
      <w:pPr>
        <w:spacing w:after="0" w:line="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2024, the Corporation continued its share repurchase program, including the purchase of 167 million shares at a book value of $19.1 billion in 2024. In its 2024 Corporate Plan Update released December 11, 2024, the Corporation stated that it is expected to continue its share repurchase program with a $20 billion repurchase pace per year through 2026, assuming reasonable market conditions. The stock repurchase program does not obligate the Company to acquire any particular amount of common stock, and it may be discontinued or resumed at any time. The timing and amount of shares actually purchased in the future will depend on market, business, and other factors.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was $34.3 billion in 2023, $4.8 billion lower than 2022. Dividend payments on common shares increased to $3.68 per share from $3.55 per share and totaled $14.9 billion.</w:t>
      </w:r>
    </w:p>
    <w:p>
      <w:pPr>
        <w:spacing w:after="0" w:line="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2023, the Corporation continued its share repurchase program for up to $50 billion in shares through 2024, including the purchase of 162 million shares at a book value of $17.5 billion in 2023.</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479D"/>
        </w:rPr>
        <w:t>Contractual Obligations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Corporation has contractual obligations involving commitments to third parties that impact its liquidity and capital resource needs. These contractual obligations are primarily for leases, debt, asset retirement obligations, pension and other postretirement benefits, take-or-pay and unconditional purchase obligations, and firm capital commitments. See Notes </w:t>
      </w:r>
      <w:r>
        <w:rPr>
          <w:rFonts w:ascii="Times New Roman" w:cs="Times New Roman" w:eastAsia="Times New Roman" w:hAnsi="Times New Roman"/>
          <w:sz w:val="18"/>
          <w:szCs w:val="18"/>
          <w:color w:val="0000FF"/>
        </w:rPr>
        <w:t>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14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0000FF"/>
        </w:rPr>
        <w:t>17</w:t>
      </w:r>
      <w:r>
        <w:rPr>
          <w:rFonts w:ascii="Times New Roman" w:cs="Times New Roman" w:eastAsia="Times New Roman" w:hAnsi="Times New Roman"/>
          <w:sz w:val="18"/>
          <w:szCs w:val="18"/>
          <w:color w:val="auto"/>
        </w:rPr>
        <w:t xml:space="preserve"> for information related to asset retirement obligations, leases, long-term debt and pensions, respectively.</w:t>
      </w:r>
    </w:p>
    <w:p>
      <w:pPr>
        <w:spacing w:after="0" w:line="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Corporation also enters into commodity purchase obligations (volumetric commitments but no fixed or minimum price) which are resold shortly after purchase, either in an active, highly liquid market or under long-term, unconditional sales contracts with similar pricing terms. Examples include long-term, noncancelable LNG and natural gas purchase commitments and commitments to purchase refinery products at market prices. These commitments are not meaningful in assessing liquidity and cash flow, because the purchases will be offset in the same periods by cash received from the related sales transactions.</w:t>
      </w:r>
    </w:p>
    <w:p>
      <w:pPr>
        <w:spacing w:after="0" w:line="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Take-or-pay obligations are noncancelable, long-term commitments for goods and services. Unconditional purchase obligations are those long-term commitments that are noncancelable or cancelable only under certain conditions, and that third parties have used to secure financing for the facilities that will provide the contracted goods or services. These obligations mainly pertain to pipeline, manufacturing supply and terminal agreements. The total obligation at year-end 2024 for take-or-pay and unconditional purchase obligations was $49.9 billion. Cash payments expected in 2025 and 2026 are $5.5 billion and $6.3 billion, respectively.</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479D"/>
        </w:rPr>
        <w:t>Guarantees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Corporation and certain of its consolidated subsidiaries were contingently liable at December 31, 2024 for guarantees relating to notes, loans and performance under contracts (</w:t>
      </w:r>
      <w:r>
        <w:rPr>
          <w:rFonts w:ascii="Times New Roman" w:cs="Times New Roman" w:eastAsia="Times New Roman" w:hAnsi="Times New Roman"/>
          <w:sz w:val="18"/>
          <w:szCs w:val="18"/>
          <w:color w:val="0000FF"/>
        </w:rPr>
        <w:t>Note 16</w:t>
      </w:r>
      <w:r>
        <w:rPr>
          <w:rFonts w:ascii="Times New Roman" w:cs="Times New Roman" w:eastAsia="Times New Roman" w:hAnsi="Times New Roman"/>
          <w:sz w:val="18"/>
          <w:szCs w:val="18"/>
          <w:color w:val="auto"/>
        </w:rPr>
        <w:t>). Where guarantees for environmental remediation and other similar matters do not include a stated cap, the amounts reflect management’s estimate of the maximum potential exposure. Where it is not possible to make a reasonable estimation of the maximum potential amount of future payments, future performance is expected to be either immaterial or have only a remote chance of occurrence. Guarantees are not reasonably likely to have a material effect on the Corporation’s financial condition, changes in financial condition, revenues or expenses, results of operations, liquidity, capital expenditures or capital resources.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21"/>
          <w:szCs w:val="21"/>
          <w:b w:val="1"/>
          <w:bCs w:val="1"/>
          <w:color w:val="0C479D"/>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479D"/>
        </w:rPr>
        <w:t>Financial Strength</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December 31, 2024, the Corporation had total unused short-term committed lines of credit of $0.2 billion (</w:t>
      </w:r>
      <w:r>
        <w:rPr>
          <w:rFonts w:ascii="Times New Roman" w:cs="Times New Roman" w:eastAsia="Times New Roman" w:hAnsi="Times New Roman"/>
          <w:sz w:val="18"/>
          <w:szCs w:val="18"/>
          <w:color w:val="0000FF"/>
        </w:rPr>
        <w:t>Note 6</w:t>
      </w:r>
      <w:r>
        <w:rPr>
          <w:rFonts w:ascii="Times New Roman" w:cs="Times New Roman" w:eastAsia="Times New Roman" w:hAnsi="Times New Roman"/>
          <w:sz w:val="18"/>
          <w:szCs w:val="18"/>
          <w:color w:val="auto"/>
        </w:rPr>
        <w:t>) and total unused long-term committed lines of credit of $1.3 billion (</w:t>
      </w:r>
      <w:r>
        <w:rPr>
          <w:rFonts w:ascii="Times New Roman" w:cs="Times New Roman" w:eastAsia="Times New Roman" w:hAnsi="Times New Roman"/>
          <w:sz w:val="18"/>
          <w:szCs w:val="18"/>
          <w:color w:val="0000FF"/>
        </w:rPr>
        <w:t>Note 14</w:t>
      </w:r>
      <w:r>
        <w:rPr>
          <w:rFonts w:ascii="Times New Roman" w:cs="Times New Roman" w:eastAsia="Times New Roman" w:hAnsi="Times New Roman"/>
          <w:sz w:val="18"/>
          <w:szCs w:val="18"/>
          <w:color w:val="auto"/>
        </w:rPr>
        <w:t>). The table below shows the Corporation’s consolidated debt to capital ratios.</w:t>
      </w:r>
    </w:p>
    <w:p>
      <w:pPr>
        <w:spacing w:after="0" w:line="85" w:lineRule="exact"/>
        <w:rPr>
          <w:sz w:val="20"/>
          <w:szCs w:val="20"/>
          <w:color w:val="auto"/>
        </w:rPr>
      </w:pPr>
    </w:p>
    <w:tbl>
      <w:tblPr>
        <w:tblLayout w:type="fixed"/>
        <w:tblInd w:w="780" w:type="dxa"/>
        <w:tblCellMar>
          <w:top w:w="0" w:type="dxa"/>
          <w:left w:w="0" w:type="dxa"/>
          <w:bottom w:w="0" w:type="dxa"/>
          <w:right w:w="0" w:type="dxa"/>
        </w:tblCellMar>
      </w:tblPr>
      <w:tr>
        <w:trPr>
          <w:trHeight w:val="250"/>
        </w:trPr>
        <w:tc>
          <w:tcPr>
            <w:tcW w:w="6620" w:type="dxa"/>
            <w:vAlign w:val="bottom"/>
            <w:tcBorders>
              <w:bottom w:val="single" w:sz="8" w:color="0C479D"/>
            </w:tcBorders>
            <w:shd w:val="clear" w:color="auto" w:fill="0C479D"/>
          </w:tcPr>
          <w:p>
            <w:pPr>
              <w:ind w:left="40"/>
              <w:spacing w:after="0"/>
              <w:rPr>
                <w:sz w:val="20"/>
                <w:szCs w:val="20"/>
                <w:color w:val="auto"/>
              </w:rPr>
            </w:pPr>
            <w:r>
              <w:rPr>
                <w:rFonts w:ascii="Times New Roman" w:cs="Times New Roman" w:eastAsia="Times New Roman" w:hAnsi="Times New Roman"/>
                <w:sz w:val="14"/>
                <w:szCs w:val="14"/>
                <w:i w:val="1"/>
                <w:iCs w:val="1"/>
                <w:color w:val="FFFFFF"/>
              </w:rPr>
              <w:t>(percent)</w:t>
            </w:r>
          </w:p>
        </w:tc>
        <w:tc>
          <w:tcPr>
            <w:tcW w:w="960" w:type="dxa"/>
            <w:vAlign w:val="bottom"/>
            <w:tcBorders>
              <w:bottom w:val="single" w:sz="8" w:color="0C479D"/>
            </w:tcBorders>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1400" w:type="dxa"/>
            <w:vAlign w:val="bottom"/>
            <w:tcBorders>
              <w:bottom w:val="single" w:sz="8" w:color="0C479D"/>
            </w:tcBorders>
            <w:shd w:val="clear" w:color="auto" w:fill="0C479D"/>
          </w:tcPr>
          <w:p>
            <w:pPr>
              <w:jc w:val="right"/>
              <w:ind w:right="276"/>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720" w:type="dxa"/>
            <w:vAlign w:val="bottom"/>
            <w:tcBorders>
              <w:bottom w:val="single" w:sz="8" w:color="0C479D"/>
            </w:tcBorders>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2022</w:t>
            </w:r>
          </w:p>
        </w:tc>
      </w:tr>
      <w:tr>
        <w:trPr>
          <w:trHeight w:val="27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Debt to capital</w:t>
            </w:r>
          </w:p>
        </w:tc>
        <w:tc>
          <w:tcPr>
            <w:tcW w:w="9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40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16.4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63"/>
        </w:trPr>
        <w:tc>
          <w:tcPr>
            <w:tcW w:w="662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color w:val="auto"/>
              </w:rPr>
              <w:t xml:space="preserve">Net debt to capital </w:t>
            </w:r>
            <w:r>
              <w:rPr>
                <w:rFonts w:ascii="Times New Roman" w:cs="Times New Roman" w:eastAsia="Times New Roman" w:hAnsi="Times New Roman"/>
                <w:sz w:val="9"/>
                <w:szCs w:val="9"/>
                <w:i w:val="1"/>
                <w:iCs w:val="1"/>
                <w:color w:val="auto"/>
              </w:rPr>
              <w:t>(1)</w:t>
            </w:r>
          </w:p>
        </w:tc>
        <w:tc>
          <w:tcPr>
            <w:tcW w:w="9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0" w:type="dxa"/>
            <w:vAlign w:val="bottom"/>
            <w:tcBorders>
              <w:bottom w:val="single" w:sz="8" w:color="0C479D"/>
            </w:tcBorders>
          </w:tcPr>
          <w:p>
            <w:pPr>
              <w:jc w:val="right"/>
              <w:ind w:right="276"/>
              <w:spacing w:after="0"/>
              <w:rPr>
                <w:sz w:val="20"/>
                <w:szCs w:val="20"/>
                <w:color w:val="auto"/>
              </w:rPr>
            </w:pPr>
            <w:r>
              <w:rPr>
                <w:rFonts w:ascii="Times New Roman" w:cs="Times New Roman" w:eastAsia="Times New Roman" w:hAnsi="Times New Roman"/>
                <w:sz w:val="18"/>
                <w:szCs w:val="18"/>
                <w:color w:val="auto"/>
              </w:rPr>
              <w:t>4.5</w:t>
            </w:r>
          </w:p>
        </w:tc>
        <w:tc>
          <w:tcPr>
            <w:tcW w:w="7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r>
    </w:tbl>
    <w:p>
      <w:pPr>
        <w:spacing w:after="0" w:line="83" w:lineRule="exact"/>
        <w:rPr>
          <w:sz w:val="20"/>
          <w:szCs w:val="20"/>
          <w:color w:val="auto"/>
        </w:rPr>
      </w:pPr>
    </w:p>
    <w:p>
      <w:pPr>
        <w:ind w:left="780" w:right="780" w:firstLine="9"/>
        <w:spacing w:after="0" w:line="251" w:lineRule="auto"/>
        <w:tabs>
          <w:tab w:leader="none" w:pos="928" w:val="left"/>
        </w:tabs>
        <w:numPr>
          <w:ilvl w:val="0"/>
          <w:numId w:val="40"/>
        </w:numPr>
        <w:rPr>
          <w:rFonts w:ascii="Times New Roman" w:cs="Times New Roman" w:eastAsia="Times New Roman" w:hAnsi="Times New Roman"/>
          <w:sz w:val="17"/>
          <w:szCs w:val="17"/>
          <w:i w:val="1"/>
          <w:iCs w:val="1"/>
          <w:color w:val="auto"/>
          <w:vertAlign w:val="superscript"/>
        </w:rPr>
      </w:pPr>
      <w:r>
        <w:rPr>
          <w:rFonts w:ascii="Times New Roman" w:cs="Times New Roman" w:eastAsia="Times New Roman" w:hAnsi="Times New Roman"/>
          <w:sz w:val="13"/>
          <w:szCs w:val="13"/>
          <w:i w:val="1"/>
          <w:iCs w:val="1"/>
          <w:color w:val="auto"/>
        </w:rPr>
        <w:t>Net debt is total debt less cash and cash equivalents excluding restricted cash. Net debt to capital ratio is net debt divided by net debt plus total equity. Total debt is the sum of notes and loans payable and long-term debt, as reported in the Consolidated Balance Sheet.</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views the Corporation’s financial strength to be a competitive advantage of strategic importance. The Corporation’s financial position gives it the opportunity to access the world’s capital markets across a range of market conditions, and enables the Corporation to take on large, long-term capital commitments in the pursuit of maximizing shareholder value.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Corporation's total debt level remained relatively flat in 2024, ending the year at $41.7 billion.</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479D"/>
        </w:rPr>
        <w:t>Litigation and Other Contingencies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color w:val="0000FF"/>
        </w:rPr>
        <w:t>Note 16</w:t>
      </w:r>
      <w:r>
        <w:rPr>
          <w:rFonts w:ascii="Times New Roman" w:cs="Times New Roman" w:eastAsia="Times New Roman" w:hAnsi="Times New Roman"/>
          <w:sz w:val="18"/>
          <w:szCs w:val="18"/>
          <w:color w:val="auto"/>
        </w:rPr>
        <w:t xml:space="preserve">, a variety of claims have been made against ExxonMobil and certain of its consolidated subsidiaries in a number of pending lawsuits. Based on a consideration of all relevant facts and circumstances, the Corporation does not believe the ultimate outcome of any currently pending lawsuit against ExxonMobil will have a material adverse effect upon the Corporation’s operations, financial condition, or financial statements taken as a whole. There are no events or uncertainties beyond those already included in reported financial information that would indicate a material change in future operating results or financial condition. Refer to </w:t>
      </w:r>
      <w:r>
        <w:rPr>
          <w:rFonts w:ascii="Times New Roman" w:cs="Times New Roman" w:eastAsia="Times New Roman" w:hAnsi="Times New Roman"/>
          <w:sz w:val="18"/>
          <w:szCs w:val="18"/>
          <w:color w:val="0000FF"/>
        </w:rPr>
        <w:t>Note 16</w:t>
      </w:r>
      <w:r>
        <w:rPr>
          <w:rFonts w:ascii="Times New Roman" w:cs="Times New Roman" w:eastAsia="Times New Roman" w:hAnsi="Times New Roman"/>
          <w:sz w:val="18"/>
          <w:szCs w:val="18"/>
          <w:color w:val="auto"/>
        </w:rPr>
        <w:t xml:space="preserve"> for additional information on legal proceedings and other contingencies.</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C479D"/>
        </w:rPr>
        <w:t>CAPITAL AND EXPLORATION EXPENDITURES</w:t>
      </w:r>
    </w:p>
    <w:p>
      <w:pPr>
        <w:spacing w:after="0" w:line="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Capital and exploration expenditures (Capex) represents the combined total of additions at cost to property, plant and equipment, and exploration expenses on a before-tax basis from the Consolidated Statement of Income. ExxonMobil’s Capex includes its share of similar costs for equity companies. Capex excludes assets acquired in nonmonetary exchanges, the value of ExxonMobil shares used to acquire assets, and depreciation on the cost of exploration support equipment and facilities recorded to property, plant and equipment when acquired. While ExxonMobil’s management is responsible for all investments and elements of net income, particular focus is placed on managing the controllable aspects of this group of expenditures.</w:t>
      </w:r>
    </w:p>
    <w:p>
      <w:pPr>
        <w:spacing w:after="0" w:line="94" w:lineRule="exact"/>
        <w:rPr>
          <w:sz w:val="20"/>
          <w:szCs w:val="20"/>
          <w:color w:val="auto"/>
        </w:rPr>
      </w:pPr>
    </w:p>
    <w:tbl>
      <w:tblPr>
        <w:tblLayout w:type="fixed"/>
        <w:tblInd w:w="780" w:type="dxa"/>
        <w:tblCellMar>
          <w:top w:w="0" w:type="dxa"/>
          <w:left w:w="0" w:type="dxa"/>
          <w:bottom w:w="0" w:type="dxa"/>
          <w:right w:w="0" w:type="dxa"/>
        </w:tblCellMar>
      </w:tblPr>
      <w:tr>
        <w:trPr>
          <w:trHeight w:val="210"/>
        </w:trPr>
        <w:tc>
          <w:tcPr>
            <w:tcW w:w="3540" w:type="dxa"/>
            <w:vAlign w:val="bottom"/>
            <w:vMerge w:val="restart"/>
            <w:shd w:val="clear" w:color="auto" w:fill="0C479D"/>
          </w:tcPr>
          <w:p>
            <w:pPr>
              <w:ind w:left="20"/>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880" w:type="dxa"/>
            <w:vAlign w:val="bottom"/>
            <w:shd w:val="clear" w:color="auto" w:fill="0C479D"/>
          </w:tcPr>
          <w:p>
            <w:pPr>
              <w:spacing w:after="0"/>
              <w:rPr>
                <w:sz w:val="18"/>
                <w:szCs w:val="18"/>
                <w:color w:val="auto"/>
              </w:rPr>
            </w:pPr>
          </w:p>
        </w:tc>
        <w:tc>
          <w:tcPr>
            <w:tcW w:w="1040" w:type="dxa"/>
            <w:vAlign w:val="bottom"/>
            <w:gridSpan w:val="2"/>
            <w:shd w:val="clear" w:color="auto" w:fill="0C479D"/>
          </w:tcPr>
          <w:p>
            <w:pPr>
              <w:jc w:val="right"/>
              <w:ind w:right="174"/>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40" w:type="dxa"/>
            <w:vAlign w:val="bottom"/>
            <w:shd w:val="clear" w:color="auto" w:fill="0C479D"/>
          </w:tcPr>
          <w:p>
            <w:pPr>
              <w:spacing w:after="0"/>
              <w:rPr>
                <w:sz w:val="18"/>
                <w:szCs w:val="18"/>
                <w:color w:val="auto"/>
              </w:rPr>
            </w:pPr>
          </w:p>
        </w:tc>
        <w:tc>
          <w:tcPr>
            <w:tcW w:w="1040" w:type="dxa"/>
            <w:vAlign w:val="bottom"/>
            <w:shd w:val="clear" w:color="auto" w:fill="0C479D"/>
          </w:tcPr>
          <w:p>
            <w:pPr>
              <w:spacing w:after="0"/>
              <w:rPr>
                <w:sz w:val="18"/>
                <w:szCs w:val="18"/>
                <w:color w:val="auto"/>
              </w:rPr>
            </w:pPr>
          </w:p>
        </w:tc>
        <w:tc>
          <w:tcPr>
            <w:tcW w:w="1160" w:type="dxa"/>
            <w:vAlign w:val="bottom"/>
            <w:shd w:val="clear" w:color="auto" w:fill="0C479D"/>
          </w:tcPr>
          <w:p>
            <w:pPr>
              <w:spacing w:after="0"/>
              <w:rPr>
                <w:sz w:val="18"/>
                <w:szCs w:val="18"/>
                <w:color w:val="auto"/>
              </w:rPr>
            </w:pPr>
          </w:p>
        </w:tc>
        <w:tc>
          <w:tcPr>
            <w:tcW w:w="1100" w:type="dxa"/>
            <w:vAlign w:val="bottom"/>
            <w:shd w:val="clear" w:color="auto" w:fill="0C479D"/>
          </w:tcPr>
          <w:p>
            <w:pPr>
              <w:jc w:val="right"/>
              <w:ind w:right="395"/>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900" w:type="dxa"/>
            <w:vAlign w:val="bottom"/>
            <w:shd w:val="clear" w:color="auto" w:fill="0C479D"/>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3540" w:type="dxa"/>
            <w:vAlign w:val="bottom"/>
            <w:vMerge w:val="continue"/>
            <w:shd w:val="clear" w:color="auto" w:fill="0C479D"/>
          </w:tcPr>
          <w:p>
            <w:pPr>
              <w:spacing w:after="0"/>
              <w:rPr>
                <w:sz w:val="11"/>
                <w:szCs w:val="11"/>
                <w:color w:val="auto"/>
              </w:rPr>
            </w:pPr>
          </w:p>
        </w:tc>
        <w:tc>
          <w:tcPr>
            <w:tcW w:w="880" w:type="dxa"/>
            <w:vAlign w:val="bottom"/>
            <w:vMerge w:val="restart"/>
            <w:shd w:val="clear" w:color="auto" w:fill="0C479D"/>
          </w:tcPr>
          <w:p>
            <w:pPr>
              <w:jc w:val="right"/>
              <w:ind w:right="193"/>
              <w:spacing w:after="0"/>
              <w:rPr>
                <w:sz w:val="20"/>
                <w:szCs w:val="20"/>
                <w:color w:val="auto"/>
              </w:rPr>
            </w:pPr>
            <w:r>
              <w:rPr>
                <w:rFonts w:ascii="Times New Roman" w:cs="Times New Roman" w:eastAsia="Times New Roman" w:hAnsi="Times New Roman"/>
                <w:sz w:val="14"/>
                <w:szCs w:val="14"/>
                <w:b w:val="1"/>
                <w:bCs w:val="1"/>
                <w:color w:val="FFFFFF"/>
              </w:rPr>
              <w:t>U.S.</w:t>
            </w:r>
          </w:p>
        </w:tc>
        <w:tc>
          <w:tcPr>
            <w:tcW w:w="160" w:type="dxa"/>
            <w:vAlign w:val="bottom"/>
            <w:shd w:val="clear" w:color="auto" w:fill="0C479D"/>
          </w:tcPr>
          <w:p>
            <w:pPr>
              <w:spacing w:after="0"/>
              <w:rPr>
                <w:sz w:val="11"/>
                <w:szCs w:val="11"/>
                <w:color w:val="auto"/>
              </w:rPr>
            </w:pPr>
          </w:p>
        </w:tc>
        <w:tc>
          <w:tcPr>
            <w:tcW w:w="880" w:type="dxa"/>
            <w:vAlign w:val="bottom"/>
            <w:vMerge w:val="restart"/>
            <w:shd w:val="clear" w:color="auto" w:fill="0C479D"/>
          </w:tcPr>
          <w:p>
            <w:pPr>
              <w:jc w:val="right"/>
              <w:ind w:right="54"/>
              <w:spacing w:after="0"/>
              <w:rPr>
                <w:sz w:val="20"/>
                <w:szCs w:val="20"/>
                <w:color w:val="auto"/>
              </w:rPr>
            </w:pPr>
            <w:r>
              <w:rPr>
                <w:rFonts w:ascii="Times New Roman" w:cs="Times New Roman" w:eastAsia="Times New Roman" w:hAnsi="Times New Roman"/>
                <w:sz w:val="14"/>
                <w:szCs w:val="14"/>
                <w:b w:val="1"/>
                <w:bCs w:val="1"/>
                <w:color w:val="FFFFFF"/>
              </w:rPr>
              <w:t>Non-U.S.</w:t>
            </w:r>
          </w:p>
        </w:tc>
        <w:tc>
          <w:tcPr>
            <w:tcW w:w="40" w:type="dxa"/>
            <w:vAlign w:val="bottom"/>
            <w:shd w:val="clear" w:color="auto" w:fill="0C479D"/>
          </w:tcPr>
          <w:p>
            <w:pPr>
              <w:spacing w:after="0"/>
              <w:rPr>
                <w:sz w:val="11"/>
                <w:szCs w:val="11"/>
                <w:color w:val="auto"/>
              </w:rPr>
            </w:pPr>
          </w:p>
        </w:tc>
        <w:tc>
          <w:tcPr>
            <w:tcW w:w="1040" w:type="dxa"/>
            <w:vAlign w:val="bottom"/>
            <w:vMerge w:val="restart"/>
            <w:shd w:val="clear" w:color="auto" w:fill="0C479D"/>
          </w:tcPr>
          <w:p>
            <w:pPr>
              <w:jc w:val="right"/>
              <w:ind w:right="216"/>
              <w:spacing w:after="0"/>
              <w:rPr>
                <w:sz w:val="20"/>
                <w:szCs w:val="20"/>
                <w:color w:val="auto"/>
              </w:rPr>
            </w:pPr>
            <w:r>
              <w:rPr>
                <w:rFonts w:ascii="Times New Roman" w:cs="Times New Roman" w:eastAsia="Times New Roman" w:hAnsi="Times New Roman"/>
                <w:sz w:val="14"/>
                <w:szCs w:val="14"/>
                <w:b w:val="1"/>
                <w:bCs w:val="1"/>
                <w:color w:val="FFFFFF"/>
              </w:rPr>
              <w:t>Total</w:t>
            </w:r>
          </w:p>
        </w:tc>
        <w:tc>
          <w:tcPr>
            <w:tcW w:w="1160" w:type="dxa"/>
            <w:vAlign w:val="bottom"/>
            <w:vMerge w:val="restart"/>
            <w:shd w:val="clear" w:color="auto" w:fill="0C479D"/>
          </w:tcPr>
          <w:p>
            <w:pPr>
              <w:jc w:val="right"/>
              <w:ind w:right="353"/>
              <w:spacing w:after="0"/>
              <w:rPr>
                <w:sz w:val="20"/>
                <w:szCs w:val="20"/>
                <w:color w:val="auto"/>
              </w:rPr>
            </w:pPr>
            <w:r>
              <w:rPr>
                <w:rFonts w:ascii="Times New Roman" w:cs="Times New Roman" w:eastAsia="Times New Roman" w:hAnsi="Times New Roman"/>
                <w:sz w:val="14"/>
                <w:szCs w:val="14"/>
                <w:b w:val="1"/>
                <w:bCs w:val="1"/>
                <w:color w:val="FFFFFF"/>
              </w:rPr>
              <w:t>U.S.</w:t>
            </w:r>
          </w:p>
        </w:tc>
        <w:tc>
          <w:tcPr>
            <w:tcW w:w="1100" w:type="dxa"/>
            <w:vAlign w:val="bottom"/>
            <w:vMerge w:val="restart"/>
            <w:shd w:val="clear" w:color="auto" w:fill="0C479D"/>
          </w:tcPr>
          <w:p>
            <w:pPr>
              <w:jc w:val="right"/>
              <w:ind w:right="255"/>
              <w:spacing w:after="0"/>
              <w:rPr>
                <w:sz w:val="20"/>
                <w:szCs w:val="20"/>
                <w:color w:val="auto"/>
              </w:rPr>
            </w:pPr>
            <w:r>
              <w:rPr>
                <w:rFonts w:ascii="Times New Roman" w:cs="Times New Roman" w:eastAsia="Times New Roman" w:hAnsi="Times New Roman"/>
                <w:sz w:val="14"/>
                <w:szCs w:val="14"/>
                <w:b w:val="1"/>
                <w:bCs w:val="1"/>
                <w:color w:val="FFFFFF"/>
              </w:rPr>
              <w:t>Non-U.S.</w:t>
            </w:r>
          </w:p>
        </w:tc>
        <w:tc>
          <w:tcPr>
            <w:tcW w:w="900" w:type="dxa"/>
            <w:vAlign w:val="bottom"/>
            <w:vMerge w:val="restart"/>
            <w:shd w:val="clear" w:color="auto" w:fill="0C479D"/>
          </w:tcPr>
          <w:p>
            <w:pPr>
              <w:jc w:val="right"/>
              <w:ind w:right="233"/>
              <w:spacing w:after="0"/>
              <w:rPr>
                <w:sz w:val="20"/>
                <w:szCs w:val="20"/>
                <w:color w:val="auto"/>
              </w:rPr>
            </w:pPr>
            <w:r>
              <w:rPr>
                <w:rFonts w:ascii="Times New Roman" w:cs="Times New Roman" w:eastAsia="Times New Roman" w:hAnsi="Times New Roman"/>
                <w:sz w:val="14"/>
                <w:szCs w:val="14"/>
                <w:b w:val="1"/>
                <w:bCs w:val="1"/>
                <w:color w:val="FFFFFF"/>
              </w:rPr>
              <w:t>Total</w:t>
            </w:r>
          </w:p>
        </w:tc>
        <w:tc>
          <w:tcPr>
            <w:tcW w:w="0" w:type="dxa"/>
            <w:vAlign w:val="bottom"/>
          </w:tcPr>
          <w:p>
            <w:pPr>
              <w:spacing w:after="0"/>
              <w:rPr>
                <w:sz w:val="1"/>
                <w:szCs w:val="1"/>
                <w:color w:val="auto"/>
              </w:rPr>
            </w:pPr>
          </w:p>
        </w:tc>
      </w:tr>
      <w:tr>
        <w:trPr>
          <w:trHeight w:val="135"/>
        </w:trPr>
        <w:tc>
          <w:tcPr>
            <w:tcW w:w="3540" w:type="dxa"/>
            <w:vAlign w:val="bottom"/>
            <w:shd w:val="clear" w:color="auto" w:fill="0C479D"/>
          </w:tcPr>
          <w:p>
            <w:pPr>
              <w:spacing w:after="0"/>
              <w:rPr>
                <w:sz w:val="11"/>
                <w:szCs w:val="11"/>
                <w:color w:val="auto"/>
              </w:rPr>
            </w:pPr>
          </w:p>
        </w:tc>
        <w:tc>
          <w:tcPr>
            <w:tcW w:w="880" w:type="dxa"/>
            <w:vAlign w:val="bottom"/>
            <w:vMerge w:val="continue"/>
            <w:shd w:val="clear" w:color="auto" w:fill="0C479D"/>
          </w:tcPr>
          <w:p>
            <w:pPr>
              <w:spacing w:after="0"/>
              <w:rPr>
                <w:sz w:val="11"/>
                <w:szCs w:val="11"/>
                <w:color w:val="auto"/>
              </w:rPr>
            </w:pPr>
          </w:p>
        </w:tc>
        <w:tc>
          <w:tcPr>
            <w:tcW w:w="160" w:type="dxa"/>
            <w:vAlign w:val="bottom"/>
            <w:shd w:val="clear" w:color="auto" w:fill="0C479D"/>
          </w:tcPr>
          <w:p>
            <w:pPr>
              <w:spacing w:after="0"/>
              <w:rPr>
                <w:sz w:val="11"/>
                <w:szCs w:val="11"/>
                <w:color w:val="auto"/>
              </w:rPr>
            </w:pPr>
          </w:p>
        </w:tc>
        <w:tc>
          <w:tcPr>
            <w:tcW w:w="880" w:type="dxa"/>
            <w:vAlign w:val="bottom"/>
            <w:vMerge w:val="continue"/>
            <w:shd w:val="clear" w:color="auto" w:fill="0C479D"/>
          </w:tcPr>
          <w:p>
            <w:pPr>
              <w:spacing w:after="0"/>
              <w:rPr>
                <w:sz w:val="11"/>
                <w:szCs w:val="11"/>
                <w:color w:val="auto"/>
              </w:rPr>
            </w:pPr>
          </w:p>
        </w:tc>
        <w:tc>
          <w:tcPr>
            <w:tcW w:w="40" w:type="dxa"/>
            <w:vAlign w:val="bottom"/>
            <w:shd w:val="clear" w:color="auto" w:fill="0C479D"/>
          </w:tcPr>
          <w:p>
            <w:pPr>
              <w:spacing w:after="0"/>
              <w:rPr>
                <w:sz w:val="11"/>
                <w:szCs w:val="11"/>
                <w:color w:val="auto"/>
              </w:rPr>
            </w:pPr>
          </w:p>
        </w:tc>
        <w:tc>
          <w:tcPr>
            <w:tcW w:w="1040" w:type="dxa"/>
            <w:vAlign w:val="bottom"/>
            <w:vMerge w:val="continue"/>
            <w:shd w:val="clear" w:color="auto" w:fill="0C479D"/>
          </w:tcPr>
          <w:p>
            <w:pPr>
              <w:spacing w:after="0"/>
              <w:rPr>
                <w:sz w:val="11"/>
                <w:szCs w:val="11"/>
                <w:color w:val="auto"/>
              </w:rPr>
            </w:pPr>
          </w:p>
        </w:tc>
        <w:tc>
          <w:tcPr>
            <w:tcW w:w="1160" w:type="dxa"/>
            <w:vAlign w:val="bottom"/>
            <w:vMerge w:val="continue"/>
            <w:shd w:val="clear" w:color="auto" w:fill="0C479D"/>
          </w:tcPr>
          <w:p>
            <w:pPr>
              <w:spacing w:after="0"/>
              <w:rPr>
                <w:sz w:val="11"/>
                <w:szCs w:val="11"/>
                <w:color w:val="auto"/>
              </w:rPr>
            </w:pPr>
          </w:p>
        </w:tc>
        <w:tc>
          <w:tcPr>
            <w:tcW w:w="1100" w:type="dxa"/>
            <w:vAlign w:val="bottom"/>
            <w:vMerge w:val="continue"/>
            <w:shd w:val="clear" w:color="auto" w:fill="0C479D"/>
          </w:tcPr>
          <w:p>
            <w:pPr>
              <w:spacing w:after="0"/>
              <w:rPr>
                <w:sz w:val="11"/>
                <w:szCs w:val="11"/>
                <w:color w:val="auto"/>
              </w:rPr>
            </w:pPr>
          </w:p>
        </w:tc>
        <w:tc>
          <w:tcPr>
            <w:tcW w:w="900" w:type="dxa"/>
            <w:vAlign w:val="bottom"/>
            <w:vMerge w:val="continue"/>
            <w:shd w:val="clear" w:color="auto" w:fill="0C479D"/>
          </w:tcPr>
          <w:p>
            <w:pPr>
              <w:spacing w:after="0"/>
              <w:rPr>
                <w:sz w:val="11"/>
                <w:szCs w:val="11"/>
                <w:color w:val="auto"/>
              </w:rPr>
            </w:pPr>
          </w:p>
        </w:tc>
        <w:tc>
          <w:tcPr>
            <w:tcW w:w="0" w:type="dxa"/>
            <w:vAlign w:val="bottom"/>
          </w:tcPr>
          <w:p>
            <w:pPr>
              <w:spacing w:after="0"/>
              <w:rPr>
                <w:sz w:val="1"/>
                <w:szCs w:val="1"/>
                <w:color w:val="auto"/>
              </w:rPr>
            </w:pPr>
          </w:p>
        </w:tc>
      </w:tr>
      <w:tr>
        <w:trPr>
          <w:trHeight w:val="64"/>
        </w:trPr>
        <w:tc>
          <w:tcPr>
            <w:tcW w:w="3540" w:type="dxa"/>
            <w:vAlign w:val="bottom"/>
            <w:shd w:val="clear" w:color="auto" w:fill="0C479D"/>
          </w:tcPr>
          <w:p>
            <w:pPr>
              <w:spacing w:after="0"/>
              <w:rPr>
                <w:sz w:val="5"/>
                <w:szCs w:val="5"/>
                <w:color w:val="auto"/>
              </w:rPr>
            </w:pPr>
          </w:p>
        </w:tc>
        <w:tc>
          <w:tcPr>
            <w:tcW w:w="880" w:type="dxa"/>
            <w:vAlign w:val="bottom"/>
            <w:shd w:val="clear" w:color="auto" w:fill="0C479D"/>
          </w:tcPr>
          <w:p>
            <w:pPr>
              <w:spacing w:after="0"/>
              <w:rPr>
                <w:sz w:val="5"/>
                <w:szCs w:val="5"/>
                <w:color w:val="auto"/>
              </w:rPr>
            </w:pPr>
          </w:p>
        </w:tc>
        <w:tc>
          <w:tcPr>
            <w:tcW w:w="160" w:type="dxa"/>
            <w:vAlign w:val="bottom"/>
            <w:shd w:val="clear" w:color="auto" w:fill="0C479D"/>
          </w:tcPr>
          <w:p>
            <w:pPr>
              <w:spacing w:after="0"/>
              <w:rPr>
                <w:sz w:val="5"/>
                <w:szCs w:val="5"/>
                <w:color w:val="auto"/>
              </w:rPr>
            </w:pPr>
          </w:p>
        </w:tc>
        <w:tc>
          <w:tcPr>
            <w:tcW w:w="880" w:type="dxa"/>
            <w:vAlign w:val="bottom"/>
            <w:shd w:val="clear" w:color="auto" w:fill="0C479D"/>
          </w:tcPr>
          <w:p>
            <w:pPr>
              <w:spacing w:after="0"/>
              <w:rPr>
                <w:sz w:val="5"/>
                <w:szCs w:val="5"/>
                <w:color w:val="auto"/>
              </w:rPr>
            </w:pPr>
          </w:p>
        </w:tc>
        <w:tc>
          <w:tcPr>
            <w:tcW w:w="40" w:type="dxa"/>
            <w:vAlign w:val="bottom"/>
            <w:shd w:val="clear" w:color="auto" w:fill="0C479D"/>
          </w:tcPr>
          <w:p>
            <w:pPr>
              <w:spacing w:after="0"/>
              <w:rPr>
                <w:sz w:val="5"/>
                <w:szCs w:val="5"/>
                <w:color w:val="auto"/>
              </w:rPr>
            </w:pPr>
          </w:p>
        </w:tc>
        <w:tc>
          <w:tcPr>
            <w:tcW w:w="1040" w:type="dxa"/>
            <w:vAlign w:val="bottom"/>
            <w:shd w:val="clear" w:color="auto" w:fill="0C479D"/>
          </w:tcPr>
          <w:p>
            <w:pPr>
              <w:spacing w:after="0"/>
              <w:rPr>
                <w:sz w:val="5"/>
                <w:szCs w:val="5"/>
                <w:color w:val="auto"/>
              </w:rPr>
            </w:pPr>
          </w:p>
        </w:tc>
        <w:tc>
          <w:tcPr>
            <w:tcW w:w="1160" w:type="dxa"/>
            <w:vAlign w:val="bottom"/>
            <w:shd w:val="clear" w:color="auto" w:fill="0C479D"/>
          </w:tcPr>
          <w:p>
            <w:pPr>
              <w:spacing w:after="0"/>
              <w:rPr>
                <w:sz w:val="5"/>
                <w:szCs w:val="5"/>
                <w:color w:val="auto"/>
              </w:rPr>
            </w:pPr>
          </w:p>
        </w:tc>
        <w:tc>
          <w:tcPr>
            <w:tcW w:w="1100" w:type="dxa"/>
            <w:vAlign w:val="bottom"/>
            <w:shd w:val="clear" w:color="auto" w:fill="0C479D"/>
          </w:tcPr>
          <w:p>
            <w:pPr>
              <w:spacing w:after="0"/>
              <w:rPr>
                <w:sz w:val="5"/>
                <w:szCs w:val="5"/>
                <w:color w:val="auto"/>
              </w:rPr>
            </w:pPr>
          </w:p>
        </w:tc>
        <w:tc>
          <w:tcPr>
            <w:tcW w:w="900" w:type="dxa"/>
            <w:vAlign w:val="bottom"/>
            <w:shd w:val="clear" w:color="auto" w:fill="0C479D"/>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Upstream (including exploration expenses)</w:t>
            </w:r>
          </w:p>
        </w:tc>
        <w:tc>
          <w:tcPr>
            <w:tcW w:w="8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11,252</w:t>
            </w:r>
          </w:p>
        </w:tc>
        <w:tc>
          <w:tcPr>
            <w:tcW w:w="1040" w:type="dxa"/>
            <w:vAlign w:val="bottom"/>
            <w:gridSpan w:val="2"/>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10,596</w:t>
            </w:r>
          </w:p>
        </w:tc>
        <w:tc>
          <w:tcPr>
            <w:tcW w:w="1080" w:type="dxa"/>
            <w:vAlign w:val="bottom"/>
            <w:gridSpan w:val="2"/>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21,848</w:t>
            </w:r>
          </w:p>
        </w:tc>
        <w:tc>
          <w:tcPr>
            <w:tcW w:w="11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8,813</w:t>
            </w:r>
          </w:p>
        </w:tc>
        <w:tc>
          <w:tcPr>
            <w:tcW w:w="11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10,948</w:t>
            </w: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19,761</w:t>
            </w: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Energy Products</w:t>
            </w:r>
          </w:p>
        </w:tc>
        <w:tc>
          <w:tcPr>
            <w:tcW w:w="8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40" w:type="dxa"/>
            <w:vAlign w:val="bottom"/>
            <w:gridSpan w:val="2"/>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080" w:type="dxa"/>
            <w:vAlign w:val="bottom"/>
            <w:gridSpan w:val="2"/>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11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1,195</w:t>
            </w:r>
          </w:p>
        </w:tc>
        <w:tc>
          <w:tcPr>
            <w:tcW w:w="11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1,580</w:t>
            </w: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2,775</w:t>
            </w:r>
          </w:p>
        </w:tc>
        <w:tc>
          <w:tcPr>
            <w:tcW w:w="0" w:type="dxa"/>
            <w:vAlign w:val="bottom"/>
          </w:tcPr>
          <w:p>
            <w:pPr>
              <w:spacing w:after="0"/>
              <w:rPr>
                <w:sz w:val="1"/>
                <w:szCs w:val="1"/>
                <w:color w:val="auto"/>
              </w:rPr>
            </w:pPr>
          </w:p>
        </w:tc>
      </w:tr>
      <w:tr>
        <w:trPr>
          <w:trHeight w:val="27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Chemical Products</w:t>
            </w:r>
          </w:p>
        </w:tc>
        <w:tc>
          <w:tcPr>
            <w:tcW w:w="8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60" w:type="dxa"/>
            <w:vAlign w:val="bottom"/>
            <w:shd w:val="clear" w:color="auto" w:fill="F0F0F0"/>
          </w:tcPr>
          <w:p>
            <w:pPr>
              <w:spacing w:after="0"/>
              <w:rPr>
                <w:sz w:val="23"/>
                <w:szCs w:val="23"/>
                <w:color w:val="auto"/>
              </w:rPr>
            </w:pPr>
          </w:p>
        </w:tc>
        <w:tc>
          <w:tcPr>
            <w:tcW w:w="8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080" w:type="dxa"/>
            <w:vAlign w:val="bottom"/>
            <w:gridSpan w:val="2"/>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11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751</w:t>
            </w:r>
          </w:p>
        </w:tc>
        <w:tc>
          <w:tcPr>
            <w:tcW w:w="11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1,962</w:t>
            </w: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2,713</w:t>
            </w:r>
          </w:p>
        </w:tc>
        <w:tc>
          <w:tcPr>
            <w:tcW w:w="0" w:type="dxa"/>
            <w:vAlign w:val="bottom"/>
          </w:tcPr>
          <w:p>
            <w:pPr>
              <w:spacing w:after="0"/>
              <w:rPr>
                <w:sz w:val="1"/>
                <w:szCs w:val="1"/>
                <w:color w:val="auto"/>
              </w:rPr>
            </w:pPr>
          </w:p>
        </w:tc>
      </w:tr>
      <w:tr>
        <w:trPr>
          <w:trHeight w:val="27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Specialty Products</w:t>
            </w:r>
          </w:p>
        </w:tc>
        <w:tc>
          <w:tcPr>
            <w:tcW w:w="8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60" w:type="dxa"/>
            <w:vAlign w:val="bottom"/>
            <w:shd w:val="clear" w:color="auto" w:fill="F0F0F0"/>
          </w:tcPr>
          <w:p>
            <w:pPr>
              <w:spacing w:after="0"/>
              <w:rPr>
                <w:sz w:val="23"/>
                <w:szCs w:val="23"/>
                <w:color w:val="auto"/>
              </w:rPr>
            </w:pPr>
          </w:p>
        </w:tc>
        <w:tc>
          <w:tcPr>
            <w:tcW w:w="8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80" w:type="dxa"/>
            <w:vAlign w:val="bottom"/>
            <w:gridSpan w:val="2"/>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1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63</w:t>
            </w:r>
          </w:p>
        </w:tc>
        <w:tc>
          <w:tcPr>
            <w:tcW w:w="11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391</w:t>
            </w: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97"/>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60" w:type="dxa"/>
            <w:vAlign w:val="bottom"/>
            <w:tcBorders>
              <w:bottom w:val="single" w:sz="8" w:color="F0F0F0"/>
            </w:tcBorders>
            <w:shd w:val="clear" w:color="auto" w:fill="F0F0F0"/>
          </w:tcPr>
          <w:p>
            <w:pPr>
              <w:spacing w:after="0"/>
              <w:rPr>
                <w:sz w:val="24"/>
                <w:szCs w:val="24"/>
                <w:color w:val="auto"/>
              </w:rPr>
            </w:pPr>
          </w:p>
        </w:tc>
        <w:tc>
          <w:tcPr>
            <w:tcW w:w="88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F0F0F0"/>
            </w:tcBorders>
            <w:shd w:val="clear" w:color="auto" w:fill="F0F0F0"/>
          </w:tcPr>
          <w:p>
            <w:pPr>
              <w:spacing w:after="0"/>
              <w:rPr>
                <w:sz w:val="24"/>
                <w:szCs w:val="24"/>
                <w:color w:val="auto"/>
              </w:rPr>
            </w:pPr>
          </w:p>
        </w:tc>
        <w:tc>
          <w:tcPr>
            <w:tcW w:w="104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11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622</w:t>
            </w:r>
          </w:p>
        </w:tc>
        <w:tc>
          <w:tcPr>
            <w:tcW w:w="11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r>
        <w:trPr>
          <w:trHeight w:val="243"/>
        </w:trPr>
        <w:tc>
          <w:tcPr>
            <w:tcW w:w="3540" w:type="dxa"/>
            <w:vAlign w:val="bottom"/>
            <w:tcBorders>
              <w:top w:val="single" w:sz="8" w:color="0C479D"/>
              <w:bottom w:val="single" w:sz="8" w:color="0C479D"/>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Capex</w:t>
            </w:r>
          </w:p>
        </w:tc>
        <w:tc>
          <w:tcPr>
            <w:tcW w:w="880" w:type="dxa"/>
            <w:vAlign w:val="bottom"/>
            <w:tcBorders>
              <w:top w:val="single" w:sz="8" w:color="0C479D"/>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13,743</w:t>
            </w:r>
          </w:p>
        </w:tc>
        <w:tc>
          <w:tcPr>
            <w:tcW w:w="160" w:type="dxa"/>
            <w:vAlign w:val="bottom"/>
            <w:tcBorders>
              <w:top w:val="single" w:sz="8" w:color="0C479D"/>
              <w:bottom w:val="single" w:sz="8" w:color="0C479D"/>
            </w:tcBorders>
            <w:shd w:val="clear" w:color="auto" w:fill="F0F0F0"/>
          </w:tcPr>
          <w:p>
            <w:pPr>
              <w:spacing w:after="0"/>
              <w:rPr>
                <w:sz w:val="21"/>
                <w:szCs w:val="21"/>
                <w:color w:val="auto"/>
              </w:rPr>
            </w:pPr>
          </w:p>
        </w:tc>
        <w:tc>
          <w:tcPr>
            <w:tcW w:w="880" w:type="dxa"/>
            <w:vAlign w:val="bottom"/>
            <w:tcBorders>
              <w:top w:val="single" w:sz="8" w:color="0C479D"/>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13,808</w:t>
            </w:r>
          </w:p>
        </w:tc>
        <w:tc>
          <w:tcPr>
            <w:tcW w:w="40" w:type="dxa"/>
            <w:vAlign w:val="bottom"/>
            <w:tcBorders>
              <w:top w:val="single" w:sz="8" w:color="0C479D"/>
              <w:bottom w:val="single" w:sz="8" w:color="0C479D"/>
            </w:tcBorders>
            <w:shd w:val="clear" w:color="auto" w:fill="F0F0F0"/>
          </w:tcPr>
          <w:p>
            <w:pPr>
              <w:spacing w:after="0"/>
              <w:rPr>
                <w:sz w:val="21"/>
                <w:szCs w:val="21"/>
                <w:color w:val="auto"/>
              </w:rPr>
            </w:pPr>
          </w:p>
        </w:tc>
        <w:tc>
          <w:tcPr>
            <w:tcW w:w="1040" w:type="dxa"/>
            <w:vAlign w:val="bottom"/>
            <w:tcBorders>
              <w:top w:val="single" w:sz="8" w:color="0C479D"/>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27,551</w:t>
            </w:r>
          </w:p>
        </w:tc>
        <w:tc>
          <w:tcPr>
            <w:tcW w:w="1160" w:type="dxa"/>
            <w:vAlign w:val="bottom"/>
            <w:tcBorders>
              <w:top w:val="single" w:sz="8" w:color="0C479D"/>
              <w:bottom w:val="single" w:sz="8" w:color="0C479D"/>
            </w:tcBorders>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11,444</w:t>
            </w:r>
          </w:p>
        </w:tc>
        <w:tc>
          <w:tcPr>
            <w:tcW w:w="1100" w:type="dxa"/>
            <w:vAlign w:val="bottom"/>
            <w:tcBorders>
              <w:top w:val="single" w:sz="8" w:color="0C479D"/>
              <w:bottom w:val="single" w:sz="8" w:color="0C479D"/>
            </w:tcBorders>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14,881</w:t>
            </w:r>
          </w:p>
        </w:tc>
        <w:tc>
          <w:tcPr>
            <w:tcW w:w="900" w:type="dxa"/>
            <w:vAlign w:val="bottom"/>
            <w:tcBorders>
              <w:top w:val="single" w:sz="8" w:color="0C479D"/>
              <w:bottom w:val="single" w:sz="8" w:color="0C479D"/>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26,325</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Capex in 2024 was $27.6 billion, as the Corporation continued to pursue opportunities to find and produce new supplies of oil and natural gas to meet global demand for energy.</w:t>
      </w:r>
    </w:p>
    <w:p>
      <w:pPr>
        <w:spacing w:after="0" w:line="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Upstream spending of $21.8 billion in 2024 was up $2.1 billion from 2023, reflecting higher spend in the U.S. Permian Basin following the Pioneer acquisition. Development projects typically take several years from the time of recording proved undeveloped reserves to the start of production and can exceed five years for large and complex projects. The percentage of proved developed reserves was 63 percent of total proved reserves at year-end 2024, and has been over 60 percent for the last ten years.</w:t>
      </w:r>
    </w:p>
    <w:p>
      <w:pPr>
        <w:spacing w:after="0" w:line="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Capital investments in the three Product Solutions businesses totaled $4.9 billion in 2024, a decrease of $1.1 billion from 2023, reflecting lower global project spending. Key investments in 2024 included the China petrochemical complex and Singapore Resid Upgrade project. Other spend of $0.9 billion primarily reflects investments in the Low Carbon Solutions business to advance carbon capture and storage, lithium, and virtually carbon-free hydrogen (with approximately 98% of the carbon captured and stored) projects and technologies.</w:t>
      </w:r>
    </w:p>
    <w:p>
      <w:pPr>
        <w:sectPr>
          <w:pgSz w:w="11900" w:h="16838" w:orient="portrait"/>
          <w:cols w:equalWidth="0" w:num="1">
            <w:col w:w="11240"/>
          </w:cols>
          <w:pgMar w:left="320" w:top="270" w:right="3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21"/>
          <w:szCs w:val="21"/>
          <w:b w:val="1"/>
          <w:bCs w:val="1"/>
          <w:color w:val="0C479D"/>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C479D"/>
        </w:rPr>
        <w:t xml:space="preserve">CASH CAPITAL EXPENDITURES </w:t>
      </w:r>
      <w:r>
        <w:rPr>
          <w:rFonts w:ascii="Times New Roman" w:cs="Times New Roman" w:eastAsia="Times New Roman" w:hAnsi="Times New Roman"/>
          <w:sz w:val="22"/>
          <w:szCs w:val="22"/>
          <w:color w:val="0C479D"/>
        </w:rPr>
        <w:t>(Non-GAAP)</w:t>
      </w:r>
    </w:p>
    <w:p>
      <w:pPr>
        <w:spacing w:after="0" w:line="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Corporation has transitioned to providing forward investment guidance on a cash capital expenditures (Cash Capex) basis instead of the historical capital and exploration expense (Capex) basis. This approach is a useful measure for investors to understand the cash impact of investments in the business and is more aligned with standard industry practice.</w:t>
      </w:r>
    </w:p>
    <w:p>
      <w:pPr>
        <w:spacing w:after="0" w:line="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Capex is the sum of Additions to property, plant and equipment; Additional investments and advances; and Other investing activities including collection of advances; reduced by Inflows from noncontrolling interests for major projects, each from the Consolidated Statement of Cash Flows.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Cash Capex and a reconciliation to the previous Capex metric are presented in the following table:</w:t>
      </w:r>
    </w:p>
    <w:p>
      <w:pPr>
        <w:spacing w:after="0" w:line="149" w:lineRule="exact"/>
        <w:rPr>
          <w:sz w:val="20"/>
          <w:szCs w:val="20"/>
          <w:color w:val="auto"/>
        </w:rPr>
      </w:pPr>
    </w:p>
    <w:tbl>
      <w:tblPr>
        <w:tblLayout w:type="fixed"/>
        <w:tblInd w:w="760" w:type="dxa"/>
        <w:tblCellMar>
          <w:top w:w="0" w:type="dxa"/>
          <w:left w:w="0" w:type="dxa"/>
          <w:bottom w:w="0" w:type="dxa"/>
          <w:right w:w="0" w:type="dxa"/>
        </w:tblCellMar>
      </w:tblPr>
      <w:tr>
        <w:trPr>
          <w:trHeight w:val="341"/>
        </w:trPr>
        <w:tc>
          <w:tcPr>
            <w:tcW w:w="40" w:type="dxa"/>
            <w:vAlign w:val="bottom"/>
          </w:tcPr>
          <w:p>
            <w:pPr>
              <w:spacing w:after="0"/>
              <w:rPr>
                <w:sz w:val="24"/>
                <w:szCs w:val="24"/>
                <w:color w:val="auto"/>
              </w:rPr>
            </w:pPr>
          </w:p>
        </w:tc>
        <w:tc>
          <w:tcPr>
            <w:tcW w:w="3800" w:type="dxa"/>
            <w:vAlign w:val="bottom"/>
            <w:gridSpan w:val="2"/>
            <w:shd w:val="clear" w:color="auto" w:fill="0C479D"/>
          </w:tcPr>
          <w:p>
            <w:pPr>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600" w:type="dxa"/>
            <w:vAlign w:val="bottom"/>
            <w:shd w:val="clear" w:color="auto" w:fill="0C479D"/>
          </w:tcPr>
          <w:p>
            <w:pPr>
              <w:spacing w:after="0"/>
              <w:rPr>
                <w:sz w:val="24"/>
                <w:szCs w:val="24"/>
                <w:color w:val="auto"/>
              </w:rPr>
            </w:pPr>
          </w:p>
        </w:tc>
        <w:tc>
          <w:tcPr>
            <w:tcW w:w="160" w:type="dxa"/>
            <w:vAlign w:val="bottom"/>
            <w:shd w:val="clear" w:color="auto" w:fill="0C479D"/>
          </w:tcPr>
          <w:p>
            <w:pPr>
              <w:spacing w:after="0"/>
              <w:rPr>
                <w:sz w:val="24"/>
                <w:szCs w:val="24"/>
                <w:color w:val="auto"/>
              </w:rPr>
            </w:pPr>
          </w:p>
        </w:tc>
        <w:tc>
          <w:tcPr>
            <w:tcW w:w="880" w:type="dxa"/>
            <w:vAlign w:val="bottom"/>
            <w:shd w:val="clear" w:color="auto" w:fill="0C479D"/>
          </w:tcPr>
          <w:p>
            <w:pPr>
              <w:spacing w:after="0"/>
              <w:rPr>
                <w:sz w:val="24"/>
                <w:szCs w:val="24"/>
                <w:color w:val="auto"/>
              </w:rPr>
            </w:pPr>
          </w:p>
        </w:tc>
        <w:tc>
          <w:tcPr>
            <w:tcW w:w="40" w:type="dxa"/>
            <w:vAlign w:val="bottom"/>
            <w:shd w:val="clear" w:color="auto" w:fill="0C479D"/>
          </w:tcPr>
          <w:p>
            <w:pPr>
              <w:spacing w:after="0"/>
              <w:rPr>
                <w:sz w:val="24"/>
                <w:szCs w:val="24"/>
                <w:color w:val="auto"/>
              </w:rPr>
            </w:pPr>
          </w:p>
        </w:tc>
        <w:tc>
          <w:tcPr>
            <w:tcW w:w="1040" w:type="dxa"/>
            <w:vAlign w:val="bottom"/>
            <w:shd w:val="clear" w:color="auto" w:fill="0C479D"/>
          </w:tcPr>
          <w:p>
            <w:pPr>
              <w:spacing w:after="0"/>
              <w:rPr>
                <w:sz w:val="24"/>
                <w:szCs w:val="24"/>
                <w:color w:val="auto"/>
              </w:rPr>
            </w:pPr>
          </w:p>
        </w:tc>
        <w:tc>
          <w:tcPr>
            <w:tcW w:w="1200" w:type="dxa"/>
            <w:vAlign w:val="bottom"/>
            <w:shd w:val="clear" w:color="auto" w:fill="0C479D"/>
          </w:tcPr>
          <w:p>
            <w:pPr>
              <w:spacing w:after="0"/>
              <w:rPr>
                <w:sz w:val="24"/>
                <w:szCs w:val="24"/>
                <w:color w:val="auto"/>
              </w:rPr>
            </w:pPr>
          </w:p>
        </w:tc>
        <w:tc>
          <w:tcPr>
            <w:tcW w:w="960" w:type="dxa"/>
            <w:vAlign w:val="bottom"/>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980" w:type="dxa"/>
            <w:vAlign w:val="bottom"/>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3520" w:type="dxa"/>
            <w:vAlign w:val="bottom"/>
            <w:shd w:val="clear" w:color="auto" w:fill="0C479D"/>
          </w:tcPr>
          <w:p>
            <w:pPr>
              <w:spacing w:after="0"/>
              <w:rPr>
                <w:sz w:val="17"/>
                <w:szCs w:val="17"/>
                <w:color w:val="auto"/>
              </w:rPr>
            </w:pPr>
          </w:p>
        </w:tc>
        <w:tc>
          <w:tcPr>
            <w:tcW w:w="280" w:type="dxa"/>
            <w:vAlign w:val="bottom"/>
            <w:shd w:val="clear" w:color="auto" w:fill="0C479D"/>
          </w:tcPr>
          <w:p>
            <w:pPr>
              <w:spacing w:after="0"/>
              <w:rPr>
                <w:sz w:val="17"/>
                <w:szCs w:val="17"/>
                <w:color w:val="auto"/>
              </w:rPr>
            </w:pPr>
          </w:p>
        </w:tc>
        <w:tc>
          <w:tcPr>
            <w:tcW w:w="600" w:type="dxa"/>
            <w:vAlign w:val="bottom"/>
            <w:shd w:val="clear" w:color="auto" w:fill="0C479D"/>
          </w:tcPr>
          <w:p>
            <w:pPr>
              <w:spacing w:after="0"/>
              <w:rPr>
                <w:sz w:val="17"/>
                <w:szCs w:val="17"/>
                <w:color w:val="auto"/>
              </w:rPr>
            </w:pPr>
          </w:p>
        </w:tc>
        <w:tc>
          <w:tcPr>
            <w:tcW w:w="160" w:type="dxa"/>
            <w:vAlign w:val="bottom"/>
            <w:shd w:val="clear" w:color="auto" w:fill="0C479D"/>
          </w:tcPr>
          <w:p>
            <w:pPr>
              <w:spacing w:after="0"/>
              <w:rPr>
                <w:sz w:val="17"/>
                <w:szCs w:val="17"/>
                <w:color w:val="auto"/>
              </w:rPr>
            </w:pPr>
          </w:p>
        </w:tc>
        <w:tc>
          <w:tcPr>
            <w:tcW w:w="880" w:type="dxa"/>
            <w:vAlign w:val="bottom"/>
            <w:shd w:val="clear" w:color="auto" w:fill="0C479D"/>
          </w:tcPr>
          <w:p>
            <w:pPr>
              <w:spacing w:after="0"/>
              <w:rPr>
                <w:sz w:val="17"/>
                <w:szCs w:val="17"/>
                <w:color w:val="auto"/>
              </w:rPr>
            </w:pPr>
          </w:p>
        </w:tc>
        <w:tc>
          <w:tcPr>
            <w:tcW w:w="40" w:type="dxa"/>
            <w:vAlign w:val="bottom"/>
            <w:shd w:val="clear" w:color="auto" w:fill="0C479D"/>
          </w:tcPr>
          <w:p>
            <w:pPr>
              <w:spacing w:after="0"/>
              <w:rPr>
                <w:sz w:val="17"/>
                <w:szCs w:val="17"/>
                <w:color w:val="auto"/>
              </w:rPr>
            </w:pPr>
          </w:p>
        </w:tc>
        <w:tc>
          <w:tcPr>
            <w:tcW w:w="1040" w:type="dxa"/>
            <w:vAlign w:val="bottom"/>
            <w:shd w:val="clear" w:color="auto" w:fill="0C479D"/>
          </w:tcPr>
          <w:p>
            <w:pPr>
              <w:spacing w:after="0"/>
              <w:rPr>
                <w:sz w:val="17"/>
                <w:szCs w:val="17"/>
                <w:color w:val="auto"/>
              </w:rPr>
            </w:pPr>
          </w:p>
        </w:tc>
        <w:tc>
          <w:tcPr>
            <w:tcW w:w="1200" w:type="dxa"/>
            <w:vAlign w:val="bottom"/>
            <w:shd w:val="clear" w:color="auto" w:fill="0C479D"/>
          </w:tcPr>
          <w:p>
            <w:pPr>
              <w:spacing w:after="0"/>
              <w:rPr>
                <w:sz w:val="17"/>
                <w:szCs w:val="17"/>
                <w:color w:val="auto"/>
              </w:rPr>
            </w:pPr>
          </w:p>
        </w:tc>
        <w:tc>
          <w:tcPr>
            <w:tcW w:w="960" w:type="dxa"/>
            <w:vAlign w:val="bottom"/>
            <w:shd w:val="clear" w:color="auto" w:fill="0C479D"/>
          </w:tcPr>
          <w:p>
            <w:pPr>
              <w:spacing w:after="0"/>
              <w:rPr>
                <w:sz w:val="17"/>
                <w:szCs w:val="17"/>
                <w:color w:val="auto"/>
              </w:rPr>
            </w:pPr>
          </w:p>
        </w:tc>
        <w:tc>
          <w:tcPr>
            <w:tcW w:w="980" w:type="dxa"/>
            <w:vAlign w:val="bottom"/>
            <w:shd w:val="clear" w:color="auto" w:fill="0C479D"/>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Capital and Exploration Expenditures (Capex)</w:t>
            </w: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9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27,551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26,325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ExxonMobil’s share of Capex for equity companies</w:t>
            </w: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9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Exploration expenses excluding prior year dry holes</w:t>
            </w: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9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Other activities including finance leases</w:t>
            </w:r>
          </w:p>
        </w:tc>
        <w:tc>
          <w:tcPr>
            <w:tcW w:w="6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Additions to property, plant and equipment</w:t>
            </w: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9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24,306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21,919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investments and advances</w:t>
            </w: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9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3,299</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investing activities including collection of advances</w:t>
            </w: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9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Inflows from noncontrolling interests for major projects</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800" w:type="dxa"/>
            <w:vAlign w:val="bottom"/>
            <w:tcBorders>
              <w:top w:val="single" w:sz="8" w:color="0C479D"/>
              <w:bottom w:val="single" w:sz="8" w:color="0C479D"/>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Total Cash Capex </w:t>
            </w:r>
            <w:r>
              <w:rPr>
                <w:rFonts w:ascii="Times New Roman" w:cs="Times New Roman" w:eastAsia="Times New Roman" w:hAnsi="Times New Roman"/>
                <w:sz w:val="18"/>
                <w:szCs w:val="18"/>
                <w:color w:val="auto"/>
              </w:rPr>
              <w:t>(Non-GAAP)</w:t>
            </w:r>
          </w:p>
        </w:tc>
        <w:tc>
          <w:tcPr>
            <w:tcW w:w="600" w:type="dxa"/>
            <w:vAlign w:val="bottom"/>
            <w:tcBorders>
              <w:top w:val="single" w:sz="8" w:color="0C479D"/>
              <w:bottom w:val="single" w:sz="8" w:color="0C479D"/>
            </w:tcBorders>
          </w:tcPr>
          <w:p>
            <w:pPr>
              <w:spacing w:after="0"/>
              <w:rPr>
                <w:sz w:val="21"/>
                <w:szCs w:val="21"/>
                <w:color w:val="auto"/>
              </w:rPr>
            </w:pPr>
          </w:p>
        </w:tc>
        <w:tc>
          <w:tcPr>
            <w:tcW w:w="160" w:type="dxa"/>
            <w:vAlign w:val="bottom"/>
            <w:tcBorders>
              <w:top w:val="single" w:sz="8" w:color="0C479D"/>
              <w:bottom w:val="single" w:sz="8" w:color="0C479D"/>
            </w:tcBorders>
          </w:tcPr>
          <w:p>
            <w:pPr>
              <w:spacing w:after="0"/>
              <w:rPr>
                <w:sz w:val="21"/>
                <w:szCs w:val="21"/>
                <w:color w:val="auto"/>
              </w:rPr>
            </w:pPr>
          </w:p>
        </w:tc>
        <w:tc>
          <w:tcPr>
            <w:tcW w:w="880" w:type="dxa"/>
            <w:vAlign w:val="bottom"/>
            <w:tcBorders>
              <w:top w:val="single" w:sz="8" w:color="0C479D"/>
              <w:bottom w:val="single" w:sz="8" w:color="0C479D"/>
            </w:tcBorders>
          </w:tcPr>
          <w:p>
            <w:pPr>
              <w:spacing w:after="0"/>
              <w:rPr>
                <w:sz w:val="21"/>
                <w:szCs w:val="21"/>
                <w:color w:val="auto"/>
              </w:rPr>
            </w:pPr>
          </w:p>
        </w:tc>
        <w:tc>
          <w:tcPr>
            <w:tcW w:w="40" w:type="dxa"/>
            <w:vAlign w:val="bottom"/>
            <w:tcBorders>
              <w:top w:val="single" w:sz="8" w:color="0C479D"/>
              <w:bottom w:val="single" w:sz="8" w:color="0C479D"/>
            </w:tcBorders>
          </w:tcPr>
          <w:p>
            <w:pPr>
              <w:spacing w:after="0"/>
              <w:rPr>
                <w:sz w:val="21"/>
                <w:szCs w:val="21"/>
                <w:color w:val="auto"/>
              </w:rPr>
            </w:pPr>
          </w:p>
        </w:tc>
        <w:tc>
          <w:tcPr>
            <w:tcW w:w="1040" w:type="dxa"/>
            <w:vAlign w:val="bottom"/>
            <w:tcBorders>
              <w:top w:val="single" w:sz="8" w:color="0C479D"/>
              <w:bottom w:val="single" w:sz="8" w:color="0C479D"/>
            </w:tcBorders>
          </w:tcPr>
          <w:p>
            <w:pPr>
              <w:spacing w:after="0"/>
              <w:rPr>
                <w:sz w:val="21"/>
                <w:szCs w:val="21"/>
                <w:color w:val="auto"/>
              </w:rPr>
            </w:pPr>
          </w:p>
        </w:tc>
        <w:tc>
          <w:tcPr>
            <w:tcW w:w="1200" w:type="dxa"/>
            <w:vAlign w:val="bottom"/>
            <w:tcBorders>
              <w:top w:val="single" w:sz="8" w:color="0C479D"/>
              <w:bottom w:val="single" w:sz="8" w:color="0C479D"/>
            </w:tcBorders>
          </w:tcPr>
          <w:p>
            <w:pPr>
              <w:spacing w:after="0"/>
              <w:rPr>
                <w:sz w:val="21"/>
                <w:szCs w:val="21"/>
                <w:color w:val="auto"/>
              </w:rPr>
            </w:pPr>
          </w:p>
        </w:tc>
        <w:tc>
          <w:tcPr>
            <w:tcW w:w="960" w:type="dxa"/>
            <w:vAlign w:val="bottom"/>
            <w:tcBorders>
              <w:top w:val="single" w:sz="8" w:color="0C479D"/>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25,647</w:t>
            </w:r>
          </w:p>
        </w:tc>
        <w:tc>
          <w:tcPr>
            <w:tcW w:w="980" w:type="dxa"/>
            <w:vAlign w:val="bottom"/>
            <w:tcBorders>
              <w:top w:val="single" w:sz="8" w:color="0C479D"/>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840" w:type="dxa"/>
            <w:vAlign w:val="bottom"/>
            <w:gridSpan w:val="3"/>
            <w:vMerge w:val="restart"/>
            <w:shd w:val="clear" w:color="auto" w:fill="0C479D"/>
          </w:tcPr>
          <w:p>
            <w:pPr>
              <w:ind w:left="20"/>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600" w:type="dxa"/>
            <w:vAlign w:val="bottom"/>
            <w:shd w:val="clear" w:color="auto" w:fill="0C479D"/>
          </w:tcPr>
          <w:p>
            <w:pPr>
              <w:spacing w:after="0"/>
              <w:rPr>
                <w:sz w:val="17"/>
                <w:szCs w:val="17"/>
                <w:color w:val="auto"/>
              </w:rPr>
            </w:pPr>
          </w:p>
        </w:tc>
        <w:tc>
          <w:tcPr>
            <w:tcW w:w="1040" w:type="dxa"/>
            <w:vAlign w:val="bottom"/>
            <w:gridSpan w:val="2"/>
            <w:shd w:val="clear" w:color="auto" w:fill="0C479D"/>
          </w:tcPr>
          <w:p>
            <w:pPr>
              <w:jc w:val="right"/>
              <w:ind w:right="194"/>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40" w:type="dxa"/>
            <w:vAlign w:val="bottom"/>
            <w:shd w:val="clear" w:color="auto" w:fill="0C479D"/>
          </w:tcPr>
          <w:p>
            <w:pPr>
              <w:spacing w:after="0"/>
              <w:rPr>
                <w:sz w:val="17"/>
                <w:szCs w:val="17"/>
                <w:color w:val="auto"/>
              </w:rPr>
            </w:pPr>
          </w:p>
        </w:tc>
        <w:tc>
          <w:tcPr>
            <w:tcW w:w="1040" w:type="dxa"/>
            <w:vAlign w:val="bottom"/>
            <w:shd w:val="clear" w:color="auto" w:fill="0C479D"/>
          </w:tcPr>
          <w:p>
            <w:pPr>
              <w:spacing w:after="0"/>
              <w:rPr>
                <w:sz w:val="17"/>
                <w:szCs w:val="17"/>
                <w:color w:val="auto"/>
              </w:rPr>
            </w:pPr>
          </w:p>
        </w:tc>
        <w:tc>
          <w:tcPr>
            <w:tcW w:w="1200" w:type="dxa"/>
            <w:vAlign w:val="bottom"/>
            <w:shd w:val="clear" w:color="auto" w:fill="0C479D"/>
          </w:tcPr>
          <w:p>
            <w:pPr>
              <w:spacing w:after="0"/>
              <w:rPr>
                <w:sz w:val="17"/>
                <w:szCs w:val="17"/>
                <w:color w:val="auto"/>
              </w:rPr>
            </w:pPr>
          </w:p>
        </w:tc>
        <w:tc>
          <w:tcPr>
            <w:tcW w:w="960" w:type="dxa"/>
            <w:vAlign w:val="bottom"/>
            <w:shd w:val="clear" w:color="auto" w:fill="0C479D"/>
          </w:tcPr>
          <w:p>
            <w:pPr>
              <w:jc w:val="right"/>
              <w:ind w:right="293"/>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980" w:type="dxa"/>
            <w:vAlign w:val="bottom"/>
            <w:shd w:val="clear" w:color="auto" w:fill="0C479D"/>
          </w:tcPr>
          <w:p>
            <w:pPr>
              <w:spacing w:after="0"/>
              <w:rPr>
                <w:sz w:val="17"/>
                <w:szCs w:val="17"/>
                <w:color w:val="auto"/>
              </w:rPr>
            </w:pPr>
          </w:p>
        </w:tc>
        <w:tc>
          <w:tcPr>
            <w:tcW w:w="20" w:type="dxa"/>
            <w:vAlign w:val="bottom"/>
            <w:shd w:val="clear" w:color="auto" w:fill="0C479D"/>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840" w:type="dxa"/>
            <w:vAlign w:val="bottom"/>
            <w:gridSpan w:val="3"/>
            <w:vMerge w:val="continue"/>
            <w:shd w:val="clear" w:color="auto" w:fill="0C479D"/>
          </w:tcPr>
          <w:p>
            <w:pPr>
              <w:spacing w:after="0"/>
              <w:rPr>
                <w:sz w:val="11"/>
                <w:szCs w:val="11"/>
                <w:color w:val="auto"/>
              </w:rPr>
            </w:pPr>
          </w:p>
        </w:tc>
        <w:tc>
          <w:tcPr>
            <w:tcW w:w="600" w:type="dxa"/>
            <w:vAlign w:val="bottom"/>
            <w:vMerge w:val="restart"/>
            <w:shd w:val="clear" w:color="auto" w:fill="0C479D"/>
          </w:tcPr>
          <w:p>
            <w:pPr>
              <w:jc w:val="right"/>
              <w:ind w:right="213"/>
              <w:spacing w:after="0"/>
              <w:rPr>
                <w:sz w:val="20"/>
                <w:szCs w:val="20"/>
                <w:color w:val="auto"/>
              </w:rPr>
            </w:pPr>
            <w:r>
              <w:rPr>
                <w:rFonts w:ascii="Times New Roman" w:cs="Times New Roman" w:eastAsia="Times New Roman" w:hAnsi="Times New Roman"/>
                <w:sz w:val="14"/>
                <w:szCs w:val="14"/>
                <w:b w:val="1"/>
                <w:bCs w:val="1"/>
                <w:color w:val="FFFFFF"/>
              </w:rPr>
              <w:t>U.S.</w:t>
            </w:r>
          </w:p>
        </w:tc>
        <w:tc>
          <w:tcPr>
            <w:tcW w:w="160" w:type="dxa"/>
            <w:vAlign w:val="bottom"/>
            <w:shd w:val="clear" w:color="auto" w:fill="0C479D"/>
          </w:tcPr>
          <w:p>
            <w:pPr>
              <w:spacing w:after="0"/>
              <w:rPr>
                <w:sz w:val="11"/>
                <w:szCs w:val="11"/>
                <w:color w:val="auto"/>
              </w:rPr>
            </w:pPr>
          </w:p>
        </w:tc>
        <w:tc>
          <w:tcPr>
            <w:tcW w:w="880" w:type="dxa"/>
            <w:vAlign w:val="bottom"/>
            <w:vMerge w:val="restart"/>
            <w:shd w:val="clear" w:color="auto" w:fill="0C479D"/>
          </w:tcPr>
          <w:p>
            <w:pPr>
              <w:jc w:val="right"/>
              <w:ind w:right="54"/>
              <w:spacing w:after="0"/>
              <w:rPr>
                <w:sz w:val="20"/>
                <w:szCs w:val="20"/>
                <w:color w:val="auto"/>
              </w:rPr>
            </w:pPr>
            <w:r>
              <w:rPr>
                <w:rFonts w:ascii="Times New Roman" w:cs="Times New Roman" w:eastAsia="Times New Roman" w:hAnsi="Times New Roman"/>
                <w:sz w:val="14"/>
                <w:szCs w:val="14"/>
                <w:b w:val="1"/>
                <w:bCs w:val="1"/>
                <w:color w:val="FFFFFF"/>
              </w:rPr>
              <w:t>Non-U.S.</w:t>
            </w:r>
          </w:p>
        </w:tc>
        <w:tc>
          <w:tcPr>
            <w:tcW w:w="40" w:type="dxa"/>
            <w:vAlign w:val="bottom"/>
            <w:shd w:val="clear" w:color="auto" w:fill="0C479D"/>
          </w:tcPr>
          <w:p>
            <w:pPr>
              <w:spacing w:after="0"/>
              <w:rPr>
                <w:sz w:val="11"/>
                <w:szCs w:val="11"/>
                <w:color w:val="auto"/>
              </w:rPr>
            </w:pPr>
          </w:p>
        </w:tc>
        <w:tc>
          <w:tcPr>
            <w:tcW w:w="1040" w:type="dxa"/>
            <w:vAlign w:val="bottom"/>
            <w:vMerge w:val="restart"/>
            <w:shd w:val="clear" w:color="auto" w:fill="0C479D"/>
          </w:tcPr>
          <w:p>
            <w:pPr>
              <w:jc w:val="right"/>
              <w:ind w:right="216"/>
              <w:spacing w:after="0"/>
              <w:rPr>
                <w:sz w:val="20"/>
                <w:szCs w:val="20"/>
                <w:color w:val="auto"/>
              </w:rPr>
            </w:pPr>
            <w:r>
              <w:rPr>
                <w:rFonts w:ascii="Times New Roman" w:cs="Times New Roman" w:eastAsia="Times New Roman" w:hAnsi="Times New Roman"/>
                <w:sz w:val="14"/>
                <w:szCs w:val="14"/>
                <w:b w:val="1"/>
                <w:bCs w:val="1"/>
                <w:color w:val="FFFFFF"/>
              </w:rPr>
              <w:t>Total</w:t>
            </w:r>
          </w:p>
        </w:tc>
        <w:tc>
          <w:tcPr>
            <w:tcW w:w="1200" w:type="dxa"/>
            <w:vAlign w:val="bottom"/>
            <w:vMerge w:val="restart"/>
            <w:shd w:val="clear" w:color="auto" w:fill="0C479D"/>
          </w:tcPr>
          <w:p>
            <w:pPr>
              <w:jc w:val="right"/>
              <w:ind w:right="393"/>
              <w:spacing w:after="0"/>
              <w:rPr>
                <w:sz w:val="20"/>
                <w:szCs w:val="20"/>
                <w:color w:val="auto"/>
              </w:rPr>
            </w:pPr>
            <w:r>
              <w:rPr>
                <w:rFonts w:ascii="Times New Roman" w:cs="Times New Roman" w:eastAsia="Times New Roman" w:hAnsi="Times New Roman"/>
                <w:sz w:val="14"/>
                <w:szCs w:val="14"/>
                <w:b w:val="1"/>
                <w:bCs w:val="1"/>
                <w:color w:val="FFFFFF"/>
              </w:rPr>
              <w:t>U.S.</w:t>
            </w:r>
          </w:p>
        </w:tc>
        <w:tc>
          <w:tcPr>
            <w:tcW w:w="960" w:type="dxa"/>
            <w:vAlign w:val="bottom"/>
            <w:vMerge w:val="restart"/>
            <w:shd w:val="clear" w:color="auto" w:fill="0C479D"/>
          </w:tcPr>
          <w:p>
            <w:pPr>
              <w:jc w:val="right"/>
              <w:ind w:right="153"/>
              <w:spacing w:after="0"/>
              <w:rPr>
                <w:sz w:val="20"/>
                <w:szCs w:val="20"/>
                <w:color w:val="auto"/>
              </w:rPr>
            </w:pPr>
            <w:r>
              <w:rPr>
                <w:rFonts w:ascii="Times New Roman" w:cs="Times New Roman" w:eastAsia="Times New Roman" w:hAnsi="Times New Roman"/>
                <w:sz w:val="14"/>
                <w:szCs w:val="14"/>
                <w:b w:val="1"/>
                <w:bCs w:val="1"/>
                <w:color w:val="FFFFFF"/>
              </w:rPr>
              <w:t>Non-U.S.</w:t>
            </w:r>
          </w:p>
        </w:tc>
        <w:tc>
          <w:tcPr>
            <w:tcW w:w="980" w:type="dxa"/>
            <w:vAlign w:val="bottom"/>
            <w:vMerge w:val="restart"/>
            <w:shd w:val="clear" w:color="auto" w:fill="0C479D"/>
          </w:tcPr>
          <w:p>
            <w:pPr>
              <w:jc w:val="right"/>
              <w:ind w:right="192"/>
              <w:spacing w:after="0"/>
              <w:rPr>
                <w:sz w:val="20"/>
                <w:szCs w:val="20"/>
                <w:color w:val="auto"/>
              </w:rPr>
            </w:pPr>
            <w:r>
              <w:rPr>
                <w:rFonts w:ascii="Times New Roman" w:cs="Times New Roman" w:eastAsia="Times New Roman" w:hAnsi="Times New Roman"/>
                <w:sz w:val="14"/>
                <w:szCs w:val="14"/>
                <w:b w:val="1"/>
                <w:bCs w:val="1"/>
                <w:color w:val="FFFFFF"/>
              </w:rPr>
              <w:t>Total</w:t>
            </w:r>
          </w:p>
        </w:tc>
        <w:tc>
          <w:tcPr>
            <w:tcW w:w="20" w:type="dxa"/>
            <w:vAlign w:val="bottom"/>
            <w:shd w:val="clear" w:color="auto" w:fill="0C479D"/>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shd w:val="clear" w:color="auto" w:fill="0C479D"/>
          </w:tcPr>
          <w:p>
            <w:pPr>
              <w:spacing w:after="0"/>
              <w:rPr>
                <w:sz w:val="11"/>
                <w:szCs w:val="11"/>
                <w:color w:val="auto"/>
              </w:rPr>
            </w:pPr>
          </w:p>
        </w:tc>
        <w:tc>
          <w:tcPr>
            <w:tcW w:w="3520" w:type="dxa"/>
            <w:vAlign w:val="bottom"/>
            <w:shd w:val="clear" w:color="auto" w:fill="0C479D"/>
          </w:tcPr>
          <w:p>
            <w:pPr>
              <w:spacing w:after="0"/>
              <w:rPr>
                <w:sz w:val="11"/>
                <w:szCs w:val="11"/>
                <w:color w:val="auto"/>
              </w:rPr>
            </w:pPr>
          </w:p>
        </w:tc>
        <w:tc>
          <w:tcPr>
            <w:tcW w:w="280" w:type="dxa"/>
            <w:vAlign w:val="bottom"/>
            <w:shd w:val="clear" w:color="auto" w:fill="0C479D"/>
          </w:tcPr>
          <w:p>
            <w:pPr>
              <w:spacing w:after="0"/>
              <w:rPr>
                <w:sz w:val="11"/>
                <w:szCs w:val="11"/>
                <w:color w:val="auto"/>
              </w:rPr>
            </w:pPr>
          </w:p>
        </w:tc>
        <w:tc>
          <w:tcPr>
            <w:tcW w:w="600" w:type="dxa"/>
            <w:vAlign w:val="bottom"/>
            <w:vMerge w:val="continue"/>
            <w:shd w:val="clear" w:color="auto" w:fill="0C479D"/>
          </w:tcPr>
          <w:p>
            <w:pPr>
              <w:spacing w:after="0"/>
              <w:rPr>
                <w:sz w:val="11"/>
                <w:szCs w:val="11"/>
                <w:color w:val="auto"/>
              </w:rPr>
            </w:pPr>
          </w:p>
        </w:tc>
        <w:tc>
          <w:tcPr>
            <w:tcW w:w="160" w:type="dxa"/>
            <w:vAlign w:val="bottom"/>
            <w:shd w:val="clear" w:color="auto" w:fill="0C479D"/>
          </w:tcPr>
          <w:p>
            <w:pPr>
              <w:spacing w:after="0"/>
              <w:rPr>
                <w:sz w:val="11"/>
                <w:szCs w:val="11"/>
                <w:color w:val="auto"/>
              </w:rPr>
            </w:pPr>
          </w:p>
        </w:tc>
        <w:tc>
          <w:tcPr>
            <w:tcW w:w="880" w:type="dxa"/>
            <w:vAlign w:val="bottom"/>
            <w:vMerge w:val="continue"/>
            <w:shd w:val="clear" w:color="auto" w:fill="0C479D"/>
          </w:tcPr>
          <w:p>
            <w:pPr>
              <w:spacing w:after="0"/>
              <w:rPr>
                <w:sz w:val="11"/>
                <w:szCs w:val="11"/>
                <w:color w:val="auto"/>
              </w:rPr>
            </w:pPr>
          </w:p>
        </w:tc>
        <w:tc>
          <w:tcPr>
            <w:tcW w:w="40" w:type="dxa"/>
            <w:vAlign w:val="bottom"/>
            <w:shd w:val="clear" w:color="auto" w:fill="0C479D"/>
          </w:tcPr>
          <w:p>
            <w:pPr>
              <w:spacing w:after="0"/>
              <w:rPr>
                <w:sz w:val="11"/>
                <w:szCs w:val="11"/>
                <w:color w:val="auto"/>
              </w:rPr>
            </w:pPr>
          </w:p>
        </w:tc>
        <w:tc>
          <w:tcPr>
            <w:tcW w:w="1040" w:type="dxa"/>
            <w:vAlign w:val="bottom"/>
            <w:vMerge w:val="continue"/>
            <w:shd w:val="clear" w:color="auto" w:fill="0C479D"/>
          </w:tcPr>
          <w:p>
            <w:pPr>
              <w:spacing w:after="0"/>
              <w:rPr>
                <w:sz w:val="11"/>
                <w:szCs w:val="11"/>
                <w:color w:val="auto"/>
              </w:rPr>
            </w:pPr>
          </w:p>
        </w:tc>
        <w:tc>
          <w:tcPr>
            <w:tcW w:w="1200" w:type="dxa"/>
            <w:vAlign w:val="bottom"/>
            <w:vMerge w:val="continue"/>
            <w:shd w:val="clear" w:color="auto" w:fill="0C479D"/>
          </w:tcPr>
          <w:p>
            <w:pPr>
              <w:spacing w:after="0"/>
              <w:rPr>
                <w:sz w:val="11"/>
                <w:szCs w:val="11"/>
                <w:color w:val="auto"/>
              </w:rPr>
            </w:pPr>
          </w:p>
        </w:tc>
        <w:tc>
          <w:tcPr>
            <w:tcW w:w="960" w:type="dxa"/>
            <w:vAlign w:val="bottom"/>
            <w:vMerge w:val="continue"/>
            <w:shd w:val="clear" w:color="auto" w:fill="0C479D"/>
          </w:tcPr>
          <w:p>
            <w:pPr>
              <w:spacing w:after="0"/>
              <w:rPr>
                <w:sz w:val="11"/>
                <w:szCs w:val="11"/>
                <w:color w:val="auto"/>
              </w:rPr>
            </w:pPr>
          </w:p>
        </w:tc>
        <w:tc>
          <w:tcPr>
            <w:tcW w:w="980" w:type="dxa"/>
            <w:vAlign w:val="bottom"/>
            <w:vMerge w:val="continue"/>
            <w:shd w:val="clear" w:color="auto" w:fill="0C479D"/>
          </w:tcPr>
          <w:p>
            <w:pPr>
              <w:spacing w:after="0"/>
              <w:rPr>
                <w:sz w:val="11"/>
                <w:szCs w:val="11"/>
                <w:color w:val="auto"/>
              </w:rPr>
            </w:pPr>
          </w:p>
        </w:tc>
        <w:tc>
          <w:tcPr>
            <w:tcW w:w="20" w:type="dxa"/>
            <w:vAlign w:val="bottom"/>
            <w:shd w:val="clear" w:color="auto" w:fill="0C479D"/>
          </w:tcPr>
          <w:p>
            <w:pPr>
              <w:spacing w:after="0"/>
              <w:rPr>
                <w:sz w:val="11"/>
                <w:szCs w:val="11"/>
                <w:color w:val="auto"/>
              </w:rPr>
            </w:pPr>
          </w:p>
        </w:tc>
        <w:tc>
          <w:tcPr>
            <w:tcW w:w="0" w:type="dxa"/>
            <w:vAlign w:val="bottom"/>
          </w:tcPr>
          <w:p>
            <w:pPr>
              <w:spacing w:after="0"/>
              <w:rPr>
                <w:sz w:val="1"/>
                <w:szCs w:val="1"/>
                <w:color w:val="auto"/>
              </w:rPr>
            </w:pPr>
          </w:p>
        </w:tc>
      </w:tr>
      <w:tr>
        <w:trPr>
          <w:trHeight w:val="64"/>
        </w:trPr>
        <w:tc>
          <w:tcPr>
            <w:tcW w:w="3560" w:type="dxa"/>
            <w:vAlign w:val="bottom"/>
            <w:gridSpan w:val="2"/>
            <w:shd w:val="clear" w:color="auto" w:fill="0C479D"/>
          </w:tcPr>
          <w:p>
            <w:pPr>
              <w:spacing w:after="0"/>
              <w:rPr>
                <w:sz w:val="5"/>
                <w:szCs w:val="5"/>
                <w:color w:val="auto"/>
              </w:rPr>
            </w:pPr>
          </w:p>
        </w:tc>
        <w:tc>
          <w:tcPr>
            <w:tcW w:w="280" w:type="dxa"/>
            <w:vAlign w:val="bottom"/>
            <w:shd w:val="clear" w:color="auto" w:fill="0C479D"/>
          </w:tcPr>
          <w:p>
            <w:pPr>
              <w:spacing w:after="0"/>
              <w:rPr>
                <w:sz w:val="5"/>
                <w:szCs w:val="5"/>
                <w:color w:val="auto"/>
              </w:rPr>
            </w:pPr>
          </w:p>
        </w:tc>
        <w:tc>
          <w:tcPr>
            <w:tcW w:w="600" w:type="dxa"/>
            <w:vAlign w:val="bottom"/>
            <w:shd w:val="clear" w:color="auto" w:fill="0C479D"/>
          </w:tcPr>
          <w:p>
            <w:pPr>
              <w:spacing w:after="0"/>
              <w:rPr>
                <w:sz w:val="5"/>
                <w:szCs w:val="5"/>
                <w:color w:val="auto"/>
              </w:rPr>
            </w:pPr>
          </w:p>
        </w:tc>
        <w:tc>
          <w:tcPr>
            <w:tcW w:w="160" w:type="dxa"/>
            <w:vAlign w:val="bottom"/>
            <w:shd w:val="clear" w:color="auto" w:fill="0C479D"/>
          </w:tcPr>
          <w:p>
            <w:pPr>
              <w:spacing w:after="0"/>
              <w:rPr>
                <w:sz w:val="5"/>
                <w:szCs w:val="5"/>
                <w:color w:val="auto"/>
              </w:rPr>
            </w:pPr>
          </w:p>
        </w:tc>
        <w:tc>
          <w:tcPr>
            <w:tcW w:w="880" w:type="dxa"/>
            <w:vAlign w:val="bottom"/>
            <w:shd w:val="clear" w:color="auto" w:fill="0C479D"/>
          </w:tcPr>
          <w:p>
            <w:pPr>
              <w:spacing w:after="0"/>
              <w:rPr>
                <w:sz w:val="5"/>
                <w:szCs w:val="5"/>
                <w:color w:val="auto"/>
              </w:rPr>
            </w:pPr>
          </w:p>
        </w:tc>
        <w:tc>
          <w:tcPr>
            <w:tcW w:w="40" w:type="dxa"/>
            <w:vAlign w:val="bottom"/>
            <w:shd w:val="clear" w:color="auto" w:fill="0C479D"/>
          </w:tcPr>
          <w:p>
            <w:pPr>
              <w:spacing w:after="0"/>
              <w:rPr>
                <w:sz w:val="5"/>
                <w:szCs w:val="5"/>
                <w:color w:val="auto"/>
              </w:rPr>
            </w:pPr>
          </w:p>
        </w:tc>
        <w:tc>
          <w:tcPr>
            <w:tcW w:w="1040" w:type="dxa"/>
            <w:vAlign w:val="bottom"/>
            <w:shd w:val="clear" w:color="auto" w:fill="0C479D"/>
          </w:tcPr>
          <w:p>
            <w:pPr>
              <w:spacing w:after="0"/>
              <w:rPr>
                <w:sz w:val="5"/>
                <w:szCs w:val="5"/>
                <w:color w:val="auto"/>
              </w:rPr>
            </w:pPr>
          </w:p>
        </w:tc>
        <w:tc>
          <w:tcPr>
            <w:tcW w:w="1200" w:type="dxa"/>
            <w:vAlign w:val="bottom"/>
            <w:shd w:val="clear" w:color="auto" w:fill="0C479D"/>
          </w:tcPr>
          <w:p>
            <w:pPr>
              <w:spacing w:after="0"/>
              <w:rPr>
                <w:sz w:val="5"/>
                <w:szCs w:val="5"/>
                <w:color w:val="auto"/>
              </w:rPr>
            </w:pPr>
          </w:p>
        </w:tc>
        <w:tc>
          <w:tcPr>
            <w:tcW w:w="960" w:type="dxa"/>
            <w:vAlign w:val="bottom"/>
            <w:shd w:val="clear" w:color="auto" w:fill="0C479D"/>
          </w:tcPr>
          <w:p>
            <w:pPr>
              <w:spacing w:after="0"/>
              <w:rPr>
                <w:sz w:val="5"/>
                <w:szCs w:val="5"/>
                <w:color w:val="auto"/>
              </w:rPr>
            </w:pPr>
          </w:p>
        </w:tc>
        <w:tc>
          <w:tcPr>
            <w:tcW w:w="980" w:type="dxa"/>
            <w:vAlign w:val="bottom"/>
            <w:shd w:val="clear" w:color="auto" w:fill="0C479D"/>
          </w:tcPr>
          <w:p>
            <w:pPr>
              <w:spacing w:after="0"/>
              <w:rPr>
                <w:sz w:val="5"/>
                <w:szCs w:val="5"/>
                <w:color w:val="auto"/>
              </w:rPr>
            </w:pPr>
          </w:p>
        </w:tc>
        <w:tc>
          <w:tcPr>
            <w:tcW w:w="20" w:type="dxa"/>
            <w:vAlign w:val="bottom"/>
            <w:shd w:val="clear" w:color="auto" w:fill="0C479D"/>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Upstream</w:t>
            </w:r>
          </w:p>
        </w:tc>
        <w:tc>
          <w:tcPr>
            <w:tcW w:w="280" w:type="dxa"/>
            <w:vAlign w:val="bottom"/>
            <w:shd w:val="clear" w:color="auto" w:fill="F0F0F0"/>
          </w:tcPr>
          <w:p>
            <w:pPr>
              <w:spacing w:after="0"/>
              <w:rPr>
                <w:sz w:val="23"/>
                <w:szCs w:val="23"/>
                <w:color w:val="auto"/>
              </w:rPr>
            </w:pPr>
          </w:p>
        </w:tc>
        <w:tc>
          <w:tcPr>
            <w:tcW w:w="6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11,276</w:t>
            </w:r>
          </w:p>
        </w:tc>
        <w:tc>
          <w:tcPr>
            <w:tcW w:w="1040" w:type="dxa"/>
            <w:vAlign w:val="bottom"/>
            <w:gridSpan w:val="2"/>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8,985</w:t>
            </w:r>
          </w:p>
        </w:tc>
        <w:tc>
          <w:tcPr>
            <w:tcW w:w="1080" w:type="dxa"/>
            <w:vAlign w:val="bottom"/>
            <w:gridSpan w:val="2"/>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20,261</w:t>
            </w: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8,783</w:t>
            </w: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8,122</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Energy Products</w:t>
            </w:r>
          </w:p>
        </w:tc>
        <w:tc>
          <w:tcPr>
            <w:tcW w:w="280" w:type="dxa"/>
            <w:vAlign w:val="bottom"/>
            <w:shd w:val="clear" w:color="auto" w:fill="F0F0F0"/>
          </w:tcPr>
          <w:p>
            <w:pPr>
              <w:spacing w:after="0"/>
              <w:rPr>
                <w:sz w:val="21"/>
                <w:szCs w:val="21"/>
                <w:color w:val="auto"/>
              </w:rPr>
            </w:pPr>
          </w:p>
        </w:tc>
        <w:tc>
          <w:tcPr>
            <w:tcW w:w="6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40" w:type="dxa"/>
            <w:vAlign w:val="bottom"/>
            <w:gridSpan w:val="2"/>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080" w:type="dxa"/>
            <w:vAlign w:val="bottom"/>
            <w:gridSpan w:val="2"/>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1,284</w:t>
            </w: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1,547</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Chemical Products</w:t>
            </w:r>
          </w:p>
        </w:tc>
        <w:tc>
          <w:tcPr>
            <w:tcW w:w="280" w:type="dxa"/>
            <w:vAlign w:val="bottom"/>
            <w:shd w:val="clear" w:color="auto" w:fill="F0F0F0"/>
          </w:tcPr>
          <w:p>
            <w:pPr>
              <w:spacing w:after="0"/>
              <w:rPr>
                <w:sz w:val="23"/>
                <w:szCs w:val="23"/>
                <w:color w:val="auto"/>
              </w:rPr>
            </w:pPr>
          </w:p>
        </w:tc>
        <w:tc>
          <w:tcPr>
            <w:tcW w:w="6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60" w:type="dxa"/>
            <w:vAlign w:val="bottom"/>
            <w:shd w:val="clear" w:color="auto" w:fill="F0F0F0"/>
          </w:tcPr>
          <w:p>
            <w:pPr>
              <w:spacing w:after="0"/>
              <w:rPr>
                <w:sz w:val="23"/>
                <w:szCs w:val="23"/>
                <w:color w:val="auto"/>
              </w:rPr>
            </w:pPr>
          </w:p>
        </w:tc>
        <w:tc>
          <w:tcPr>
            <w:tcW w:w="8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080" w:type="dxa"/>
            <w:vAlign w:val="bottom"/>
            <w:gridSpan w:val="2"/>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718</w:t>
            </w: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1,702</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Specialty Products</w:t>
            </w:r>
          </w:p>
        </w:tc>
        <w:tc>
          <w:tcPr>
            <w:tcW w:w="280" w:type="dxa"/>
            <w:vAlign w:val="bottom"/>
            <w:shd w:val="clear" w:color="auto" w:fill="F0F0F0"/>
          </w:tcPr>
          <w:p>
            <w:pPr>
              <w:spacing w:after="0"/>
              <w:rPr>
                <w:sz w:val="23"/>
                <w:szCs w:val="23"/>
                <w:color w:val="auto"/>
              </w:rPr>
            </w:pPr>
          </w:p>
        </w:tc>
        <w:tc>
          <w:tcPr>
            <w:tcW w:w="6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60" w:type="dxa"/>
            <w:vAlign w:val="bottom"/>
            <w:shd w:val="clear" w:color="auto" w:fill="F0F0F0"/>
          </w:tcPr>
          <w:p>
            <w:pPr>
              <w:spacing w:after="0"/>
              <w:rPr>
                <w:sz w:val="23"/>
                <w:szCs w:val="23"/>
                <w:color w:val="auto"/>
              </w:rPr>
            </w:pPr>
          </w:p>
        </w:tc>
        <w:tc>
          <w:tcPr>
            <w:tcW w:w="8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80" w:type="dxa"/>
            <w:vAlign w:val="bottom"/>
            <w:gridSpan w:val="2"/>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63</w:t>
            </w: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391</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F0F0F0"/>
            </w:tcBorders>
            <w:shd w:val="clear" w:color="auto" w:fill="F0F0F0"/>
          </w:tcPr>
          <w:p>
            <w:pPr>
              <w:spacing w:after="0"/>
              <w:rPr>
                <w:sz w:val="24"/>
                <w:szCs w:val="24"/>
                <w:color w:val="auto"/>
              </w:rPr>
            </w:pPr>
          </w:p>
        </w:tc>
        <w:tc>
          <w:tcPr>
            <w:tcW w:w="60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60" w:type="dxa"/>
            <w:vAlign w:val="bottom"/>
            <w:tcBorders>
              <w:bottom w:val="single" w:sz="8" w:color="F0F0F0"/>
            </w:tcBorders>
            <w:shd w:val="clear" w:color="auto" w:fill="F0F0F0"/>
          </w:tcPr>
          <w:p>
            <w:pPr>
              <w:spacing w:after="0"/>
              <w:rPr>
                <w:sz w:val="24"/>
                <w:szCs w:val="24"/>
                <w:color w:val="auto"/>
              </w:rPr>
            </w:pPr>
          </w:p>
        </w:tc>
        <w:tc>
          <w:tcPr>
            <w:tcW w:w="88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F0F0F0"/>
            </w:tcBorders>
            <w:shd w:val="clear" w:color="auto" w:fill="F0F0F0"/>
          </w:tcPr>
          <w:p>
            <w:pPr>
              <w:spacing w:after="0"/>
              <w:rPr>
                <w:sz w:val="24"/>
                <w:szCs w:val="24"/>
                <w:color w:val="auto"/>
              </w:rPr>
            </w:pPr>
          </w:p>
        </w:tc>
        <w:tc>
          <w:tcPr>
            <w:tcW w:w="104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618</w:t>
            </w:r>
          </w:p>
        </w:tc>
        <w:tc>
          <w:tcPr>
            <w:tcW w:w="9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560" w:type="dxa"/>
            <w:vAlign w:val="bottom"/>
            <w:tcBorders>
              <w:top w:val="single" w:sz="8" w:color="0C479D"/>
              <w:bottom w:val="single" w:sz="8" w:color="0C479D"/>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Total Cash Capex </w:t>
            </w:r>
            <w:r>
              <w:rPr>
                <w:rFonts w:ascii="Times New Roman" w:cs="Times New Roman" w:eastAsia="Times New Roman" w:hAnsi="Times New Roman"/>
                <w:sz w:val="18"/>
                <w:szCs w:val="18"/>
                <w:color w:val="auto"/>
              </w:rPr>
              <w:t>(Non-GAAP)</w:t>
            </w:r>
          </w:p>
        </w:tc>
        <w:tc>
          <w:tcPr>
            <w:tcW w:w="280" w:type="dxa"/>
            <w:vAlign w:val="bottom"/>
            <w:tcBorders>
              <w:top w:val="single" w:sz="8" w:color="0C479D"/>
              <w:bottom w:val="single" w:sz="8" w:color="0C479D"/>
            </w:tcBorders>
            <w:shd w:val="clear" w:color="auto" w:fill="F0F0F0"/>
          </w:tcPr>
          <w:p>
            <w:pPr>
              <w:spacing w:after="0"/>
              <w:rPr>
                <w:sz w:val="21"/>
                <w:szCs w:val="21"/>
                <w:color w:val="auto"/>
              </w:rPr>
            </w:pPr>
          </w:p>
        </w:tc>
        <w:tc>
          <w:tcPr>
            <w:tcW w:w="600" w:type="dxa"/>
            <w:vAlign w:val="bottom"/>
            <w:tcBorders>
              <w:top w:val="single" w:sz="8" w:color="0C479D"/>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13,674</w:t>
            </w:r>
          </w:p>
        </w:tc>
        <w:tc>
          <w:tcPr>
            <w:tcW w:w="160" w:type="dxa"/>
            <w:vAlign w:val="bottom"/>
            <w:tcBorders>
              <w:top w:val="single" w:sz="8" w:color="0C479D"/>
              <w:bottom w:val="single" w:sz="8" w:color="0C479D"/>
            </w:tcBorders>
            <w:shd w:val="clear" w:color="auto" w:fill="F0F0F0"/>
          </w:tcPr>
          <w:p>
            <w:pPr>
              <w:spacing w:after="0"/>
              <w:rPr>
                <w:sz w:val="21"/>
                <w:szCs w:val="21"/>
                <w:color w:val="auto"/>
              </w:rPr>
            </w:pPr>
          </w:p>
        </w:tc>
        <w:tc>
          <w:tcPr>
            <w:tcW w:w="880" w:type="dxa"/>
            <w:vAlign w:val="bottom"/>
            <w:tcBorders>
              <w:top w:val="single" w:sz="8" w:color="0C479D"/>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11,973</w:t>
            </w:r>
          </w:p>
        </w:tc>
        <w:tc>
          <w:tcPr>
            <w:tcW w:w="40" w:type="dxa"/>
            <w:vAlign w:val="bottom"/>
            <w:tcBorders>
              <w:top w:val="single" w:sz="8" w:color="0C479D"/>
              <w:bottom w:val="single" w:sz="8" w:color="0C479D"/>
            </w:tcBorders>
            <w:shd w:val="clear" w:color="auto" w:fill="F0F0F0"/>
          </w:tcPr>
          <w:p>
            <w:pPr>
              <w:spacing w:after="0"/>
              <w:rPr>
                <w:sz w:val="21"/>
                <w:szCs w:val="21"/>
                <w:color w:val="auto"/>
              </w:rPr>
            </w:pPr>
          </w:p>
        </w:tc>
        <w:tc>
          <w:tcPr>
            <w:tcW w:w="1040" w:type="dxa"/>
            <w:vAlign w:val="bottom"/>
            <w:tcBorders>
              <w:top w:val="single" w:sz="8" w:color="0C479D"/>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25,647</w:t>
            </w:r>
          </w:p>
        </w:tc>
        <w:tc>
          <w:tcPr>
            <w:tcW w:w="1200" w:type="dxa"/>
            <w:vAlign w:val="bottom"/>
            <w:tcBorders>
              <w:top w:val="single" w:sz="8" w:color="0C479D"/>
              <w:bottom w:val="single" w:sz="8" w:color="0C479D"/>
            </w:tcBorders>
          </w:tcPr>
          <w:p>
            <w:pPr>
              <w:jc w:val="right"/>
              <w:ind w:right="133"/>
              <w:spacing w:after="0"/>
              <w:rPr>
                <w:sz w:val="20"/>
                <w:szCs w:val="20"/>
                <w:color w:val="auto"/>
              </w:rPr>
            </w:pPr>
            <w:r>
              <w:rPr>
                <w:rFonts w:ascii="Times New Roman" w:cs="Times New Roman" w:eastAsia="Times New Roman" w:hAnsi="Times New Roman"/>
                <w:sz w:val="18"/>
                <w:szCs w:val="18"/>
                <w:b w:val="1"/>
                <w:bCs w:val="1"/>
                <w:color w:val="auto"/>
              </w:rPr>
              <w:t>11,466</w:t>
            </w:r>
          </w:p>
        </w:tc>
        <w:tc>
          <w:tcPr>
            <w:tcW w:w="960" w:type="dxa"/>
            <w:vAlign w:val="bottom"/>
            <w:tcBorders>
              <w:top w:val="single" w:sz="8" w:color="0C479D"/>
              <w:bottom w:val="single" w:sz="8" w:color="0C479D"/>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11,762</w:t>
            </w:r>
          </w:p>
        </w:tc>
        <w:tc>
          <w:tcPr>
            <w:tcW w:w="980" w:type="dxa"/>
            <w:vAlign w:val="bottom"/>
            <w:tcBorders>
              <w:top w:val="single" w:sz="8" w:color="0C479D"/>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23,228</w:t>
            </w:r>
          </w:p>
        </w:tc>
        <w:tc>
          <w:tcPr>
            <w:tcW w:w="20" w:type="dxa"/>
            <w:vAlign w:val="bottom"/>
            <w:tcBorders>
              <w:top w:val="single" w:sz="8" w:color="0C479D"/>
              <w:bottom w:val="single" w:sz="8" w:color="0C479D"/>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Capex in 2024 was $25.6 billion. The Corporation plans to invest in the range of $27 billion to $29 billion in 2025. Included in the 2025 capital spend range is $8.1 billion of firm capital commitments. An additional $10.0 billion of firm capital commitments have been made for years 2026 and beyond. Actual spending could vary depending on the progress of individual projects and property acquisitions.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21"/>
          <w:szCs w:val="21"/>
          <w:b w:val="1"/>
          <w:bCs w:val="1"/>
          <w:color w:val="0C479D"/>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C479D"/>
        </w:rPr>
        <w:t>TAXES</w:t>
      </w:r>
    </w:p>
    <w:p>
      <w:pPr>
        <w:spacing w:after="0" w:line="143" w:lineRule="exact"/>
        <w:rPr>
          <w:sz w:val="20"/>
          <w:szCs w:val="20"/>
          <w:color w:val="auto"/>
        </w:rPr>
      </w:pPr>
    </w:p>
    <w:tbl>
      <w:tblPr>
        <w:tblLayout w:type="fixed"/>
        <w:tblInd w:w="780" w:type="dxa"/>
        <w:tblCellMar>
          <w:top w:w="0" w:type="dxa"/>
          <w:left w:w="0" w:type="dxa"/>
          <w:bottom w:w="0" w:type="dxa"/>
          <w:right w:w="0" w:type="dxa"/>
        </w:tblCellMar>
      </w:tblPr>
      <w:tr>
        <w:trPr>
          <w:trHeight w:val="250"/>
        </w:trPr>
        <w:tc>
          <w:tcPr>
            <w:tcW w:w="6580" w:type="dxa"/>
            <w:vAlign w:val="bottom"/>
            <w:tcBorders>
              <w:bottom w:val="single" w:sz="8" w:color="0C479D"/>
            </w:tcBorders>
            <w:shd w:val="clear" w:color="auto" w:fill="0C479D"/>
          </w:tcPr>
          <w:p>
            <w:pPr>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960" w:type="dxa"/>
            <w:vAlign w:val="bottom"/>
            <w:tcBorders>
              <w:bottom w:val="single" w:sz="8" w:color="0C479D"/>
            </w:tcBorders>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1280" w:type="dxa"/>
            <w:vAlign w:val="bottom"/>
            <w:tcBorders>
              <w:bottom w:val="single" w:sz="8" w:color="0C479D"/>
            </w:tcBorders>
            <w:shd w:val="clear" w:color="auto" w:fill="0C479D"/>
          </w:tcPr>
          <w:p>
            <w:pPr>
              <w:jc w:val="right"/>
              <w:ind w:right="134"/>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880" w:type="dxa"/>
            <w:vAlign w:val="bottom"/>
            <w:tcBorders>
              <w:bottom w:val="single" w:sz="8" w:color="0C479D"/>
            </w:tcBorders>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2022</w:t>
            </w:r>
          </w:p>
        </w:tc>
      </w:tr>
      <w:tr>
        <w:trPr>
          <w:trHeight w:val="243"/>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9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13,810</w:t>
            </w:r>
          </w:p>
        </w:tc>
        <w:tc>
          <w:tcPr>
            <w:tcW w:w="128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15,429</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20,176</w:t>
            </w:r>
          </w:p>
        </w:tc>
      </w:tr>
      <w:tr>
        <w:trPr>
          <w:trHeight w:val="270"/>
        </w:trPr>
        <w:tc>
          <w:tcPr>
            <w:tcW w:w="6580" w:type="dxa"/>
            <w:vAlign w:val="bottom"/>
          </w:tcPr>
          <w:p>
            <w:pPr>
              <w:ind w:left="220"/>
              <w:spacing w:after="0"/>
              <w:rPr>
                <w:sz w:val="20"/>
                <w:szCs w:val="20"/>
                <w:color w:val="auto"/>
              </w:rPr>
            </w:pPr>
            <w:r>
              <w:rPr>
                <w:rFonts w:ascii="Times New Roman" w:cs="Times New Roman" w:eastAsia="Times New Roman" w:hAnsi="Times New Roman"/>
                <w:sz w:val="18"/>
                <w:szCs w:val="18"/>
                <w:i w:val="1"/>
                <w:iCs w:val="1"/>
                <w:color w:val="auto"/>
              </w:rPr>
              <w:t>Effective income tax rate</w:t>
            </w:r>
          </w:p>
        </w:tc>
        <w:tc>
          <w:tcPr>
            <w:tcW w:w="960" w:type="dxa"/>
            <w:vAlign w:val="bottom"/>
            <w:shd w:val="clear" w:color="auto" w:fill="F0F0F0"/>
          </w:tcPr>
          <w:p>
            <w:pPr>
              <w:jc w:val="right"/>
              <w:ind w:right="234"/>
              <w:spacing w:after="0"/>
              <w:rPr>
                <w:sz w:val="20"/>
                <w:szCs w:val="20"/>
                <w:color w:val="auto"/>
              </w:rPr>
            </w:pPr>
            <w:r>
              <w:rPr>
                <w:rFonts w:ascii="Times New Roman" w:cs="Times New Roman" w:eastAsia="Times New Roman" w:hAnsi="Times New Roman"/>
                <w:sz w:val="18"/>
                <w:szCs w:val="18"/>
                <w:i w:val="1"/>
                <w:iCs w:val="1"/>
                <w:color w:val="auto"/>
              </w:rPr>
              <w:t>33%</w:t>
            </w:r>
          </w:p>
        </w:tc>
        <w:tc>
          <w:tcPr>
            <w:tcW w:w="1280" w:type="dxa"/>
            <w:vAlign w:val="bottom"/>
          </w:tcPr>
          <w:p>
            <w:pPr>
              <w:jc w:val="right"/>
              <w:ind w:right="434"/>
              <w:spacing w:after="0"/>
              <w:rPr>
                <w:sz w:val="20"/>
                <w:szCs w:val="20"/>
                <w:color w:val="auto"/>
              </w:rPr>
            </w:pPr>
            <w:r>
              <w:rPr>
                <w:rFonts w:ascii="Times New Roman" w:cs="Times New Roman" w:eastAsia="Times New Roman" w:hAnsi="Times New Roman"/>
                <w:sz w:val="18"/>
                <w:szCs w:val="18"/>
                <w:i w:val="1"/>
                <w:iCs w:val="1"/>
                <w:color w:val="auto"/>
              </w:rPr>
              <w:t>33%</w:t>
            </w:r>
          </w:p>
        </w:tc>
        <w:tc>
          <w:tcPr>
            <w:tcW w:w="880" w:type="dxa"/>
            <w:vAlign w:val="bottom"/>
          </w:tcPr>
          <w:p>
            <w:pPr>
              <w:jc w:val="right"/>
              <w:ind w:right="234"/>
              <w:spacing w:after="0"/>
              <w:rPr>
                <w:sz w:val="20"/>
                <w:szCs w:val="20"/>
                <w:color w:val="auto"/>
              </w:rPr>
            </w:pPr>
            <w:r>
              <w:rPr>
                <w:rFonts w:ascii="Times New Roman" w:cs="Times New Roman" w:eastAsia="Times New Roman" w:hAnsi="Times New Roman"/>
                <w:sz w:val="18"/>
                <w:szCs w:val="18"/>
                <w:i w:val="1"/>
                <w:iCs w:val="1"/>
                <w:color w:val="auto"/>
              </w:rPr>
              <w:t>33%</w:t>
            </w:r>
          </w:p>
        </w:tc>
      </w:tr>
      <w:tr>
        <w:trPr>
          <w:trHeight w:val="297"/>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taxes and duties</w:t>
            </w:r>
          </w:p>
        </w:tc>
        <w:tc>
          <w:tcPr>
            <w:tcW w:w="96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29,894</w:t>
            </w:r>
          </w:p>
        </w:tc>
        <w:tc>
          <w:tcPr>
            <w:tcW w:w="128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32,191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31,455</w:t>
            </w:r>
          </w:p>
        </w:tc>
      </w:tr>
      <w:tr>
        <w:trPr>
          <w:trHeight w:val="244"/>
        </w:trPr>
        <w:tc>
          <w:tcPr>
            <w:tcW w:w="6580" w:type="dxa"/>
            <w:vAlign w:val="bottom"/>
            <w:tcBorders>
              <w:top w:val="single" w:sz="8" w:color="0C479D"/>
              <w:bottom w:val="single" w:sz="8" w:color="0C479D"/>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60" w:type="dxa"/>
            <w:vAlign w:val="bottom"/>
            <w:tcBorders>
              <w:top w:val="single" w:sz="8" w:color="0C479D"/>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43,704</w:t>
            </w:r>
          </w:p>
        </w:tc>
        <w:tc>
          <w:tcPr>
            <w:tcW w:w="1280" w:type="dxa"/>
            <w:vAlign w:val="bottom"/>
            <w:tcBorders>
              <w:top w:val="single" w:sz="8" w:color="0C479D"/>
              <w:bottom w:val="single" w:sz="8" w:color="0C479D"/>
            </w:tcBorders>
          </w:tcPr>
          <w:p>
            <w:pPr>
              <w:jc w:val="right"/>
              <w:ind w:right="194"/>
              <w:spacing w:after="0"/>
              <w:rPr>
                <w:sz w:val="20"/>
                <w:szCs w:val="20"/>
                <w:color w:val="auto"/>
              </w:rPr>
            </w:pPr>
            <w:r>
              <w:rPr>
                <w:rFonts w:ascii="Times New Roman" w:cs="Times New Roman" w:eastAsia="Times New Roman" w:hAnsi="Times New Roman"/>
                <w:sz w:val="18"/>
                <w:szCs w:val="18"/>
                <w:b w:val="1"/>
                <w:bCs w:val="1"/>
                <w:color w:val="auto"/>
              </w:rPr>
              <w:t>47,620</w:t>
            </w:r>
          </w:p>
        </w:tc>
        <w:tc>
          <w:tcPr>
            <w:tcW w:w="880" w:type="dxa"/>
            <w:vAlign w:val="bottom"/>
            <w:tcBorders>
              <w:top w:val="single" w:sz="8" w:color="0C479D"/>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51,631</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taxes on the Corporation’s income statement were $43.7 billion in 2024, a decrease of $3.9 billion from 2023. Income tax expense, both current and deferred, was $13.8 billion compared to $15.4 billion in 2023. The effective tax rate, which is calculated based on consolidated company income taxes and ExxonMobil’s share of equity company income taxes, was 33 percent. This was flat compared to 2023. Total other taxes and duties of $29.9 billion in 2024 decreased $2.3 billion from 2023.</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taxes on the Corporation’s income statement were $47.6 billion in 2023, a decrease of $4.0 billion from 2022. Income tax expense, both current and deferred, was $15.4 billion compared to $20.2 billion in 2022. The effective tax rate, which is calculated based on consolidated company income taxes and ExxonMobil’s share of equity company income taxes, was 33 percent. This was flat compared to 2022, with higher effective rates from various jurisdictions offset by a lower impact from additional European taxes on the energy sector. Total other taxes and duties of $32.2 billion in 2023 increased $0.7 billion from 2022.</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C479D"/>
        </w:rPr>
        <w:t>ENVIRONMENTAL MATTERS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479D"/>
        </w:rPr>
        <w:t>Environmental Expenditures</w:t>
      </w:r>
    </w:p>
    <w:p>
      <w:pPr>
        <w:spacing w:after="0" w:line="139" w:lineRule="exact"/>
        <w:rPr>
          <w:sz w:val="20"/>
          <w:szCs w:val="20"/>
          <w:color w:val="auto"/>
        </w:rPr>
      </w:pPr>
    </w:p>
    <w:tbl>
      <w:tblPr>
        <w:tblLayout w:type="fixed"/>
        <w:tblInd w:w="800" w:type="dxa"/>
        <w:tblCellMar>
          <w:top w:w="0" w:type="dxa"/>
          <w:left w:w="0" w:type="dxa"/>
          <w:bottom w:w="0" w:type="dxa"/>
          <w:right w:w="0" w:type="dxa"/>
        </w:tblCellMar>
      </w:tblPr>
      <w:tr>
        <w:trPr>
          <w:trHeight w:val="250"/>
        </w:trPr>
        <w:tc>
          <w:tcPr>
            <w:tcW w:w="7640" w:type="dxa"/>
            <w:vAlign w:val="bottom"/>
            <w:tcBorders>
              <w:bottom w:val="single" w:sz="8" w:color="0C479D"/>
            </w:tcBorders>
            <w:shd w:val="clear" w:color="auto" w:fill="0C479D"/>
          </w:tcPr>
          <w:p>
            <w:pPr>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960" w:type="dxa"/>
            <w:vAlign w:val="bottom"/>
            <w:tcBorders>
              <w:bottom w:val="single" w:sz="8" w:color="0C479D"/>
            </w:tcBorders>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1080" w:type="dxa"/>
            <w:vAlign w:val="bottom"/>
            <w:tcBorders>
              <w:bottom w:val="single" w:sz="8" w:color="0C479D"/>
            </w:tcBorders>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2023</w:t>
            </w:r>
          </w:p>
        </w:tc>
      </w:tr>
      <w:tr>
        <w:trPr>
          <w:trHeight w:val="243"/>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960" w:type="dxa"/>
            <w:vAlign w:val="bottom"/>
            <w:shd w:val="clear" w:color="auto" w:fill="F0F0F0"/>
          </w:tcPr>
          <w:p>
            <w:pPr>
              <w:jc w:val="right"/>
              <w:ind w:right="15"/>
              <w:spacing w:after="0"/>
              <w:rPr>
                <w:sz w:val="20"/>
                <w:szCs w:val="20"/>
                <w:color w:val="auto"/>
              </w:rPr>
            </w:pPr>
            <w:r>
              <w:rPr>
                <w:rFonts w:ascii="Times New Roman" w:cs="Times New Roman" w:eastAsia="Times New Roman" w:hAnsi="Times New Roman"/>
                <w:sz w:val="18"/>
                <w:szCs w:val="18"/>
                <w:color w:val="auto"/>
              </w:rPr>
              <w:t>3,607</w:t>
            </w: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2,799</w:t>
            </w:r>
          </w:p>
        </w:tc>
      </w:tr>
      <w:tr>
        <w:trPr>
          <w:trHeight w:val="297"/>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Other expenditures</w:t>
            </w:r>
          </w:p>
        </w:tc>
        <w:tc>
          <w:tcPr>
            <w:tcW w:w="960" w:type="dxa"/>
            <w:vAlign w:val="bottom"/>
            <w:tcBorders>
              <w:bottom w:val="single" w:sz="8" w:color="F0F0F0"/>
            </w:tcBorders>
            <w:shd w:val="clear" w:color="auto" w:fill="F0F0F0"/>
          </w:tcPr>
          <w:p>
            <w:pPr>
              <w:jc w:val="right"/>
              <w:ind w:right="15"/>
              <w:spacing w:after="0"/>
              <w:rPr>
                <w:sz w:val="20"/>
                <w:szCs w:val="20"/>
                <w:color w:val="auto"/>
              </w:rPr>
            </w:pPr>
            <w:r>
              <w:rPr>
                <w:rFonts w:ascii="Times New Roman" w:cs="Times New Roman" w:eastAsia="Times New Roman" w:hAnsi="Times New Roman"/>
                <w:sz w:val="18"/>
                <w:szCs w:val="18"/>
                <w:color w:val="auto"/>
              </w:rPr>
              <w:t>5,348</w:t>
            </w: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4,336</w:t>
            </w:r>
          </w:p>
        </w:tc>
      </w:tr>
      <w:tr>
        <w:trPr>
          <w:trHeight w:val="244"/>
        </w:trPr>
        <w:tc>
          <w:tcPr>
            <w:tcW w:w="7640" w:type="dxa"/>
            <w:vAlign w:val="bottom"/>
            <w:tcBorders>
              <w:top w:val="single" w:sz="8" w:color="0C479D"/>
              <w:bottom w:val="single" w:sz="8" w:color="0C479D"/>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60" w:type="dxa"/>
            <w:vAlign w:val="bottom"/>
            <w:tcBorders>
              <w:top w:val="single" w:sz="8" w:color="0C479D"/>
              <w:bottom w:val="single" w:sz="8" w:color="0C479D"/>
            </w:tcBorders>
            <w:shd w:val="clear" w:color="auto" w:fill="F0F0F0"/>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8,955</w:t>
            </w:r>
          </w:p>
        </w:tc>
        <w:tc>
          <w:tcPr>
            <w:tcW w:w="1080" w:type="dxa"/>
            <w:vAlign w:val="bottom"/>
            <w:tcBorders>
              <w:top w:val="single" w:sz="8" w:color="0C479D"/>
              <w:bottom w:val="single" w:sz="8" w:color="0C479D"/>
            </w:tcBorders>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7,135</w:t>
            </w:r>
          </w:p>
        </w:tc>
      </w:tr>
    </w:tbl>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Throughout ExxonMobil’s businesses, new and ongoing measures are taken to prevent and minimize the impact of our operations on air, water, and ground. These include significant investments in refining infrastructure and technology to manufacture clean fuels; projects to monitor and reduce air, water, and waste emissions, both from the Company’s operations and from other companies; and expenditures for asset retirement obligations. Using definitions and guidelines established by the American Petroleum Institute, ExxonMobil’s 2024 worldwide environmental expenditures for all such preventative and remediation steps, including ExxonMobil’s share of equity company expenditures, were $9.0 billion, of which $5.3 billion were included in expenses with the remainder in capital expenditures. As the Corporation progresses its emission-reduction plans, worldwide environmental expenditures are expected to increase to approximately $12 billion annually in 2025 and 2026, with capital expenditures expected to account for approximately 55 percent of the total in each year.</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479D"/>
        </w:rPr>
        <w:t>Environmental Liabilities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Corporation accrues environmental liabilities when it is probable that obligations have been incurred and the amounts can be reasonably estimated. This policy applies to assets or businesses currently owned or previously disposed. ExxonMobil has accrued liabilities for probable environmental remediation obligations at various sites, including multiparty sites where the U.S. Environmental Protection Agency has identified ExxonMobil as one of the potentially responsible parties. The involvement of other financially responsible companies at these multiparty sites could mitigate ExxonMobil’s actual joint and several liability exposure. At present, no individual site is expected to have losses material to ExxonMobil’s operations or financial condition. Consolidated company provisions made in 2024 for environmental liabilities were $277 million ($208 million in 2023), and the balance sheet reflects liabilities of $734 million as of December 31, 2024, and $701 million as of December 31, 2023.</w:t>
      </w: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21"/>
          <w:szCs w:val="21"/>
          <w:b w:val="1"/>
          <w:bCs w:val="1"/>
          <w:color w:val="0C479D"/>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C479D"/>
        </w:rPr>
        <w:t>MARKET RISKS</w:t>
      </w:r>
    </w:p>
    <w:p>
      <w:pPr>
        <w:spacing w:after="0" w:line="143" w:lineRule="exact"/>
        <w:rPr>
          <w:sz w:val="20"/>
          <w:szCs w:val="20"/>
          <w:color w:val="auto"/>
        </w:rPr>
      </w:pPr>
    </w:p>
    <w:tbl>
      <w:tblPr>
        <w:tblLayout w:type="fixed"/>
        <w:tblInd w:w="780" w:type="dxa"/>
        <w:tblCellMar>
          <w:top w:w="0" w:type="dxa"/>
          <w:left w:w="0" w:type="dxa"/>
          <w:bottom w:w="0" w:type="dxa"/>
          <w:right w:w="0" w:type="dxa"/>
        </w:tblCellMar>
      </w:tblPr>
      <w:tr>
        <w:trPr>
          <w:trHeight w:val="270"/>
        </w:trPr>
        <w:tc>
          <w:tcPr>
            <w:tcW w:w="6580" w:type="dxa"/>
            <w:vAlign w:val="bottom"/>
            <w:shd w:val="clear" w:color="auto" w:fill="0C479D"/>
          </w:tcPr>
          <w:p>
            <w:pPr>
              <w:spacing w:after="0"/>
              <w:rPr>
                <w:sz w:val="20"/>
                <w:szCs w:val="20"/>
                <w:color w:val="auto"/>
              </w:rPr>
            </w:pPr>
            <w:r>
              <w:rPr>
                <w:rFonts w:ascii="Times New Roman" w:cs="Times New Roman" w:eastAsia="Times New Roman" w:hAnsi="Times New Roman"/>
                <w:sz w:val="18"/>
                <w:szCs w:val="18"/>
                <w:color w:val="FFFFFF"/>
              </w:rPr>
              <w:t xml:space="preserve">Marker </w:t>
            </w:r>
            <w:r>
              <w:rPr>
                <w:rFonts w:ascii="Times New Roman" w:cs="Times New Roman" w:eastAsia="Times New Roman" w:hAnsi="Times New Roman"/>
                <w:sz w:val="23"/>
                <w:szCs w:val="23"/>
                <w:i w:val="1"/>
                <w:iCs w:val="1"/>
                <w:color w:val="FFFFFF"/>
                <w:vertAlign w:val="superscript"/>
              </w:rPr>
              <w:t>(1)</w:t>
            </w:r>
          </w:p>
        </w:tc>
        <w:tc>
          <w:tcPr>
            <w:tcW w:w="960" w:type="dxa"/>
            <w:vAlign w:val="bottom"/>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1320" w:type="dxa"/>
            <w:vAlign w:val="bottom"/>
            <w:shd w:val="clear" w:color="auto" w:fill="0C479D"/>
          </w:tcPr>
          <w:p>
            <w:pPr>
              <w:jc w:val="right"/>
              <w:ind w:right="175"/>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840" w:type="dxa"/>
            <w:vAlign w:val="bottom"/>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2022</w:t>
            </w:r>
          </w:p>
        </w:tc>
      </w:tr>
      <w:tr>
        <w:trPr>
          <w:trHeight w:val="243"/>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Brent ($ per barrel)</w:t>
            </w:r>
          </w:p>
        </w:tc>
        <w:tc>
          <w:tcPr>
            <w:tcW w:w="9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80.76</w:t>
            </w:r>
          </w:p>
        </w:tc>
        <w:tc>
          <w:tcPr>
            <w:tcW w:w="132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82.62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101.19</w:t>
            </w:r>
          </w:p>
        </w:tc>
      </w:tr>
      <w:tr>
        <w:trPr>
          <w:trHeight w:val="270"/>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Henry Hub ($ per metric million British thermal unit)</w:t>
            </w:r>
          </w:p>
        </w:tc>
        <w:tc>
          <w:tcPr>
            <w:tcW w:w="9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32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2.74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r>
      <w:tr>
        <w:trPr>
          <w:trHeight w:val="291"/>
        </w:trPr>
        <w:tc>
          <w:tcPr>
            <w:tcW w:w="658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color w:val="auto"/>
              </w:rPr>
              <w:t>TTF ($ per metric million British thermal unit)</w:t>
            </w:r>
          </w:p>
        </w:tc>
        <w:tc>
          <w:tcPr>
            <w:tcW w:w="9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320" w:type="dxa"/>
            <w:vAlign w:val="bottom"/>
            <w:tcBorders>
              <w:bottom w:val="single" w:sz="8" w:color="0C479D"/>
            </w:tcBorders>
          </w:tcPr>
          <w:p>
            <w:pPr>
              <w:jc w:val="right"/>
              <w:ind w:right="235"/>
              <w:spacing w:after="0"/>
              <w:rPr>
                <w:sz w:val="20"/>
                <w:szCs w:val="20"/>
                <w:color w:val="auto"/>
              </w:rPr>
            </w:pPr>
            <w:r>
              <w:rPr>
                <w:rFonts w:ascii="Times New Roman" w:cs="Times New Roman" w:eastAsia="Times New Roman" w:hAnsi="Times New Roman"/>
                <w:sz w:val="18"/>
                <w:szCs w:val="18"/>
                <w:color w:val="auto"/>
              </w:rPr>
              <w:t>15.15</w:t>
            </w:r>
          </w:p>
        </w:tc>
        <w:tc>
          <w:tcPr>
            <w:tcW w:w="8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40.22</w:t>
            </w:r>
          </w:p>
        </w:tc>
      </w:tr>
    </w:tbl>
    <w:p>
      <w:pPr>
        <w:spacing w:after="0" w:line="55" w:lineRule="exact"/>
        <w:rPr>
          <w:sz w:val="20"/>
          <w:szCs w:val="20"/>
          <w:color w:val="auto"/>
        </w:rPr>
      </w:pPr>
    </w:p>
    <w:p>
      <w:pPr>
        <w:ind w:left="940" w:hanging="151"/>
        <w:spacing w:after="0"/>
        <w:tabs>
          <w:tab w:leader="none" w:pos="940" w:val="left"/>
        </w:tabs>
        <w:numPr>
          <w:ilvl w:val="0"/>
          <w:numId w:val="41"/>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Markers reflect the average prices from the year.</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Crude oil, natural gas, petroleum product, and chemical prices have fluctuated in response to changing market forces. The impacts of these price fluctuations on earnings have varied across the Corporation's operating segments. For the year 2025, a $1 per barrel change in the Brent price would have an approximately $650 million annual after-tax effect on Upstream consolidated plus equity company earnings, excluding the impact of derivatives. This Brent sensitivity includes oil-linked LNG sales which make up approximately 10 percent of the sensitivity. A $0.10 per million metric British thermal unit change in the Henry Hub price would have an approximately $75 million annual after-tax effect on Upstream consolidated plus equity company earnings, excluding the impact of derivatives. Similarly, a $0.10 per million metric British thermal unit change in the Title Transfer Facility (TTF) price would have an approximately $20 million annual after-tax effect on Upstream consolidated plus equity company earnings, excluding the impact of derivatives. This TTF sensitivity primarily represents LNG sales. These price markers have a direct impact on our realized prices. For any given period, the extent of actual benefit or detriment will be dependent on the price movements of individual types of crude oil, results of trading activities, taxes and other government take impacts, price adjustment lags in long-term gas contracts, and crude and gas production volumes. Accordingly, changes in benchmark prices for crude oil and natural gas only provide broad indicators of changes in the earnings experienced in any particular period.</w:t>
      </w:r>
    </w:p>
    <w:p>
      <w:pPr>
        <w:spacing w:after="0" w:line="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very competitive petroleum and petrochemical environment, earnings are primarily determined by margin capture rather than absolute price levels of products sold. Refining margins are a function of the difference between what a refiner pays for its raw materials (primarily crude oil) and the market prices for the range of products produced. These prices in turn depend on global and regional supply/demand balances, inventory levels, refinery operations, import/export balances and weather.</w:t>
      </w:r>
    </w:p>
    <w:p>
      <w:pPr>
        <w:spacing w:after="0" w:line="5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global energy markets can give rise to extended periods in which market conditions are adverse to one or more of the Corporation’s businesses. Such conditions, along with the capital-intensive nature of the industry and very long lead times associated with many of our projects, underscore the importance of maintaining a strong financial position. Management views the Corporation’s financial strength as a competitive advantage.</w:t>
      </w:r>
    </w:p>
    <w:p>
      <w:pPr>
        <w:spacing w:after="0" w:line="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general, segment results are not dependent on the ability to sell and/or purchase products to/from other segments. Instead, where such sales take place, they are the result of efficiencies and competitive advantages of integrated refinery and chemical complexes. Additionally, intersegment sales are at market-based prices. The products bought and sold between segments can also be acquired in worldwide markets that have substantial liquidity, capacity, and transportation capabilities. Refer to </w:t>
      </w:r>
      <w:r>
        <w:rPr>
          <w:rFonts w:ascii="Times New Roman" w:cs="Times New Roman" w:eastAsia="Times New Roman" w:hAnsi="Times New Roman"/>
          <w:sz w:val="18"/>
          <w:szCs w:val="18"/>
          <w:color w:val="0000FF"/>
        </w:rPr>
        <w:t>Note 18</w:t>
      </w:r>
      <w:r>
        <w:rPr>
          <w:rFonts w:ascii="Times New Roman" w:cs="Times New Roman" w:eastAsia="Times New Roman" w:hAnsi="Times New Roman"/>
          <w:sz w:val="18"/>
          <w:szCs w:val="18"/>
          <w:color w:val="auto"/>
        </w:rPr>
        <w:t xml:space="preserve"> for additional information on intersegment revenue.</w:t>
      </w:r>
    </w:p>
    <w:p>
      <w:pPr>
        <w:spacing w:after="0" w:line="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price levels of crude oil and natural gas may rise or fall significantly over the short to medium term due to global economic conditions, political events, decisions by OPEC or OPEC+ and other major government resource owners and other factors, industry economics over the long term will continue to be driven by market supply and demand. The Corporation evaluates investments over a range of prices, including estimated greenhouse gas emission costs even in jurisdictions without a current greenhouse gas pricing policy.</w:t>
      </w:r>
    </w:p>
    <w:p>
      <w:pPr>
        <w:spacing w:after="0" w:line="5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Corporation has an active asset management program in which nonstrategic assets are considered for divestment. The asset management program includes a disciplined, regular review to ensure assets are contributing to the Corporation’s strategic objectives.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479D"/>
        </w:rPr>
        <w:t>Risk Management</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Corporation’s size, strong capital structure, geographic diversity, and the complementary nature of its business segments reduce the Corporation’s enterprise-wide risk from changes in commodity prices, currency rates, and interest rates. In addition, the Corporation uses commodity-based contracts, including derivatives, to manage commodity price risk and to generate returns from trading. The Corporation’s commodity derivatives are not accounted for under hedge accounting. At times, the Corporation also enters into currency and interest rate derivatives, none of which are material to the Corporation’s financial position as of December 31, 2024 and 2023, or results of operations for the years ended 2024, 2023, and 2022. Credit risk associated with the Corporation’s derivative position is mitigated by several factors, including the use of derivative clearing exchanges and the quality of and financial limits placed on derivative counterparties. No material market or credit risks to the Corporation’s financial position, results of operations or liquidity exist as a result of the derivatives described in </w:t>
      </w:r>
      <w:r>
        <w:rPr>
          <w:rFonts w:ascii="Times New Roman" w:cs="Times New Roman" w:eastAsia="Times New Roman" w:hAnsi="Times New Roman"/>
          <w:sz w:val="18"/>
          <w:szCs w:val="18"/>
          <w:color w:val="0000FF"/>
        </w:rPr>
        <w:t>Note 13</w:t>
      </w:r>
      <w:r>
        <w:rPr>
          <w:rFonts w:ascii="Times New Roman" w:cs="Times New Roman" w:eastAsia="Times New Roman" w:hAnsi="Times New Roman"/>
          <w:sz w:val="18"/>
          <w:szCs w:val="18"/>
          <w:color w:val="auto"/>
        </w:rPr>
        <w:t>. The Corporation maintains a system of controls that includes the authorization, reporting and monitoring of derivative activity.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21"/>
          <w:szCs w:val="21"/>
          <w:b w:val="1"/>
          <w:bCs w:val="1"/>
          <w:color w:val="0C479D"/>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Corporation is exposed to changes in interest rates, primarily on its short-term debt and the portion of long-term debt that carries floating interest rates. The impact of a 100-basis-point change in interest rates affecting the Corporation’s debt would not be material to earnings or cash flow. The Corporation has access to significant capacity of long-term and short-term liquidity. Internally generated funds are generally expected to cover financial requirements, supplemented by long-term and short-term debt as required. Commercial paper is used to balance short-term liquidity requirements. Some joint-venture partners are dependent on the credit markets, and their funding ability may impact the development pace of joint-venture projects.</w:t>
      </w:r>
    </w:p>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Corporation conducts business in many foreign currencies and is subject to exchange rate risk on cash flows related to sales, expenses, financing, and investment transactions. Fluctuations in exchange rates are often offsetting and the impacts on ExxonMobil’s geographically and functionally diverse operations are varied. The Corporation makes limited use of currency exchange contracts to mitigate the impact of changes in currency values, and exposures related to the Corporation’s use of these contracts are not material.</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C479D"/>
        </w:rPr>
        <w:t>CRITICAL ACCOUNTING ESTIMATES</w:t>
      </w:r>
    </w:p>
    <w:p>
      <w:pPr>
        <w:spacing w:after="0" w:line="9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Corporation’s accounting and financial reporting fairly reflect its integrated business model involving exploration for, and production of, crude oil and natural gas; manufacture, trade, transport and sale of crude oil, natural gas, petroleum products, petrochemicals, and a wide variety of specialty products; and pursuit of lower-emission and other new business opportunities including carbon capture and storage, hydrogen, lower-emission fuels, Proxxima</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systems, carbon materials, and lithium. The preparation of financial statements in conformity with U.S. Generally Accepted Accounting Principles (GAAP) requires management to make estimates and judgments that affect the reported amounts of assets, liabilities, revenues, and expenses and the disclosure of contingent assets and liabilities. The Corporation’s accounting policies are summarized in </w:t>
      </w:r>
      <w:r>
        <w:rPr>
          <w:rFonts w:ascii="Times New Roman" w:cs="Times New Roman" w:eastAsia="Times New Roman" w:hAnsi="Times New Roman"/>
          <w:sz w:val="18"/>
          <w:szCs w:val="18"/>
          <w:color w:val="0000FF"/>
        </w:rPr>
        <w:t>Note 1</w:t>
      </w:r>
      <w:r>
        <w:rPr>
          <w:rFonts w:ascii="Times New Roman" w:cs="Times New Roman" w:eastAsia="Times New Roman" w:hAnsi="Times New Roman"/>
          <w:sz w:val="18"/>
          <w:szCs w:val="18"/>
          <w:color w:val="auto"/>
        </w:rPr>
        <w:t>.</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479D"/>
        </w:rPr>
        <w:t>Oil and Natural Gas Reserves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estimation of proved oil and natural gas reserve volumes is an ongoing process based on rigorous technical evaluations, commercial and market assessments, and detailed analysis of reservoir and well performance, development and production costs, and other factors. The estimation of proved reserves is controlled by the Corporation through long-standing approval guidelines. Reserve changes are made within a well-established, disciplined process driven by senior level geoscience and engineering professionals, assisted by the Global Reserves and Resources Group which has significant technical experience, culminating in reviews with and approval by senior management. Notably, the Corporation does not use specific quantitative reserve targets to determine compensation. Key features of the reserve estimation process are covered in Disclosure of Reserves in </w:t>
      </w:r>
      <w:r>
        <w:rPr>
          <w:rFonts w:ascii="Times New Roman" w:cs="Times New Roman" w:eastAsia="Times New Roman" w:hAnsi="Times New Roman"/>
          <w:sz w:val="18"/>
          <w:szCs w:val="18"/>
          <w:color w:val="0000FF"/>
        </w:rPr>
        <w:t>Item 2</w:t>
      </w:r>
      <w:r>
        <w:rPr>
          <w:rFonts w:ascii="Times New Roman" w:cs="Times New Roman" w:eastAsia="Times New Roman" w:hAnsi="Times New Roman"/>
          <w:sz w:val="18"/>
          <w:szCs w:val="18"/>
          <w:color w:val="auto"/>
        </w:rPr>
        <w: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Oil and natural gas reserves include both proved and unproved reserves.</w:t>
      </w:r>
    </w:p>
    <w:p>
      <w:pPr>
        <w:spacing w:after="0" w:line="90" w:lineRule="exact"/>
        <w:rPr>
          <w:sz w:val="20"/>
          <w:szCs w:val="20"/>
          <w:color w:val="auto"/>
        </w:rPr>
      </w:pPr>
    </w:p>
    <w:p>
      <w:pPr>
        <w:jc w:val="both"/>
        <w:ind w:left="660" w:hanging="328"/>
        <w:spacing w:after="0" w:line="261"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Proved oil and natural gas reserves are determined in accordance with Securities and Exchange Commission (SEC) requirements. Proved reserves are those quantities of oil and natural gas which, by analysis of geoscience and engineering data, can be estimated with reasonable certainty to be economically producible under existing economic and operating conditions and government regulations. Proved reserves are determined using the average of first-of-month oil and natural gas prices during the reporting year.</w:t>
      </w:r>
    </w:p>
    <w:p>
      <w:pPr>
        <w:spacing w:after="0" w:line="58"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Proved reserves can be further subdivided into developed and undeveloped reserves. Proved developed reserves include amounts which are expected to be recovered through existing wells with existing equipment and operating methods. Proved undeveloped reserves include amounts expected to be recovered from new wells on undrilled proved acreage or from existing wells where a relatively major expenditure is required for completion. Proved undeveloped reserves are recognized only if a development plan has been adopted indicating that the reserves are scheduled to be drilled within five years, unless specific circumstances support a longer period of time.</w:t>
      </w:r>
    </w:p>
    <w:p>
      <w:pPr>
        <w:spacing w:after="0" w:line="61"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is reasonably certain that proved reserves will be produced. However, the timing and amount recovered can be affected by a number of factors including completion of development projects, reservoir performance, regulatory approvals, government policy, consumer preferences, and significant changes in oil and natural gas price levels.</w:t>
      </w:r>
    </w:p>
    <w:p>
      <w:pPr>
        <w:spacing w:after="0" w:line="4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Unproved reserves are quantities of oil and natural gas with less than reasonable certainty of recoverability and include probable reserves. Probable reserves are reserves that, together with proved reserves, are as likely as not to be recovered.</w:t>
      </w:r>
    </w:p>
    <w:p>
      <w:pPr>
        <w:spacing w:after="0" w:line="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Revisions in previously estimated volumes of proved reserves for existing fields can occur due to the evaluation or re-evaluation of (1) already available geologic, reservoir, or production data, (2) new geologic, reservoir, or production data, or (3) changes in the average of first-of-month oil and natural gas prices and/or costs that are used in the estimation of reserves. Revisions can also result from significant changes in development strategy or production equipment and facility capacity.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21"/>
          <w:szCs w:val="21"/>
          <w:b w:val="1"/>
          <w:bCs w:val="1"/>
          <w:color w:val="0C479D"/>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479D"/>
        </w:rPr>
        <w:t>Unit-of-Production Depreciation</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Oil and natural gas reserve volumes are used as the basis to calculate unit-of-production depreciation rates for most upstream assets. Acquisition costs of proved properties are depreciated using a ratio of asset cost to total proved reserves while capitalized drilling and developments costs are depreciated using a ratio of actual production volumes to proved developed reserves. The volumes produced and asset cost are known, while proved reserves are based on estimates that are subject to some variability.</w:t>
      </w:r>
    </w:p>
    <w:p>
      <w:pPr>
        <w:spacing w:after="0" w:line="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that the unit-of-production method does not result in an equitable allocation of cost over the economic life of an upstream asset, an alternative method is used. The straight-line method is used in limited situations where the expected life of the asset does not reasonably correlate with that of the underlying reserves. For example, certain assets used in the production of oil and natural gas have a shorter life than the reserves, and as such, the Corporation uses straight-line depreciation to ensure the asset is fully depreciated by the end of its useful life.</w:t>
      </w:r>
    </w:p>
    <w:p>
      <w:pPr>
        <w:spacing w:after="0" w:line="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extent that proved reserves for a property are substantially de-booked and that property continues to produce such that the resulting depreciation charge does not result in an equitable allocation of cost over the expected life, assets will be depreciated using a unit-of-production method based on reserves determined at the most recent SEC price which results in a more meaningful quantity of proved reserves, appropriately adjusted for production and technical changes.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479D"/>
        </w:rPr>
        <w:t>Fair Value Used in Business Combinations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accounting for business combinations, the purchase price paid to acquire a business is allocated to its assets and liabilities based on their respective estimated fair values as of the date of acquisition. If applicable, any excess of the purchase price over the fair value is recorded as goodwill. The assessment of fair value is based upon the views of a likely market participant group.</w:t>
      </w:r>
    </w:p>
    <w:p>
      <w:pPr>
        <w:spacing w:after="0" w:line="2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On May 3, 2024, the Corporation acquired Pioneer Natural Resources Company (Pioneer), an independent oil and gas exploration and production company. To effect the acquisition, we issued 545 million shares of ExxonMobil common stock having a fair value of $63 billion on the acquisition date, and assumed debt with a fair value of $5 billion.</w:t>
      </w:r>
    </w:p>
    <w:p>
      <w:pPr>
        <w:spacing w:after="0" w:line="4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respect of the Pioneer acquisition, the most significant amount of judgment involved the estimated fair values of property, plant and equipment related to crude oil and natural gas properties, for which we used discounted cash flow models. Inputs and assumptions used in discounted cash flow models include estimates of future production volumes, commodity prices consistent with the average of third-party industry experts, drilling and development costs, and risk-adjusted discount rates.</w:t>
      </w:r>
    </w:p>
    <w:p>
      <w:pPr>
        <w:spacing w:after="0" w:line="7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assumptions and inputs incorporated within the fair value estimates are subject to considerable management judgement and are based on industry, market, and economic conditions prevalent at the time of the acquisition. Actual results may differ from the projected results used to determine fair value.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color w:val="0000FF"/>
        </w:rPr>
        <w:t>Note 21</w:t>
      </w:r>
      <w:r>
        <w:rPr>
          <w:rFonts w:ascii="Times New Roman" w:cs="Times New Roman" w:eastAsia="Times New Roman" w:hAnsi="Times New Roman"/>
          <w:sz w:val="18"/>
          <w:szCs w:val="18"/>
          <w:color w:val="auto"/>
        </w:rPr>
        <w:t xml:space="preserve"> for further information regarding the Pioneer acquisition during 2024.</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479D"/>
        </w:rPr>
        <w:t>Impairment</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Corporation tests assets or groups of assets for recoverability on an ongoing basis whenever events or changes in circumstances indicate that the carrying amounts may not be recoverable. The Corporation has a robust process to monitor for indicators of potential impairment across its asset groups throughout the year. This process is aligned with the requirements of ASC 360 and ASC 932, and relies, in part, on the Corporation’s planning and budgeting cycle.</w:t>
      </w:r>
    </w:p>
    <w:p>
      <w:pPr>
        <w:spacing w:after="0" w:line="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the lifespans of the vast majority of the Corporation’s major assets are measured in decades, the future cash flows of these assets are predominantly based on long-term oil and natural gas commodity prices and industry margins, development costs, and production costs. Significant reductions in the Corporation’s view of oil or natural gas commodity prices or margin ranges, especially the longer-term prices and margins, and changes in the development plans, including decisions to defer, reduce, or eliminate planned capital spending, can be an indicator of potential impairment. Other events or changes in circumstances, including indicators outlined in ASC 360, can be indicators of potential impairment as well.</w:t>
      </w:r>
    </w:p>
    <w:p>
      <w:pPr>
        <w:spacing w:after="0" w:line="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general, the Corporation does not view temporarily low prices or margins as an indication of impairment. Management believes that prices over the long term must be sufficient to generate investments in energy supply to meet global demand. Although prices will occasionally drop significantly, industry prices over the long term will continue to be driven by market supply and demand fundamentals. On the supply side, industry production from mature fields is declining. This is being offset by investments to generate production from new discoveries, field developments, and technology and efficiency advancements. OPEC+ investment activities and production policies also have an impact on world oil supplies. The demand side is largely a function of general economic activities, alternative energy sources, and levels of prosperity. During the lifespan of its major assets, the Corporation expects that oil and gas prices and industry margins will experience significant volatility. Consequently, these assets will experience periods of higher earnings and periods of lower earnings, or even losses. In assessing whether events or changes in circumstances indicate the carrying value of</w:t>
      </w: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21"/>
          <w:szCs w:val="21"/>
          <w:b w:val="1"/>
          <w:bCs w:val="1"/>
          <w:color w:val="0C479D"/>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asset may not be recoverable, the Corporation considers recent periods of operating losses in the context of its longer-term view of prices and margins.</w:t>
      </w:r>
    </w:p>
    <w:p>
      <w:pPr>
        <w:spacing w:after="0" w:line="1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Global Outlook and Cash Flow Assessment. </w:t>
      </w:r>
      <w:r>
        <w:rPr>
          <w:rFonts w:ascii="Times New Roman" w:cs="Times New Roman" w:eastAsia="Times New Roman" w:hAnsi="Times New Roman"/>
          <w:sz w:val="18"/>
          <w:szCs w:val="18"/>
          <w:color w:val="auto"/>
        </w:rPr>
        <w:t>The annual planning and budgeting process, known as the Corporate Plan, is the mechanism by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resources (capital, operating expenses, and people) are allocated across the Corporation. The foundation for the assumptions supporting the Corporate Plan is the Global Outlook (Outlook), which contains the Corporation’s demand and supply projections based on its assessment of current trends in technology, government policies, consumer preferences, geopolitics, economic development, and other factors. Reflective of the existing global policy environment, the Outlook does not attempt to project the degree of necessary future policy and technology advancement and deployment for the world, or the Corporation, to meet net zero by 2050. As future policies and technology advancements emerge, they will be incorporated into the Outlook, and the Corporation’s business plans will be updated accordingly.</w:t>
      </w:r>
    </w:p>
    <w:p>
      <w:pPr>
        <w:spacing w:after="0" w:line="6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events or changes in circumstances indicate that the carrying value of an asset may not be recoverable, the Corporation estimates the future undiscounted cash flows of the affected properties to judge the recoverability of carrying amounts. In performing this assessment, assets are grouped at the lowest level for which there are identifiable cash flows that are largely independent of the cash flows of other groups of assets. Cash flows used in recoverability assessments are based on the assumptions developed in the Corporate Plan, which is reviewed and approved by the Board of Directors, and are consistent with the criteria management uses to evaluate investment opportunities. These evaluations make use of the Corporation’s assumptions of future capital allocations, crude oil and natural gas commodity prices including price differentials, refining and chemical margins, volumes, development and operating costs including greenhouse gas emission prices, and foreign currency exchange rates. Notably, when assessing future cash flows, the Corporation includes the estimated costs in support of reaching its 2030 greenhouse gas emission-reduction plans, including its goal of net-zero Scope 1 and 2 greenhouse gas emissions from unconventional operated assets in the Permian Basin, and in Pioneer assets by 2035. Volumes are based on projected field and facility production profiles, throughput, or sales. Management’s estimate of upstream production volumes used for projected cash flows makes use of proved reserve quantities and may include risk-adjusted unproved reserve quantities. ExxonMobil considers a range of scenarios - including remote scenarios - to help inform perspective of the future and enhance strategic thinking over time. While third-party scenarios may be used for these purposes, they are not used as a basis for developing future cash flows for impairment assessments. As part of the Corporate Plan, the Company considers estimated greenhouse gas emission costs, even for jurisdictions without a current greenhouse gas pricing policy.</w:t>
      </w:r>
    </w:p>
    <w:p>
      <w:pPr>
        <w:spacing w:after="0" w:line="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Fair Value of Impaired Assets. </w:t>
      </w:r>
      <w:r>
        <w:rPr>
          <w:rFonts w:ascii="Times New Roman" w:cs="Times New Roman" w:eastAsia="Times New Roman" w:hAnsi="Times New Roman"/>
          <w:sz w:val="18"/>
          <w:szCs w:val="18"/>
          <w:color w:val="auto"/>
        </w:rPr>
        <w:t>An asset group is impaired if its estimated undiscounted cash flows are less than the asset group’s carrying value.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Impairments are measured by the excess of the carrying value over fair value. The assessment of fair value is based upon the views of a likely market participant. The principal parameters used to establish fair value include estimates of acreage values and flowing production metrics from comparable market transactions, market-based estimates of historical cash flow multiples, and discounted cash flows. Inputs and assumptions used in discounted cash flow models include estimates of future production volumes, throughput and product sales volumes, commodity prices (which are consistent with the average of third-party industry experts and government agencies), refining and chemical margins, drilling and development costs, operating costs, and discount rates which are reflective of the characteristics of the asset group.</w:t>
      </w:r>
    </w:p>
    <w:p>
      <w:pPr>
        <w:spacing w:after="0" w:line="6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Impairment Estimates. </w:t>
      </w:r>
      <w:r>
        <w:rPr>
          <w:rFonts w:ascii="Times New Roman" w:cs="Times New Roman" w:eastAsia="Times New Roman" w:hAnsi="Times New Roman"/>
          <w:sz w:val="18"/>
          <w:szCs w:val="18"/>
          <w:color w:val="auto"/>
        </w:rPr>
        <w:t>Unproved properties are assessed periodically to determine whether they have been impaired. Significant unproved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properties are assessed for impairment individually, and valuation allowances against the capitalized costs are recorded based on the Corporation's future development plans, the estimated economic chance of success, and the length of time that the Corporation expects to hold the properties. Properties that are not individually significant are aggregated by groups and amortized based on development risk and average holding period.</w:t>
      </w:r>
    </w:p>
    <w:p>
      <w:pPr>
        <w:spacing w:after="0" w:line="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Long-lived assets that are held for sale are evaluated for possible impairment by comparing the carrying value of the asset with its fair value less the cost to sell. If the net book value exceeds the fair value less cost to sell, the assets are considered impaired and adjusted to the lower value. Judgment is required to determine if assets are held for sale and to determine the fair value less cost to sell.</w:t>
      </w:r>
    </w:p>
    <w:p>
      <w:pPr>
        <w:spacing w:after="0" w:line="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Investments accounted for by the equity method are assessed for possible impairment when events or changes in circumstances indicate that the carrying value of an investment may not be recoverable. Examples of key indicators include a history of operating losses, negative earnings and cash flow outlook, significant downward revisions to oil and gas reserves, and the financial condition and prospects for the investee’s business segment or geographic region. If the decline in value of the investment is other than temporary, the carrying value of the investment is written down to fair value. In the absence of market prices for the investment, discounted cash flows are used to assess fair value, which requires significant judgment.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Recent Impairments. </w:t>
      </w:r>
      <w:r>
        <w:rPr>
          <w:rFonts w:ascii="Times New Roman" w:cs="Times New Roman" w:eastAsia="Times New Roman" w:hAnsi="Times New Roman"/>
          <w:sz w:val="18"/>
          <w:szCs w:val="18"/>
          <w:color w:val="auto"/>
        </w:rPr>
        <w:t>Impairments in 2024 were immaterial.</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2023, the Corporation recognized after-tax charges of $3.4 billion, primarily related to the idled Upstream Santa Ynez Unit assets and associated facilities in California, which reflected the continuing challenges in the state regulatory environment that impeded progress towards restoring operations. Other impairments in the year included a $0.6 billion charge related to an Upstream equity investment.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21"/>
          <w:szCs w:val="21"/>
          <w:b w:val="1"/>
          <w:bCs w:val="1"/>
          <w:color w:val="0C479D"/>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early 2022, in response to Russia’s military action in Ukraine, the Corporation announced that it planned to discontinue operations on the Sakhalin-1 project (“Sakhalin”) and develop steps to exit the venture. The Corporation’s first quarter 2022 results included after-tax charges of $3.0 billion representing the impairment of its Upstream operations related to Sakhalin. (Refer to </w:t>
      </w:r>
      <w:r>
        <w:rPr>
          <w:rFonts w:ascii="Times New Roman" w:cs="Times New Roman" w:eastAsia="Times New Roman" w:hAnsi="Times New Roman"/>
          <w:sz w:val="18"/>
          <w:szCs w:val="18"/>
          <w:color w:val="0000FF"/>
        </w:rPr>
        <w:t>Note 2</w:t>
      </w:r>
      <w:r>
        <w:rPr>
          <w:rFonts w:ascii="Times New Roman" w:cs="Times New Roman" w:eastAsia="Times New Roman" w:hAnsi="Times New Roman"/>
          <w:sz w:val="18"/>
          <w:szCs w:val="18"/>
          <w:color w:val="auto"/>
        </w:rPr>
        <w:t xml:space="preserve"> for further information on Russia.) During 2022, other after-tax impairment charges of $1.6 billion and $0.3 billion were recognized in Upstream and Energy Products, respectively.</w:t>
      </w:r>
    </w:p>
    <w:p>
      <w:pPr>
        <w:spacing w:after="0" w:line="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Factors which could put further assets at risk of impairment in the future include reductions in the Corporation’s price or margin outlooks, changes in the allocation of capital or development plans, reduced long-term demand for the Corporation's products, and operating cost increases which exceed the pace of efficiencies or the pace of oil and natural gas price or margin increases. However, due to the inherent difficulty in predicting future commodity prices or margins, and the relationship between industry prices and costs, it is not practicable to reasonably estimate the existence or range of any potential future impairment charges related to the Corporation’s long-lived assets.</w:t>
      </w:r>
    </w:p>
    <w:p>
      <w:pPr>
        <w:spacing w:after="0" w:line="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For further information regarding impairments in equity method investments, property, plant, and equipment, and suspended wells, refer to Notes </w:t>
      </w:r>
      <w:r>
        <w:rPr>
          <w:rFonts w:ascii="Times New Roman" w:cs="Times New Roman" w:eastAsia="Times New Roman" w:hAnsi="Times New Roman"/>
          <w:sz w:val="18"/>
          <w:szCs w:val="18"/>
          <w:color w:val="0000FF"/>
        </w:rPr>
        <w:t>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color w:val="000000"/>
        </w:rPr>
        <w:t>, respectively.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479D"/>
        </w:rPr>
        <w:t>Asset Retirement Obligations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Corporation is subject to retirement obligations for certain assets. The fair values of these obligations are recorded as liabilities on a discounted basis, which is typically at the time the assets are installed. In the estimation of fair value, the Corporation uses assumptions and judgments regarding such factors as the existence of a legal obligation for an asset retirement obligation, technical assessments of the assets, estimated amounts and timing of settlements, discount rates, and inflation rates. See </w:t>
      </w:r>
      <w:r>
        <w:rPr>
          <w:rFonts w:ascii="Times New Roman" w:cs="Times New Roman" w:eastAsia="Times New Roman" w:hAnsi="Times New Roman"/>
          <w:sz w:val="18"/>
          <w:szCs w:val="18"/>
          <w:color w:val="0000FF"/>
        </w:rPr>
        <w:t>Note 9</w:t>
      </w:r>
      <w:r>
        <w:rPr>
          <w:rFonts w:ascii="Times New Roman" w:cs="Times New Roman" w:eastAsia="Times New Roman" w:hAnsi="Times New Roman"/>
          <w:sz w:val="18"/>
          <w:szCs w:val="18"/>
          <w:color w:val="auto"/>
        </w:rPr>
        <w:t xml:space="preserve"> for further information regarding asset retirement obligations.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479D"/>
        </w:rPr>
        <w:t>Pension Benefits</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Corporation and its affiliates sponsor about 70 defined benefit (pension) plans in 40 countries. </w:t>
      </w:r>
      <w:r>
        <w:rPr>
          <w:rFonts w:ascii="Times New Roman" w:cs="Times New Roman" w:eastAsia="Times New Roman" w:hAnsi="Times New Roman"/>
          <w:sz w:val="18"/>
          <w:szCs w:val="18"/>
          <w:color w:val="0000FF"/>
        </w:rPr>
        <w:t>Note 17</w:t>
      </w:r>
      <w:r>
        <w:rPr>
          <w:rFonts w:ascii="Times New Roman" w:cs="Times New Roman" w:eastAsia="Times New Roman" w:hAnsi="Times New Roman"/>
          <w:sz w:val="18"/>
          <w:szCs w:val="18"/>
          <w:color w:val="auto"/>
        </w:rPr>
        <w:t xml:space="preserve"> provides details on pension obligations, fund assets, and pension expense.</w:t>
      </w:r>
    </w:p>
    <w:p>
      <w:pPr>
        <w:spacing w:after="0" w:line="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Some of these plans (primarily non-U.S.) provide pension benefits that are paid directly by their sponsoring affiliates out of corporate cash flow rather than a separate pension fund because applicable tax rules and regulatory practices do not encourage advance funding. Book reserves are established for these plans. The portion of the pension cost attributable to employee service is expensed as services are rendered. The portion attributable to the increase in pension obligations due to the passage of time is expensed over the term of the obligations, which ends when all benefits are paid. The primary difference in pension expense for unfunded versus funded plans is that pension expense for funded plans also includes a credit for the expected long-term return on fund assets.</w:t>
      </w:r>
    </w:p>
    <w:p>
      <w:pPr>
        <w:spacing w:after="0" w:line="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funded plans, including those in the U.S., pension obligations are financed in advance through segregated assets or insurance arrangements. These plans are managed in compliance with the requirements of governmental authorities and meet or exceed required funding levels as measured by relevant actuarial and government standards at the mandated measurement dates. In determining liabilities and required contributions, these standards often require approaches and assumptions that differ from those used for accounting purposes.</w:t>
      </w:r>
    </w:p>
    <w:p>
      <w:pPr>
        <w:spacing w:after="0" w:line="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Corporation will continue to make contributions to these funded plans as necessary. All defined-benefit pension obligations, regardless of the funding status of the underlying plans, are fully supported by the financial strength of the Corporation or the respective sponsoring affiliate.</w:t>
      </w:r>
    </w:p>
    <w:p>
      <w:pPr>
        <w:spacing w:after="0" w:line="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Pension accounting requires explicit assumptions regarding, among others, the long-term expected earnings rate on fund assets, the discount rate for the benefit obligations, and the long-term rate for future salary increases. Pension assumptions are reviewed annually by outside actuaries and senior management. These assumptions are adjusted as appropriate to reflect changes in market rates and outlook. The long-term expected earnings rate on U.S. pension plan assets in 2024 was 6.8 percent. The 10-year and 20-year actual returns on U.S. pension plan assets were 4 percent and 5 percent, respectively. The Corporation establishes the long-term expected rate of return by developing a forward-looking, long-term return assumption for each pension fund asset class, taking into account factors such as the expected real return for the specific asset class and inflation. A single, long-term rate of return is then calculated as the weighted-average of the target asset allocation percentages and the long-term return assumption for each asset class. A worldwide reduction of 0.5 percent in the long-term rate of return on assets would increase annual pension expense by approximately $140 million before tax.</w:t>
      </w:r>
    </w:p>
    <w:p>
      <w:pPr>
        <w:spacing w:after="0" w:line="7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Differences between actual returns on fund assets and the long-term expected return are not recognized in pension expense in the year that the difference occurs. Such differences are deferred, along with other actuarial gains and losses, and are amortized into pension expense over the expected remaining service life of employees.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21"/>
          <w:szCs w:val="21"/>
          <w:b w:val="1"/>
          <w:bCs w:val="1"/>
          <w:color w:val="0C479D"/>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479D"/>
        </w:rPr>
        <w:t>Litigation and Tax Contingencies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 variety of claims have been made against the Corporation and certain of its consolidated subsidiaries in a number of pending lawsuits. The Corporation accrues an undiscounted liability for those contingencies where the incurrence of a loss is probable and the amount can be reasonably estimated. For contingencies where an unfavorable outcome is reasonably possible and significant, the Corporation discloses the nature of the contingency and, where feasible, an estimate of the possible loss. As described in </w:t>
      </w:r>
      <w:r>
        <w:rPr>
          <w:rFonts w:ascii="Times New Roman" w:cs="Times New Roman" w:eastAsia="Times New Roman" w:hAnsi="Times New Roman"/>
          <w:sz w:val="18"/>
          <w:szCs w:val="18"/>
          <w:color w:val="0000FF"/>
        </w:rPr>
        <w:t>Note 16</w:t>
      </w:r>
      <w:r>
        <w:rPr>
          <w:rFonts w:ascii="Times New Roman" w:cs="Times New Roman" w:eastAsia="Times New Roman" w:hAnsi="Times New Roman"/>
          <w:sz w:val="18"/>
          <w:szCs w:val="18"/>
          <w:color w:val="auto"/>
        </w:rPr>
        <w:t xml:space="preserve">, for purposes of our contingency disclosures, “significant” includes material matters, as well as other matters, which management believes should be disclosed. Management has regular litigation reviews, including updates from corporate and outside counsel, to assess the need for accounting recognition or disclosure of these contingencies. The status of significant claims is summarized in </w:t>
      </w:r>
      <w:r>
        <w:rPr>
          <w:rFonts w:ascii="Times New Roman" w:cs="Times New Roman" w:eastAsia="Times New Roman" w:hAnsi="Times New Roman"/>
          <w:sz w:val="18"/>
          <w:szCs w:val="18"/>
          <w:color w:val="0000FF"/>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16</w:t>
      </w:r>
      <w:r>
        <w:rPr>
          <w:rFonts w:ascii="Times New Roman" w:cs="Times New Roman" w:eastAsia="Times New Roman" w:hAnsi="Times New Roman"/>
          <w:sz w:val="18"/>
          <w:szCs w:val="18"/>
          <w:color w:val="000000"/>
        </w:rPr>
        <w:t>.</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judgment is required related to contingent liabilities and the outcome of litigation because both are difficult to predict. However, the Corporation has been successful in defending litigation in the past. Payments have not had a material adverse effect on our operations or financial condition. In the Corporation’s experience, large claims often do not result in large awards. Large awards are often reversed or substantially reduced as a result of appeal or settlement.</w:t>
      </w:r>
    </w:p>
    <w:p>
      <w:pPr>
        <w:spacing w:after="0" w:line="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Corporation is subject to income taxation in many jurisdictions around the world. The benefits of uncertain tax positions that the Corporation has taken or expects to take in its income tax returns are recognized in the financial statements if management concludes that it is more likely than not that the position will be sustained with the tax authorities. For a position that is likely to be sustained, the benefit recognized in the financial statements is measured at the largest amount that is greater than 50 percent likely of being realized. Significant management judgment is required in the accounting for income tax contingencies and tax disputes because the outcomes are often difficult to predict. The Corporation’s unrecognized tax benefits and a description of open tax years are summarized in </w:t>
      </w:r>
      <w:r>
        <w:rPr>
          <w:rFonts w:ascii="Times New Roman" w:cs="Times New Roman" w:eastAsia="Times New Roman" w:hAnsi="Times New Roman"/>
          <w:sz w:val="18"/>
          <w:szCs w:val="18"/>
          <w:color w:val="0000FF"/>
        </w:rPr>
        <w:t>Note 19</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22"/>
          <w:szCs w:val="22"/>
          <w:b w:val="1"/>
          <w:bCs w:val="1"/>
          <w:color w:val="0C479D"/>
        </w:rPr>
        <w:t>MANAGEMENT’S REPORT ON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Management, including the Corporation’s Chief Executive Officer, Chief Financial Officer, and Principal Accounting Officer, is responsible for establishing and maintaining adequate internal control over the Corporation’s financial reporting. Management conducted an evaluation of the effectiveness of internal control over financial reporting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Based on this evaluation, management concluded that Exxon Mobil Corporation’s internal control over financial reporting was effective as of December 31, 2024.</w:t>
      </w:r>
    </w:p>
    <w:p>
      <w:pPr>
        <w:spacing w:after="0" w:line="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Corporation excluded Pioneer from our assessment of internal control over financial reporting as of December 31, 2024, because it was acquired by the Corporation in a business combination during 2024. Total assets and total revenues of Pioneer, a wholly owned subsidiary, represent nineteen percent and four percent, respectively, of the related consolidated financial statement amounts as of and for the year ended December 31, 2024.</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PricewaterhouseCoopers LLP, an independent registered public accounting firm, audited the effectiveness of the Corporation’s internal control over financial reporting as of December 31, 2024, as stated in their report included in the Financial Section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242570</wp:posOffset>
            </wp:positionV>
            <wp:extent cx="1028700" cy="5143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028700" cy="514350"/>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251460</wp:posOffset>
            </wp:positionV>
            <wp:extent cx="1140460" cy="4883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140460" cy="48831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259715</wp:posOffset>
            </wp:positionV>
            <wp:extent cx="1414145" cy="4718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41414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300" w:type="dxa"/>
        <w:tblCellMar>
          <w:top w:w="0" w:type="dxa"/>
          <w:left w:w="0" w:type="dxa"/>
          <w:bottom w:w="0" w:type="dxa"/>
          <w:right w:w="0" w:type="dxa"/>
        </w:tblCellMar>
      </w:tblPr>
      <w:tr>
        <w:trPr>
          <w:trHeight w:val="220"/>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0C479D"/>
              </w:rPr>
              <w:t>Darren W. Woods</w:t>
            </w:r>
          </w:p>
        </w:tc>
        <w:tc>
          <w:tcPr>
            <w:tcW w:w="362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0C479D"/>
              </w:rPr>
              <w:t>Kathryn A. Mikells</w:t>
            </w:r>
          </w:p>
        </w:tc>
        <w:tc>
          <w:tcPr>
            <w:tcW w:w="334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0C479D"/>
              </w:rPr>
              <w:t>Len M. Fox</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3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Senior Vice President and</w:t>
            </w:r>
          </w:p>
        </w:tc>
        <w:tc>
          <w:tcPr>
            <w:tcW w:w="334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8"/>
              </w:rPr>
              <w:t>Vice President, Controller and Tax</w:t>
            </w:r>
          </w:p>
        </w:tc>
      </w:tr>
      <w:tr>
        <w:trPr>
          <w:trHeight w:val="234"/>
        </w:trPr>
        <w:tc>
          <w:tcPr>
            <w:tcW w:w="2660" w:type="dxa"/>
            <w:vAlign w:val="bottom"/>
          </w:tcPr>
          <w:p>
            <w:pPr>
              <w:spacing w:after="0"/>
              <w:rPr>
                <w:sz w:val="20"/>
                <w:szCs w:val="20"/>
                <w:color w:val="auto"/>
              </w:rPr>
            </w:pPr>
          </w:p>
        </w:tc>
        <w:tc>
          <w:tcPr>
            <w:tcW w:w="3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Chief Financial Officer</w:t>
            </w:r>
          </w:p>
        </w:tc>
        <w:tc>
          <w:tcPr>
            <w:tcW w:w="334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22"/>
          <w:szCs w:val="22"/>
          <w:b w:val="1"/>
          <w:bCs w:val="1"/>
          <w:color w:val="0C479D"/>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Exxon Mobil Corporation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Exxon Mobil Corporation and its subsidiaries (the “Corporation”) as of December 31, 2024 and 2023, and the related consolidated statements of income, of comprehensive income, of changes in equity and of cash flows for each of the three years in the period ended December 31, 2024, including the related notes (collectively referred to as the “consolidated financial statements”). We also have audited the Corporation's internal control over financial reporting as of December 31, 2024, based on criteria established in Internal Control - Integrated Framework (2013) issued by the Committee of Sponsoring Organizations of the Treadway Commission (COSO).</w:t>
      </w:r>
    </w:p>
    <w:p>
      <w:pPr>
        <w:spacing w:after="0" w:line="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Corporation as of December 31, 2024 and 2023, and the results of its operations and its cash flows for each of the three years in the period ended December 31, 2024 in conformity with accounting principles generally accepted in the United States of America. Also in our opinion, the Corporation maintained, in all material respects, effective internal control over financial reporting as of December 31, 2024, based on criteria established in Internal Control - Integrated Framework (2013) issued by the COSO.</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Corporation's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Corporation’s consolidated financial statements and on the Corporation's internal control over financial reporting based on our audits. We are a public accounting firm registered with the Public Company Accounting Oversight Board (United States) (PCAOB) and are required to be independent with respect to the Corporation in accordance with the U.S. federal securities laws and the applicable rules and regulations of the Securities and Exchange Commission and the PCAOB.</w:t>
      </w:r>
    </w:p>
    <w:p>
      <w:pPr>
        <w:spacing w:after="0" w:line="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5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As described in Management’s Report on Internal Control over Financial Reporting, management has excluded Pioneer Natural Resources Company ("Pioneer") from its assessment of internal control over financial reporting as of December 31, 2024 because it was acquired by the Corporation in a business combination during 2024. We have also excluded Pioneer from our audit of internal control over financial reporting. Pioneer is a wholly-owned subsidiary whose total assets and total revenues excluded from management’s assessment and our audit of internal control over financial reporting represent nineteen percent and four percent, respectively, of the related consolidated financial statement amounts as of and for the year ended December 31, 2024.</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22"/>
          <w:szCs w:val="22"/>
          <w:b w:val="1"/>
          <w:bCs w:val="1"/>
          <w:color w:val="0C479D"/>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0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Impact of Proved Developed Oil and Natural Gas Reserves on Upstream Property, Plant and Equipment, Net</w:t>
      </w:r>
    </w:p>
    <w:p>
      <w:pPr>
        <w:spacing w:after="0" w:line="1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described in Notes 1, 9 and 18 to the consolidated financial statements, the Corporation's consolidated upstream property, plant and equipment (PP&amp;E), net balance was $226.0 billion as of December 31, 2024, and the related depreciation and depletion expense for the year ended December 31, 2024 was $19.5 billion. Management uses the successful efforts method to account for its exploration and production activities. Costs incurred to purchase, lease, or otherwise acquire a property (whether unproved or proved) are capitalized when incurred. As disclosed by management, oil and natural gas reserve volumes are used as the basis to calculate unit-of-production depreciation rates for most upstream assets. Acquisition costs of proved properties are depreciated using a ratio of asset cost to total proved reserves while capitalized drilling and development costs are depreciated using a ratio of actual production volumes to proved developed reserves. The estimation of proved oil and natural gas reserve volumes is an ongoing process based on technical evaluations, commercial and market assessments, and detailed analysis of reservoir and well performance, development and production costs, and other factors. As further disclosed by management, reserve changes are made within a well-established, disciplined process driven by senior level geoscience and engineering professionals, assisted by the Global Reserves and Resources Group (together "management's specialists").</w:t>
      </w:r>
    </w:p>
    <w:p>
      <w:pPr>
        <w:spacing w:after="0" w:line="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impact of proved developed oil and natural gas reserves on upstream PP&amp;E, net is a critical audit matter are (i) the significant judgment by management, including the use of management's specialists, when developing the estimates of proved developed oil and natural gas reserves and (ii) a high degree of auditor judgment, subjectivity, and effort in performing procedures and evaluating audit evidence related to the data, methods, and assumptions used by management and its specialists in developing the estimates of proved developed oil and natural gas reserves.</w:t>
      </w:r>
    </w:p>
    <w:p>
      <w:pPr>
        <w:spacing w:after="0" w:line="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estimates of proved developed oil and natural gas reserves. The work of management's specialists was used in performing the procedures to evaluate the reasonableness of the proved developed oil and natural gas reserves. As a basis for using this work, the specialists' qualifications were understood and the Corporation’s relationship with the specialists was assessed. The procedures performed also included (i) evaluating the methods and assumptions used by the specialists; (ii) testing the completeness and accuracy of the data used by the specialists related to historical production volumes; and (iii) evaluating the specialists' findings related to future production volumes by comparing the future production volumes to relevant historical and current period production volumes, as applicable.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 with Pioneer - Valuation of Crude Oil and Natural Gas Properties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described in Note 21 to the consolidated financial statements, the Corporation acquired Pioneer in a transaction accounted for as a business combination, requiring that assets acquired and liabilities assumed be recognized at their fair values as of the acquisition date, which included approximately $84 billion related to the fair values of acquired PP&amp;E of which a significant portion relates to crude oil and natural gas properties. Crude oil and natural gas properties were valued using discounted cash flow models. Inputs and assumptions used in the discounted cash flow models included estimates for commodity prices, future production volumes, drilling and development costs, and risk-adjusted discount rates.</w:t>
      </w:r>
    </w:p>
    <w:p>
      <w:pPr>
        <w:spacing w:after="0" w:line="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valuation of crude oil and natural gas properties acquired in the Pioneer merger is a critical audit matter are (i) the significant judgment by management, including the use of management’s specialists, when developing the fair value estimate of crude oil and natural gas properties acquired; (ii) a high degree of auditor judgment, subjectivity, and effort in performing procedures and evaluating management’s significant assumptions related to commodity prices, future production volumes, drilling and development costs, and risk-adjusted discount rates; and (iii) the audit effort involved the use of professionals with specialized skill and knowledge.</w:t>
      </w:r>
    </w:p>
    <w:p>
      <w:pPr>
        <w:spacing w:after="0" w:line="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acquired crude oil and natural gas properties. These procedures also included, among others (i) reading the merger agreement;</w:t>
      </w:r>
    </w:p>
    <w:p>
      <w:pPr>
        <w:spacing w:after="0" w:line="1" w:lineRule="exact"/>
        <w:rPr>
          <w:sz w:val="20"/>
          <w:szCs w:val="20"/>
          <w:color w:val="auto"/>
        </w:rPr>
      </w:pPr>
    </w:p>
    <w:p>
      <w:pPr>
        <w:jc w:val="both"/>
        <w:ind w:firstLine="8"/>
        <w:spacing w:after="0" w:line="253" w:lineRule="auto"/>
        <w:tabs>
          <w:tab w:leader="none" w:pos="26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management’s process for developing the fair value estimate of crude oil and natural gas properties acquired; (iii) evaluating the appropriateness of the discounted cash flow models; (iv) testing the completeness and accuracy of underlying data used in the discounted cash flow models related to historical production volumes and third-party commodity prices; and (v) evaluating the reasonableness of significant assumptions used by management related to commodity prices, future production volumes, drilling and development costs, and risk-adjusted discount rates. Evaluating the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22"/>
          <w:szCs w:val="22"/>
          <w:b w:val="1"/>
          <w:bCs w:val="1"/>
          <w:color w:val="0C479D"/>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commodity prices assumptions involved comparing the prices to observable market data. Evaluating management’s assumptions relating to future production volumes and drilling and development costs involved evaluating whether the assumptions used by management were reasonable as compared to historical results of Pioneer. Professionals with specialized skill and knowledge were used to assist in evaluating the appropriateness of the discounted cash flow models and the reasonableness of the risk-adjusted discount rates assumptions. The work of management’s specialists was used in performing the procedures to evaluate the reasonableness of the future production volumes used in the discounted cash flow models. As a basis for using this work, the specialists’ qualifications were understood and the Corporation’s relationship with the specialists was assessed. The procedures performed also included (i) evaluating the methods and assumptions used by the specialists; (ii) testing the completeness and accuracy of the data used by the specialists related to historical production volumes; and (iii) evaluating the specialists’ findings related to future production volumes by comparing the future production volumes to relevant historical and current period production volumes, as applicable.</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19,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Corporation’s auditor since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22"/>
          <w:szCs w:val="22"/>
          <w:b w:val="1"/>
          <w:bCs w:val="1"/>
          <w:color w:val="0C479D"/>
        </w:rPr>
        <w:t>CONSOLIDATED STATEMENT OF INCOME</w:t>
      </w:r>
    </w:p>
    <w:p>
      <w:pPr>
        <w:spacing w:after="0" w:line="133"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5220" w:type="dxa"/>
            <w:vAlign w:val="bottom"/>
            <w:shd w:val="clear" w:color="auto" w:fill="0C479D"/>
          </w:tcPr>
          <w:p>
            <w:pPr>
              <w:spacing w:after="0"/>
              <w:rPr>
                <w:sz w:val="13"/>
                <w:szCs w:val="13"/>
                <w:color w:val="auto"/>
              </w:rPr>
            </w:pPr>
          </w:p>
        </w:tc>
        <w:tc>
          <w:tcPr>
            <w:tcW w:w="1320" w:type="dxa"/>
            <w:vAlign w:val="bottom"/>
            <w:shd w:val="clear" w:color="auto" w:fill="0C479D"/>
          </w:tcPr>
          <w:p>
            <w:pPr>
              <w:jc w:val="center"/>
              <w:ind w:left="48"/>
              <w:spacing w:after="0"/>
              <w:rPr>
                <w:sz w:val="20"/>
                <w:szCs w:val="20"/>
                <w:color w:val="auto"/>
              </w:rPr>
            </w:pPr>
            <w:r>
              <w:rPr>
                <w:rFonts w:ascii="Times New Roman" w:cs="Times New Roman" w:eastAsia="Times New Roman" w:hAnsi="Times New Roman"/>
                <w:sz w:val="14"/>
                <w:szCs w:val="14"/>
                <w:b w:val="1"/>
                <w:bCs w:val="1"/>
                <w:color w:val="FFFFFF"/>
                <w:w w:val="99"/>
              </w:rPr>
              <w:t>Note</w:t>
            </w:r>
          </w:p>
        </w:tc>
        <w:tc>
          <w:tcPr>
            <w:tcW w:w="960" w:type="dxa"/>
            <w:vAlign w:val="bottom"/>
            <w:shd w:val="clear" w:color="auto" w:fill="0C479D"/>
          </w:tcPr>
          <w:p>
            <w:pPr>
              <w:spacing w:after="0"/>
              <w:rPr>
                <w:sz w:val="13"/>
                <w:szCs w:val="13"/>
                <w:color w:val="auto"/>
              </w:rPr>
            </w:pPr>
          </w:p>
        </w:tc>
        <w:tc>
          <w:tcPr>
            <w:tcW w:w="1260" w:type="dxa"/>
            <w:vAlign w:val="bottom"/>
            <w:shd w:val="clear" w:color="auto" w:fill="0C479D"/>
          </w:tcPr>
          <w:p>
            <w:pPr>
              <w:spacing w:after="0"/>
              <w:rPr>
                <w:sz w:val="13"/>
                <w:szCs w:val="13"/>
                <w:color w:val="auto"/>
              </w:rPr>
            </w:pPr>
          </w:p>
        </w:tc>
        <w:tc>
          <w:tcPr>
            <w:tcW w:w="900" w:type="dxa"/>
            <w:vAlign w:val="bottom"/>
            <w:shd w:val="clear" w:color="auto" w:fill="0C479D"/>
          </w:tcPr>
          <w:p>
            <w:pPr>
              <w:spacing w:after="0"/>
              <w:rPr>
                <w:sz w:val="13"/>
                <w:szCs w:val="13"/>
                <w:color w:val="auto"/>
              </w:rPr>
            </w:pPr>
          </w:p>
        </w:tc>
      </w:tr>
      <w:tr>
        <w:trPr>
          <w:trHeight w:val="160"/>
        </w:trPr>
        <w:tc>
          <w:tcPr>
            <w:tcW w:w="5220" w:type="dxa"/>
            <w:vAlign w:val="bottom"/>
            <w:shd w:val="clear" w:color="auto" w:fill="0C479D"/>
          </w:tcPr>
          <w:p>
            <w:pPr>
              <w:ind w:left="60"/>
              <w:spacing w:after="0" w:line="160" w:lineRule="exact"/>
              <w:rPr>
                <w:sz w:val="20"/>
                <w:szCs w:val="20"/>
                <w:color w:val="auto"/>
              </w:rPr>
            </w:pPr>
            <w:r>
              <w:rPr>
                <w:rFonts w:ascii="Times New Roman" w:cs="Times New Roman" w:eastAsia="Times New Roman" w:hAnsi="Times New Roman"/>
                <w:sz w:val="14"/>
                <w:szCs w:val="14"/>
                <w:i w:val="1"/>
                <w:iCs w:val="1"/>
                <w:color w:val="FFFFFF"/>
              </w:rPr>
              <w:t>(millions of dollars)</w:t>
            </w:r>
          </w:p>
        </w:tc>
        <w:tc>
          <w:tcPr>
            <w:tcW w:w="1320" w:type="dxa"/>
            <w:vAlign w:val="bottom"/>
            <w:shd w:val="clear" w:color="auto" w:fill="0C479D"/>
          </w:tcPr>
          <w:p>
            <w:pPr>
              <w:jc w:val="center"/>
              <w:ind w:left="48"/>
              <w:spacing w:after="0" w:line="160" w:lineRule="exact"/>
              <w:rPr>
                <w:sz w:val="20"/>
                <w:szCs w:val="20"/>
                <w:color w:val="auto"/>
              </w:rPr>
            </w:pPr>
            <w:r>
              <w:rPr>
                <w:rFonts w:ascii="Times New Roman" w:cs="Times New Roman" w:eastAsia="Times New Roman" w:hAnsi="Times New Roman"/>
                <w:sz w:val="14"/>
                <w:szCs w:val="14"/>
                <w:b w:val="1"/>
                <w:bCs w:val="1"/>
                <w:color w:val="FFFFFF"/>
              </w:rPr>
              <w:t>Reference</w:t>
            </w:r>
          </w:p>
        </w:tc>
        <w:tc>
          <w:tcPr>
            <w:tcW w:w="960" w:type="dxa"/>
            <w:vAlign w:val="bottom"/>
            <w:shd w:val="clear" w:color="auto" w:fill="0C479D"/>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FFFFFF"/>
              </w:rPr>
              <w:t>2024</w:t>
            </w:r>
          </w:p>
        </w:tc>
        <w:tc>
          <w:tcPr>
            <w:tcW w:w="1260" w:type="dxa"/>
            <w:vAlign w:val="bottom"/>
            <w:shd w:val="clear" w:color="auto" w:fill="0C479D"/>
          </w:tcPr>
          <w:p>
            <w:pPr>
              <w:jc w:val="right"/>
              <w:ind w:right="111"/>
              <w:spacing w:after="0" w:line="160" w:lineRule="exact"/>
              <w:rPr>
                <w:sz w:val="20"/>
                <w:szCs w:val="20"/>
                <w:color w:val="auto"/>
              </w:rPr>
            </w:pPr>
            <w:r>
              <w:rPr>
                <w:rFonts w:ascii="Times New Roman" w:cs="Times New Roman" w:eastAsia="Times New Roman" w:hAnsi="Times New Roman"/>
                <w:sz w:val="14"/>
                <w:szCs w:val="14"/>
                <w:b w:val="1"/>
                <w:bCs w:val="1"/>
                <w:color w:val="FFFFFF"/>
              </w:rPr>
              <w:t>2023</w:t>
            </w:r>
          </w:p>
        </w:tc>
        <w:tc>
          <w:tcPr>
            <w:tcW w:w="900" w:type="dxa"/>
            <w:vAlign w:val="bottom"/>
            <w:shd w:val="clear" w:color="auto" w:fill="0C479D"/>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FFFFFF"/>
              </w:rPr>
              <w:t>2022</w:t>
            </w:r>
          </w:p>
        </w:tc>
      </w:tr>
      <w:tr>
        <w:trPr>
          <w:trHeight w:val="196"/>
        </w:trPr>
        <w:tc>
          <w:tcPr>
            <w:tcW w:w="5220" w:type="dxa"/>
            <w:vAlign w:val="bottom"/>
            <w:tcBorders>
              <w:bottom w:val="single" w:sz="8" w:color="0C479D"/>
            </w:tcBorders>
            <w:shd w:val="clear" w:color="auto" w:fill="0C479D"/>
          </w:tcPr>
          <w:p>
            <w:pPr>
              <w:spacing w:after="0"/>
              <w:rPr>
                <w:sz w:val="17"/>
                <w:szCs w:val="17"/>
                <w:color w:val="auto"/>
              </w:rPr>
            </w:pPr>
          </w:p>
        </w:tc>
        <w:tc>
          <w:tcPr>
            <w:tcW w:w="1320" w:type="dxa"/>
            <w:vAlign w:val="bottom"/>
            <w:tcBorders>
              <w:bottom w:val="single" w:sz="8" w:color="0C479D"/>
            </w:tcBorders>
            <w:shd w:val="clear" w:color="auto" w:fill="0C479D"/>
          </w:tcPr>
          <w:p>
            <w:pPr>
              <w:jc w:val="center"/>
              <w:ind w:left="48"/>
              <w:spacing w:after="0"/>
              <w:rPr>
                <w:sz w:val="20"/>
                <w:szCs w:val="20"/>
                <w:color w:val="auto"/>
              </w:rPr>
            </w:pPr>
            <w:r>
              <w:rPr>
                <w:rFonts w:ascii="Times New Roman" w:cs="Times New Roman" w:eastAsia="Times New Roman" w:hAnsi="Times New Roman"/>
                <w:sz w:val="14"/>
                <w:szCs w:val="14"/>
                <w:b w:val="1"/>
                <w:bCs w:val="1"/>
                <w:color w:val="FFFFFF"/>
              </w:rPr>
              <w:t>Number</w:t>
            </w:r>
          </w:p>
        </w:tc>
        <w:tc>
          <w:tcPr>
            <w:tcW w:w="960" w:type="dxa"/>
            <w:vAlign w:val="bottom"/>
            <w:tcBorders>
              <w:bottom w:val="single" w:sz="8" w:color="0C479D"/>
            </w:tcBorders>
            <w:shd w:val="clear" w:color="auto" w:fill="0C479D"/>
          </w:tcPr>
          <w:p>
            <w:pPr>
              <w:spacing w:after="0"/>
              <w:rPr>
                <w:sz w:val="17"/>
                <w:szCs w:val="17"/>
                <w:color w:val="auto"/>
              </w:rPr>
            </w:pPr>
          </w:p>
        </w:tc>
        <w:tc>
          <w:tcPr>
            <w:tcW w:w="1260" w:type="dxa"/>
            <w:vAlign w:val="bottom"/>
            <w:tcBorders>
              <w:bottom w:val="single" w:sz="8" w:color="0C479D"/>
            </w:tcBorders>
            <w:shd w:val="clear" w:color="auto" w:fill="0C479D"/>
          </w:tcPr>
          <w:p>
            <w:pPr>
              <w:spacing w:after="0"/>
              <w:rPr>
                <w:sz w:val="17"/>
                <w:szCs w:val="17"/>
                <w:color w:val="auto"/>
              </w:rPr>
            </w:pPr>
          </w:p>
        </w:tc>
        <w:tc>
          <w:tcPr>
            <w:tcW w:w="900" w:type="dxa"/>
            <w:vAlign w:val="bottom"/>
            <w:tcBorders>
              <w:bottom w:val="single" w:sz="8" w:color="0C479D"/>
            </w:tcBorders>
            <w:shd w:val="clear" w:color="auto" w:fill="0C479D"/>
          </w:tcPr>
          <w:p>
            <w:pPr>
              <w:spacing w:after="0"/>
              <w:rPr>
                <w:sz w:val="17"/>
                <w:szCs w:val="17"/>
                <w:color w:val="auto"/>
              </w:rPr>
            </w:pPr>
          </w:p>
        </w:tc>
      </w:tr>
      <w:tr>
        <w:trPr>
          <w:trHeight w:val="365"/>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C479D"/>
              </w:rPr>
              <w:t>Revenues and other income</w:t>
            </w:r>
          </w:p>
        </w:tc>
        <w:tc>
          <w:tcPr>
            <w:tcW w:w="1320" w:type="dxa"/>
            <w:vAlign w:val="bottom"/>
          </w:tcPr>
          <w:p>
            <w:pPr>
              <w:spacing w:after="0"/>
              <w:rPr>
                <w:sz w:val="24"/>
                <w:szCs w:val="24"/>
                <w:color w:val="auto"/>
              </w:rPr>
            </w:pPr>
          </w:p>
        </w:tc>
        <w:tc>
          <w:tcPr>
            <w:tcW w:w="960" w:type="dxa"/>
            <w:vAlign w:val="bottom"/>
            <w:shd w:val="clear" w:color="auto" w:fill="F0F0F0"/>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other operating revenue</w:t>
            </w:r>
          </w:p>
        </w:tc>
        <w:tc>
          <w:tcPr>
            <w:tcW w:w="13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0000FF"/>
                <w:w w:val="99"/>
              </w:rPr>
              <w:t>18</w:t>
            </w:r>
          </w:p>
        </w:tc>
        <w:tc>
          <w:tcPr>
            <w:tcW w:w="960" w:type="dxa"/>
            <w:vAlign w:val="bottom"/>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339,247</w:t>
            </w:r>
          </w:p>
        </w:tc>
        <w:tc>
          <w:tcPr>
            <w:tcW w:w="12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334,697</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398,675</w:t>
            </w:r>
          </w:p>
        </w:tc>
      </w:tr>
      <w:tr>
        <w:trPr>
          <w:trHeight w:val="27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equity affiliates</w:t>
            </w:r>
          </w:p>
        </w:tc>
        <w:tc>
          <w:tcPr>
            <w:tcW w:w="132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0000FF"/>
              </w:rPr>
              <w:t>7</w:t>
            </w:r>
          </w:p>
        </w:tc>
        <w:tc>
          <w:tcPr>
            <w:tcW w:w="960" w:type="dxa"/>
            <w:vAlign w:val="bottom"/>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6,194</w:t>
            </w:r>
          </w:p>
        </w:tc>
        <w:tc>
          <w:tcPr>
            <w:tcW w:w="12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6,385</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11,463</w:t>
            </w:r>
          </w:p>
        </w:tc>
      </w:tr>
      <w:tr>
        <w:trPr>
          <w:trHeight w:val="270"/>
        </w:trPr>
        <w:tc>
          <w:tcPr>
            <w:tcW w:w="522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320" w:type="dxa"/>
            <w:vAlign w:val="bottom"/>
            <w:tcBorders>
              <w:bottom w:val="single" w:sz="8" w:color="0C479D"/>
            </w:tcBorders>
          </w:tcPr>
          <w:p>
            <w:pPr>
              <w:spacing w:after="0"/>
              <w:rPr>
                <w:sz w:val="23"/>
                <w:szCs w:val="23"/>
                <w:color w:val="auto"/>
              </w:rPr>
            </w:pPr>
          </w:p>
        </w:tc>
        <w:tc>
          <w:tcPr>
            <w:tcW w:w="960" w:type="dxa"/>
            <w:vAlign w:val="bottom"/>
            <w:tcBorders>
              <w:bottom w:val="single" w:sz="8" w:color="0C479D"/>
            </w:tcBorders>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4,144</w:t>
            </w:r>
          </w:p>
        </w:tc>
        <w:tc>
          <w:tcPr>
            <w:tcW w:w="1260" w:type="dxa"/>
            <w:vAlign w:val="bottom"/>
            <w:tcBorders>
              <w:bottom w:val="single" w:sz="8" w:color="0C479D"/>
            </w:tcBorders>
          </w:tcPr>
          <w:p>
            <w:pPr>
              <w:jc w:val="right"/>
              <w:ind w:right="191"/>
              <w:spacing w:after="0"/>
              <w:rPr>
                <w:sz w:val="20"/>
                <w:szCs w:val="20"/>
                <w:color w:val="auto"/>
              </w:rPr>
            </w:pPr>
            <w:r>
              <w:rPr>
                <w:rFonts w:ascii="Times New Roman" w:cs="Times New Roman" w:eastAsia="Times New Roman" w:hAnsi="Times New Roman"/>
                <w:sz w:val="18"/>
                <w:szCs w:val="18"/>
                <w:color w:val="auto"/>
              </w:rPr>
              <w:t>3,500</w:t>
            </w:r>
          </w:p>
        </w:tc>
        <w:tc>
          <w:tcPr>
            <w:tcW w:w="900" w:type="dxa"/>
            <w:vAlign w:val="bottom"/>
            <w:tcBorders>
              <w:bottom w:val="single" w:sz="8" w:color="0C479D"/>
            </w:tcBorders>
          </w:tcPr>
          <w:p>
            <w:pPr>
              <w:jc w:val="right"/>
              <w:ind w:right="11"/>
              <w:spacing w:after="0"/>
              <w:rPr>
                <w:sz w:val="20"/>
                <w:szCs w:val="20"/>
                <w:color w:val="auto"/>
              </w:rPr>
            </w:pPr>
            <w:r>
              <w:rPr>
                <w:rFonts w:ascii="Times New Roman" w:cs="Times New Roman" w:eastAsia="Times New Roman" w:hAnsi="Times New Roman"/>
                <w:sz w:val="18"/>
                <w:szCs w:val="18"/>
                <w:color w:val="auto"/>
              </w:rPr>
              <w:t>3,542</w:t>
            </w:r>
          </w:p>
        </w:tc>
      </w:tr>
      <w:tr>
        <w:trPr>
          <w:trHeight w:val="250"/>
        </w:trPr>
        <w:tc>
          <w:tcPr>
            <w:tcW w:w="522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 and other income</w:t>
            </w:r>
          </w:p>
        </w:tc>
        <w:tc>
          <w:tcPr>
            <w:tcW w:w="1320" w:type="dxa"/>
            <w:vAlign w:val="bottom"/>
            <w:tcBorders>
              <w:bottom w:val="single" w:sz="8" w:color="0C479D"/>
            </w:tcBorders>
          </w:tcPr>
          <w:p>
            <w:pPr>
              <w:spacing w:after="0"/>
              <w:rPr>
                <w:sz w:val="21"/>
                <w:szCs w:val="21"/>
                <w:color w:val="auto"/>
              </w:rPr>
            </w:pPr>
          </w:p>
        </w:tc>
        <w:tc>
          <w:tcPr>
            <w:tcW w:w="960" w:type="dxa"/>
            <w:vAlign w:val="bottom"/>
            <w:tcBorders>
              <w:bottom w:val="single" w:sz="8" w:color="0C479D"/>
            </w:tcBorders>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349,585</w:t>
            </w:r>
          </w:p>
        </w:tc>
        <w:tc>
          <w:tcPr>
            <w:tcW w:w="1260" w:type="dxa"/>
            <w:vAlign w:val="bottom"/>
            <w:tcBorders>
              <w:bottom w:val="single" w:sz="8" w:color="0C479D"/>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344,582</w:t>
            </w:r>
          </w:p>
        </w:tc>
        <w:tc>
          <w:tcPr>
            <w:tcW w:w="900" w:type="dxa"/>
            <w:vAlign w:val="bottom"/>
            <w:tcBorders>
              <w:bottom w:val="single" w:sz="8" w:color="0C479D"/>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413,680</w:t>
            </w:r>
          </w:p>
        </w:tc>
      </w:tr>
      <w:tr>
        <w:trPr>
          <w:trHeight w:val="344"/>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C479D"/>
              </w:rPr>
              <w:t>Costs and other deductions</w:t>
            </w:r>
          </w:p>
        </w:tc>
        <w:tc>
          <w:tcPr>
            <w:tcW w:w="1320" w:type="dxa"/>
            <w:vAlign w:val="bottom"/>
          </w:tcPr>
          <w:p>
            <w:pPr>
              <w:spacing w:after="0"/>
              <w:rPr>
                <w:sz w:val="24"/>
                <w:szCs w:val="24"/>
                <w:color w:val="auto"/>
              </w:rPr>
            </w:pPr>
          </w:p>
        </w:tc>
        <w:tc>
          <w:tcPr>
            <w:tcW w:w="960" w:type="dxa"/>
            <w:vAlign w:val="bottom"/>
            <w:shd w:val="clear" w:color="auto" w:fill="F0F0F0"/>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Crude oil and product purchases</w:t>
            </w:r>
          </w:p>
        </w:tc>
        <w:tc>
          <w:tcPr>
            <w:tcW w:w="1320" w:type="dxa"/>
            <w:vAlign w:val="bottom"/>
          </w:tcPr>
          <w:p>
            <w:pPr>
              <w:spacing w:after="0"/>
              <w:rPr>
                <w:sz w:val="23"/>
                <w:szCs w:val="23"/>
                <w:color w:val="auto"/>
              </w:rPr>
            </w:pPr>
          </w:p>
        </w:tc>
        <w:tc>
          <w:tcPr>
            <w:tcW w:w="960" w:type="dxa"/>
            <w:vAlign w:val="bottom"/>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199,454</w:t>
            </w:r>
          </w:p>
        </w:tc>
        <w:tc>
          <w:tcPr>
            <w:tcW w:w="12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193,029</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228,959</w:t>
            </w:r>
          </w:p>
        </w:tc>
      </w:tr>
      <w:tr>
        <w:trPr>
          <w:trHeight w:val="27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Production and manufacturing expenses</w:t>
            </w:r>
          </w:p>
        </w:tc>
        <w:tc>
          <w:tcPr>
            <w:tcW w:w="1320" w:type="dxa"/>
            <w:vAlign w:val="bottom"/>
          </w:tcPr>
          <w:p>
            <w:pPr>
              <w:spacing w:after="0"/>
              <w:rPr>
                <w:sz w:val="23"/>
                <w:szCs w:val="23"/>
                <w:color w:val="auto"/>
              </w:rPr>
            </w:pPr>
          </w:p>
        </w:tc>
        <w:tc>
          <w:tcPr>
            <w:tcW w:w="960" w:type="dxa"/>
            <w:vAlign w:val="bottom"/>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39,609</w:t>
            </w:r>
          </w:p>
        </w:tc>
        <w:tc>
          <w:tcPr>
            <w:tcW w:w="12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36,885</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42,609</w:t>
            </w:r>
          </w:p>
        </w:tc>
      </w:tr>
      <w:tr>
        <w:trPr>
          <w:trHeight w:val="27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320" w:type="dxa"/>
            <w:vAlign w:val="bottom"/>
          </w:tcPr>
          <w:p>
            <w:pPr>
              <w:spacing w:after="0"/>
              <w:rPr>
                <w:sz w:val="23"/>
                <w:szCs w:val="23"/>
                <w:color w:val="auto"/>
              </w:rPr>
            </w:pPr>
          </w:p>
        </w:tc>
        <w:tc>
          <w:tcPr>
            <w:tcW w:w="960" w:type="dxa"/>
            <w:vAlign w:val="bottom"/>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9,976</w:t>
            </w:r>
          </w:p>
        </w:tc>
        <w:tc>
          <w:tcPr>
            <w:tcW w:w="12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9,919</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10,095</w:t>
            </w:r>
          </w:p>
        </w:tc>
      </w:tr>
      <w:tr>
        <w:trPr>
          <w:trHeight w:val="27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depletion (includes impairments)</w:t>
            </w:r>
          </w:p>
        </w:tc>
        <w:tc>
          <w:tcPr>
            <w:tcW w:w="13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0000FF"/>
              </w:rPr>
              <w:t>2</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FF"/>
              </w:rPr>
              <w:t xml:space="preserve"> 9</w:t>
            </w:r>
          </w:p>
        </w:tc>
        <w:tc>
          <w:tcPr>
            <w:tcW w:w="960" w:type="dxa"/>
            <w:vAlign w:val="bottom"/>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23,442</w:t>
            </w:r>
          </w:p>
        </w:tc>
        <w:tc>
          <w:tcPr>
            <w:tcW w:w="12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20,641</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24,040</w:t>
            </w:r>
          </w:p>
        </w:tc>
      </w:tr>
      <w:tr>
        <w:trPr>
          <w:trHeight w:val="27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Exploration expenses, including dry holes</w:t>
            </w:r>
          </w:p>
        </w:tc>
        <w:tc>
          <w:tcPr>
            <w:tcW w:w="1320" w:type="dxa"/>
            <w:vAlign w:val="bottom"/>
          </w:tcPr>
          <w:p>
            <w:pPr>
              <w:spacing w:after="0"/>
              <w:rPr>
                <w:sz w:val="23"/>
                <w:szCs w:val="23"/>
                <w:color w:val="auto"/>
              </w:rPr>
            </w:pPr>
          </w:p>
        </w:tc>
        <w:tc>
          <w:tcPr>
            <w:tcW w:w="960" w:type="dxa"/>
            <w:vAlign w:val="bottom"/>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826</w:t>
            </w:r>
          </w:p>
        </w:tc>
        <w:tc>
          <w:tcPr>
            <w:tcW w:w="12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751</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1,025</w:t>
            </w:r>
          </w:p>
        </w:tc>
      </w:tr>
      <w:tr>
        <w:trPr>
          <w:trHeight w:val="27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Non-service pension and postretirement benefit expense</w:t>
            </w:r>
          </w:p>
        </w:tc>
        <w:tc>
          <w:tcPr>
            <w:tcW w:w="13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0000FF"/>
                <w:w w:val="99"/>
              </w:rPr>
              <w:t>17</w:t>
            </w:r>
          </w:p>
        </w:tc>
        <w:tc>
          <w:tcPr>
            <w:tcW w:w="960" w:type="dxa"/>
            <w:vAlign w:val="bottom"/>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121</w:t>
            </w:r>
          </w:p>
        </w:tc>
        <w:tc>
          <w:tcPr>
            <w:tcW w:w="12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714</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482</w:t>
            </w:r>
          </w:p>
        </w:tc>
      </w:tr>
      <w:tr>
        <w:trPr>
          <w:trHeight w:val="27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320" w:type="dxa"/>
            <w:vAlign w:val="bottom"/>
          </w:tcPr>
          <w:p>
            <w:pPr>
              <w:spacing w:after="0"/>
              <w:rPr>
                <w:sz w:val="23"/>
                <w:szCs w:val="23"/>
                <w:color w:val="auto"/>
              </w:rPr>
            </w:pPr>
          </w:p>
        </w:tc>
        <w:tc>
          <w:tcPr>
            <w:tcW w:w="960" w:type="dxa"/>
            <w:vAlign w:val="bottom"/>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996</w:t>
            </w:r>
          </w:p>
        </w:tc>
        <w:tc>
          <w:tcPr>
            <w:tcW w:w="126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849</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798</w:t>
            </w:r>
          </w:p>
        </w:tc>
      </w:tr>
      <w:tr>
        <w:trPr>
          <w:trHeight w:val="270"/>
        </w:trPr>
        <w:tc>
          <w:tcPr>
            <w:tcW w:w="522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Other taxes and duties</w:t>
            </w:r>
          </w:p>
        </w:tc>
        <w:tc>
          <w:tcPr>
            <w:tcW w:w="1320" w:type="dxa"/>
            <w:vAlign w:val="bottom"/>
            <w:tcBorders>
              <w:bottom w:val="single" w:sz="8" w:color="0C479D"/>
            </w:tcBorders>
          </w:tcPr>
          <w:p>
            <w:pPr>
              <w:jc w:val="center"/>
              <w:ind w:left="28"/>
              <w:spacing w:after="0"/>
              <w:rPr>
                <w:sz w:val="20"/>
                <w:szCs w:val="20"/>
                <w:color w:val="auto"/>
              </w:rPr>
            </w:pPr>
            <w:r>
              <w:rPr>
                <w:rFonts w:ascii="Times New Roman" w:cs="Times New Roman" w:eastAsia="Times New Roman" w:hAnsi="Times New Roman"/>
                <w:sz w:val="14"/>
                <w:szCs w:val="14"/>
                <w:color w:val="0000FF"/>
                <w:w w:val="99"/>
              </w:rPr>
              <w:t>19</w:t>
            </w:r>
          </w:p>
        </w:tc>
        <w:tc>
          <w:tcPr>
            <w:tcW w:w="960" w:type="dxa"/>
            <w:vAlign w:val="bottom"/>
            <w:tcBorders>
              <w:bottom w:val="single" w:sz="8" w:color="0C479D"/>
            </w:tcBorders>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26,288</w:t>
            </w:r>
          </w:p>
        </w:tc>
        <w:tc>
          <w:tcPr>
            <w:tcW w:w="1260" w:type="dxa"/>
            <w:vAlign w:val="bottom"/>
            <w:tcBorders>
              <w:bottom w:val="single" w:sz="8" w:color="0C479D"/>
            </w:tcBorders>
          </w:tcPr>
          <w:p>
            <w:pPr>
              <w:jc w:val="right"/>
              <w:ind w:right="191"/>
              <w:spacing w:after="0"/>
              <w:rPr>
                <w:sz w:val="20"/>
                <w:szCs w:val="20"/>
                <w:color w:val="auto"/>
              </w:rPr>
            </w:pPr>
            <w:r>
              <w:rPr>
                <w:rFonts w:ascii="Times New Roman" w:cs="Times New Roman" w:eastAsia="Times New Roman" w:hAnsi="Times New Roman"/>
                <w:sz w:val="18"/>
                <w:szCs w:val="18"/>
                <w:color w:val="auto"/>
              </w:rPr>
              <w:t>29,011</w:t>
            </w:r>
          </w:p>
        </w:tc>
        <w:tc>
          <w:tcPr>
            <w:tcW w:w="900" w:type="dxa"/>
            <w:vAlign w:val="bottom"/>
            <w:tcBorders>
              <w:bottom w:val="single" w:sz="8" w:color="0C479D"/>
            </w:tcBorders>
          </w:tcPr>
          <w:p>
            <w:pPr>
              <w:jc w:val="right"/>
              <w:ind w:right="11"/>
              <w:spacing w:after="0"/>
              <w:rPr>
                <w:sz w:val="20"/>
                <w:szCs w:val="20"/>
                <w:color w:val="auto"/>
              </w:rPr>
            </w:pPr>
            <w:r>
              <w:rPr>
                <w:rFonts w:ascii="Times New Roman" w:cs="Times New Roman" w:eastAsia="Times New Roman" w:hAnsi="Times New Roman"/>
                <w:sz w:val="18"/>
                <w:szCs w:val="18"/>
                <w:color w:val="auto"/>
              </w:rPr>
              <w:t>27,919</w:t>
            </w:r>
          </w:p>
        </w:tc>
      </w:tr>
      <w:tr>
        <w:trPr>
          <w:trHeight w:val="250"/>
        </w:trPr>
        <w:tc>
          <w:tcPr>
            <w:tcW w:w="522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costs and other deductions</w:t>
            </w:r>
          </w:p>
        </w:tc>
        <w:tc>
          <w:tcPr>
            <w:tcW w:w="1320" w:type="dxa"/>
            <w:vAlign w:val="bottom"/>
            <w:tcBorders>
              <w:bottom w:val="single" w:sz="8" w:color="0C479D"/>
            </w:tcBorders>
          </w:tcPr>
          <w:p>
            <w:pPr>
              <w:spacing w:after="0"/>
              <w:rPr>
                <w:sz w:val="21"/>
                <w:szCs w:val="21"/>
                <w:color w:val="auto"/>
              </w:rPr>
            </w:pPr>
          </w:p>
        </w:tc>
        <w:tc>
          <w:tcPr>
            <w:tcW w:w="960" w:type="dxa"/>
            <w:vAlign w:val="bottom"/>
            <w:tcBorders>
              <w:bottom w:val="single" w:sz="8" w:color="0C479D"/>
            </w:tcBorders>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300,712</w:t>
            </w:r>
          </w:p>
        </w:tc>
        <w:tc>
          <w:tcPr>
            <w:tcW w:w="1260" w:type="dxa"/>
            <w:vAlign w:val="bottom"/>
            <w:tcBorders>
              <w:bottom w:val="single" w:sz="8" w:color="0C479D"/>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291,799</w:t>
            </w:r>
          </w:p>
        </w:tc>
        <w:tc>
          <w:tcPr>
            <w:tcW w:w="900" w:type="dxa"/>
            <w:vAlign w:val="bottom"/>
            <w:tcBorders>
              <w:bottom w:val="single" w:sz="8" w:color="0C479D"/>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335,927</w:t>
            </w:r>
          </w:p>
        </w:tc>
      </w:tr>
      <w:tr>
        <w:trPr>
          <w:trHeight w:val="25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320" w:type="dxa"/>
            <w:vAlign w:val="bottom"/>
          </w:tcPr>
          <w:p>
            <w:pPr>
              <w:spacing w:after="0"/>
              <w:rPr>
                <w:sz w:val="21"/>
                <w:szCs w:val="21"/>
                <w:color w:val="auto"/>
              </w:rPr>
            </w:pPr>
          </w:p>
        </w:tc>
        <w:tc>
          <w:tcPr>
            <w:tcW w:w="960" w:type="dxa"/>
            <w:vAlign w:val="bottom"/>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48,873</w:t>
            </w:r>
          </w:p>
        </w:tc>
        <w:tc>
          <w:tcPr>
            <w:tcW w:w="1260" w:type="dxa"/>
            <w:vAlign w:val="bottom"/>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52,783</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77,753</w:t>
            </w:r>
          </w:p>
        </w:tc>
      </w:tr>
      <w:tr>
        <w:trPr>
          <w:trHeight w:val="270"/>
        </w:trPr>
        <w:tc>
          <w:tcPr>
            <w:tcW w:w="522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320" w:type="dxa"/>
            <w:vAlign w:val="bottom"/>
            <w:tcBorders>
              <w:bottom w:val="single" w:sz="8" w:color="0C479D"/>
            </w:tcBorders>
          </w:tcPr>
          <w:p>
            <w:pPr>
              <w:jc w:val="center"/>
              <w:ind w:left="28"/>
              <w:spacing w:after="0"/>
              <w:rPr>
                <w:sz w:val="20"/>
                <w:szCs w:val="20"/>
                <w:color w:val="auto"/>
              </w:rPr>
            </w:pPr>
            <w:r>
              <w:rPr>
                <w:rFonts w:ascii="Times New Roman" w:cs="Times New Roman" w:eastAsia="Times New Roman" w:hAnsi="Times New Roman"/>
                <w:sz w:val="14"/>
                <w:szCs w:val="14"/>
                <w:color w:val="0000FF"/>
                <w:w w:val="99"/>
              </w:rPr>
              <w:t>19</w:t>
            </w:r>
          </w:p>
        </w:tc>
        <w:tc>
          <w:tcPr>
            <w:tcW w:w="960" w:type="dxa"/>
            <w:vAlign w:val="bottom"/>
            <w:tcBorders>
              <w:bottom w:val="single" w:sz="8" w:color="0C479D"/>
            </w:tcBorders>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13,810</w:t>
            </w:r>
          </w:p>
        </w:tc>
        <w:tc>
          <w:tcPr>
            <w:tcW w:w="1260" w:type="dxa"/>
            <w:vAlign w:val="bottom"/>
            <w:tcBorders>
              <w:bottom w:val="single" w:sz="8" w:color="0C479D"/>
            </w:tcBorders>
          </w:tcPr>
          <w:p>
            <w:pPr>
              <w:jc w:val="right"/>
              <w:ind w:right="191"/>
              <w:spacing w:after="0"/>
              <w:rPr>
                <w:sz w:val="20"/>
                <w:szCs w:val="20"/>
                <w:color w:val="auto"/>
              </w:rPr>
            </w:pPr>
            <w:r>
              <w:rPr>
                <w:rFonts w:ascii="Times New Roman" w:cs="Times New Roman" w:eastAsia="Times New Roman" w:hAnsi="Times New Roman"/>
                <w:sz w:val="18"/>
                <w:szCs w:val="18"/>
                <w:color w:val="auto"/>
              </w:rPr>
              <w:t>15,429</w:t>
            </w:r>
          </w:p>
        </w:tc>
        <w:tc>
          <w:tcPr>
            <w:tcW w:w="900" w:type="dxa"/>
            <w:vAlign w:val="bottom"/>
            <w:tcBorders>
              <w:bottom w:val="single" w:sz="8" w:color="0C479D"/>
            </w:tcBorders>
          </w:tcPr>
          <w:p>
            <w:pPr>
              <w:jc w:val="right"/>
              <w:ind w:right="11"/>
              <w:spacing w:after="0"/>
              <w:rPr>
                <w:sz w:val="20"/>
                <w:szCs w:val="20"/>
                <w:color w:val="auto"/>
              </w:rPr>
            </w:pPr>
            <w:r>
              <w:rPr>
                <w:rFonts w:ascii="Times New Roman" w:cs="Times New Roman" w:eastAsia="Times New Roman" w:hAnsi="Times New Roman"/>
                <w:sz w:val="18"/>
                <w:szCs w:val="18"/>
                <w:color w:val="auto"/>
              </w:rPr>
              <w:t>20,176</w:t>
            </w:r>
          </w:p>
        </w:tc>
      </w:tr>
      <w:tr>
        <w:trPr>
          <w:trHeight w:val="25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including noncontrolling interests</w:t>
            </w:r>
          </w:p>
        </w:tc>
        <w:tc>
          <w:tcPr>
            <w:tcW w:w="1320" w:type="dxa"/>
            <w:vAlign w:val="bottom"/>
          </w:tcPr>
          <w:p>
            <w:pPr>
              <w:spacing w:after="0"/>
              <w:rPr>
                <w:sz w:val="21"/>
                <w:szCs w:val="21"/>
                <w:color w:val="auto"/>
              </w:rPr>
            </w:pPr>
          </w:p>
        </w:tc>
        <w:tc>
          <w:tcPr>
            <w:tcW w:w="960" w:type="dxa"/>
            <w:vAlign w:val="bottom"/>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35,063</w:t>
            </w:r>
          </w:p>
        </w:tc>
        <w:tc>
          <w:tcPr>
            <w:tcW w:w="1260" w:type="dxa"/>
            <w:vAlign w:val="bottom"/>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37,354</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57,577</w:t>
            </w:r>
          </w:p>
        </w:tc>
      </w:tr>
      <w:tr>
        <w:trPr>
          <w:trHeight w:val="270"/>
        </w:trPr>
        <w:tc>
          <w:tcPr>
            <w:tcW w:w="522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320" w:type="dxa"/>
            <w:vAlign w:val="bottom"/>
            <w:tcBorders>
              <w:bottom w:val="single" w:sz="8" w:color="0C479D"/>
            </w:tcBorders>
          </w:tcPr>
          <w:p>
            <w:pPr>
              <w:spacing w:after="0"/>
              <w:rPr>
                <w:sz w:val="23"/>
                <w:szCs w:val="23"/>
                <w:color w:val="auto"/>
              </w:rPr>
            </w:pPr>
          </w:p>
        </w:tc>
        <w:tc>
          <w:tcPr>
            <w:tcW w:w="960" w:type="dxa"/>
            <w:vAlign w:val="bottom"/>
            <w:tcBorders>
              <w:bottom w:val="single" w:sz="8" w:color="0C479D"/>
            </w:tcBorders>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1,383</w:t>
            </w:r>
          </w:p>
        </w:tc>
        <w:tc>
          <w:tcPr>
            <w:tcW w:w="1260" w:type="dxa"/>
            <w:vAlign w:val="bottom"/>
            <w:tcBorders>
              <w:bottom w:val="single" w:sz="8" w:color="0C479D"/>
            </w:tcBorders>
          </w:tcPr>
          <w:p>
            <w:pPr>
              <w:jc w:val="right"/>
              <w:ind w:right="191"/>
              <w:spacing w:after="0"/>
              <w:rPr>
                <w:sz w:val="20"/>
                <w:szCs w:val="20"/>
                <w:color w:val="auto"/>
              </w:rPr>
            </w:pPr>
            <w:r>
              <w:rPr>
                <w:rFonts w:ascii="Times New Roman" w:cs="Times New Roman" w:eastAsia="Times New Roman" w:hAnsi="Times New Roman"/>
                <w:sz w:val="18"/>
                <w:szCs w:val="18"/>
                <w:color w:val="auto"/>
              </w:rPr>
              <w:t>1,344</w:t>
            </w:r>
          </w:p>
        </w:tc>
        <w:tc>
          <w:tcPr>
            <w:tcW w:w="900" w:type="dxa"/>
            <w:vAlign w:val="bottom"/>
            <w:tcBorders>
              <w:bottom w:val="single" w:sz="8" w:color="0C479D"/>
            </w:tcBorders>
          </w:tcPr>
          <w:p>
            <w:pPr>
              <w:jc w:val="right"/>
              <w:ind w:right="11"/>
              <w:spacing w:after="0"/>
              <w:rPr>
                <w:sz w:val="20"/>
                <w:szCs w:val="20"/>
                <w:color w:val="auto"/>
              </w:rPr>
            </w:pPr>
            <w:r>
              <w:rPr>
                <w:rFonts w:ascii="Times New Roman" w:cs="Times New Roman" w:eastAsia="Times New Roman" w:hAnsi="Times New Roman"/>
                <w:sz w:val="18"/>
                <w:szCs w:val="18"/>
                <w:color w:val="auto"/>
              </w:rPr>
              <w:t>1,837</w:t>
            </w:r>
          </w:p>
        </w:tc>
      </w:tr>
      <w:tr>
        <w:trPr>
          <w:trHeight w:val="250"/>
        </w:trPr>
        <w:tc>
          <w:tcPr>
            <w:tcW w:w="522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ExxonMobil</w:t>
            </w:r>
          </w:p>
        </w:tc>
        <w:tc>
          <w:tcPr>
            <w:tcW w:w="1320" w:type="dxa"/>
            <w:vAlign w:val="bottom"/>
            <w:tcBorders>
              <w:bottom w:val="single" w:sz="8" w:color="0C479D"/>
            </w:tcBorders>
          </w:tcPr>
          <w:p>
            <w:pPr>
              <w:spacing w:after="0"/>
              <w:rPr>
                <w:sz w:val="21"/>
                <w:szCs w:val="21"/>
                <w:color w:val="auto"/>
              </w:rPr>
            </w:pPr>
          </w:p>
        </w:tc>
        <w:tc>
          <w:tcPr>
            <w:tcW w:w="960" w:type="dxa"/>
            <w:vAlign w:val="bottom"/>
            <w:tcBorders>
              <w:bottom w:val="single" w:sz="8" w:color="0C479D"/>
            </w:tcBorders>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33,680</w:t>
            </w:r>
          </w:p>
        </w:tc>
        <w:tc>
          <w:tcPr>
            <w:tcW w:w="1260" w:type="dxa"/>
            <w:vAlign w:val="bottom"/>
            <w:tcBorders>
              <w:bottom w:val="single" w:sz="8" w:color="0C479D"/>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36,010</w:t>
            </w:r>
          </w:p>
        </w:tc>
        <w:tc>
          <w:tcPr>
            <w:tcW w:w="900" w:type="dxa"/>
            <w:vAlign w:val="bottom"/>
            <w:tcBorders>
              <w:bottom w:val="single" w:sz="8" w:color="0C479D"/>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55,740</w:t>
            </w:r>
          </w:p>
        </w:tc>
      </w:tr>
      <w:tr>
        <w:trPr>
          <w:trHeight w:val="52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Earnings (loss) per common share </w:t>
            </w:r>
            <w:r>
              <w:rPr>
                <w:rFonts w:ascii="Times New Roman" w:cs="Times New Roman" w:eastAsia="Times New Roman" w:hAnsi="Times New Roman"/>
                <w:sz w:val="18"/>
                <w:szCs w:val="18"/>
                <w:b w:val="1"/>
                <w:bCs w:val="1"/>
                <w:i w:val="1"/>
                <w:iCs w:val="1"/>
                <w:color w:val="auto"/>
              </w:rPr>
              <w:t>(dollars)</w:t>
            </w:r>
          </w:p>
        </w:tc>
        <w:tc>
          <w:tcPr>
            <w:tcW w:w="132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0000FF"/>
                <w:w w:val="99"/>
              </w:rPr>
              <w:t>12</w:t>
            </w:r>
          </w:p>
        </w:tc>
        <w:tc>
          <w:tcPr>
            <w:tcW w:w="960" w:type="dxa"/>
            <w:vAlign w:val="bottom"/>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7.84</w:t>
            </w:r>
          </w:p>
        </w:tc>
        <w:tc>
          <w:tcPr>
            <w:tcW w:w="1260" w:type="dxa"/>
            <w:vAlign w:val="bottom"/>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8.89</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13.26</w:t>
            </w:r>
          </w:p>
        </w:tc>
      </w:tr>
      <w:tr>
        <w:trPr>
          <w:trHeight w:val="358"/>
        </w:trPr>
        <w:tc>
          <w:tcPr>
            <w:tcW w:w="522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Earnings (loss) per common share - assuming dilution </w:t>
            </w:r>
            <w:r>
              <w:rPr>
                <w:rFonts w:ascii="Times New Roman" w:cs="Times New Roman" w:eastAsia="Times New Roman" w:hAnsi="Times New Roman"/>
                <w:sz w:val="18"/>
                <w:szCs w:val="18"/>
                <w:b w:val="1"/>
                <w:bCs w:val="1"/>
                <w:i w:val="1"/>
                <w:iCs w:val="1"/>
                <w:color w:val="auto"/>
              </w:rPr>
              <w:t>(dollars)</w:t>
            </w:r>
          </w:p>
        </w:tc>
        <w:tc>
          <w:tcPr>
            <w:tcW w:w="1320" w:type="dxa"/>
            <w:vAlign w:val="bottom"/>
            <w:tcBorders>
              <w:bottom w:val="single" w:sz="8" w:color="0C479D"/>
            </w:tcBorders>
          </w:tcPr>
          <w:p>
            <w:pPr>
              <w:jc w:val="center"/>
              <w:ind w:left="28"/>
              <w:spacing w:after="0"/>
              <w:rPr>
                <w:sz w:val="20"/>
                <w:szCs w:val="20"/>
                <w:color w:val="auto"/>
              </w:rPr>
            </w:pPr>
            <w:r>
              <w:rPr>
                <w:rFonts w:ascii="Times New Roman" w:cs="Times New Roman" w:eastAsia="Times New Roman" w:hAnsi="Times New Roman"/>
                <w:sz w:val="14"/>
                <w:szCs w:val="14"/>
                <w:color w:val="0000FF"/>
                <w:w w:val="99"/>
              </w:rPr>
              <w:t>12</w:t>
            </w:r>
          </w:p>
        </w:tc>
        <w:tc>
          <w:tcPr>
            <w:tcW w:w="960" w:type="dxa"/>
            <w:vAlign w:val="bottom"/>
            <w:tcBorders>
              <w:bottom w:val="single" w:sz="8" w:color="0C479D"/>
            </w:tcBorders>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7.84</w:t>
            </w:r>
          </w:p>
        </w:tc>
        <w:tc>
          <w:tcPr>
            <w:tcW w:w="1260" w:type="dxa"/>
            <w:vAlign w:val="bottom"/>
            <w:tcBorders>
              <w:bottom w:val="single" w:sz="8" w:color="0C479D"/>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8.89</w:t>
            </w:r>
          </w:p>
        </w:tc>
        <w:tc>
          <w:tcPr>
            <w:tcW w:w="900" w:type="dxa"/>
            <w:vAlign w:val="bottom"/>
            <w:tcBorders>
              <w:bottom w:val="single" w:sz="8" w:color="0C479D"/>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13.26</w:t>
            </w:r>
          </w:p>
        </w:tc>
      </w:tr>
    </w:tbl>
    <w:p>
      <w:pPr>
        <w:spacing w:after="0" w:line="1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color w:val="auto"/>
        </w:rPr>
        <w:t>The information in the Notes to Consolidated Financial Statements is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20" w:top="1107" w:right="11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22"/>
          <w:szCs w:val="22"/>
          <w:b w:val="1"/>
          <w:bCs w:val="1"/>
          <w:color w:val="0C479D"/>
        </w:rPr>
        <w:t>CONSOLIDATED STATEMENT OF COMPREHENSIVE INCOME</w:t>
      </w:r>
    </w:p>
    <w:p>
      <w:pPr>
        <w:spacing w:after="0" w:line="359" w:lineRule="exact"/>
        <w:rPr>
          <w:sz w:val="20"/>
          <w:szCs w:val="20"/>
          <w:color w:val="auto"/>
        </w:rPr>
      </w:pPr>
    </w:p>
    <w:tbl>
      <w:tblPr>
        <w:tblLayout w:type="fixed"/>
        <w:tblInd w:w="800" w:type="dxa"/>
        <w:tblCellMar>
          <w:top w:w="0" w:type="dxa"/>
          <w:left w:w="0" w:type="dxa"/>
          <w:bottom w:w="0" w:type="dxa"/>
          <w:right w:w="0" w:type="dxa"/>
        </w:tblCellMar>
      </w:tblPr>
      <w:tr>
        <w:trPr>
          <w:trHeight w:val="250"/>
        </w:trPr>
        <w:tc>
          <w:tcPr>
            <w:tcW w:w="6540" w:type="dxa"/>
            <w:vAlign w:val="bottom"/>
            <w:tcBorders>
              <w:bottom w:val="single" w:sz="8" w:color="0C479D"/>
            </w:tcBorders>
            <w:shd w:val="clear" w:color="auto" w:fill="0C479D"/>
          </w:tcPr>
          <w:p>
            <w:pPr>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960" w:type="dxa"/>
            <w:vAlign w:val="bottom"/>
            <w:tcBorders>
              <w:bottom w:val="single" w:sz="8" w:color="0C479D"/>
            </w:tcBorders>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1320" w:type="dxa"/>
            <w:vAlign w:val="bottom"/>
            <w:tcBorders>
              <w:bottom w:val="single" w:sz="8" w:color="0C479D"/>
            </w:tcBorders>
            <w:shd w:val="clear" w:color="auto" w:fill="0C479D"/>
          </w:tcPr>
          <w:p>
            <w:pPr>
              <w:jc w:val="right"/>
              <w:ind w:right="172"/>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840" w:type="dxa"/>
            <w:vAlign w:val="bottom"/>
            <w:tcBorders>
              <w:bottom w:val="single" w:sz="8" w:color="0C479D"/>
            </w:tcBorders>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2022</w:t>
            </w:r>
          </w:p>
        </w:tc>
      </w:tr>
      <w:tr>
        <w:trPr>
          <w:trHeight w:val="364"/>
        </w:trPr>
        <w:tc>
          <w:tcPr>
            <w:tcW w:w="6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 including noncontrolling interests</w:t>
            </w:r>
          </w:p>
        </w:tc>
        <w:tc>
          <w:tcPr>
            <w:tcW w:w="9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35,063</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37,354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57,577</w:t>
            </w:r>
          </w:p>
        </w:tc>
      </w:tr>
      <w:tr>
        <w:trPr>
          <w:trHeight w:val="338"/>
        </w:trPr>
        <w:tc>
          <w:tcPr>
            <w:tcW w:w="6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income taxes)</w:t>
            </w:r>
          </w:p>
        </w:tc>
        <w:tc>
          <w:tcPr>
            <w:tcW w:w="960" w:type="dxa"/>
            <w:vAlign w:val="bottom"/>
            <w:shd w:val="clear" w:color="auto" w:fill="F0F0F0"/>
          </w:tcPr>
          <w:p>
            <w:pPr>
              <w:spacing w:after="0"/>
              <w:rPr>
                <w:sz w:val="24"/>
                <w:szCs w:val="24"/>
                <w:color w:val="auto"/>
              </w:rPr>
            </w:pP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97"/>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translation adjustment</w:t>
            </w:r>
          </w:p>
        </w:tc>
        <w:tc>
          <w:tcPr>
            <w:tcW w:w="9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1,241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w:t>
            </w:r>
          </w:p>
        </w:tc>
      </w:tr>
      <w:tr>
        <w:trPr>
          <w:trHeight w:val="270"/>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Adjustment for foreign exchange translation (gain)/loss included in net income</w:t>
            </w:r>
          </w:p>
        </w:tc>
        <w:tc>
          <w:tcPr>
            <w:tcW w:w="9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609</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5"/>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Postretirement benefits reserves adjustment (excluding amortization)</w:t>
            </w:r>
          </w:p>
        </w:tc>
        <w:tc>
          <w:tcPr>
            <w:tcW w:w="9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3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(369)</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w:t>
            </w:r>
          </w:p>
        </w:tc>
      </w:tr>
      <w:tr>
        <w:trPr>
          <w:trHeight w:val="180"/>
        </w:trPr>
        <w:tc>
          <w:tcPr>
            <w:tcW w:w="65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Amortization and settlement of postretirement benefits reserves adjustment included in</w:t>
            </w:r>
          </w:p>
        </w:tc>
        <w:tc>
          <w:tcPr>
            <w:tcW w:w="960" w:type="dxa"/>
            <w:vAlign w:val="bottom"/>
            <w:shd w:val="clear" w:color="auto" w:fill="F0F0F0"/>
          </w:tcPr>
          <w:p>
            <w:pPr>
              <w:spacing w:after="0"/>
              <w:rPr>
                <w:sz w:val="15"/>
                <w:szCs w:val="15"/>
                <w:color w:val="auto"/>
              </w:rPr>
            </w:pPr>
          </w:p>
        </w:tc>
        <w:tc>
          <w:tcPr>
            <w:tcW w:w="13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43"/>
        </w:trPr>
        <w:tc>
          <w:tcPr>
            <w:tcW w:w="654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color w:val="auto"/>
              </w:rPr>
              <w:t>net periodic benefit costs</w:t>
            </w:r>
          </w:p>
        </w:tc>
        <w:tc>
          <w:tcPr>
            <w:tcW w:w="9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320" w:type="dxa"/>
            <w:vAlign w:val="bottom"/>
            <w:tcBorders>
              <w:bottom w:val="single" w:sz="8" w:color="0C479D"/>
            </w:tcBorders>
          </w:tcPr>
          <w:p>
            <w:pPr>
              <w:jc w:val="right"/>
              <w:ind w:right="232"/>
              <w:spacing w:after="0"/>
              <w:rPr>
                <w:sz w:val="20"/>
                <w:szCs w:val="20"/>
                <w:color w:val="auto"/>
              </w:rPr>
            </w:pPr>
            <w:r>
              <w:rPr>
                <w:rFonts w:ascii="Times New Roman" w:cs="Times New Roman" w:eastAsia="Times New Roman" w:hAnsi="Times New Roman"/>
                <w:sz w:val="18"/>
                <w:szCs w:val="18"/>
                <w:color w:val="auto"/>
              </w:rPr>
              <w:t>61</w:t>
            </w:r>
          </w:p>
        </w:tc>
        <w:tc>
          <w:tcPr>
            <w:tcW w:w="8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50"/>
        </w:trPr>
        <w:tc>
          <w:tcPr>
            <w:tcW w:w="654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b w:val="1"/>
                <w:bCs w:val="1"/>
                <w:color w:val="auto"/>
              </w:rPr>
              <w:t>Total other comprehensive income (loss)</w:t>
            </w:r>
          </w:p>
        </w:tc>
        <w:tc>
          <w:tcPr>
            <w:tcW w:w="9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(2,950)</w:t>
            </w:r>
          </w:p>
        </w:tc>
        <w:tc>
          <w:tcPr>
            <w:tcW w:w="1320" w:type="dxa"/>
            <w:vAlign w:val="bottom"/>
            <w:tcBorders>
              <w:bottom w:val="single" w:sz="8" w:color="0C479D"/>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1,542</w:t>
            </w:r>
          </w:p>
        </w:tc>
        <w:tc>
          <w:tcPr>
            <w:tcW w:w="8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316</w:t>
            </w:r>
          </w:p>
        </w:tc>
      </w:tr>
      <w:tr>
        <w:trPr>
          <w:trHeight w:val="250"/>
        </w:trPr>
        <w:tc>
          <w:tcPr>
            <w:tcW w:w="6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 including noncontrolling interests</w:t>
            </w:r>
          </w:p>
        </w:tc>
        <w:tc>
          <w:tcPr>
            <w:tcW w:w="9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32,113</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38,896</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57,893</w:t>
            </w:r>
          </w:p>
        </w:tc>
      </w:tr>
      <w:tr>
        <w:trPr>
          <w:trHeight w:val="270"/>
        </w:trPr>
        <w:tc>
          <w:tcPr>
            <w:tcW w:w="654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 interests</w:t>
            </w:r>
          </w:p>
        </w:tc>
        <w:tc>
          <w:tcPr>
            <w:tcW w:w="9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320" w:type="dxa"/>
            <w:vAlign w:val="bottom"/>
            <w:tcBorders>
              <w:bottom w:val="single" w:sz="8" w:color="0C479D"/>
            </w:tcBorders>
          </w:tcPr>
          <w:p>
            <w:pPr>
              <w:jc w:val="right"/>
              <w:ind w:right="232"/>
              <w:spacing w:after="0"/>
              <w:rPr>
                <w:sz w:val="20"/>
                <w:szCs w:val="20"/>
                <w:color w:val="auto"/>
              </w:rPr>
            </w:pPr>
            <w:r>
              <w:rPr>
                <w:rFonts w:ascii="Times New Roman" w:cs="Times New Roman" w:eastAsia="Times New Roman" w:hAnsi="Times New Roman"/>
                <w:sz w:val="18"/>
                <w:szCs w:val="18"/>
                <w:color w:val="auto"/>
              </w:rPr>
              <w:t>1,605</w:t>
            </w:r>
          </w:p>
        </w:tc>
        <w:tc>
          <w:tcPr>
            <w:tcW w:w="8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1,659</w:t>
            </w:r>
          </w:p>
        </w:tc>
      </w:tr>
      <w:tr>
        <w:trPr>
          <w:trHeight w:val="244"/>
        </w:trPr>
        <w:tc>
          <w:tcPr>
            <w:tcW w:w="654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ExxonMobil</w:t>
            </w:r>
          </w:p>
        </w:tc>
        <w:tc>
          <w:tcPr>
            <w:tcW w:w="9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31,050</w:t>
            </w:r>
          </w:p>
        </w:tc>
        <w:tc>
          <w:tcPr>
            <w:tcW w:w="1320" w:type="dxa"/>
            <w:vAlign w:val="bottom"/>
            <w:tcBorders>
              <w:bottom w:val="single" w:sz="8" w:color="0C479D"/>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37,291</w:t>
            </w:r>
          </w:p>
        </w:tc>
        <w:tc>
          <w:tcPr>
            <w:tcW w:w="8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56,234</w:t>
            </w:r>
          </w:p>
        </w:tc>
      </w:tr>
    </w:tbl>
    <w:p>
      <w:pPr>
        <w:spacing w:after="0" w:line="8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i w:val="1"/>
          <w:iCs w:val="1"/>
          <w:color w:val="auto"/>
        </w:rPr>
        <w:t>The information in the Notes to Consolidated Financial Statements is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20" w:top="1107" w:right="11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22"/>
          <w:szCs w:val="22"/>
          <w:b w:val="1"/>
          <w:bCs w:val="1"/>
          <w:color w:val="0C479D"/>
        </w:rPr>
        <w:t>CONSOLIDATED BALANCE SHEET</w:t>
      </w:r>
    </w:p>
    <w:p>
      <w:pPr>
        <w:spacing w:after="0" w:line="133" w:lineRule="exact"/>
        <w:rPr>
          <w:sz w:val="20"/>
          <w:szCs w:val="20"/>
          <w:color w:val="auto"/>
        </w:rPr>
      </w:pPr>
    </w:p>
    <w:tbl>
      <w:tblPr>
        <w:tblLayout w:type="fixed"/>
        <w:tblInd w:w="800" w:type="dxa"/>
        <w:tblCellMar>
          <w:top w:w="0" w:type="dxa"/>
          <w:left w:w="0" w:type="dxa"/>
          <w:bottom w:w="0" w:type="dxa"/>
          <w:right w:w="0" w:type="dxa"/>
        </w:tblCellMar>
      </w:tblPr>
      <w:tr>
        <w:trPr>
          <w:trHeight w:val="161"/>
        </w:trPr>
        <w:tc>
          <w:tcPr>
            <w:tcW w:w="6340" w:type="dxa"/>
            <w:vAlign w:val="bottom"/>
            <w:shd w:val="clear" w:color="auto" w:fill="0C479D"/>
          </w:tcPr>
          <w:p>
            <w:pPr>
              <w:spacing w:after="0"/>
              <w:rPr>
                <w:sz w:val="13"/>
                <w:szCs w:val="13"/>
                <w:color w:val="auto"/>
              </w:rPr>
            </w:pPr>
          </w:p>
        </w:tc>
        <w:tc>
          <w:tcPr>
            <w:tcW w:w="1180" w:type="dxa"/>
            <w:vAlign w:val="bottom"/>
            <w:shd w:val="clear" w:color="auto" w:fill="0C479D"/>
          </w:tcPr>
          <w:p>
            <w:pPr>
              <w:jc w:val="center"/>
              <w:ind w:left="28"/>
              <w:spacing w:after="0"/>
              <w:rPr>
                <w:sz w:val="20"/>
                <w:szCs w:val="20"/>
                <w:color w:val="auto"/>
              </w:rPr>
            </w:pPr>
            <w:r>
              <w:rPr>
                <w:rFonts w:ascii="Times New Roman" w:cs="Times New Roman" w:eastAsia="Times New Roman" w:hAnsi="Times New Roman"/>
                <w:sz w:val="14"/>
                <w:szCs w:val="14"/>
                <w:b w:val="1"/>
                <w:bCs w:val="1"/>
                <w:color w:val="FFFFFF"/>
                <w:w w:val="99"/>
              </w:rPr>
              <w:t>Note</w:t>
            </w:r>
          </w:p>
        </w:tc>
        <w:tc>
          <w:tcPr>
            <w:tcW w:w="1060" w:type="dxa"/>
            <w:vAlign w:val="bottom"/>
            <w:tcBorders>
              <w:right w:val="single" w:sz="8" w:color="0C479D"/>
            </w:tcBorders>
            <w:vMerge w:val="restart"/>
            <w:shd w:val="clear" w:color="auto" w:fill="0C479D"/>
          </w:tcPr>
          <w:p>
            <w:pPr>
              <w:jc w:val="right"/>
              <w:ind w:right="31"/>
              <w:spacing w:after="0"/>
              <w:rPr>
                <w:sz w:val="20"/>
                <w:szCs w:val="20"/>
                <w:color w:val="auto"/>
              </w:rPr>
            </w:pPr>
            <w:r>
              <w:rPr>
                <w:rFonts w:ascii="Times New Roman" w:cs="Times New Roman" w:eastAsia="Times New Roman" w:hAnsi="Times New Roman"/>
                <w:sz w:val="14"/>
                <w:szCs w:val="14"/>
                <w:b w:val="1"/>
                <w:bCs w:val="1"/>
                <w:color w:val="FFFFFF"/>
              </w:rPr>
              <w:t>December 31,</w:t>
            </w:r>
          </w:p>
        </w:tc>
        <w:tc>
          <w:tcPr>
            <w:tcW w:w="1060" w:type="dxa"/>
            <w:vAlign w:val="bottom"/>
            <w:vMerge w:val="restart"/>
            <w:shd w:val="clear" w:color="auto" w:fill="0C479D"/>
          </w:tcPr>
          <w:p>
            <w:pPr>
              <w:jc w:val="right"/>
              <w:ind w:right="31"/>
              <w:spacing w:after="0"/>
              <w:rPr>
                <w:sz w:val="20"/>
                <w:szCs w:val="20"/>
                <w:color w:val="auto"/>
              </w:rPr>
            </w:pPr>
            <w:r>
              <w:rPr>
                <w:rFonts w:ascii="Times New Roman" w:cs="Times New Roman" w:eastAsia="Times New Roman" w:hAnsi="Times New Roman"/>
                <w:sz w:val="14"/>
                <w:szCs w:val="14"/>
                <w:b w:val="1"/>
                <w:bCs w:val="1"/>
                <w:color w:val="FFFFFF"/>
              </w:rPr>
              <w:t>December 31,</w:t>
            </w:r>
          </w:p>
        </w:tc>
        <w:tc>
          <w:tcPr>
            <w:tcW w:w="0" w:type="dxa"/>
            <w:vAlign w:val="bottom"/>
          </w:tcPr>
          <w:p>
            <w:pPr>
              <w:spacing w:after="0"/>
              <w:rPr>
                <w:sz w:val="1"/>
                <w:szCs w:val="1"/>
                <w:color w:val="auto"/>
              </w:rPr>
            </w:pPr>
          </w:p>
        </w:tc>
      </w:tr>
      <w:tr>
        <w:trPr>
          <w:trHeight w:val="81"/>
        </w:trPr>
        <w:tc>
          <w:tcPr>
            <w:tcW w:w="6340" w:type="dxa"/>
            <w:vAlign w:val="bottom"/>
            <w:vMerge w:val="restart"/>
            <w:shd w:val="clear" w:color="auto" w:fill="0C479D"/>
          </w:tcPr>
          <w:p>
            <w:pPr>
              <w:ind w:left="20"/>
              <w:spacing w:after="0" w:line="146" w:lineRule="exact"/>
              <w:rPr>
                <w:sz w:val="20"/>
                <w:szCs w:val="20"/>
                <w:color w:val="auto"/>
              </w:rPr>
            </w:pPr>
            <w:r>
              <w:rPr>
                <w:rFonts w:ascii="Times New Roman" w:cs="Times New Roman" w:eastAsia="Times New Roman" w:hAnsi="Times New Roman"/>
                <w:sz w:val="14"/>
                <w:szCs w:val="14"/>
                <w:i w:val="1"/>
                <w:iCs w:val="1"/>
                <w:color w:val="FFFFFF"/>
              </w:rPr>
              <w:t>(millions of dollars)</w:t>
            </w:r>
          </w:p>
        </w:tc>
        <w:tc>
          <w:tcPr>
            <w:tcW w:w="1180" w:type="dxa"/>
            <w:vAlign w:val="bottom"/>
            <w:vMerge w:val="restart"/>
            <w:shd w:val="clear" w:color="auto" w:fill="0C479D"/>
          </w:tcPr>
          <w:p>
            <w:pPr>
              <w:jc w:val="center"/>
              <w:ind w:left="48"/>
              <w:spacing w:after="0" w:line="146" w:lineRule="exact"/>
              <w:rPr>
                <w:sz w:val="20"/>
                <w:szCs w:val="20"/>
                <w:color w:val="auto"/>
              </w:rPr>
            </w:pPr>
            <w:r>
              <w:rPr>
                <w:rFonts w:ascii="Times New Roman" w:cs="Times New Roman" w:eastAsia="Times New Roman" w:hAnsi="Times New Roman"/>
                <w:sz w:val="14"/>
                <w:szCs w:val="14"/>
                <w:b w:val="1"/>
                <w:bCs w:val="1"/>
                <w:color w:val="FFFFFF"/>
              </w:rPr>
              <w:t>Reference</w:t>
            </w:r>
          </w:p>
        </w:tc>
        <w:tc>
          <w:tcPr>
            <w:tcW w:w="1060" w:type="dxa"/>
            <w:vAlign w:val="bottom"/>
            <w:tcBorders>
              <w:right w:val="single" w:sz="8" w:color="0C479D"/>
            </w:tcBorders>
            <w:vMerge w:val="continue"/>
            <w:shd w:val="clear" w:color="auto" w:fill="0C479D"/>
          </w:tcPr>
          <w:p>
            <w:pPr>
              <w:spacing w:after="0"/>
              <w:rPr>
                <w:sz w:val="7"/>
                <w:szCs w:val="7"/>
                <w:color w:val="auto"/>
              </w:rPr>
            </w:pPr>
          </w:p>
        </w:tc>
        <w:tc>
          <w:tcPr>
            <w:tcW w:w="1060" w:type="dxa"/>
            <w:vAlign w:val="bottom"/>
            <w:vMerge w:val="continue"/>
            <w:shd w:val="clear" w:color="auto" w:fill="0C479D"/>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6340" w:type="dxa"/>
            <w:vAlign w:val="bottom"/>
            <w:vMerge w:val="continue"/>
            <w:shd w:val="clear" w:color="auto" w:fill="0C479D"/>
          </w:tcPr>
          <w:p>
            <w:pPr>
              <w:spacing w:after="0"/>
              <w:rPr>
                <w:sz w:val="5"/>
                <w:szCs w:val="5"/>
                <w:color w:val="auto"/>
              </w:rPr>
            </w:pPr>
          </w:p>
        </w:tc>
        <w:tc>
          <w:tcPr>
            <w:tcW w:w="1180" w:type="dxa"/>
            <w:vAlign w:val="bottom"/>
            <w:vMerge w:val="continue"/>
            <w:shd w:val="clear" w:color="auto" w:fill="0C479D"/>
          </w:tcPr>
          <w:p>
            <w:pPr>
              <w:spacing w:after="0"/>
              <w:rPr>
                <w:sz w:val="5"/>
                <w:szCs w:val="5"/>
                <w:color w:val="auto"/>
              </w:rPr>
            </w:pPr>
          </w:p>
        </w:tc>
        <w:tc>
          <w:tcPr>
            <w:tcW w:w="1060" w:type="dxa"/>
            <w:vAlign w:val="bottom"/>
            <w:tcBorders>
              <w:right w:val="single" w:sz="8" w:color="0C479D"/>
            </w:tcBorders>
            <w:vMerge w:val="restart"/>
            <w:shd w:val="clear" w:color="auto" w:fill="0C479D"/>
          </w:tcPr>
          <w:p>
            <w:pPr>
              <w:jc w:val="right"/>
              <w:ind w:right="311"/>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1060" w:type="dxa"/>
            <w:vAlign w:val="bottom"/>
            <w:vMerge w:val="restart"/>
            <w:shd w:val="clear" w:color="auto" w:fill="0C479D"/>
          </w:tcPr>
          <w:p>
            <w:pPr>
              <w:jc w:val="right"/>
              <w:ind w:right="291"/>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0" w:type="dxa"/>
            <w:vAlign w:val="bottom"/>
          </w:tcPr>
          <w:p>
            <w:pPr>
              <w:spacing w:after="0"/>
              <w:rPr>
                <w:sz w:val="1"/>
                <w:szCs w:val="1"/>
                <w:color w:val="auto"/>
              </w:rPr>
            </w:pPr>
          </w:p>
        </w:tc>
      </w:tr>
      <w:tr>
        <w:trPr>
          <w:trHeight w:val="125"/>
        </w:trPr>
        <w:tc>
          <w:tcPr>
            <w:tcW w:w="6340" w:type="dxa"/>
            <w:vAlign w:val="bottom"/>
            <w:shd w:val="clear" w:color="auto" w:fill="0C479D"/>
          </w:tcPr>
          <w:p>
            <w:pPr>
              <w:spacing w:after="0"/>
              <w:rPr>
                <w:sz w:val="10"/>
                <w:szCs w:val="10"/>
                <w:color w:val="auto"/>
              </w:rPr>
            </w:pPr>
          </w:p>
        </w:tc>
        <w:tc>
          <w:tcPr>
            <w:tcW w:w="1180" w:type="dxa"/>
            <w:vAlign w:val="bottom"/>
            <w:vMerge w:val="restart"/>
            <w:shd w:val="clear" w:color="auto" w:fill="0C479D"/>
          </w:tcPr>
          <w:p>
            <w:pPr>
              <w:jc w:val="center"/>
              <w:ind w:left="28"/>
              <w:spacing w:after="0"/>
              <w:rPr>
                <w:sz w:val="20"/>
                <w:szCs w:val="20"/>
                <w:color w:val="auto"/>
              </w:rPr>
            </w:pPr>
            <w:r>
              <w:rPr>
                <w:rFonts w:ascii="Times New Roman" w:cs="Times New Roman" w:eastAsia="Times New Roman" w:hAnsi="Times New Roman"/>
                <w:sz w:val="14"/>
                <w:szCs w:val="14"/>
                <w:b w:val="1"/>
                <w:bCs w:val="1"/>
                <w:color w:val="FFFFFF"/>
              </w:rPr>
              <w:t>Number</w:t>
            </w:r>
          </w:p>
        </w:tc>
        <w:tc>
          <w:tcPr>
            <w:tcW w:w="1060" w:type="dxa"/>
            <w:vAlign w:val="bottom"/>
            <w:tcBorders>
              <w:right w:val="single" w:sz="8" w:color="0C479D"/>
            </w:tcBorders>
            <w:vMerge w:val="continue"/>
            <w:shd w:val="clear" w:color="auto" w:fill="0C479D"/>
          </w:tcPr>
          <w:p>
            <w:pPr>
              <w:spacing w:after="0"/>
              <w:rPr>
                <w:sz w:val="10"/>
                <w:szCs w:val="10"/>
                <w:color w:val="auto"/>
              </w:rPr>
            </w:pPr>
          </w:p>
        </w:tc>
        <w:tc>
          <w:tcPr>
            <w:tcW w:w="1060" w:type="dxa"/>
            <w:vAlign w:val="bottom"/>
            <w:vMerge w:val="continue"/>
            <w:shd w:val="clear" w:color="auto" w:fill="0C479D"/>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6340" w:type="dxa"/>
            <w:vAlign w:val="bottom"/>
            <w:tcBorders>
              <w:bottom w:val="single" w:sz="8" w:color="0C479D"/>
            </w:tcBorders>
            <w:shd w:val="clear" w:color="auto" w:fill="0C479D"/>
          </w:tcPr>
          <w:p>
            <w:pPr>
              <w:spacing w:after="0"/>
              <w:rPr>
                <w:sz w:val="7"/>
                <w:szCs w:val="7"/>
                <w:color w:val="auto"/>
              </w:rPr>
            </w:pPr>
          </w:p>
        </w:tc>
        <w:tc>
          <w:tcPr>
            <w:tcW w:w="1180" w:type="dxa"/>
            <w:vAlign w:val="bottom"/>
            <w:tcBorders>
              <w:bottom w:val="single" w:sz="8" w:color="0C479D"/>
            </w:tcBorders>
            <w:vMerge w:val="continue"/>
            <w:shd w:val="clear" w:color="auto" w:fill="0C479D"/>
          </w:tcPr>
          <w:p>
            <w:pPr>
              <w:spacing w:after="0"/>
              <w:rPr>
                <w:sz w:val="7"/>
                <w:szCs w:val="7"/>
                <w:color w:val="auto"/>
              </w:rPr>
            </w:pPr>
          </w:p>
        </w:tc>
        <w:tc>
          <w:tcPr>
            <w:tcW w:w="1060" w:type="dxa"/>
            <w:vAlign w:val="bottom"/>
            <w:tcBorders>
              <w:bottom w:val="single" w:sz="8" w:color="0C479D"/>
              <w:right w:val="single" w:sz="8" w:color="0C479D"/>
            </w:tcBorders>
            <w:shd w:val="clear" w:color="auto" w:fill="0C479D"/>
          </w:tcPr>
          <w:p>
            <w:pPr>
              <w:spacing w:after="0"/>
              <w:rPr>
                <w:sz w:val="7"/>
                <w:szCs w:val="7"/>
                <w:color w:val="auto"/>
              </w:rPr>
            </w:pPr>
          </w:p>
        </w:tc>
        <w:tc>
          <w:tcPr>
            <w:tcW w:w="1060" w:type="dxa"/>
            <w:vAlign w:val="bottom"/>
            <w:tcBorders>
              <w:bottom w:val="single" w:sz="8" w:color="0C479D"/>
            </w:tcBorders>
            <w:shd w:val="clear" w:color="auto" w:fill="0C479D"/>
          </w:tcPr>
          <w:p>
            <w:pPr>
              <w:spacing w:after="0"/>
              <w:rPr>
                <w:sz w:val="7"/>
                <w:szCs w:val="7"/>
                <w:color w:val="auto"/>
              </w:rPr>
            </w:pPr>
          </w:p>
        </w:tc>
        <w:tc>
          <w:tcPr>
            <w:tcW w:w="0" w:type="dxa"/>
            <w:vAlign w:val="bottom"/>
          </w:tcPr>
          <w:p>
            <w:pPr>
              <w:spacing w:after="0"/>
              <w:rPr>
                <w:sz w:val="1"/>
                <w:szCs w:val="1"/>
                <w:color w:val="auto"/>
              </w:rPr>
            </w:pPr>
          </w:p>
        </w:tc>
      </w:tr>
      <w:tr>
        <w:trPr>
          <w:trHeight w:val="365"/>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C479D"/>
              </w:rPr>
              <w:t>ASSETS</w:t>
            </w:r>
          </w:p>
        </w:tc>
        <w:tc>
          <w:tcPr>
            <w:tcW w:w="1180" w:type="dxa"/>
            <w:vAlign w:val="bottom"/>
          </w:tcPr>
          <w:p>
            <w:pPr>
              <w:spacing w:after="0"/>
              <w:rPr>
                <w:sz w:val="24"/>
                <w:szCs w:val="24"/>
                <w:color w:val="auto"/>
              </w:rPr>
            </w:pPr>
          </w:p>
        </w:tc>
        <w:tc>
          <w:tcPr>
            <w:tcW w:w="1060" w:type="dxa"/>
            <w:vAlign w:val="bottom"/>
            <w:tcBorders>
              <w:right w:val="single" w:sz="8" w:color="F0F0F0"/>
            </w:tcBorders>
            <w:shd w:val="clear" w:color="auto" w:fill="F0F0F0"/>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C479D"/>
              </w:rPr>
              <w:t>Current assets</w:t>
            </w:r>
          </w:p>
        </w:tc>
        <w:tc>
          <w:tcPr>
            <w:tcW w:w="1180" w:type="dxa"/>
            <w:vAlign w:val="bottom"/>
          </w:tcPr>
          <w:p>
            <w:pPr>
              <w:spacing w:after="0"/>
              <w:rPr>
                <w:sz w:val="23"/>
                <w:szCs w:val="23"/>
                <w:color w:val="auto"/>
              </w:rPr>
            </w:pPr>
          </w:p>
        </w:tc>
        <w:tc>
          <w:tcPr>
            <w:tcW w:w="1060" w:type="dxa"/>
            <w:vAlign w:val="bottom"/>
            <w:tcBorders>
              <w:right w:val="single" w:sz="8" w:color="F0F0F0"/>
            </w:tcBorders>
            <w:shd w:val="clear" w:color="auto" w:fill="F0F0F0"/>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80" w:type="dxa"/>
            <w:vAlign w:val="bottom"/>
          </w:tcPr>
          <w:p>
            <w:pPr>
              <w:spacing w:after="0"/>
              <w:rPr>
                <w:sz w:val="23"/>
                <w:szCs w:val="23"/>
                <w:color w:val="auto"/>
              </w:rPr>
            </w:pPr>
          </w:p>
        </w:tc>
        <w:tc>
          <w:tcPr>
            <w:tcW w:w="106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23,029</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31,539</w:t>
            </w:r>
          </w:p>
        </w:tc>
        <w:tc>
          <w:tcPr>
            <w:tcW w:w="0" w:type="dxa"/>
            <w:vAlign w:val="bottom"/>
          </w:tcPr>
          <w:p>
            <w:pPr>
              <w:spacing w:after="0"/>
              <w:rPr>
                <w:sz w:val="1"/>
                <w:szCs w:val="1"/>
                <w:color w:val="auto"/>
              </w:rPr>
            </w:pPr>
          </w:p>
        </w:tc>
      </w:tr>
      <w:tr>
        <w:trPr>
          <w:trHeight w:val="27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 restricted</w:t>
            </w:r>
          </w:p>
        </w:tc>
        <w:tc>
          <w:tcPr>
            <w:tcW w:w="1180" w:type="dxa"/>
            <w:vAlign w:val="bottom"/>
          </w:tcPr>
          <w:p>
            <w:pPr>
              <w:spacing w:after="0"/>
              <w:rPr>
                <w:sz w:val="23"/>
                <w:szCs w:val="23"/>
                <w:color w:val="auto"/>
              </w:rPr>
            </w:pPr>
          </w:p>
        </w:tc>
        <w:tc>
          <w:tcPr>
            <w:tcW w:w="106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and accounts receivable – net</w:t>
            </w:r>
          </w:p>
        </w:tc>
        <w:tc>
          <w:tcPr>
            <w:tcW w:w="11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0000FF"/>
              </w:rPr>
              <w:t>6</w:t>
            </w:r>
          </w:p>
        </w:tc>
        <w:tc>
          <w:tcPr>
            <w:tcW w:w="106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43,681</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38,015</w:t>
            </w:r>
          </w:p>
        </w:tc>
        <w:tc>
          <w:tcPr>
            <w:tcW w:w="0" w:type="dxa"/>
            <w:vAlign w:val="bottom"/>
          </w:tcPr>
          <w:p>
            <w:pPr>
              <w:spacing w:after="0"/>
              <w:rPr>
                <w:sz w:val="1"/>
                <w:szCs w:val="1"/>
                <w:color w:val="auto"/>
              </w:rPr>
            </w:pPr>
          </w:p>
        </w:tc>
      </w:tr>
      <w:tr>
        <w:trPr>
          <w:trHeight w:val="27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180" w:type="dxa"/>
            <w:vAlign w:val="bottom"/>
          </w:tcPr>
          <w:p>
            <w:pPr>
              <w:spacing w:after="0"/>
              <w:rPr>
                <w:sz w:val="23"/>
                <w:szCs w:val="23"/>
                <w:color w:val="auto"/>
              </w:rPr>
            </w:pPr>
          </w:p>
        </w:tc>
        <w:tc>
          <w:tcPr>
            <w:tcW w:w="1060" w:type="dxa"/>
            <w:vAlign w:val="bottom"/>
            <w:tcBorders>
              <w:right w:val="single" w:sz="8" w:color="F0F0F0"/>
            </w:tcBorders>
            <w:shd w:val="clear" w:color="auto" w:fill="F0F0F0"/>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Crude oil, products and merchandise</w:t>
            </w:r>
          </w:p>
        </w:tc>
        <w:tc>
          <w:tcPr>
            <w:tcW w:w="11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0000FF"/>
              </w:rPr>
              <w:t>3</w:t>
            </w:r>
          </w:p>
        </w:tc>
        <w:tc>
          <w:tcPr>
            <w:tcW w:w="106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19,444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20,528</w:t>
            </w:r>
          </w:p>
        </w:tc>
        <w:tc>
          <w:tcPr>
            <w:tcW w:w="0" w:type="dxa"/>
            <w:vAlign w:val="bottom"/>
          </w:tcPr>
          <w:p>
            <w:pPr>
              <w:spacing w:after="0"/>
              <w:rPr>
                <w:sz w:val="1"/>
                <w:szCs w:val="1"/>
                <w:color w:val="auto"/>
              </w:rPr>
            </w:pPr>
          </w:p>
        </w:tc>
      </w:tr>
      <w:tr>
        <w:trPr>
          <w:trHeight w:val="270"/>
        </w:trPr>
        <w:tc>
          <w:tcPr>
            <w:tcW w:w="6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Materials and supplies</w:t>
            </w:r>
          </w:p>
        </w:tc>
        <w:tc>
          <w:tcPr>
            <w:tcW w:w="1180" w:type="dxa"/>
            <w:vAlign w:val="bottom"/>
          </w:tcPr>
          <w:p>
            <w:pPr>
              <w:spacing w:after="0"/>
              <w:rPr>
                <w:sz w:val="23"/>
                <w:szCs w:val="23"/>
                <w:color w:val="auto"/>
              </w:rPr>
            </w:pPr>
          </w:p>
        </w:tc>
        <w:tc>
          <w:tcPr>
            <w:tcW w:w="106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4,080</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4,592</w:t>
            </w:r>
          </w:p>
        </w:tc>
        <w:tc>
          <w:tcPr>
            <w:tcW w:w="0" w:type="dxa"/>
            <w:vAlign w:val="bottom"/>
          </w:tcPr>
          <w:p>
            <w:pPr>
              <w:spacing w:after="0"/>
              <w:rPr>
                <w:sz w:val="1"/>
                <w:szCs w:val="1"/>
                <w:color w:val="auto"/>
              </w:rPr>
            </w:pPr>
          </w:p>
        </w:tc>
      </w:tr>
      <w:tr>
        <w:trPr>
          <w:trHeight w:val="270"/>
        </w:trPr>
        <w:tc>
          <w:tcPr>
            <w:tcW w:w="634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180" w:type="dxa"/>
            <w:vAlign w:val="bottom"/>
            <w:tcBorders>
              <w:bottom w:val="single" w:sz="8" w:color="0C479D"/>
            </w:tcBorders>
          </w:tcPr>
          <w:p>
            <w:pPr>
              <w:spacing w:after="0"/>
              <w:rPr>
                <w:sz w:val="23"/>
                <w:szCs w:val="23"/>
                <w:color w:val="auto"/>
              </w:rPr>
            </w:pPr>
          </w:p>
        </w:tc>
        <w:tc>
          <w:tcPr>
            <w:tcW w:w="1060" w:type="dxa"/>
            <w:vAlign w:val="bottom"/>
            <w:tcBorders>
              <w:bottom w:val="single" w:sz="8" w:color="0C479D"/>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0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0" w:type="dxa"/>
            <w:vAlign w:val="bottom"/>
          </w:tcPr>
          <w:p>
            <w:pPr>
              <w:spacing w:after="0"/>
              <w:rPr>
                <w:sz w:val="1"/>
                <w:szCs w:val="1"/>
                <w:color w:val="auto"/>
              </w:rPr>
            </w:pPr>
          </w:p>
        </w:tc>
      </w:tr>
      <w:tr>
        <w:trPr>
          <w:trHeight w:val="250"/>
        </w:trPr>
        <w:tc>
          <w:tcPr>
            <w:tcW w:w="634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180" w:type="dxa"/>
            <w:vAlign w:val="bottom"/>
            <w:tcBorders>
              <w:bottom w:val="single" w:sz="8" w:color="0C479D"/>
            </w:tcBorders>
          </w:tcPr>
          <w:p>
            <w:pPr>
              <w:spacing w:after="0"/>
              <w:rPr>
                <w:sz w:val="21"/>
                <w:szCs w:val="21"/>
                <w:color w:val="auto"/>
              </w:rPr>
            </w:pPr>
          </w:p>
        </w:tc>
        <w:tc>
          <w:tcPr>
            <w:tcW w:w="1060" w:type="dxa"/>
            <w:vAlign w:val="bottom"/>
            <w:tcBorders>
              <w:bottom w:val="single" w:sz="8" w:color="0C479D"/>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91,990</w:t>
            </w:r>
          </w:p>
        </w:tc>
        <w:tc>
          <w:tcPr>
            <w:tcW w:w="10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96,609</w:t>
            </w:r>
          </w:p>
        </w:tc>
        <w:tc>
          <w:tcPr>
            <w:tcW w:w="0" w:type="dxa"/>
            <w:vAlign w:val="bottom"/>
          </w:tcPr>
          <w:p>
            <w:pPr>
              <w:spacing w:after="0"/>
              <w:rPr>
                <w:sz w:val="1"/>
                <w:szCs w:val="1"/>
                <w:color w:val="auto"/>
              </w:rPr>
            </w:pPr>
          </w:p>
        </w:tc>
      </w:tr>
      <w:tr>
        <w:trPr>
          <w:trHeight w:val="25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advances and long-term receivables</w:t>
            </w:r>
          </w:p>
        </w:tc>
        <w:tc>
          <w:tcPr>
            <w:tcW w:w="11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0000FF"/>
              </w:rPr>
              <w:t>8</w:t>
            </w:r>
          </w:p>
        </w:tc>
        <w:tc>
          <w:tcPr>
            <w:tcW w:w="106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47,200</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47,630</w:t>
            </w:r>
          </w:p>
        </w:tc>
        <w:tc>
          <w:tcPr>
            <w:tcW w:w="0" w:type="dxa"/>
            <w:vAlign w:val="bottom"/>
          </w:tcPr>
          <w:p>
            <w:pPr>
              <w:spacing w:after="0"/>
              <w:rPr>
                <w:sz w:val="1"/>
                <w:szCs w:val="1"/>
                <w:color w:val="auto"/>
              </w:rPr>
            </w:pPr>
          </w:p>
        </w:tc>
      </w:tr>
      <w:tr>
        <w:trPr>
          <w:trHeight w:val="27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at cost, less accumulated depreciation and depletion</w:t>
            </w:r>
          </w:p>
        </w:tc>
        <w:tc>
          <w:tcPr>
            <w:tcW w:w="11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0000FF"/>
              </w:rPr>
              <w:t>9</w:t>
            </w:r>
          </w:p>
        </w:tc>
        <w:tc>
          <w:tcPr>
            <w:tcW w:w="106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294,318</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214,940</w:t>
            </w:r>
          </w:p>
        </w:tc>
        <w:tc>
          <w:tcPr>
            <w:tcW w:w="0" w:type="dxa"/>
            <w:vAlign w:val="bottom"/>
          </w:tcPr>
          <w:p>
            <w:pPr>
              <w:spacing w:after="0"/>
              <w:rPr>
                <w:sz w:val="1"/>
                <w:szCs w:val="1"/>
                <w:color w:val="auto"/>
              </w:rPr>
            </w:pPr>
          </w:p>
        </w:tc>
      </w:tr>
      <w:tr>
        <w:trPr>
          <w:trHeight w:val="270"/>
        </w:trPr>
        <w:tc>
          <w:tcPr>
            <w:tcW w:w="634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Other assets, including intangibles – net</w:t>
            </w:r>
          </w:p>
        </w:tc>
        <w:tc>
          <w:tcPr>
            <w:tcW w:w="1180" w:type="dxa"/>
            <w:vAlign w:val="bottom"/>
            <w:tcBorders>
              <w:bottom w:val="single" w:sz="8" w:color="0C479D"/>
            </w:tcBorders>
          </w:tcPr>
          <w:p>
            <w:pPr>
              <w:spacing w:after="0"/>
              <w:rPr>
                <w:sz w:val="23"/>
                <w:szCs w:val="23"/>
                <w:color w:val="auto"/>
              </w:rPr>
            </w:pPr>
          </w:p>
        </w:tc>
        <w:tc>
          <w:tcPr>
            <w:tcW w:w="1060" w:type="dxa"/>
            <w:vAlign w:val="bottom"/>
            <w:tcBorders>
              <w:bottom w:val="single" w:sz="8" w:color="0C479D"/>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19,967</w:t>
            </w:r>
          </w:p>
        </w:tc>
        <w:tc>
          <w:tcPr>
            <w:tcW w:w="10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17,138</w:t>
            </w:r>
          </w:p>
        </w:tc>
        <w:tc>
          <w:tcPr>
            <w:tcW w:w="0" w:type="dxa"/>
            <w:vAlign w:val="bottom"/>
          </w:tcPr>
          <w:p>
            <w:pPr>
              <w:spacing w:after="0"/>
              <w:rPr>
                <w:sz w:val="1"/>
                <w:szCs w:val="1"/>
                <w:color w:val="auto"/>
              </w:rPr>
            </w:pPr>
          </w:p>
        </w:tc>
      </w:tr>
      <w:tr>
        <w:trPr>
          <w:trHeight w:val="244"/>
        </w:trPr>
        <w:tc>
          <w:tcPr>
            <w:tcW w:w="634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80" w:type="dxa"/>
            <w:vAlign w:val="bottom"/>
            <w:tcBorders>
              <w:bottom w:val="single" w:sz="8" w:color="0C479D"/>
            </w:tcBorders>
          </w:tcPr>
          <w:p>
            <w:pPr>
              <w:spacing w:after="0"/>
              <w:rPr>
                <w:sz w:val="21"/>
                <w:szCs w:val="21"/>
                <w:color w:val="auto"/>
              </w:rPr>
            </w:pPr>
          </w:p>
        </w:tc>
        <w:tc>
          <w:tcPr>
            <w:tcW w:w="1060" w:type="dxa"/>
            <w:vAlign w:val="bottom"/>
            <w:tcBorders>
              <w:bottom w:val="single" w:sz="8" w:color="0C479D"/>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453,475</w:t>
            </w:r>
          </w:p>
        </w:tc>
        <w:tc>
          <w:tcPr>
            <w:tcW w:w="10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376,317</w:t>
            </w:r>
          </w:p>
        </w:tc>
        <w:tc>
          <w:tcPr>
            <w:tcW w:w="0" w:type="dxa"/>
            <w:vAlign w:val="bottom"/>
          </w:tcPr>
          <w:p>
            <w:pPr>
              <w:spacing w:after="0"/>
              <w:rPr>
                <w:sz w:val="1"/>
                <w:szCs w:val="1"/>
                <w:color w:val="auto"/>
              </w:rPr>
            </w:pPr>
          </w:p>
        </w:tc>
      </w:tr>
      <w:tr>
        <w:trPr>
          <w:trHeight w:val="351"/>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C479D"/>
              </w:rPr>
              <w:t>LIABILITIES</w:t>
            </w:r>
          </w:p>
        </w:tc>
        <w:tc>
          <w:tcPr>
            <w:tcW w:w="1180" w:type="dxa"/>
            <w:vAlign w:val="bottom"/>
          </w:tcPr>
          <w:p>
            <w:pPr>
              <w:spacing w:after="0"/>
              <w:rPr>
                <w:sz w:val="24"/>
                <w:szCs w:val="24"/>
                <w:color w:val="auto"/>
              </w:rPr>
            </w:pPr>
          </w:p>
        </w:tc>
        <w:tc>
          <w:tcPr>
            <w:tcW w:w="1060" w:type="dxa"/>
            <w:vAlign w:val="bottom"/>
            <w:tcBorders>
              <w:right w:val="single" w:sz="8" w:color="F0F0F0"/>
            </w:tcBorders>
            <w:shd w:val="clear" w:color="auto" w:fill="F0F0F0"/>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C479D"/>
              </w:rPr>
              <w:t>Current liabilities</w:t>
            </w:r>
          </w:p>
        </w:tc>
        <w:tc>
          <w:tcPr>
            <w:tcW w:w="1180" w:type="dxa"/>
            <w:vAlign w:val="bottom"/>
          </w:tcPr>
          <w:p>
            <w:pPr>
              <w:spacing w:after="0"/>
              <w:rPr>
                <w:sz w:val="23"/>
                <w:szCs w:val="23"/>
                <w:color w:val="auto"/>
              </w:rPr>
            </w:pPr>
          </w:p>
        </w:tc>
        <w:tc>
          <w:tcPr>
            <w:tcW w:w="1060" w:type="dxa"/>
            <w:vAlign w:val="bottom"/>
            <w:tcBorders>
              <w:right w:val="single" w:sz="8" w:color="F0F0F0"/>
            </w:tcBorders>
            <w:shd w:val="clear" w:color="auto" w:fill="F0F0F0"/>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and loans payable</w:t>
            </w:r>
          </w:p>
        </w:tc>
        <w:tc>
          <w:tcPr>
            <w:tcW w:w="11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0000FF"/>
              </w:rPr>
              <w:t>6</w:t>
            </w:r>
          </w:p>
        </w:tc>
        <w:tc>
          <w:tcPr>
            <w:tcW w:w="106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4,955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4,090</w:t>
            </w:r>
          </w:p>
        </w:tc>
        <w:tc>
          <w:tcPr>
            <w:tcW w:w="0" w:type="dxa"/>
            <w:vAlign w:val="bottom"/>
          </w:tcPr>
          <w:p>
            <w:pPr>
              <w:spacing w:after="0"/>
              <w:rPr>
                <w:sz w:val="1"/>
                <w:szCs w:val="1"/>
                <w:color w:val="auto"/>
              </w:rPr>
            </w:pPr>
          </w:p>
        </w:tc>
      </w:tr>
      <w:tr>
        <w:trPr>
          <w:trHeight w:val="27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1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0000FF"/>
              </w:rPr>
              <w:t>6</w:t>
            </w:r>
          </w:p>
        </w:tc>
        <w:tc>
          <w:tcPr>
            <w:tcW w:w="106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61,297</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58,037</w:t>
            </w:r>
          </w:p>
        </w:tc>
        <w:tc>
          <w:tcPr>
            <w:tcW w:w="0" w:type="dxa"/>
            <w:vAlign w:val="bottom"/>
          </w:tcPr>
          <w:p>
            <w:pPr>
              <w:spacing w:after="0"/>
              <w:rPr>
                <w:sz w:val="1"/>
                <w:szCs w:val="1"/>
                <w:color w:val="auto"/>
              </w:rPr>
            </w:pPr>
          </w:p>
        </w:tc>
      </w:tr>
      <w:tr>
        <w:trPr>
          <w:trHeight w:val="270"/>
        </w:trPr>
        <w:tc>
          <w:tcPr>
            <w:tcW w:w="634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1180" w:type="dxa"/>
            <w:vAlign w:val="bottom"/>
            <w:tcBorders>
              <w:bottom w:val="single" w:sz="8" w:color="0C479D"/>
            </w:tcBorders>
          </w:tcPr>
          <w:p>
            <w:pPr>
              <w:spacing w:after="0"/>
              <w:rPr>
                <w:sz w:val="23"/>
                <w:szCs w:val="23"/>
                <w:color w:val="auto"/>
              </w:rPr>
            </w:pPr>
          </w:p>
        </w:tc>
        <w:tc>
          <w:tcPr>
            <w:tcW w:w="1060" w:type="dxa"/>
            <w:vAlign w:val="bottom"/>
            <w:tcBorders>
              <w:bottom w:val="single" w:sz="8" w:color="0C479D"/>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4,055</w:t>
            </w:r>
          </w:p>
        </w:tc>
        <w:tc>
          <w:tcPr>
            <w:tcW w:w="10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0" w:type="dxa"/>
            <w:vAlign w:val="bottom"/>
          </w:tcPr>
          <w:p>
            <w:pPr>
              <w:spacing w:after="0"/>
              <w:rPr>
                <w:sz w:val="1"/>
                <w:szCs w:val="1"/>
                <w:color w:val="auto"/>
              </w:rPr>
            </w:pPr>
          </w:p>
        </w:tc>
      </w:tr>
      <w:tr>
        <w:trPr>
          <w:trHeight w:val="250"/>
        </w:trPr>
        <w:tc>
          <w:tcPr>
            <w:tcW w:w="634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180" w:type="dxa"/>
            <w:vAlign w:val="bottom"/>
            <w:tcBorders>
              <w:bottom w:val="single" w:sz="8" w:color="0C479D"/>
            </w:tcBorders>
          </w:tcPr>
          <w:p>
            <w:pPr>
              <w:spacing w:after="0"/>
              <w:rPr>
                <w:sz w:val="21"/>
                <w:szCs w:val="21"/>
                <w:color w:val="auto"/>
              </w:rPr>
            </w:pPr>
          </w:p>
        </w:tc>
        <w:tc>
          <w:tcPr>
            <w:tcW w:w="1060" w:type="dxa"/>
            <w:vAlign w:val="bottom"/>
            <w:tcBorders>
              <w:bottom w:val="single" w:sz="8" w:color="0C479D"/>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70,307</w:t>
            </w:r>
          </w:p>
        </w:tc>
        <w:tc>
          <w:tcPr>
            <w:tcW w:w="10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65,316</w:t>
            </w:r>
          </w:p>
        </w:tc>
        <w:tc>
          <w:tcPr>
            <w:tcW w:w="0" w:type="dxa"/>
            <w:vAlign w:val="bottom"/>
          </w:tcPr>
          <w:p>
            <w:pPr>
              <w:spacing w:after="0"/>
              <w:rPr>
                <w:sz w:val="1"/>
                <w:szCs w:val="1"/>
                <w:color w:val="auto"/>
              </w:rPr>
            </w:pPr>
          </w:p>
        </w:tc>
      </w:tr>
      <w:tr>
        <w:trPr>
          <w:trHeight w:val="25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18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0000FF"/>
                <w:w w:val="99"/>
              </w:rPr>
              <w:t>14</w:t>
            </w:r>
          </w:p>
        </w:tc>
        <w:tc>
          <w:tcPr>
            <w:tcW w:w="106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36,755</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37,483</w:t>
            </w:r>
          </w:p>
        </w:tc>
        <w:tc>
          <w:tcPr>
            <w:tcW w:w="0" w:type="dxa"/>
            <w:vAlign w:val="bottom"/>
          </w:tcPr>
          <w:p>
            <w:pPr>
              <w:spacing w:after="0"/>
              <w:rPr>
                <w:sz w:val="1"/>
                <w:szCs w:val="1"/>
                <w:color w:val="auto"/>
              </w:rPr>
            </w:pPr>
          </w:p>
        </w:tc>
      </w:tr>
      <w:tr>
        <w:trPr>
          <w:trHeight w:val="27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Postretirement benefits reserves</w:t>
            </w:r>
          </w:p>
        </w:tc>
        <w:tc>
          <w:tcPr>
            <w:tcW w:w="118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0000FF"/>
                <w:w w:val="99"/>
              </w:rPr>
              <w:t>17</w:t>
            </w:r>
          </w:p>
        </w:tc>
        <w:tc>
          <w:tcPr>
            <w:tcW w:w="106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10,496</w:t>
            </w:r>
          </w:p>
        </w:tc>
        <w:tc>
          <w:tcPr>
            <w:tcW w:w="0" w:type="dxa"/>
            <w:vAlign w:val="bottom"/>
          </w:tcPr>
          <w:p>
            <w:pPr>
              <w:spacing w:after="0"/>
              <w:rPr>
                <w:sz w:val="1"/>
                <w:szCs w:val="1"/>
                <w:color w:val="auto"/>
              </w:rPr>
            </w:pPr>
          </w:p>
        </w:tc>
      </w:tr>
      <w:tr>
        <w:trPr>
          <w:trHeight w:val="27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18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0000FF"/>
                <w:w w:val="99"/>
              </w:rPr>
              <w:t>19</w:t>
            </w:r>
          </w:p>
        </w:tc>
        <w:tc>
          <w:tcPr>
            <w:tcW w:w="106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39,042</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24,452</w:t>
            </w:r>
          </w:p>
        </w:tc>
        <w:tc>
          <w:tcPr>
            <w:tcW w:w="0" w:type="dxa"/>
            <w:vAlign w:val="bottom"/>
          </w:tcPr>
          <w:p>
            <w:pPr>
              <w:spacing w:after="0"/>
              <w:rPr>
                <w:sz w:val="1"/>
                <w:szCs w:val="1"/>
                <w:color w:val="auto"/>
              </w:rPr>
            </w:pPr>
          </w:p>
        </w:tc>
      </w:tr>
      <w:tr>
        <w:trPr>
          <w:trHeight w:val="27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obligations to equity companies</w:t>
            </w:r>
          </w:p>
        </w:tc>
        <w:tc>
          <w:tcPr>
            <w:tcW w:w="1180" w:type="dxa"/>
            <w:vAlign w:val="bottom"/>
          </w:tcPr>
          <w:p>
            <w:pPr>
              <w:spacing w:after="0"/>
              <w:rPr>
                <w:sz w:val="23"/>
                <w:szCs w:val="23"/>
                <w:color w:val="auto"/>
              </w:rPr>
            </w:pPr>
          </w:p>
        </w:tc>
        <w:tc>
          <w:tcPr>
            <w:tcW w:w="106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0" w:type="dxa"/>
            <w:vAlign w:val="bottom"/>
          </w:tcPr>
          <w:p>
            <w:pPr>
              <w:spacing w:after="0"/>
              <w:rPr>
                <w:sz w:val="1"/>
                <w:szCs w:val="1"/>
                <w:color w:val="auto"/>
              </w:rPr>
            </w:pPr>
          </w:p>
        </w:tc>
      </w:tr>
      <w:tr>
        <w:trPr>
          <w:trHeight w:val="270"/>
        </w:trPr>
        <w:tc>
          <w:tcPr>
            <w:tcW w:w="634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Other long-term obligations</w:t>
            </w:r>
          </w:p>
        </w:tc>
        <w:tc>
          <w:tcPr>
            <w:tcW w:w="1180" w:type="dxa"/>
            <w:vAlign w:val="bottom"/>
            <w:tcBorders>
              <w:bottom w:val="single" w:sz="8" w:color="0C479D"/>
            </w:tcBorders>
          </w:tcPr>
          <w:p>
            <w:pPr>
              <w:spacing w:after="0"/>
              <w:rPr>
                <w:sz w:val="23"/>
                <w:szCs w:val="23"/>
                <w:color w:val="auto"/>
              </w:rPr>
            </w:pPr>
          </w:p>
        </w:tc>
        <w:tc>
          <w:tcPr>
            <w:tcW w:w="1060" w:type="dxa"/>
            <w:vAlign w:val="bottom"/>
            <w:tcBorders>
              <w:bottom w:val="single" w:sz="8" w:color="0C479D"/>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25,719</w:t>
            </w:r>
          </w:p>
        </w:tc>
        <w:tc>
          <w:tcPr>
            <w:tcW w:w="10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24,228</w:t>
            </w:r>
          </w:p>
        </w:tc>
        <w:tc>
          <w:tcPr>
            <w:tcW w:w="0" w:type="dxa"/>
            <w:vAlign w:val="bottom"/>
          </w:tcPr>
          <w:p>
            <w:pPr>
              <w:spacing w:after="0"/>
              <w:rPr>
                <w:sz w:val="1"/>
                <w:szCs w:val="1"/>
                <w:color w:val="auto"/>
              </w:rPr>
            </w:pPr>
          </w:p>
        </w:tc>
      </w:tr>
      <w:tr>
        <w:trPr>
          <w:trHeight w:val="243"/>
        </w:trPr>
        <w:tc>
          <w:tcPr>
            <w:tcW w:w="634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180" w:type="dxa"/>
            <w:vAlign w:val="bottom"/>
            <w:tcBorders>
              <w:bottom w:val="single" w:sz="8" w:color="0C479D"/>
            </w:tcBorders>
          </w:tcPr>
          <w:p>
            <w:pPr>
              <w:spacing w:after="0"/>
              <w:rPr>
                <w:sz w:val="21"/>
                <w:szCs w:val="21"/>
                <w:color w:val="auto"/>
              </w:rPr>
            </w:pPr>
          </w:p>
        </w:tc>
        <w:tc>
          <w:tcPr>
            <w:tcW w:w="1060" w:type="dxa"/>
            <w:vAlign w:val="bottom"/>
            <w:tcBorders>
              <w:bottom w:val="single" w:sz="8" w:color="0C479D"/>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182,869</w:t>
            </w:r>
          </w:p>
        </w:tc>
        <w:tc>
          <w:tcPr>
            <w:tcW w:w="10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163,779</w:t>
            </w:r>
          </w:p>
        </w:tc>
        <w:tc>
          <w:tcPr>
            <w:tcW w:w="0" w:type="dxa"/>
            <w:vAlign w:val="bottom"/>
          </w:tcPr>
          <w:p>
            <w:pPr>
              <w:spacing w:after="0"/>
              <w:rPr>
                <w:sz w:val="1"/>
                <w:szCs w:val="1"/>
                <w:color w:val="auto"/>
              </w:rPr>
            </w:pPr>
          </w:p>
        </w:tc>
      </w:tr>
      <w:tr>
        <w:trPr>
          <w:trHeight w:val="351"/>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18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0000FF"/>
                <w:w w:val="99"/>
              </w:rPr>
              <w:t>16</w:t>
            </w:r>
          </w:p>
        </w:tc>
        <w:tc>
          <w:tcPr>
            <w:tcW w:w="1060" w:type="dxa"/>
            <w:vAlign w:val="bottom"/>
            <w:tcBorders>
              <w:right w:val="single" w:sz="8" w:color="F0F0F0"/>
            </w:tcBorders>
            <w:shd w:val="clear" w:color="auto" w:fill="F0F0F0"/>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C479D"/>
              </w:rPr>
              <w:t>EQUITY</w:t>
            </w:r>
          </w:p>
        </w:tc>
        <w:tc>
          <w:tcPr>
            <w:tcW w:w="1180" w:type="dxa"/>
            <w:vAlign w:val="bottom"/>
          </w:tcPr>
          <w:p>
            <w:pPr>
              <w:spacing w:after="0"/>
              <w:rPr>
                <w:sz w:val="24"/>
                <w:szCs w:val="24"/>
                <w:color w:val="auto"/>
              </w:rPr>
            </w:pPr>
          </w:p>
        </w:tc>
        <w:tc>
          <w:tcPr>
            <w:tcW w:w="1060" w:type="dxa"/>
            <w:vAlign w:val="bottom"/>
            <w:tcBorders>
              <w:right w:val="single" w:sz="8" w:color="F0F0F0"/>
            </w:tcBorders>
            <w:shd w:val="clear" w:color="auto" w:fill="F0F0F0"/>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3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Common stock without par value</w:t>
            </w:r>
          </w:p>
        </w:tc>
        <w:tc>
          <w:tcPr>
            <w:tcW w:w="1180" w:type="dxa"/>
            <w:vAlign w:val="bottom"/>
          </w:tcPr>
          <w:p>
            <w:pPr>
              <w:spacing w:after="0"/>
              <w:rPr>
                <w:sz w:val="16"/>
                <w:szCs w:val="16"/>
                <w:color w:val="auto"/>
              </w:rPr>
            </w:pPr>
          </w:p>
        </w:tc>
        <w:tc>
          <w:tcPr>
            <w:tcW w:w="1060" w:type="dxa"/>
            <w:vAlign w:val="bottom"/>
            <w:tcBorders>
              <w:right w:val="single" w:sz="8" w:color="F0F0F0"/>
            </w:tcBorders>
            <w:shd w:val="clear" w:color="auto" w:fill="F0F0F0"/>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(9,000 million shares authorized, 8,019 million shares issued)</w:t>
            </w:r>
          </w:p>
        </w:tc>
        <w:tc>
          <w:tcPr>
            <w:tcW w:w="1180" w:type="dxa"/>
            <w:vAlign w:val="bottom"/>
          </w:tcPr>
          <w:p>
            <w:pPr>
              <w:spacing w:after="0"/>
              <w:rPr>
                <w:sz w:val="21"/>
                <w:szCs w:val="21"/>
                <w:color w:val="auto"/>
              </w:rPr>
            </w:pPr>
          </w:p>
        </w:tc>
        <w:tc>
          <w:tcPr>
            <w:tcW w:w="106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46,238</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17,781</w:t>
            </w:r>
          </w:p>
        </w:tc>
        <w:tc>
          <w:tcPr>
            <w:tcW w:w="0" w:type="dxa"/>
            <w:vAlign w:val="bottom"/>
          </w:tcPr>
          <w:p>
            <w:pPr>
              <w:spacing w:after="0"/>
              <w:rPr>
                <w:sz w:val="1"/>
                <w:szCs w:val="1"/>
                <w:color w:val="auto"/>
              </w:rPr>
            </w:pPr>
          </w:p>
        </w:tc>
      </w:tr>
      <w:tr>
        <w:trPr>
          <w:trHeight w:val="27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reinvested</w:t>
            </w:r>
          </w:p>
        </w:tc>
        <w:tc>
          <w:tcPr>
            <w:tcW w:w="1180" w:type="dxa"/>
            <w:vAlign w:val="bottom"/>
          </w:tcPr>
          <w:p>
            <w:pPr>
              <w:spacing w:after="0"/>
              <w:rPr>
                <w:sz w:val="23"/>
                <w:szCs w:val="23"/>
                <w:color w:val="auto"/>
              </w:rPr>
            </w:pPr>
          </w:p>
        </w:tc>
        <w:tc>
          <w:tcPr>
            <w:tcW w:w="106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470,903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453,927</w:t>
            </w:r>
          </w:p>
        </w:tc>
        <w:tc>
          <w:tcPr>
            <w:tcW w:w="0" w:type="dxa"/>
            <w:vAlign w:val="bottom"/>
          </w:tcPr>
          <w:p>
            <w:pPr>
              <w:spacing w:after="0"/>
              <w:rPr>
                <w:sz w:val="1"/>
                <w:szCs w:val="1"/>
                <w:color w:val="auto"/>
              </w:rPr>
            </w:pPr>
          </w:p>
        </w:tc>
      </w:tr>
      <w:tr>
        <w:trPr>
          <w:trHeight w:val="27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1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0000FF"/>
              </w:rPr>
              <w:t>4</w:t>
            </w:r>
          </w:p>
        </w:tc>
        <w:tc>
          <w:tcPr>
            <w:tcW w:w="106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(14,619)</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(11,989)</w:t>
            </w:r>
          </w:p>
        </w:tc>
        <w:tc>
          <w:tcPr>
            <w:tcW w:w="0" w:type="dxa"/>
            <w:vAlign w:val="bottom"/>
          </w:tcPr>
          <w:p>
            <w:pPr>
              <w:spacing w:after="0"/>
              <w:rPr>
                <w:sz w:val="1"/>
                <w:szCs w:val="1"/>
                <w:color w:val="auto"/>
              </w:rPr>
            </w:pPr>
          </w:p>
        </w:tc>
      </w:tr>
      <w:tr>
        <w:trPr>
          <w:trHeight w:val="189"/>
        </w:trPr>
        <w:tc>
          <w:tcPr>
            <w:tcW w:w="63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Common stock held in treasury</w:t>
            </w:r>
          </w:p>
        </w:tc>
        <w:tc>
          <w:tcPr>
            <w:tcW w:w="1180" w:type="dxa"/>
            <w:vAlign w:val="bottom"/>
          </w:tcPr>
          <w:p>
            <w:pPr>
              <w:spacing w:after="0"/>
              <w:rPr>
                <w:sz w:val="16"/>
                <w:szCs w:val="16"/>
                <w:color w:val="auto"/>
              </w:rPr>
            </w:pPr>
          </w:p>
        </w:tc>
        <w:tc>
          <w:tcPr>
            <w:tcW w:w="1060" w:type="dxa"/>
            <w:vAlign w:val="bottom"/>
            <w:tcBorders>
              <w:right w:val="single" w:sz="8" w:color="F0F0F0"/>
            </w:tcBorders>
            <w:shd w:val="clear" w:color="auto" w:fill="F0F0F0"/>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34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(3,666 million shares in 2024 and 4,048 million shares in 2023)</w:t>
            </w:r>
          </w:p>
        </w:tc>
        <w:tc>
          <w:tcPr>
            <w:tcW w:w="1180" w:type="dxa"/>
            <w:vAlign w:val="bottom"/>
            <w:tcBorders>
              <w:bottom w:val="single" w:sz="8" w:color="0C479D"/>
            </w:tcBorders>
          </w:tcPr>
          <w:p>
            <w:pPr>
              <w:spacing w:after="0"/>
              <w:rPr>
                <w:sz w:val="21"/>
                <w:szCs w:val="21"/>
                <w:color w:val="auto"/>
              </w:rPr>
            </w:pPr>
          </w:p>
        </w:tc>
        <w:tc>
          <w:tcPr>
            <w:tcW w:w="1060" w:type="dxa"/>
            <w:vAlign w:val="bottom"/>
            <w:tcBorders>
              <w:bottom w:val="single" w:sz="8" w:color="0C479D"/>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(238,817)</w:t>
            </w:r>
          </w:p>
        </w:tc>
        <w:tc>
          <w:tcPr>
            <w:tcW w:w="10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(254,917)</w:t>
            </w:r>
          </w:p>
        </w:tc>
        <w:tc>
          <w:tcPr>
            <w:tcW w:w="0" w:type="dxa"/>
            <w:vAlign w:val="bottom"/>
          </w:tcPr>
          <w:p>
            <w:pPr>
              <w:spacing w:after="0"/>
              <w:rPr>
                <w:sz w:val="1"/>
                <w:szCs w:val="1"/>
                <w:color w:val="auto"/>
              </w:rPr>
            </w:pPr>
          </w:p>
        </w:tc>
      </w:tr>
      <w:tr>
        <w:trPr>
          <w:trHeight w:val="250"/>
        </w:trPr>
        <w:tc>
          <w:tcPr>
            <w:tcW w:w="634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ExxonMobil share of equity</w:t>
            </w:r>
          </w:p>
        </w:tc>
        <w:tc>
          <w:tcPr>
            <w:tcW w:w="1180" w:type="dxa"/>
            <w:vAlign w:val="bottom"/>
            <w:tcBorders>
              <w:bottom w:val="single" w:sz="8" w:color="0C479D"/>
            </w:tcBorders>
          </w:tcPr>
          <w:p>
            <w:pPr>
              <w:spacing w:after="0"/>
              <w:rPr>
                <w:sz w:val="21"/>
                <w:szCs w:val="21"/>
                <w:color w:val="auto"/>
              </w:rPr>
            </w:pPr>
          </w:p>
        </w:tc>
        <w:tc>
          <w:tcPr>
            <w:tcW w:w="1060" w:type="dxa"/>
            <w:vAlign w:val="bottom"/>
            <w:tcBorders>
              <w:bottom w:val="single" w:sz="8" w:color="0C479D"/>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263,705</w:t>
            </w:r>
          </w:p>
        </w:tc>
        <w:tc>
          <w:tcPr>
            <w:tcW w:w="10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204,802</w:t>
            </w:r>
          </w:p>
        </w:tc>
        <w:tc>
          <w:tcPr>
            <w:tcW w:w="0" w:type="dxa"/>
            <w:vAlign w:val="bottom"/>
          </w:tcPr>
          <w:p>
            <w:pPr>
              <w:spacing w:after="0"/>
              <w:rPr>
                <w:sz w:val="1"/>
                <w:szCs w:val="1"/>
                <w:color w:val="auto"/>
              </w:rPr>
            </w:pPr>
          </w:p>
        </w:tc>
      </w:tr>
      <w:tr>
        <w:trPr>
          <w:trHeight w:val="250"/>
        </w:trPr>
        <w:tc>
          <w:tcPr>
            <w:tcW w:w="634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180" w:type="dxa"/>
            <w:vAlign w:val="bottom"/>
            <w:tcBorders>
              <w:bottom w:val="single" w:sz="8" w:color="0C479D"/>
            </w:tcBorders>
          </w:tcPr>
          <w:p>
            <w:pPr>
              <w:spacing w:after="0"/>
              <w:rPr>
                <w:sz w:val="21"/>
                <w:szCs w:val="21"/>
                <w:color w:val="auto"/>
              </w:rPr>
            </w:pPr>
          </w:p>
        </w:tc>
        <w:tc>
          <w:tcPr>
            <w:tcW w:w="1060" w:type="dxa"/>
            <w:vAlign w:val="bottom"/>
            <w:tcBorders>
              <w:bottom w:val="single" w:sz="8" w:color="0C479D"/>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6,901</w:t>
            </w:r>
          </w:p>
        </w:tc>
        <w:tc>
          <w:tcPr>
            <w:tcW w:w="10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7,736</w:t>
            </w:r>
          </w:p>
        </w:tc>
        <w:tc>
          <w:tcPr>
            <w:tcW w:w="0" w:type="dxa"/>
            <w:vAlign w:val="bottom"/>
          </w:tcPr>
          <w:p>
            <w:pPr>
              <w:spacing w:after="0"/>
              <w:rPr>
                <w:sz w:val="1"/>
                <w:szCs w:val="1"/>
                <w:color w:val="auto"/>
              </w:rPr>
            </w:pPr>
          </w:p>
        </w:tc>
      </w:tr>
      <w:tr>
        <w:trPr>
          <w:trHeight w:val="250"/>
        </w:trPr>
        <w:tc>
          <w:tcPr>
            <w:tcW w:w="634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180" w:type="dxa"/>
            <w:vAlign w:val="bottom"/>
            <w:tcBorders>
              <w:bottom w:val="single" w:sz="8" w:color="0C479D"/>
            </w:tcBorders>
          </w:tcPr>
          <w:p>
            <w:pPr>
              <w:spacing w:after="0"/>
              <w:rPr>
                <w:sz w:val="21"/>
                <w:szCs w:val="21"/>
                <w:color w:val="auto"/>
              </w:rPr>
            </w:pPr>
          </w:p>
        </w:tc>
        <w:tc>
          <w:tcPr>
            <w:tcW w:w="1060" w:type="dxa"/>
            <w:vAlign w:val="bottom"/>
            <w:tcBorders>
              <w:bottom w:val="single" w:sz="8" w:color="0C479D"/>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270,606</w:t>
            </w:r>
          </w:p>
        </w:tc>
        <w:tc>
          <w:tcPr>
            <w:tcW w:w="10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212,538</w:t>
            </w:r>
          </w:p>
        </w:tc>
        <w:tc>
          <w:tcPr>
            <w:tcW w:w="0" w:type="dxa"/>
            <w:vAlign w:val="bottom"/>
          </w:tcPr>
          <w:p>
            <w:pPr>
              <w:spacing w:after="0"/>
              <w:rPr>
                <w:sz w:val="1"/>
                <w:szCs w:val="1"/>
                <w:color w:val="auto"/>
              </w:rPr>
            </w:pPr>
          </w:p>
        </w:tc>
      </w:tr>
      <w:tr>
        <w:trPr>
          <w:trHeight w:val="244"/>
        </w:trPr>
        <w:tc>
          <w:tcPr>
            <w:tcW w:w="634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180" w:type="dxa"/>
            <w:vAlign w:val="bottom"/>
            <w:tcBorders>
              <w:bottom w:val="single" w:sz="8" w:color="0C479D"/>
            </w:tcBorders>
          </w:tcPr>
          <w:p>
            <w:pPr>
              <w:spacing w:after="0"/>
              <w:rPr>
                <w:sz w:val="21"/>
                <w:szCs w:val="21"/>
                <w:color w:val="auto"/>
              </w:rPr>
            </w:pPr>
          </w:p>
        </w:tc>
        <w:tc>
          <w:tcPr>
            <w:tcW w:w="1060" w:type="dxa"/>
            <w:vAlign w:val="bottom"/>
            <w:tcBorders>
              <w:bottom w:val="single" w:sz="8" w:color="0C479D"/>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453,475</w:t>
            </w:r>
          </w:p>
        </w:tc>
        <w:tc>
          <w:tcPr>
            <w:tcW w:w="10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376,317</w:t>
            </w: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i w:val="1"/>
          <w:iCs w:val="1"/>
          <w:color w:val="auto"/>
        </w:rPr>
        <w:t>The information in the Notes to Consolidated Financial Statements is an integral part of these statements.</w:t>
      </w:r>
    </w:p>
    <w:p>
      <w:pPr>
        <w:sectPr>
          <w:pgSz w:w="11900" w:h="16838" w:orient="portrait"/>
          <w:cols w:equalWidth="0" w:num="1">
            <w:col w:w="10440"/>
          </w:cols>
          <w:pgMar w:left="320" w:top="1107"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0"/>
          </w:cols>
          <w:pgMar w:left="320" w:top="1107" w:right="11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22"/>
          <w:szCs w:val="22"/>
          <w:b w:val="1"/>
          <w:bCs w:val="1"/>
          <w:color w:val="0C479D"/>
        </w:rPr>
        <w:t>CONSOLIDATED STATEMENT OF CASH FLOWS</w:t>
      </w:r>
    </w:p>
    <w:p>
      <w:pPr>
        <w:spacing w:after="0" w:line="133"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3600" w:type="dxa"/>
            <w:vAlign w:val="bottom"/>
            <w:vMerge w:val="restart"/>
            <w:shd w:val="clear" w:color="auto" w:fill="0C479D"/>
          </w:tcPr>
          <w:p>
            <w:pPr>
              <w:ind w:left="20"/>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3440" w:type="dxa"/>
            <w:vAlign w:val="bottom"/>
            <w:shd w:val="clear" w:color="auto" w:fill="0C479D"/>
          </w:tcPr>
          <w:p>
            <w:pPr>
              <w:jc w:val="center"/>
              <w:ind w:left="1968"/>
              <w:spacing w:after="0"/>
              <w:rPr>
                <w:sz w:val="20"/>
                <w:szCs w:val="20"/>
                <w:color w:val="auto"/>
              </w:rPr>
            </w:pPr>
            <w:r>
              <w:rPr>
                <w:rFonts w:ascii="Times New Roman" w:cs="Times New Roman" w:eastAsia="Times New Roman" w:hAnsi="Times New Roman"/>
                <w:sz w:val="14"/>
                <w:szCs w:val="14"/>
                <w:b w:val="1"/>
                <w:bCs w:val="1"/>
                <w:color w:val="FFFFFF"/>
                <w:w w:val="99"/>
              </w:rPr>
              <w:t>Note</w:t>
            </w:r>
          </w:p>
        </w:tc>
        <w:tc>
          <w:tcPr>
            <w:tcW w:w="1020" w:type="dxa"/>
            <w:vAlign w:val="bottom"/>
            <w:vMerge w:val="restart"/>
            <w:shd w:val="clear" w:color="auto" w:fill="0C479D"/>
          </w:tcPr>
          <w:p>
            <w:pPr>
              <w:jc w:val="right"/>
              <w:ind w:right="288"/>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980" w:type="dxa"/>
            <w:vAlign w:val="bottom"/>
            <w:vMerge w:val="restart"/>
            <w:shd w:val="clear" w:color="auto" w:fill="0C479D"/>
          </w:tcPr>
          <w:p>
            <w:pPr>
              <w:jc w:val="right"/>
              <w:ind w:right="288"/>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660" w:type="dxa"/>
            <w:vAlign w:val="bottom"/>
            <w:vMerge w:val="restart"/>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2022</w:t>
            </w:r>
          </w:p>
        </w:tc>
        <w:tc>
          <w:tcPr>
            <w:tcW w:w="0" w:type="dxa"/>
            <w:vAlign w:val="bottom"/>
          </w:tcPr>
          <w:p>
            <w:pPr>
              <w:spacing w:after="0"/>
              <w:rPr>
                <w:sz w:val="1"/>
                <w:szCs w:val="1"/>
                <w:color w:val="auto"/>
              </w:rPr>
            </w:pPr>
          </w:p>
        </w:tc>
      </w:tr>
      <w:tr>
        <w:trPr>
          <w:trHeight w:val="146"/>
        </w:trPr>
        <w:tc>
          <w:tcPr>
            <w:tcW w:w="3600" w:type="dxa"/>
            <w:vAlign w:val="bottom"/>
            <w:vMerge w:val="continue"/>
            <w:shd w:val="clear" w:color="auto" w:fill="0C479D"/>
          </w:tcPr>
          <w:p>
            <w:pPr>
              <w:spacing w:after="0"/>
              <w:rPr>
                <w:sz w:val="12"/>
                <w:szCs w:val="12"/>
                <w:color w:val="auto"/>
              </w:rPr>
            </w:pPr>
          </w:p>
        </w:tc>
        <w:tc>
          <w:tcPr>
            <w:tcW w:w="3440" w:type="dxa"/>
            <w:vAlign w:val="bottom"/>
            <w:shd w:val="clear" w:color="auto" w:fill="0C479D"/>
          </w:tcPr>
          <w:p>
            <w:pPr>
              <w:jc w:val="center"/>
              <w:ind w:left="1968"/>
              <w:spacing w:after="0" w:line="146" w:lineRule="exact"/>
              <w:rPr>
                <w:sz w:val="20"/>
                <w:szCs w:val="20"/>
                <w:color w:val="auto"/>
              </w:rPr>
            </w:pPr>
            <w:r>
              <w:rPr>
                <w:rFonts w:ascii="Times New Roman" w:cs="Times New Roman" w:eastAsia="Times New Roman" w:hAnsi="Times New Roman"/>
                <w:sz w:val="14"/>
                <w:szCs w:val="14"/>
                <w:b w:val="1"/>
                <w:bCs w:val="1"/>
                <w:color w:val="FFFFFF"/>
              </w:rPr>
              <w:t>Reference</w:t>
            </w:r>
          </w:p>
        </w:tc>
        <w:tc>
          <w:tcPr>
            <w:tcW w:w="1020" w:type="dxa"/>
            <w:vAlign w:val="bottom"/>
            <w:vMerge w:val="continue"/>
            <w:shd w:val="clear" w:color="auto" w:fill="0C479D"/>
          </w:tcPr>
          <w:p>
            <w:pPr>
              <w:spacing w:after="0"/>
              <w:rPr>
                <w:sz w:val="12"/>
                <w:szCs w:val="12"/>
                <w:color w:val="auto"/>
              </w:rPr>
            </w:pPr>
          </w:p>
        </w:tc>
        <w:tc>
          <w:tcPr>
            <w:tcW w:w="980" w:type="dxa"/>
            <w:vAlign w:val="bottom"/>
            <w:vMerge w:val="continue"/>
            <w:shd w:val="clear" w:color="auto" w:fill="0C479D"/>
          </w:tcPr>
          <w:p>
            <w:pPr>
              <w:spacing w:after="0"/>
              <w:rPr>
                <w:sz w:val="12"/>
                <w:szCs w:val="12"/>
                <w:color w:val="auto"/>
              </w:rPr>
            </w:pPr>
          </w:p>
        </w:tc>
        <w:tc>
          <w:tcPr>
            <w:tcW w:w="660" w:type="dxa"/>
            <w:vAlign w:val="bottom"/>
            <w:vMerge w:val="continue"/>
            <w:shd w:val="clear" w:color="auto" w:fill="0C479D"/>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600" w:type="dxa"/>
            <w:vAlign w:val="bottom"/>
            <w:shd w:val="clear" w:color="auto" w:fill="0C479D"/>
          </w:tcPr>
          <w:p>
            <w:pPr>
              <w:spacing w:after="0"/>
              <w:rPr>
                <w:sz w:val="16"/>
                <w:szCs w:val="16"/>
                <w:color w:val="auto"/>
              </w:rPr>
            </w:pPr>
          </w:p>
        </w:tc>
        <w:tc>
          <w:tcPr>
            <w:tcW w:w="3440" w:type="dxa"/>
            <w:vAlign w:val="bottom"/>
            <w:shd w:val="clear" w:color="auto" w:fill="0C479D"/>
          </w:tcPr>
          <w:p>
            <w:pPr>
              <w:jc w:val="center"/>
              <w:ind w:left="1968"/>
              <w:spacing w:after="0"/>
              <w:rPr>
                <w:sz w:val="20"/>
                <w:szCs w:val="20"/>
                <w:color w:val="auto"/>
              </w:rPr>
            </w:pPr>
            <w:r>
              <w:rPr>
                <w:rFonts w:ascii="Times New Roman" w:cs="Times New Roman" w:eastAsia="Times New Roman" w:hAnsi="Times New Roman"/>
                <w:sz w:val="14"/>
                <w:szCs w:val="14"/>
                <w:b w:val="1"/>
                <w:bCs w:val="1"/>
                <w:color w:val="FFFFFF"/>
              </w:rPr>
              <w:t>Number</w:t>
            </w:r>
          </w:p>
        </w:tc>
        <w:tc>
          <w:tcPr>
            <w:tcW w:w="1020" w:type="dxa"/>
            <w:vAlign w:val="bottom"/>
            <w:shd w:val="clear" w:color="auto" w:fill="0C479D"/>
          </w:tcPr>
          <w:p>
            <w:pPr>
              <w:spacing w:after="0"/>
              <w:rPr>
                <w:sz w:val="16"/>
                <w:szCs w:val="16"/>
                <w:color w:val="auto"/>
              </w:rPr>
            </w:pPr>
          </w:p>
        </w:tc>
        <w:tc>
          <w:tcPr>
            <w:tcW w:w="980" w:type="dxa"/>
            <w:vAlign w:val="bottom"/>
            <w:shd w:val="clear" w:color="auto" w:fill="0C479D"/>
          </w:tcPr>
          <w:p>
            <w:pPr>
              <w:spacing w:after="0"/>
              <w:rPr>
                <w:sz w:val="16"/>
                <w:szCs w:val="16"/>
                <w:color w:val="auto"/>
              </w:rPr>
            </w:pPr>
          </w:p>
        </w:tc>
        <w:tc>
          <w:tcPr>
            <w:tcW w:w="660" w:type="dxa"/>
            <w:vAlign w:val="bottom"/>
            <w:shd w:val="clear" w:color="auto" w:fill="0C479D"/>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3600" w:type="dxa"/>
            <w:vAlign w:val="bottom"/>
            <w:shd w:val="clear" w:color="auto" w:fill="0C479D"/>
          </w:tcPr>
          <w:p>
            <w:pPr>
              <w:spacing w:after="0"/>
              <w:rPr>
                <w:sz w:val="3"/>
                <w:szCs w:val="3"/>
                <w:color w:val="auto"/>
              </w:rPr>
            </w:pPr>
          </w:p>
        </w:tc>
        <w:tc>
          <w:tcPr>
            <w:tcW w:w="3440" w:type="dxa"/>
            <w:vAlign w:val="bottom"/>
            <w:shd w:val="clear" w:color="auto" w:fill="0C479D"/>
          </w:tcPr>
          <w:p>
            <w:pPr>
              <w:spacing w:after="0"/>
              <w:rPr>
                <w:sz w:val="3"/>
                <w:szCs w:val="3"/>
                <w:color w:val="auto"/>
              </w:rPr>
            </w:pPr>
          </w:p>
        </w:tc>
        <w:tc>
          <w:tcPr>
            <w:tcW w:w="1020" w:type="dxa"/>
            <w:vAlign w:val="bottom"/>
            <w:shd w:val="clear" w:color="auto" w:fill="0C479D"/>
          </w:tcPr>
          <w:p>
            <w:pPr>
              <w:spacing w:after="0"/>
              <w:rPr>
                <w:sz w:val="3"/>
                <w:szCs w:val="3"/>
                <w:color w:val="auto"/>
              </w:rPr>
            </w:pPr>
          </w:p>
        </w:tc>
        <w:tc>
          <w:tcPr>
            <w:tcW w:w="980" w:type="dxa"/>
            <w:vAlign w:val="bottom"/>
            <w:shd w:val="clear" w:color="auto" w:fill="0C479D"/>
          </w:tcPr>
          <w:p>
            <w:pPr>
              <w:spacing w:after="0"/>
              <w:rPr>
                <w:sz w:val="3"/>
                <w:szCs w:val="3"/>
                <w:color w:val="auto"/>
              </w:rPr>
            </w:pPr>
          </w:p>
        </w:tc>
        <w:tc>
          <w:tcPr>
            <w:tcW w:w="660" w:type="dxa"/>
            <w:vAlign w:val="bottom"/>
            <w:shd w:val="clear" w:color="auto" w:fill="0C479D"/>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0</wp:posOffset>
            </wp:positionV>
            <wp:extent cx="548640" cy="7969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48640" cy="796925"/>
                    </a:xfrm>
                    <a:prstGeom prst="rect">
                      <a:avLst/>
                    </a:prstGeom>
                    <a:noFill/>
                  </pic:spPr>
                </pic:pic>
              </a:graphicData>
            </a:graphic>
          </wp:anchor>
        </w:drawing>
      </w:r>
    </w:p>
    <w:p>
      <w:pPr>
        <w:spacing w:after="0" w:line="21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0C479D"/>
        </w:rPr>
        <w:t>CASH FLOWS FROM OPERATING ACTIVITIES</w:t>
      </w:r>
    </w:p>
    <w:p>
      <w:pPr>
        <w:spacing w:after="0" w:line="58" w:lineRule="exact"/>
        <w:rPr>
          <w:sz w:val="20"/>
          <w:szCs w:val="20"/>
          <w:color w:val="auto"/>
        </w:rPr>
      </w:pPr>
    </w:p>
    <w:tbl>
      <w:tblPr>
        <w:tblLayout w:type="fixed"/>
        <w:tblInd w:w="780" w:type="dxa"/>
        <w:tblCellMar>
          <w:top w:w="0" w:type="dxa"/>
          <w:left w:w="0" w:type="dxa"/>
          <w:bottom w:w="0" w:type="dxa"/>
          <w:right w:w="0" w:type="dxa"/>
        </w:tblCellMar>
      </w:tblPr>
      <w:tr>
        <w:trPr>
          <w:trHeight w:val="237"/>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including noncontrolling interests</w:t>
            </w:r>
          </w:p>
        </w:tc>
        <w:tc>
          <w:tcPr>
            <w:tcW w:w="8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35,063</w:t>
            </w:r>
          </w:p>
        </w:tc>
        <w:tc>
          <w:tcPr>
            <w:tcW w:w="12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37,354</w:t>
            </w: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57,577</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for noncash transactions</w:t>
            </w: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040" w:type="dxa"/>
            <w:vAlign w:val="bottom"/>
          </w:tcPr>
          <w:p>
            <w:pPr>
              <w:spacing w:after="0"/>
              <w:rPr>
                <w:sz w:val="2"/>
                <w:szCs w:val="2"/>
                <w:color w:val="auto"/>
              </w:rPr>
            </w:pPr>
          </w:p>
        </w:tc>
        <w:tc>
          <w:tcPr>
            <w:tcW w:w="82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color w:val="0000FF"/>
              </w:rPr>
              <w:t>2</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FF"/>
              </w:rPr>
              <w:t xml:space="preserve"> 9</w:t>
            </w:r>
          </w:p>
        </w:tc>
        <w:tc>
          <w:tcPr>
            <w:tcW w:w="8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and depletion (includes impairments)</w:t>
            </w:r>
          </w:p>
        </w:tc>
        <w:tc>
          <w:tcPr>
            <w:tcW w:w="820" w:type="dxa"/>
            <w:vAlign w:val="bottom"/>
            <w:vMerge w:val="continue"/>
          </w:tcPr>
          <w:p>
            <w:pPr>
              <w:spacing w:after="0"/>
              <w:rPr>
                <w:sz w:val="21"/>
                <w:szCs w:val="21"/>
                <w:color w:val="auto"/>
              </w:rPr>
            </w:pPr>
          </w:p>
        </w:tc>
        <w:tc>
          <w:tcPr>
            <w:tcW w:w="8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23,442</w:t>
            </w:r>
          </w:p>
        </w:tc>
        <w:tc>
          <w:tcPr>
            <w:tcW w:w="12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20,641</w:t>
            </w: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24,040</w:t>
            </w:r>
          </w:p>
        </w:tc>
        <w:tc>
          <w:tcPr>
            <w:tcW w:w="0" w:type="dxa"/>
            <w:vAlign w:val="bottom"/>
          </w:tcPr>
          <w:p>
            <w:pPr>
              <w:spacing w:after="0"/>
              <w:rPr>
                <w:sz w:val="1"/>
                <w:szCs w:val="1"/>
                <w:color w:val="auto"/>
              </w:rPr>
            </w:pPr>
          </w:p>
        </w:tc>
      </w:tr>
      <w:tr>
        <w:trPr>
          <w:trHeight w:val="257"/>
        </w:trPr>
        <w:tc>
          <w:tcPr>
            <w:tcW w:w="6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income tax charges/(credits)</w:t>
            </w:r>
          </w:p>
        </w:tc>
        <w:tc>
          <w:tcPr>
            <w:tcW w:w="82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0000FF"/>
                <w:w w:val="99"/>
              </w:rPr>
              <w:t>19</w:t>
            </w:r>
          </w:p>
        </w:tc>
        <w:tc>
          <w:tcPr>
            <w:tcW w:w="8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(865)</w:t>
            </w:r>
          </w:p>
        </w:tc>
        <w:tc>
          <w:tcPr>
            <w:tcW w:w="1200" w:type="dxa"/>
            <w:vAlign w:val="bottom"/>
            <w:tcBorders>
              <w:left w:val="single" w:sz="8" w:color="F0F0F0"/>
            </w:tcBorders>
          </w:tcPr>
          <w:p>
            <w:pPr>
              <w:jc w:val="right"/>
              <w:ind w:right="179"/>
              <w:spacing w:after="0"/>
              <w:rPr>
                <w:sz w:val="20"/>
                <w:szCs w:val="20"/>
                <w:color w:val="auto"/>
              </w:rPr>
            </w:pPr>
            <w:r>
              <w:rPr>
                <w:rFonts w:ascii="Times New Roman" w:cs="Times New Roman" w:eastAsia="Times New Roman" w:hAnsi="Times New Roman"/>
                <w:sz w:val="16"/>
                <w:szCs w:val="16"/>
                <w:color w:val="auto"/>
              </w:rPr>
              <w:t>634</w:t>
            </w: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3,758</w:t>
            </w:r>
          </w:p>
        </w:tc>
        <w:tc>
          <w:tcPr>
            <w:tcW w:w="0" w:type="dxa"/>
            <w:vAlign w:val="bottom"/>
          </w:tcPr>
          <w:p>
            <w:pPr>
              <w:spacing w:after="0"/>
              <w:rPr>
                <w:sz w:val="1"/>
                <w:szCs w:val="1"/>
                <w:color w:val="auto"/>
              </w:rPr>
            </w:pPr>
          </w:p>
        </w:tc>
      </w:tr>
      <w:tr>
        <w:trPr>
          <w:trHeight w:val="257"/>
        </w:trPr>
        <w:tc>
          <w:tcPr>
            <w:tcW w:w="6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Postretirement benefits expense in excess of/(less than) net payments</w:t>
            </w:r>
          </w:p>
        </w:tc>
        <w:tc>
          <w:tcPr>
            <w:tcW w:w="820" w:type="dxa"/>
            <w:vAlign w:val="bottom"/>
          </w:tcPr>
          <w:p>
            <w:pPr>
              <w:spacing w:after="0"/>
              <w:rPr>
                <w:sz w:val="22"/>
                <w:szCs w:val="22"/>
                <w:color w:val="auto"/>
              </w:rPr>
            </w:pPr>
          </w:p>
        </w:tc>
        <w:tc>
          <w:tcPr>
            <w:tcW w:w="8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200" w:type="dxa"/>
            <w:vAlign w:val="bottom"/>
            <w:tcBorders>
              <w:left w:val="single" w:sz="8" w:color="F0F0F0"/>
            </w:tcBorders>
          </w:tcPr>
          <w:p>
            <w:pPr>
              <w:jc w:val="right"/>
              <w:ind w:right="179"/>
              <w:spacing w:after="0"/>
              <w:rPr>
                <w:sz w:val="20"/>
                <w:szCs w:val="20"/>
                <w:color w:val="auto"/>
              </w:rPr>
            </w:pPr>
            <w:r>
              <w:rPr>
                <w:rFonts w:ascii="Times New Roman" w:cs="Times New Roman" w:eastAsia="Times New Roman" w:hAnsi="Times New Roman"/>
                <w:sz w:val="16"/>
                <w:szCs w:val="16"/>
                <w:color w:val="auto"/>
              </w:rPr>
              <w:t>90</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(2,981)</w:t>
            </w:r>
          </w:p>
        </w:tc>
        <w:tc>
          <w:tcPr>
            <w:tcW w:w="0" w:type="dxa"/>
            <w:vAlign w:val="bottom"/>
          </w:tcPr>
          <w:p>
            <w:pPr>
              <w:spacing w:after="0"/>
              <w:rPr>
                <w:sz w:val="1"/>
                <w:szCs w:val="1"/>
                <w:color w:val="auto"/>
              </w:rPr>
            </w:pPr>
          </w:p>
        </w:tc>
      </w:tr>
      <w:tr>
        <w:trPr>
          <w:trHeight w:val="257"/>
        </w:trPr>
        <w:tc>
          <w:tcPr>
            <w:tcW w:w="6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long-term obligation provisions in excess of/(less than) payments</w:t>
            </w:r>
          </w:p>
        </w:tc>
        <w:tc>
          <w:tcPr>
            <w:tcW w:w="820" w:type="dxa"/>
            <w:vAlign w:val="bottom"/>
          </w:tcPr>
          <w:p>
            <w:pPr>
              <w:spacing w:after="0"/>
              <w:rPr>
                <w:sz w:val="22"/>
                <w:szCs w:val="22"/>
                <w:color w:val="auto"/>
              </w:rPr>
            </w:pPr>
          </w:p>
        </w:tc>
        <w:tc>
          <w:tcPr>
            <w:tcW w:w="8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(1,712)</w:t>
            </w:r>
          </w:p>
        </w:tc>
        <w:tc>
          <w:tcPr>
            <w:tcW w:w="1200" w:type="dxa"/>
            <w:vAlign w:val="bottom"/>
            <w:tcBorders>
              <w:left w:val="single" w:sz="8" w:color="F0F0F0"/>
            </w:tcBorders>
          </w:tcPr>
          <w:p>
            <w:pPr>
              <w:jc w:val="right"/>
              <w:ind w:right="139"/>
              <w:spacing w:after="0"/>
              <w:rPr>
                <w:sz w:val="20"/>
                <w:szCs w:val="20"/>
                <w:color w:val="auto"/>
              </w:rPr>
            </w:pPr>
            <w:r>
              <w:rPr>
                <w:rFonts w:ascii="Times New Roman" w:cs="Times New Roman" w:eastAsia="Times New Roman" w:hAnsi="Times New Roman"/>
                <w:sz w:val="16"/>
                <w:szCs w:val="16"/>
                <w:color w:val="auto"/>
              </w:rPr>
              <w:t>(1,501)</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(1,932)</w:t>
            </w:r>
          </w:p>
        </w:tc>
        <w:tc>
          <w:tcPr>
            <w:tcW w:w="0" w:type="dxa"/>
            <w:vAlign w:val="bottom"/>
          </w:tcPr>
          <w:p>
            <w:pPr>
              <w:spacing w:after="0"/>
              <w:rPr>
                <w:sz w:val="1"/>
                <w:szCs w:val="1"/>
                <w:color w:val="auto"/>
              </w:rPr>
            </w:pPr>
          </w:p>
        </w:tc>
      </w:tr>
      <w:tr>
        <w:trPr>
          <w:trHeight w:val="257"/>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received greater than/(less than) equity in current earnings of equity companies</w:t>
            </w:r>
          </w:p>
        </w:tc>
        <w:tc>
          <w:tcPr>
            <w:tcW w:w="820" w:type="dxa"/>
            <w:vAlign w:val="bottom"/>
          </w:tcPr>
          <w:p>
            <w:pPr>
              <w:spacing w:after="0"/>
              <w:rPr>
                <w:sz w:val="22"/>
                <w:szCs w:val="22"/>
                <w:color w:val="auto"/>
              </w:rPr>
            </w:pPr>
          </w:p>
        </w:tc>
        <w:tc>
          <w:tcPr>
            <w:tcW w:w="8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200" w:type="dxa"/>
            <w:vAlign w:val="bottom"/>
            <w:tcBorders>
              <w:left w:val="single" w:sz="8" w:color="F0F0F0"/>
            </w:tcBorders>
          </w:tcPr>
          <w:p>
            <w:pPr>
              <w:jc w:val="right"/>
              <w:ind w:right="179"/>
              <w:spacing w:after="0"/>
              <w:rPr>
                <w:sz w:val="20"/>
                <w:szCs w:val="20"/>
                <w:color w:val="auto"/>
              </w:rPr>
            </w:pPr>
            <w:r>
              <w:rPr>
                <w:rFonts w:ascii="Times New Roman" w:cs="Times New Roman" w:eastAsia="Times New Roman" w:hAnsi="Times New Roman"/>
                <w:sz w:val="16"/>
                <w:szCs w:val="16"/>
                <w:color w:val="auto"/>
              </w:rPr>
              <w:t>509</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(2,446)</w:t>
            </w:r>
          </w:p>
        </w:tc>
        <w:tc>
          <w:tcPr>
            <w:tcW w:w="0" w:type="dxa"/>
            <w:vAlign w:val="bottom"/>
          </w:tcPr>
          <w:p>
            <w:pPr>
              <w:spacing w:after="0"/>
              <w:rPr>
                <w:sz w:val="1"/>
                <w:szCs w:val="1"/>
                <w:color w:val="auto"/>
              </w:rPr>
            </w:pPr>
          </w:p>
        </w:tc>
      </w:tr>
      <w:tr>
        <w:trPr>
          <w:trHeight w:val="256"/>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operational working capital, excluding cash and debt</w:t>
            </w:r>
          </w:p>
        </w:tc>
        <w:tc>
          <w:tcPr>
            <w:tcW w:w="820" w:type="dxa"/>
            <w:vAlign w:val="bottom"/>
          </w:tcPr>
          <w:p>
            <w:pPr>
              <w:spacing w:after="0"/>
              <w:rPr>
                <w:sz w:val="22"/>
                <w:szCs w:val="22"/>
                <w:color w:val="auto"/>
              </w:rPr>
            </w:pPr>
          </w:p>
        </w:tc>
        <w:tc>
          <w:tcPr>
            <w:tcW w:w="820" w:type="dxa"/>
            <w:vAlign w:val="bottom"/>
            <w:shd w:val="clear" w:color="auto" w:fill="F0F0F0"/>
          </w:tcPr>
          <w:p>
            <w:pPr>
              <w:spacing w:after="0"/>
              <w:rPr>
                <w:sz w:val="22"/>
                <w:szCs w:val="22"/>
                <w:color w:val="auto"/>
              </w:rPr>
            </w:pPr>
          </w:p>
        </w:tc>
        <w:tc>
          <w:tcPr>
            <w:tcW w:w="1200" w:type="dxa"/>
            <w:vAlign w:val="bottom"/>
            <w:tcBorders>
              <w:left w:val="single" w:sz="8" w:color="F0F0F0"/>
            </w:tcBorders>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 xml:space="preserve">Notes and accounts receivable </w:t>
            </w:r>
            <w:r>
              <w:rPr>
                <w:rFonts w:ascii="Times New Roman" w:cs="Times New Roman" w:eastAsia="Times New Roman" w:hAnsi="Times New Roman"/>
                <w:sz w:val="16"/>
                <w:szCs w:val="16"/>
                <w:i w:val="1"/>
                <w:iCs w:val="1"/>
                <w:color w:val="auto"/>
              </w:rPr>
              <w:t>reduction/(increase)</w:t>
            </w:r>
          </w:p>
        </w:tc>
        <w:tc>
          <w:tcPr>
            <w:tcW w:w="820" w:type="dxa"/>
            <w:vAlign w:val="bottom"/>
          </w:tcPr>
          <w:p>
            <w:pPr>
              <w:spacing w:after="0"/>
              <w:rPr>
                <w:sz w:val="22"/>
                <w:szCs w:val="22"/>
                <w:color w:val="auto"/>
              </w:rPr>
            </w:pPr>
          </w:p>
        </w:tc>
        <w:tc>
          <w:tcPr>
            <w:tcW w:w="8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(6,030)</w:t>
            </w:r>
          </w:p>
        </w:tc>
        <w:tc>
          <w:tcPr>
            <w:tcW w:w="1200" w:type="dxa"/>
            <w:vAlign w:val="bottom"/>
            <w:tcBorders>
              <w:left w:val="single" w:sz="8" w:color="F0F0F0"/>
            </w:tcBorders>
          </w:tcPr>
          <w:p>
            <w:pPr>
              <w:jc w:val="right"/>
              <w:ind w:right="179"/>
              <w:spacing w:after="0"/>
              <w:rPr>
                <w:sz w:val="20"/>
                <w:szCs w:val="20"/>
                <w:color w:val="auto"/>
              </w:rPr>
            </w:pPr>
            <w:r>
              <w:rPr>
                <w:rFonts w:ascii="Times New Roman" w:cs="Times New Roman" w:eastAsia="Times New Roman" w:hAnsi="Times New Roman"/>
                <w:sz w:val="16"/>
                <w:szCs w:val="16"/>
                <w:color w:val="auto"/>
              </w:rPr>
              <w:t>4,370</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(11,019)</w:t>
            </w:r>
          </w:p>
        </w:tc>
        <w:tc>
          <w:tcPr>
            <w:tcW w:w="0" w:type="dxa"/>
            <w:vAlign w:val="bottom"/>
          </w:tcPr>
          <w:p>
            <w:pPr>
              <w:spacing w:after="0"/>
              <w:rPr>
                <w:sz w:val="1"/>
                <w:szCs w:val="1"/>
                <w:color w:val="auto"/>
              </w:rPr>
            </w:pPr>
          </w:p>
        </w:tc>
      </w:tr>
      <w:tr>
        <w:trPr>
          <w:trHeight w:val="257"/>
        </w:trPr>
        <w:tc>
          <w:tcPr>
            <w:tcW w:w="60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 xml:space="preserve">Inventories </w:t>
            </w:r>
            <w:r>
              <w:rPr>
                <w:rFonts w:ascii="Times New Roman" w:cs="Times New Roman" w:eastAsia="Times New Roman" w:hAnsi="Times New Roman"/>
                <w:sz w:val="16"/>
                <w:szCs w:val="16"/>
                <w:i w:val="1"/>
                <w:iCs w:val="1"/>
                <w:color w:val="auto"/>
              </w:rPr>
              <w:t>reduction/(increase)</w:t>
            </w:r>
          </w:p>
        </w:tc>
        <w:tc>
          <w:tcPr>
            <w:tcW w:w="820" w:type="dxa"/>
            <w:vAlign w:val="bottom"/>
          </w:tcPr>
          <w:p>
            <w:pPr>
              <w:spacing w:after="0"/>
              <w:rPr>
                <w:sz w:val="22"/>
                <w:szCs w:val="22"/>
                <w:color w:val="auto"/>
              </w:rPr>
            </w:pPr>
          </w:p>
        </w:tc>
        <w:tc>
          <w:tcPr>
            <w:tcW w:w="8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(1,812)</w:t>
            </w:r>
          </w:p>
        </w:tc>
        <w:tc>
          <w:tcPr>
            <w:tcW w:w="1200" w:type="dxa"/>
            <w:vAlign w:val="bottom"/>
            <w:tcBorders>
              <w:left w:val="single" w:sz="8" w:color="F0F0F0"/>
            </w:tcBorders>
          </w:tcPr>
          <w:p>
            <w:pPr>
              <w:jc w:val="right"/>
              <w:ind w:right="139"/>
              <w:spacing w:after="0"/>
              <w:rPr>
                <w:sz w:val="20"/>
                <w:szCs w:val="20"/>
                <w:color w:val="auto"/>
              </w:rPr>
            </w:pPr>
            <w:r>
              <w:rPr>
                <w:rFonts w:ascii="Times New Roman" w:cs="Times New Roman" w:eastAsia="Times New Roman" w:hAnsi="Times New Roman"/>
                <w:sz w:val="16"/>
                <w:szCs w:val="16"/>
                <w:color w:val="auto"/>
              </w:rPr>
              <w:t>(3,472)</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(6,947)</w:t>
            </w:r>
          </w:p>
        </w:tc>
        <w:tc>
          <w:tcPr>
            <w:tcW w:w="0" w:type="dxa"/>
            <w:vAlign w:val="bottom"/>
          </w:tcPr>
          <w:p>
            <w:pPr>
              <w:spacing w:after="0"/>
              <w:rPr>
                <w:sz w:val="1"/>
                <w:szCs w:val="1"/>
                <w:color w:val="auto"/>
              </w:rPr>
            </w:pPr>
          </w:p>
        </w:tc>
      </w:tr>
      <w:tr>
        <w:trPr>
          <w:trHeight w:val="257"/>
        </w:trPr>
        <w:tc>
          <w:tcPr>
            <w:tcW w:w="60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 xml:space="preserve">Other current assets </w:t>
            </w:r>
            <w:r>
              <w:rPr>
                <w:rFonts w:ascii="Times New Roman" w:cs="Times New Roman" w:eastAsia="Times New Roman" w:hAnsi="Times New Roman"/>
                <w:sz w:val="16"/>
                <w:szCs w:val="16"/>
                <w:i w:val="1"/>
                <w:iCs w:val="1"/>
                <w:color w:val="auto"/>
              </w:rPr>
              <w:t>reduction/(increase)</w:t>
            </w:r>
          </w:p>
        </w:tc>
        <w:tc>
          <w:tcPr>
            <w:tcW w:w="820" w:type="dxa"/>
            <w:vAlign w:val="bottom"/>
          </w:tcPr>
          <w:p>
            <w:pPr>
              <w:spacing w:after="0"/>
              <w:rPr>
                <w:sz w:val="22"/>
                <w:szCs w:val="22"/>
                <w:color w:val="auto"/>
              </w:rPr>
            </w:pPr>
          </w:p>
        </w:tc>
        <w:tc>
          <w:tcPr>
            <w:tcW w:w="8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200" w:type="dxa"/>
            <w:vAlign w:val="bottom"/>
            <w:tcBorders>
              <w:left w:val="single" w:sz="8" w:color="F0F0F0"/>
            </w:tcBorders>
          </w:tcPr>
          <w:p>
            <w:pPr>
              <w:jc w:val="right"/>
              <w:ind w:right="139"/>
              <w:spacing w:after="0"/>
              <w:rPr>
                <w:sz w:val="20"/>
                <w:szCs w:val="20"/>
                <w:color w:val="auto"/>
              </w:rPr>
            </w:pPr>
            <w:r>
              <w:rPr>
                <w:rFonts w:ascii="Times New Roman" w:cs="Times New Roman" w:eastAsia="Times New Roman" w:hAnsi="Times New Roman"/>
                <w:sz w:val="16"/>
                <w:szCs w:val="16"/>
                <w:color w:val="auto"/>
              </w:rPr>
              <w:t>(426)</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0" w:type="dxa"/>
            <w:vAlign w:val="bottom"/>
          </w:tcPr>
          <w:p>
            <w:pPr>
              <w:spacing w:after="0"/>
              <w:rPr>
                <w:sz w:val="1"/>
                <w:szCs w:val="1"/>
                <w:color w:val="auto"/>
              </w:rPr>
            </w:pPr>
          </w:p>
        </w:tc>
      </w:tr>
      <w:tr>
        <w:trPr>
          <w:trHeight w:val="256"/>
        </w:trPr>
        <w:tc>
          <w:tcPr>
            <w:tcW w:w="60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 xml:space="preserve">Accounts and other payables </w:t>
            </w:r>
            <w:r>
              <w:rPr>
                <w:rFonts w:ascii="Times New Roman" w:cs="Times New Roman" w:eastAsia="Times New Roman" w:hAnsi="Times New Roman"/>
                <w:sz w:val="16"/>
                <w:szCs w:val="16"/>
                <w:i w:val="1"/>
                <w:iCs w:val="1"/>
                <w:color w:val="auto"/>
              </w:rPr>
              <w:t>increase/(reduction)</w:t>
            </w:r>
          </w:p>
        </w:tc>
        <w:tc>
          <w:tcPr>
            <w:tcW w:w="820" w:type="dxa"/>
            <w:vAlign w:val="bottom"/>
          </w:tcPr>
          <w:p>
            <w:pPr>
              <w:spacing w:after="0"/>
              <w:rPr>
                <w:sz w:val="22"/>
                <w:szCs w:val="22"/>
                <w:color w:val="auto"/>
              </w:rPr>
            </w:pPr>
          </w:p>
        </w:tc>
        <w:tc>
          <w:tcPr>
            <w:tcW w:w="8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5,627</w:t>
            </w:r>
          </w:p>
        </w:tc>
        <w:tc>
          <w:tcPr>
            <w:tcW w:w="1200" w:type="dxa"/>
            <w:vAlign w:val="bottom"/>
            <w:tcBorders>
              <w:left w:val="single" w:sz="8" w:color="F0F0F0"/>
            </w:tcBorders>
          </w:tcPr>
          <w:p>
            <w:pPr>
              <w:jc w:val="right"/>
              <w:ind w:right="139"/>
              <w:spacing w:after="0"/>
              <w:rPr>
                <w:sz w:val="20"/>
                <w:szCs w:val="20"/>
                <w:color w:val="auto"/>
              </w:rPr>
            </w:pPr>
            <w:r>
              <w:rPr>
                <w:rFonts w:ascii="Times New Roman" w:cs="Times New Roman" w:eastAsia="Times New Roman" w:hAnsi="Times New Roman"/>
                <w:sz w:val="16"/>
                <w:szCs w:val="16"/>
                <w:color w:val="auto"/>
              </w:rPr>
              <w:t>(4,727)</w:t>
            </w: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18,460</w:t>
            </w:r>
          </w:p>
        </w:tc>
        <w:tc>
          <w:tcPr>
            <w:tcW w:w="0" w:type="dxa"/>
            <w:vAlign w:val="bottom"/>
          </w:tcPr>
          <w:p>
            <w:pPr>
              <w:spacing w:after="0"/>
              <w:rPr>
                <w:sz w:val="1"/>
                <w:szCs w:val="1"/>
                <w:color w:val="auto"/>
              </w:rPr>
            </w:pPr>
          </w:p>
        </w:tc>
      </w:tr>
      <w:tr>
        <w:trPr>
          <w:trHeight w:val="257"/>
        </w:trPr>
        <w:tc>
          <w:tcPr>
            <w:tcW w:w="6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(gain)/loss on asset sales</w:t>
            </w:r>
          </w:p>
        </w:tc>
        <w:tc>
          <w:tcPr>
            <w:tcW w:w="82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0000FF"/>
              </w:rPr>
              <w:t>5</w:t>
            </w:r>
          </w:p>
        </w:tc>
        <w:tc>
          <w:tcPr>
            <w:tcW w:w="8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(1,223)</w:t>
            </w:r>
          </w:p>
        </w:tc>
        <w:tc>
          <w:tcPr>
            <w:tcW w:w="1200" w:type="dxa"/>
            <w:vAlign w:val="bottom"/>
            <w:tcBorders>
              <w:left w:val="single" w:sz="8" w:color="F0F0F0"/>
            </w:tcBorders>
          </w:tcPr>
          <w:p>
            <w:pPr>
              <w:jc w:val="right"/>
              <w:ind w:right="139"/>
              <w:spacing w:after="0"/>
              <w:rPr>
                <w:sz w:val="20"/>
                <w:szCs w:val="20"/>
                <w:color w:val="auto"/>
              </w:rPr>
            </w:pPr>
            <w:r>
              <w:rPr>
                <w:rFonts w:ascii="Times New Roman" w:cs="Times New Roman" w:eastAsia="Times New Roman" w:hAnsi="Times New Roman"/>
                <w:sz w:val="16"/>
                <w:szCs w:val="16"/>
                <w:color w:val="auto"/>
              </w:rPr>
              <w:t>(513)</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w:t>
            </w:r>
          </w:p>
        </w:tc>
        <w:tc>
          <w:tcPr>
            <w:tcW w:w="0" w:type="dxa"/>
            <w:vAlign w:val="bottom"/>
          </w:tcPr>
          <w:p>
            <w:pPr>
              <w:spacing w:after="0"/>
              <w:rPr>
                <w:sz w:val="1"/>
                <w:szCs w:val="1"/>
                <w:color w:val="auto"/>
              </w:rPr>
            </w:pPr>
          </w:p>
        </w:tc>
      </w:tr>
      <w:tr>
        <w:trPr>
          <w:trHeight w:val="260"/>
        </w:trPr>
        <w:tc>
          <w:tcPr>
            <w:tcW w:w="604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color w:val="auto"/>
              </w:rPr>
              <w:t>All other items - net</w:t>
            </w:r>
          </w:p>
        </w:tc>
        <w:tc>
          <w:tcPr>
            <w:tcW w:w="820" w:type="dxa"/>
            <w:vAlign w:val="bottom"/>
            <w:tcBorders>
              <w:bottom w:val="single" w:sz="8" w:color="0C479D"/>
            </w:tcBorders>
          </w:tcPr>
          <w:p>
            <w:pPr>
              <w:spacing w:after="0"/>
              <w:rPr>
                <w:sz w:val="22"/>
                <w:szCs w:val="22"/>
                <w:color w:val="auto"/>
              </w:rPr>
            </w:pPr>
          </w:p>
        </w:tc>
        <w:tc>
          <w:tcPr>
            <w:tcW w:w="82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2,310</w:t>
            </w:r>
          </w:p>
        </w:tc>
        <w:tc>
          <w:tcPr>
            <w:tcW w:w="1200" w:type="dxa"/>
            <w:vAlign w:val="bottom"/>
            <w:tcBorders>
              <w:left w:val="single" w:sz="8" w:color="F0F0F0"/>
              <w:bottom w:val="single" w:sz="8" w:color="0C479D"/>
            </w:tcBorders>
          </w:tcPr>
          <w:p>
            <w:pPr>
              <w:jc w:val="right"/>
              <w:ind w:right="179"/>
              <w:spacing w:after="0"/>
              <w:rPr>
                <w:sz w:val="20"/>
                <w:szCs w:val="20"/>
                <w:color w:val="auto"/>
              </w:rPr>
            </w:pPr>
            <w:r>
              <w:rPr>
                <w:rFonts w:ascii="Times New Roman" w:cs="Times New Roman" w:eastAsia="Times New Roman" w:hAnsi="Times New Roman"/>
                <w:sz w:val="16"/>
                <w:szCs w:val="16"/>
                <w:color w:val="auto"/>
              </w:rPr>
              <w:t>2,410</w:t>
            </w:r>
          </w:p>
        </w:tc>
        <w:tc>
          <w:tcPr>
            <w:tcW w:w="820" w:type="dxa"/>
            <w:vAlign w:val="bottom"/>
            <w:tcBorders>
              <w:bottom w:val="single" w:sz="8" w:color="0C479D"/>
            </w:tcBorders>
          </w:tcPr>
          <w:p>
            <w:pPr>
              <w:jc w:val="right"/>
              <w:ind w:right="19"/>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36"/>
        </w:trPr>
        <w:tc>
          <w:tcPr>
            <w:tcW w:w="604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820" w:type="dxa"/>
            <w:vAlign w:val="bottom"/>
            <w:tcBorders>
              <w:bottom w:val="single" w:sz="8" w:color="0C479D"/>
            </w:tcBorders>
          </w:tcPr>
          <w:p>
            <w:pPr>
              <w:spacing w:after="0"/>
              <w:rPr>
                <w:sz w:val="20"/>
                <w:szCs w:val="20"/>
                <w:color w:val="auto"/>
              </w:rPr>
            </w:pPr>
          </w:p>
        </w:tc>
        <w:tc>
          <w:tcPr>
            <w:tcW w:w="82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55,022</w:t>
            </w:r>
          </w:p>
        </w:tc>
        <w:tc>
          <w:tcPr>
            <w:tcW w:w="1200" w:type="dxa"/>
            <w:vAlign w:val="bottom"/>
            <w:tcBorders>
              <w:left w:val="single" w:sz="8" w:color="F0F0F0"/>
              <w:bottom w:val="single" w:sz="8" w:color="0C479D"/>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55,369</w:t>
            </w:r>
          </w:p>
        </w:tc>
        <w:tc>
          <w:tcPr>
            <w:tcW w:w="820" w:type="dxa"/>
            <w:vAlign w:val="bottom"/>
            <w:tcBorders>
              <w:bottom w:val="single" w:sz="8" w:color="0C479D"/>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76,797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-7620</wp:posOffset>
            </wp:positionV>
            <wp:extent cx="548640" cy="3854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48640" cy="385445"/>
                    </a:xfrm>
                    <a:prstGeom prst="rect">
                      <a:avLst/>
                    </a:prstGeom>
                    <a:noFill/>
                  </pic:spPr>
                </pic:pic>
              </a:graphicData>
            </a:graphic>
          </wp:anchor>
        </w:drawing>
      </w:r>
    </w:p>
    <w:p>
      <w:pPr>
        <w:spacing w:after="0" w:line="7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0C479D"/>
        </w:rPr>
        <w:t>CASH FLOWS FROM INVESTING ACTIVITIES</w:t>
      </w:r>
    </w:p>
    <w:p>
      <w:pPr>
        <w:spacing w:after="0" w:line="51" w:lineRule="exact"/>
        <w:rPr>
          <w:sz w:val="20"/>
          <w:szCs w:val="20"/>
          <w:color w:val="auto"/>
        </w:rPr>
      </w:pPr>
    </w:p>
    <w:tbl>
      <w:tblPr>
        <w:tblLayout w:type="fixed"/>
        <w:tblInd w:w="780" w:type="dxa"/>
        <w:tblCellMar>
          <w:top w:w="0" w:type="dxa"/>
          <w:left w:w="0" w:type="dxa"/>
          <w:bottom w:w="0" w:type="dxa"/>
          <w:right w:w="0" w:type="dxa"/>
        </w:tblCellMar>
      </w:tblPr>
      <w:tr>
        <w:trPr>
          <w:trHeight w:val="230"/>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 to property, plant and equipment</w:t>
            </w:r>
          </w:p>
        </w:tc>
        <w:tc>
          <w:tcPr>
            <w:tcW w:w="8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(24,306)</w:t>
            </w:r>
          </w:p>
        </w:tc>
        <w:tc>
          <w:tcPr>
            <w:tcW w:w="12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(21,919)</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(18,407)</w:t>
            </w:r>
          </w:p>
        </w:tc>
      </w:tr>
      <w:tr>
        <w:trPr>
          <w:trHeight w:val="256"/>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asset sales and returns of investments</w:t>
            </w:r>
          </w:p>
        </w:tc>
        <w:tc>
          <w:tcPr>
            <w:tcW w:w="8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4,987</w:t>
            </w:r>
          </w:p>
        </w:tc>
        <w:tc>
          <w:tcPr>
            <w:tcW w:w="1200" w:type="dxa"/>
            <w:vAlign w:val="bottom"/>
            <w:tcBorders>
              <w:left w:val="single" w:sz="8" w:color="F0F0F0"/>
            </w:tcBorders>
          </w:tcPr>
          <w:p>
            <w:pPr>
              <w:jc w:val="right"/>
              <w:ind w:right="179"/>
              <w:spacing w:after="0"/>
              <w:rPr>
                <w:sz w:val="20"/>
                <w:szCs w:val="20"/>
                <w:color w:val="auto"/>
              </w:rPr>
            </w:pPr>
            <w:r>
              <w:rPr>
                <w:rFonts w:ascii="Times New Roman" w:cs="Times New Roman" w:eastAsia="Times New Roman" w:hAnsi="Times New Roman"/>
                <w:sz w:val="16"/>
                <w:szCs w:val="16"/>
                <w:color w:val="auto"/>
              </w:rPr>
              <w:t>4,078</w:t>
            </w: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5,247</w:t>
            </w:r>
          </w:p>
        </w:tc>
      </w:tr>
      <w:tr>
        <w:trPr>
          <w:trHeight w:val="257"/>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investments and advances</w:t>
            </w:r>
          </w:p>
        </w:tc>
        <w:tc>
          <w:tcPr>
            <w:tcW w:w="8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(3,299)</w:t>
            </w:r>
          </w:p>
        </w:tc>
        <w:tc>
          <w:tcPr>
            <w:tcW w:w="1200" w:type="dxa"/>
            <w:vAlign w:val="bottom"/>
            <w:tcBorders>
              <w:left w:val="single" w:sz="8" w:color="F0F0F0"/>
            </w:tcBorders>
          </w:tcPr>
          <w:p>
            <w:pPr>
              <w:jc w:val="right"/>
              <w:ind w:right="139"/>
              <w:spacing w:after="0"/>
              <w:rPr>
                <w:sz w:val="20"/>
                <w:szCs w:val="20"/>
                <w:color w:val="auto"/>
              </w:rPr>
            </w:pPr>
            <w:r>
              <w:rPr>
                <w:rFonts w:ascii="Times New Roman" w:cs="Times New Roman" w:eastAsia="Times New Roman" w:hAnsi="Times New Roman"/>
                <w:sz w:val="16"/>
                <w:szCs w:val="16"/>
                <w:color w:val="auto"/>
              </w:rPr>
              <w:t>(2,995)</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(3,090)</w:t>
            </w:r>
          </w:p>
        </w:tc>
      </w:tr>
      <w:tr>
        <w:trPr>
          <w:trHeight w:val="256"/>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investing activities including collection of advances</w:t>
            </w:r>
          </w:p>
        </w:tc>
        <w:tc>
          <w:tcPr>
            <w:tcW w:w="8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1,926</w:t>
            </w:r>
          </w:p>
        </w:tc>
        <w:tc>
          <w:tcPr>
            <w:tcW w:w="1200" w:type="dxa"/>
            <w:vAlign w:val="bottom"/>
            <w:tcBorders>
              <w:left w:val="single" w:sz="8" w:color="F0F0F0"/>
            </w:tcBorders>
          </w:tcPr>
          <w:p>
            <w:pPr>
              <w:jc w:val="right"/>
              <w:ind w:right="179"/>
              <w:spacing w:after="0"/>
              <w:rPr>
                <w:sz w:val="20"/>
                <w:szCs w:val="20"/>
                <w:color w:val="auto"/>
              </w:rPr>
            </w:pPr>
            <w:r>
              <w:rPr>
                <w:rFonts w:ascii="Times New Roman" w:cs="Times New Roman" w:eastAsia="Times New Roman" w:hAnsi="Times New Roman"/>
                <w:sz w:val="16"/>
                <w:szCs w:val="16"/>
                <w:color w:val="auto"/>
              </w:rPr>
              <w:t>1,562</w:t>
            </w: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1,508</w:t>
            </w:r>
          </w:p>
        </w:tc>
      </w:tr>
      <w:tr>
        <w:trPr>
          <w:trHeight w:val="260"/>
        </w:trPr>
        <w:tc>
          <w:tcPr>
            <w:tcW w:w="686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color w:val="auto"/>
              </w:rPr>
              <w:t>Cash acquired from mergers and acquisitions</w:t>
            </w:r>
          </w:p>
        </w:tc>
        <w:tc>
          <w:tcPr>
            <w:tcW w:w="82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1200" w:type="dxa"/>
            <w:vAlign w:val="bottom"/>
            <w:tcBorders>
              <w:left w:val="single" w:sz="8" w:color="F0F0F0"/>
              <w:bottom w:val="single" w:sz="8" w:color="0C479D"/>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0C479D"/>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86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82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(19,938)</w:t>
            </w:r>
          </w:p>
        </w:tc>
        <w:tc>
          <w:tcPr>
            <w:tcW w:w="1200" w:type="dxa"/>
            <w:vAlign w:val="bottom"/>
            <w:tcBorders>
              <w:left w:val="single" w:sz="8" w:color="F0F0F0"/>
              <w:bottom w:val="single" w:sz="8" w:color="0C479D"/>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(19,274)</w:t>
            </w:r>
          </w:p>
        </w:tc>
        <w:tc>
          <w:tcPr>
            <w:tcW w:w="8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(14,742)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-7620</wp:posOffset>
            </wp:positionV>
            <wp:extent cx="548640" cy="3860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48640" cy="386080"/>
                    </a:xfrm>
                    <a:prstGeom prst="rect">
                      <a:avLst/>
                    </a:prstGeom>
                    <a:noFill/>
                  </pic:spPr>
                </pic:pic>
              </a:graphicData>
            </a:graphic>
          </wp:anchor>
        </w:drawing>
      </w:r>
    </w:p>
    <w:p>
      <w:pPr>
        <w:spacing w:after="0" w:line="7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0C479D"/>
        </w:rPr>
        <w:t>CASH FLOWS FROM FINANCING ACTIVITIES</w:t>
      </w:r>
    </w:p>
    <w:p>
      <w:pPr>
        <w:spacing w:after="0" w:line="46" w:lineRule="exact"/>
        <w:rPr>
          <w:sz w:val="20"/>
          <w:szCs w:val="20"/>
          <w:color w:val="auto"/>
        </w:rPr>
      </w:pPr>
    </w:p>
    <w:tbl>
      <w:tblPr>
        <w:tblLayout w:type="fixed"/>
        <w:tblInd w:w="780" w:type="dxa"/>
        <w:tblCellMar>
          <w:top w:w="0" w:type="dxa"/>
          <w:left w:w="0" w:type="dxa"/>
          <w:bottom w:w="0" w:type="dxa"/>
          <w:right w:w="0" w:type="dxa"/>
        </w:tblCellMar>
      </w:tblPr>
      <w:tr>
        <w:trPr>
          <w:trHeight w:val="241"/>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Additions to long-term debt </w:t>
            </w:r>
            <w:r>
              <w:rPr>
                <w:rFonts w:ascii="Times New Roman" w:cs="Times New Roman" w:eastAsia="Times New Roman" w:hAnsi="Times New Roman"/>
                <w:sz w:val="21"/>
                <w:szCs w:val="21"/>
                <w:i w:val="1"/>
                <w:iCs w:val="1"/>
                <w:color w:val="auto"/>
                <w:vertAlign w:val="superscript"/>
              </w:rPr>
              <w:t>(1)</w:t>
            </w:r>
          </w:p>
        </w:tc>
        <w:tc>
          <w:tcPr>
            <w:tcW w:w="8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899</w:t>
            </w:r>
          </w:p>
        </w:tc>
        <w:tc>
          <w:tcPr>
            <w:tcW w:w="12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939</w:t>
            </w: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637</w:t>
            </w:r>
          </w:p>
        </w:tc>
      </w:tr>
      <w:tr>
        <w:trPr>
          <w:trHeight w:val="250"/>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Reductions in long-term debt</w:t>
            </w:r>
          </w:p>
        </w:tc>
        <w:tc>
          <w:tcPr>
            <w:tcW w:w="8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1200" w:type="dxa"/>
            <w:vAlign w:val="bottom"/>
            <w:tcBorders>
              <w:left w:val="single" w:sz="8" w:color="F0F0F0"/>
            </w:tcBorders>
          </w:tcPr>
          <w:p>
            <w:pPr>
              <w:jc w:val="right"/>
              <w:ind w:right="139"/>
              <w:spacing w:after="0"/>
              <w:rPr>
                <w:sz w:val="20"/>
                <w:szCs w:val="20"/>
                <w:color w:val="auto"/>
              </w:rPr>
            </w:pPr>
            <w:r>
              <w:rPr>
                <w:rFonts w:ascii="Times New Roman" w:cs="Times New Roman" w:eastAsia="Times New Roman" w:hAnsi="Times New Roman"/>
                <w:sz w:val="16"/>
                <w:szCs w:val="16"/>
                <w:color w:val="auto"/>
              </w:rPr>
              <w:t>(15)</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56"/>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 to short-term debt</w:t>
            </w:r>
          </w:p>
        </w:tc>
        <w:tc>
          <w:tcPr>
            <w:tcW w:w="8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left w:val="single" w:sz="8" w:color="F0F0F0"/>
            </w:tcBorders>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198</w:t>
            </w:r>
          </w:p>
        </w:tc>
      </w:tr>
      <w:tr>
        <w:trPr>
          <w:trHeight w:val="257"/>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Reductions in short-term debt</w:t>
            </w:r>
          </w:p>
        </w:tc>
        <w:tc>
          <w:tcPr>
            <w:tcW w:w="8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(4,743)</w:t>
            </w:r>
          </w:p>
        </w:tc>
        <w:tc>
          <w:tcPr>
            <w:tcW w:w="1200" w:type="dxa"/>
            <w:vAlign w:val="bottom"/>
            <w:tcBorders>
              <w:left w:val="single" w:sz="8" w:color="F0F0F0"/>
            </w:tcBorders>
          </w:tcPr>
          <w:p>
            <w:pPr>
              <w:jc w:val="right"/>
              <w:ind w:right="139"/>
              <w:spacing w:after="0"/>
              <w:rPr>
                <w:sz w:val="20"/>
                <w:szCs w:val="20"/>
                <w:color w:val="auto"/>
              </w:rPr>
            </w:pPr>
            <w:r>
              <w:rPr>
                <w:rFonts w:ascii="Times New Roman" w:cs="Times New Roman" w:eastAsia="Times New Roman" w:hAnsi="Times New Roman"/>
                <w:sz w:val="16"/>
                <w:szCs w:val="16"/>
                <w:color w:val="auto"/>
              </w:rPr>
              <w:t>(879)</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(8,075)</w:t>
            </w:r>
          </w:p>
        </w:tc>
      </w:tr>
      <w:tr>
        <w:trPr>
          <w:trHeight w:val="256"/>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Additions/(reductions) in debt with three months or less maturity</w:t>
            </w:r>
          </w:p>
        </w:tc>
        <w:tc>
          <w:tcPr>
            <w:tcW w:w="8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0" w:type="dxa"/>
            <w:vAlign w:val="bottom"/>
            <w:tcBorders>
              <w:left w:val="single" w:sz="8" w:color="F0F0F0"/>
            </w:tcBorders>
          </w:tcPr>
          <w:p>
            <w:pPr>
              <w:jc w:val="right"/>
              <w:ind w:right="139"/>
              <w:spacing w:after="0"/>
              <w:rPr>
                <w:sz w:val="20"/>
                <w:szCs w:val="20"/>
                <w:color w:val="auto"/>
              </w:rPr>
            </w:pPr>
            <w:r>
              <w:rPr>
                <w:rFonts w:ascii="Times New Roman" w:cs="Times New Roman" w:eastAsia="Times New Roman" w:hAnsi="Times New Roman"/>
                <w:sz w:val="16"/>
                <w:szCs w:val="16"/>
                <w:color w:val="auto"/>
              </w:rPr>
              <w:t>(284)</w:t>
            </w: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w:t>
            </w:r>
          </w:p>
        </w:tc>
      </w:tr>
      <w:tr>
        <w:trPr>
          <w:trHeight w:val="257"/>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Contingent consideration payments</w:t>
            </w:r>
          </w:p>
        </w:tc>
        <w:tc>
          <w:tcPr>
            <w:tcW w:w="8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0" w:type="dxa"/>
            <w:vAlign w:val="bottom"/>
            <w:tcBorders>
              <w:left w:val="single" w:sz="8" w:color="F0F0F0"/>
            </w:tcBorders>
          </w:tcPr>
          <w:p>
            <w:pPr>
              <w:jc w:val="right"/>
              <w:ind w:right="139"/>
              <w:spacing w:after="0"/>
              <w:rPr>
                <w:sz w:val="20"/>
                <w:szCs w:val="20"/>
                <w:color w:val="auto"/>
              </w:rPr>
            </w:pPr>
            <w:r>
              <w:rPr>
                <w:rFonts w:ascii="Times New Roman" w:cs="Times New Roman" w:eastAsia="Times New Roman" w:hAnsi="Times New Roman"/>
                <w:sz w:val="16"/>
                <w:szCs w:val="16"/>
                <w:color w:val="auto"/>
              </w:rPr>
              <w:t>(68)</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56"/>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to ExxonMobil shareholders</w:t>
            </w:r>
          </w:p>
        </w:tc>
        <w:tc>
          <w:tcPr>
            <w:tcW w:w="8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(16,704)</w:t>
            </w:r>
          </w:p>
        </w:tc>
        <w:tc>
          <w:tcPr>
            <w:tcW w:w="1200" w:type="dxa"/>
            <w:vAlign w:val="bottom"/>
            <w:tcBorders>
              <w:left w:val="single" w:sz="8" w:color="F0F0F0"/>
            </w:tcBorders>
          </w:tcPr>
          <w:p>
            <w:pPr>
              <w:jc w:val="right"/>
              <w:ind w:right="139"/>
              <w:spacing w:after="0"/>
              <w:rPr>
                <w:sz w:val="20"/>
                <w:szCs w:val="20"/>
                <w:color w:val="auto"/>
              </w:rPr>
            </w:pPr>
            <w:r>
              <w:rPr>
                <w:rFonts w:ascii="Times New Roman" w:cs="Times New Roman" w:eastAsia="Times New Roman" w:hAnsi="Times New Roman"/>
                <w:sz w:val="16"/>
                <w:szCs w:val="16"/>
                <w:color w:val="auto"/>
              </w:rPr>
              <w:t>(14,941)</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(14,939)</w:t>
            </w:r>
          </w:p>
        </w:tc>
      </w:tr>
      <w:tr>
        <w:trPr>
          <w:trHeight w:val="257"/>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to noncontrolling interests</w:t>
            </w:r>
          </w:p>
        </w:tc>
        <w:tc>
          <w:tcPr>
            <w:tcW w:w="8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(658)</w:t>
            </w:r>
          </w:p>
        </w:tc>
        <w:tc>
          <w:tcPr>
            <w:tcW w:w="1200" w:type="dxa"/>
            <w:vAlign w:val="bottom"/>
            <w:tcBorders>
              <w:left w:val="single" w:sz="8" w:color="F0F0F0"/>
            </w:tcBorders>
          </w:tcPr>
          <w:p>
            <w:pPr>
              <w:jc w:val="right"/>
              <w:ind w:right="139"/>
              <w:spacing w:after="0"/>
              <w:rPr>
                <w:sz w:val="20"/>
                <w:szCs w:val="20"/>
                <w:color w:val="auto"/>
              </w:rPr>
            </w:pPr>
            <w:r>
              <w:rPr>
                <w:rFonts w:ascii="Times New Roman" w:cs="Times New Roman" w:eastAsia="Times New Roman" w:hAnsi="Times New Roman"/>
                <w:sz w:val="16"/>
                <w:szCs w:val="16"/>
                <w:color w:val="auto"/>
              </w:rPr>
              <w:t>(531)</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r>
      <w:tr>
        <w:trPr>
          <w:trHeight w:val="257"/>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noncontrolling interests</w:t>
            </w:r>
          </w:p>
        </w:tc>
        <w:tc>
          <w:tcPr>
            <w:tcW w:w="8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(791)</w:t>
            </w:r>
          </w:p>
        </w:tc>
        <w:tc>
          <w:tcPr>
            <w:tcW w:w="1200" w:type="dxa"/>
            <w:vAlign w:val="bottom"/>
            <w:tcBorders>
              <w:left w:val="single" w:sz="8" w:color="F0F0F0"/>
            </w:tcBorders>
          </w:tcPr>
          <w:p>
            <w:pPr>
              <w:jc w:val="right"/>
              <w:ind w:right="139"/>
              <w:spacing w:after="0"/>
              <w:rPr>
                <w:sz w:val="20"/>
                <w:szCs w:val="20"/>
                <w:color w:val="auto"/>
              </w:rPr>
            </w:pPr>
            <w:r>
              <w:rPr>
                <w:rFonts w:ascii="Times New Roman" w:cs="Times New Roman" w:eastAsia="Times New Roman" w:hAnsi="Times New Roman"/>
                <w:sz w:val="16"/>
                <w:szCs w:val="16"/>
                <w:color w:val="auto"/>
              </w:rPr>
              <w:t>(894)</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(1,493)</w:t>
            </w:r>
          </w:p>
        </w:tc>
      </w:tr>
      <w:tr>
        <w:trPr>
          <w:trHeight w:val="256"/>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Inflows from noncontrolling interests for major projects</w:t>
            </w:r>
          </w:p>
        </w:tc>
        <w:tc>
          <w:tcPr>
            <w:tcW w:w="8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0" w:type="dxa"/>
            <w:vAlign w:val="bottom"/>
            <w:tcBorders>
              <w:left w:val="single" w:sz="8" w:color="F0F0F0"/>
            </w:tcBorders>
          </w:tcPr>
          <w:p>
            <w:pPr>
              <w:jc w:val="right"/>
              <w:ind w:right="179"/>
              <w:spacing w:after="0"/>
              <w:rPr>
                <w:sz w:val="20"/>
                <w:szCs w:val="20"/>
                <w:color w:val="auto"/>
              </w:rPr>
            </w:pPr>
            <w:r>
              <w:rPr>
                <w:rFonts w:ascii="Times New Roman" w:cs="Times New Roman" w:eastAsia="Times New Roman" w:hAnsi="Times New Roman"/>
                <w:sz w:val="16"/>
                <w:szCs w:val="16"/>
                <w:color w:val="auto"/>
              </w:rPr>
              <w:t>124</w:t>
            </w: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w:t>
            </w:r>
          </w:p>
        </w:tc>
      </w:tr>
      <w:tr>
        <w:trPr>
          <w:trHeight w:val="260"/>
        </w:trPr>
        <w:tc>
          <w:tcPr>
            <w:tcW w:w="686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color w:val="auto"/>
              </w:rPr>
              <w:t>Common stock acquired</w:t>
            </w:r>
          </w:p>
        </w:tc>
        <w:tc>
          <w:tcPr>
            <w:tcW w:w="82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(19,629)</w:t>
            </w:r>
          </w:p>
        </w:tc>
        <w:tc>
          <w:tcPr>
            <w:tcW w:w="1200" w:type="dxa"/>
            <w:vAlign w:val="bottom"/>
            <w:tcBorders>
              <w:left w:val="single" w:sz="8" w:color="F0F0F0"/>
              <w:bottom w:val="single" w:sz="8" w:color="0C479D"/>
            </w:tcBorders>
          </w:tcPr>
          <w:p>
            <w:pPr>
              <w:jc w:val="right"/>
              <w:ind w:right="139"/>
              <w:spacing w:after="0"/>
              <w:rPr>
                <w:sz w:val="20"/>
                <w:szCs w:val="20"/>
                <w:color w:val="auto"/>
              </w:rPr>
            </w:pPr>
            <w:r>
              <w:rPr>
                <w:rFonts w:ascii="Times New Roman" w:cs="Times New Roman" w:eastAsia="Times New Roman" w:hAnsi="Times New Roman"/>
                <w:sz w:val="16"/>
                <w:szCs w:val="16"/>
                <w:color w:val="auto"/>
              </w:rPr>
              <w:t>(17,748)</w:t>
            </w:r>
          </w:p>
        </w:tc>
        <w:tc>
          <w:tcPr>
            <w:tcW w:w="8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(15,155)</w:t>
            </w:r>
          </w:p>
        </w:tc>
      </w:tr>
      <w:tr>
        <w:trPr>
          <w:trHeight w:val="236"/>
        </w:trPr>
        <w:tc>
          <w:tcPr>
            <w:tcW w:w="686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82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(42,789)</w:t>
            </w:r>
          </w:p>
        </w:tc>
        <w:tc>
          <w:tcPr>
            <w:tcW w:w="1200" w:type="dxa"/>
            <w:vAlign w:val="bottom"/>
            <w:tcBorders>
              <w:left w:val="single" w:sz="8" w:color="F0F0F0"/>
              <w:bottom w:val="single" w:sz="8" w:color="0C479D"/>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(34,297)</w:t>
            </w:r>
          </w:p>
        </w:tc>
        <w:tc>
          <w:tcPr>
            <w:tcW w:w="8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(39,114)</w:t>
            </w:r>
          </w:p>
        </w:tc>
      </w:tr>
      <w:tr>
        <w:trPr>
          <w:trHeight w:val="331"/>
        </w:trPr>
        <w:tc>
          <w:tcPr>
            <w:tcW w:w="686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color w:val="auto"/>
              </w:rPr>
              <w:t>Effects of exchange rate changes on cash</w:t>
            </w:r>
          </w:p>
        </w:tc>
        <w:tc>
          <w:tcPr>
            <w:tcW w:w="82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1200" w:type="dxa"/>
            <w:vAlign w:val="bottom"/>
            <w:tcBorders>
              <w:left w:val="single" w:sz="8" w:color="F0F0F0"/>
              <w:bottom w:val="single" w:sz="8" w:color="0C479D"/>
            </w:tcBorders>
          </w:tcPr>
          <w:p>
            <w:pPr>
              <w:jc w:val="right"/>
              <w:ind w:right="179"/>
              <w:spacing w:after="0"/>
              <w:rPr>
                <w:sz w:val="20"/>
                <w:szCs w:val="20"/>
                <w:color w:val="auto"/>
              </w:rPr>
            </w:pPr>
            <w:r>
              <w:rPr>
                <w:rFonts w:ascii="Times New Roman" w:cs="Times New Roman" w:eastAsia="Times New Roman" w:hAnsi="Times New Roman"/>
                <w:sz w:val="16"/>
                <w:szCs w:val="16"/>
                <w:color w:val="auto"/>
              </w:rPr>
              <w:t>105</w:t>
            </w:r>
          </w:p>
        </w:tc>
        <w:tc>
          <w:tcPr>
            <w:tcW w:w="8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3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Increase/(decrease) in cash and cash equivalents</w:t>
            </w:r>
          </w:p>
        </w:tc>
        <w:tc>
          <w:tcPr>
            <w:tcW w:w="8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(8,381)</w:t>
            </w:r>
          </w:p>
        </w:tc>
        <w:tc>
          <w:tcPr>
            <w:tcW w:w="1200" w:type="dxa"/>
            <w:vAlign w:val="bottom"/>
            <w:tcBorders>
              <w:left w:val="single" w:sz="8" w:color="F0F0F0"/>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1,903</w:t>
            </w: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22,863</w:t>
            </w:r>
          </w:p>
        </w:tc>
      </w:tr>
      <w:tr>
        <w:trPr>
          <w:trHeight w:val="260"/>
        </w:trPr>
        <w:tc>
          <w:tcPr>
            <w:tcW w:w="686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year</w:t>
            </w:r>
          </w:p>
        </w:tc>
        <w:tc>
          <w:tcPr>
            <w:tcW w:w="82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31,568</w:t>
            </w:r>
          </w:p>
        </w:tc>
        <w:tc>
          <w:tcPr>
            <w:tcW w:w="1200" w:type="dxa"/>
            <w:vAlign w:val="bottom"/>
            <w:tcBorders>
              <w:left w:val="single" w:sz="8" w:color="F0F0F0"/>
              <w:bottom w:val="single" w:sz="8" w:color="0C479D"/>
            </w:tcBorders>
          </w:tcPr>
          <w:p>
            <w:pPr>
              <w:jc w:val="right"/>
              <w:ind w:right="179"/>
              <w:spacing w:after="0"/>
              <w:rPr>
                <w:sz w:val="20"/>
                <w:szCs w:val="20"/>
                <w:color w:val="auto"/>
              </w:rPr>
            </w:pPr>
            <w:r>
              <w:rPr>
                <w:rFonts w:ascii="Times New Roman" w:cs="Times New Roman" w:eastAsia="Times New Roman" w:hAnsi="Times New Roman"/>
                <w:sz w:val="16"/>
                <w:szCs w:val="16"/>
                <w:color w:val="auto"/>
              </w:rPr>
              <w:t>29,665</w:t>
            </w:r>
          </w:p>
        </w:tc>
        <w:tc>
          <w:tcPr>
            <w:tcW w:w="820" w:type="dxa"/>
            <w:vAlign w:val="bottom"/>
            <w:tcBorders>
              <w:bottom w:val="single" w:sz="8" w:color="0C479D"/>
            </w:tcBorders>
          </w:tcPr>
          <w:p>
            <w:pPr>
              <w:jc w:val="right"/>
              <w:ind w:right="19"/>
              <w:spacing w:after="0"/>
              <w:rPr>
                <w:sz w:val="20"/>
                <w:szCs w:val="20"/>
                <w:color w:val="auto"/>
              </w:rPr>
            </w:pPr>
            <w:r>
              <w:rPr>
                <w:rFonts w:ascii="Times New Roman" w:cs="Times New Roman" w:eastAsia="Times New Roman" w:hAnsi="Times New Roman"/>
                <w:sz w:val="16"/>
                <w:szCs w:val="16"/>
                <w:color w:val="auto"/>
              </w:rPr>
              <w:t>6,802</w:t>
            </w:r>
          </w:p>
        </w:tc>
      </w:tr>
      <w:tr>
        <w:trPr>
          <w:trHeight w:val="233"/>
        </w:trPr>
        <w:tc>
          <w:tcPr>
            <w:tcW w:w="686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year</w:t>
            </w:r>
          </w:p>
        </w:tc>
        <w:tc>
          <w:tcPr>
            <w:tcW w:w="82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23,187</w:t>
            </w:r>
          </w:p>
        </w:tc>
        <w:tc>
          <w:tcPr>
            <w:tcW w:w="1200" w:type="dxa"/>
            <w:vAlign w:val="bottom"/>
            <w:tcBorders>
              <w:left w:val="single" w:sz="8" w:color="F0F0F0"/>
              <w:bottom w:val="single" w:sz="8" w:color="0C479D"/>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31,568</w:t>
            </w:r>
          </w:p>
        </w:tc>
        <w:tc>
          <w:tcPr>
            <w:tcW w:w="820" w:type="dxa"/>
            <w:vAlign w:val="bottom"/>
            <w:tcBorders>
              <w:bottom w:val="single" w:sz="8" w:color="0C479D"/>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29,665</w:t>
            </w:r>
          </w:p>
        </w:tc>
      </w:tr>
    </w:tbl>
    <w:p>
      <w:pPr>
        <w:spacing w:after="0" w:line="83" w:lineRule="exact"/>
        <w:rPr>
          <w:sz w:val="20"/>
          <w:szCs w:val="20"/>
          <w:color w:val="auto"/>
        </w:rPr>
      </w:pPr>
    </w:p>
    <w:p>
      <w:pPr>
        <w:ind w:left="1060" w:right="80" w:hanging="265"/>
        <w:spacing w:after="0" w:line="231" w:lineRule="auto"/>
        <w:tabs>
          <w:tab w:leader="none" w:pos="1083" w:val="left"/>
        </w:tabs>
        <w:numPr>
          <w:ilvl w:val="0"/>
          <w:numId w:val="44"/>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Includes $568 million issued to facilitate the sale of an entity where the buyer assumed the debt upon closing; no longer on the Consolidated Balance Sheet at the end of 2023.</w:t>
      </w:r>
    </w:p>
    <w:p>
      <w:pPr>
        <w:spacing w:after="0" w:line="38" w:lineRule="exact"/>
        <w:rPr>
          <w:sz w:val="20"/>
          <w:szCs w:val="20"/>
          <w:color w:val="auto"/>
        </w:rPr>
      </w:pPr>
    </w:p>
    <w:p>
      <w:pPr>
        <w:ind w:left="800" w:right="40"/>
        <w:spacing w:after="0" w:line="308" w:lineRule="auto"/>
        <w:rPr>
          <w:sz w:val="20"/>
          <w:szCs w:val="20"/>
          <w:color w:val="auto"/>
        </w:rPr>
      </w:pPr>
      <w:r>
        <w:rPr>
          <w:rFonts w:ascii="Times New Roman" w:cs="Times New Roman" w:eastAsia="Times New Roman" w:hAnsi="Times New Roman"/>
          <w:sz w:val="14"/>
          <w:szCs w:val="14"/>
          <w:b w:val="1"/>
          <w:bCs w:val="1"/>
          <w:i w:val="1"/>
          <w:iCs w:val="1"/>
          <w:color w:val="auto"/>
        </w:rPr>
        <w:t xml:space="preserve">Non-Cash Transaction: </w:t>
      </w:r>
      <w:r>
        <w:rPr>
          <w:rFonts w:ascii="Times New Roman" w:cs="Times New Roman" w:eastAsia="Times New Roman" w:hAnsi="Times New Roman"/>
          <w:sz w:val="14"/>
          <w:szCs w:val="14"/>
          <w:i w:val="1"/>
          <w:iCs w:val="1"/>
          <w:color w:val="auto"/>
        </w:rPr>
        <w:t>The Corporation acquired Pioneer in an all-stock transaction on May 3, 2024, having issued 545 million shares of ExxonMobil common stock</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i w:val="1"/>
          <w:iCs w:val="1"/>
          <w:color w:val="auto"/>
        </w:rPr>
        <w:t xml:space="preserve">having a fair value of $63 billion on the acquisition date and assumed debt with a fair value of $5 billion. See </w:t>
      </w:r>
      <w:r>
        <w:rPr>
          <w:rFonts w:ascii="Times New Roman" w:cs="Times New Roman" w:eastAsia="Times New Roman" w:hAnsi="Times New Roman"/>
          <w:sz w:val="14"/>
          <w:szCs w:val="14"/>
          <w:i w:val="1"/>
          <w:iCs w:val="1"/>
          <w:color w:val="3051F2"/>
        </w:rPr>
        <w:t>Note 21</w:t>
      </w:r>
      <w:r>
        <w:rPr>
          <w:rFonts w:ascii="Times New Roman" w:cs="Times New Roman" w:eastAsia="Times New Roman" w:hAnsi="Times New Roman"/>
          <w:sz w:val="14"/>
          <w:szCs w:val="14"/>
          <w:i w:val="1"/>
          <w:iCs w:val="1"/>
          <w:color w:val="auto"/>
        </w:rPr>
        <w:t xml:space="preserve"> for additional information.</w:t>
      </w:r>
    </w:p>
    <w:p>
      <w:pPr>
        <w:spacing w:after="0" w:line="1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i w:val="1"/>
          <w:iCs w:val="1"/>
          <w:color w:val="auto"/>
        </w:rPr>
        <w:t>The information in the Notes to Consolidated Financial Statements is an integral part of these statements.</w:t>
      </w:r>
    </w:p>
    <w:p>
      <w:pPr>
        <w:sectPr>
          <w:pgSz w:w="11900" w:h="16838" w:orient="portrait"/>
          <w:cols w:equalWidth="0" w:num="1">
            <w:col w:w="10480"/>
          </w:cols>
          <w:pgMar w:left="320" w:top="999" w:right="109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320" w:top="999" w:right="109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22"/>
          <w:szCs w:val="22"/>
          <w:b w:val="1"/>
          <w:bCs w:val="1"/>
          <w:color w:val="0C479D"/>
        </w:rPr>
        <w:t>CONSOLIDATED STATEMENT OF CHANGES IN EQUITY</w:t>
      </w:r>
    </w:p>
    <w:p>
      <w:pPr>
        <w:spacing w:after="0" w:line="200" w:lineRule="exact"/>
        <w:rPr>
          <w:sz w:val="20"/>
          <w:szCs w:val="20"/>
          <w:color w:val="auto"/>
        </w:rPr>
      </w:pPr>
    </w:p>
    <w:p>
      <w:pPr>
        <w:spacing w:after="0" w:line="32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4"/>
          <w:szCs w:val="14"/>
          <w:b w:val="1"/>
          <w:bCs w:val="1"/>
          <w:color w:val="0C479D"/>
        </w:rPr>
        <w:t>ExxonMobil Share of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41910</wp:posOffset>
            </wp:positionV>
            <wp:extent cx="32232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141" w:lineRule="exact"/>
        <w:rPr>
          <w:sz w:val="20"/>
          <w:szCs w:val="20"/>
          <w:color w:val="auto"/>
        </w:rPr>
      </w:pPr>
    </w:p>
    <w:tbl>
      <w:tblPr>
        <w:tblLayout w:type="fixed"/>
        <w:tblInd w:w="780" w:type="dxa"/>
        <w:tblCellMar>
          <w:top w:w="0" w:type="dxa"/>
          <w:left w:w="0" w:type="dxa"/>
          <w:bottom w:w="0" w:type="dxa"/>
          <w:right w:w="0" w:type="dxa"/>
        </w:tblCellMar>
      </w:tblPr>
      <w:tr>
        <w:trPr>
          <w:trHeight w:val="178"/>
        </w:trPr>
        <w:tc>
          <w:tcPr>
            <w:tcW w:w="2480" w:type="dxa"/>
            <w:vAlign w:val="bottom"/>
            <w:shd w:val="clear" w:color="auto" w:fill="0C479D"/>
          </w:tcPr>
          <w:p>
            <w:pPr>
              <w:spacing w:after="0"/>
              <w:rPr>
                <w:sz w:val="15"/>
                <w:szCs w:val="15"/>
                <w:color w:val="auto"/>
              </w:rPr>
            </w:pPr>
          </w:p>
        </w:tc>
        <w:tc>
          <w:tcPr>
            <w:tcW w:w="1200" w:type="dxa"/>
            <w:vAlign w:val="bottom"/>
            <w:vMerge w:val="restart"/>
            <w:shd w:val="clear" w:color="auto" w:fill="0C479D"/>
          </w:tcPr>
          <w:p>
            <w:pPr>
              <w:jc w:val="right"/>
              <w:ind w:right="188"/>
              <w:spacing w:after="0"/>
              <w:rPr>
                <w:sz w:val="20"/>
                <w:szCs w:val="20"/>
                <w:color w:val="auto"/>
              </w:rPr>
            </w:pPr>
            <w:r>
              <w:rPr>
                <w:rFonts w:ascii="Times New Roman" w:cs="Times New Roman" w:eastAsia="Times New Roman" w:hAnsi="Times New Roman"/>
                <w:sz w:val="14"/>
                <w:szCs w:val="14"/>
                <w:b w:val="1"/>
                <w:bCs w:val="1"/>
                <w:color w:val="FFFFFF"/>
              </w:rPr>
              <w:t>Common</w:t>
            </w:r>
          </w:p>
        </w:tc>
        <w:tc>
          <w:tcPr>
            <w:tcW w:w="960" w:type="dxa"/>
            <w:vAlign w:val="bottom"/>
            <w:vMerge w:val="restart"/>
            <w:shd w:val="clear" w:color="auto" w:fill="0C479D"/>
          </w:tcPr>
          <w:p>
            <w:pPr>
              <w:jc w:val="right"/>
              <w:ind w:right="188"/>
              <w:spacing w:after="0"/>
              <w:rPr>
                <w:sz w:val="20"/>
                <w:szCs w:val="20"/>
                <w:color w:val="auto"/>
              </w:rPr>
            </w:pPr>
            <w:r>
              <w:rPr>
                <w:rFonts w:ascii="Times New Roman" w:cs="Times New Roman" w:eastAsia="Times New Roman" w:hAnsi="Times New Roman"/>
                <w:sz w:val="14"/>
                <w:szCs w:val="14"/>
                <w:b w:val="1"/>
                <w:bCs w:val="1"/>
                <w:color w:val="FFFFFF"/>
              </w:rPr>
              <w:t>Earnings</w:t>
            </w:r>
          </w:p>
        </w:tc>
        <w:tc>
          <w:tcPr>
            <w:tcW w:w="1140" w:type="dxa"/>
            <w:vAlign w:val="bottom"/>
            <w:shd w:val="clear" w:color="auto" w:fill="0C479D"/>
          </w:tcPr>
          <w:p>
            <w:pPr>
              <w:jc w:val="center"/>
              <w:ind w:right="8"/>
              <w:spacing w:after="0"/>
              <w:rPr>
                <w:sz w:val="20"/>
                <w:szCs w:val="20"/>
                <w:color w:val="auto"/>
              </w:rPr>
            </w:pPr>
            <w:r>
              <w:rPr>
                <w:rFonts w:ascii="Times New Roman" w:cs="Times New Roman" w:eastAsia="Times New Roman" w:hAnsi="Times New Roman"/>
                <w:sz w:val="14"/>
                <w:szCs w:val="14"/>
                <w:b w:val="1"/>
                <w:bCs w:val="1"/>
                <w:color w:val="FFFFFF"/>
              </w:rPr>
              <w:t>Accumulated</w:t>
            </w:r>
          </w:p>
        </w:tc>
        <w:tc>
          <w:tcPr>
            <w:tcW w:w="960" w:type="dxa"/>
            <w:vAlign w:val="bottom"/>
            <w:vMerge w:val="restart"/>
            <w:shd w:val="clear" w:color="auto" w:fill="0C479D"/>
          </w:tcPr>
          <w:p>
            <w:pPr>
              <w:jc w:val="center"/>
              <w:ind w:right="8"/>
              <w:spacing w:after="0"/>
              <w:rPr>
                <w:sz w:val="20"/>
                <w:szCs w:val="20"/>
                <w:color w:val="auto"/>
              </w:rPr>
            </w:pPr>
            <w:r>
              <w:rPr>
                <w:rFonts w:ascii="Times New Roman" w:cs="Times New Roman" w:eastAsia="Times New Roman" w:hAnsi="Times New Roman"/>
                <w:sz w:val="14"/>
                <w:szCs w:val="14"/>
                <w:b w:val="1"/>
                <w:bCs w:val="1"/>
                <w:color w:val="FFFFFF"/>
              </w:rPr>
              <w:t>Common</w:t>
            </w:r>
          </w:p>
        </w:tc>
        <w:tc>
          <w:tcPr>
            <w:tcW w:w="1000" w:type="dxa"/>
            <w:vAlign w:val="bottom"/>
            <w:gridSpan w:val="3"/>
            <w:vMerge w:val="restart"/>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ExxonMobil</w:t>
            </w:r>
          </w:p>
        </w:tc>
        <w:tc>
          <w:tcPr>
            <w:tcW w:w="220" w:type="dxa"/>
            <w:vAlign w:val="bottom"/>
            <w:shd w:val="clear" w:color="auto" w:fill="0C479D"/>
          </w:tcPr>
          <w:p>
            <w:pPr>
              <w:spacing w:after="0"/>
              <w:rPr>
                <w:sz w:val="15"/>
                <w:szCs w:val="15"/>
                <w:color w:val="auto"/>
              </w:rPr>
            </w:pPr>
          </w:p>
        </w:tc>
        <w:tc>
          <w:tcPr>
            <w:tcW w:w="60" w:type="dxa"/>
            <w:vAlign w:val="bottom"/>
            <w:shd w:val="clear" w:color="auto" w:fill="0C479D"/>
          </w:tcPr>
          <w:p>
            <w:pPr>
              <w:spacing w:after="0"/>
              <w:rPr>
                <w:sz w:val="15"/>
                <w:szCs w:val="15"/>
                <w:color w:val="auto"/>
              </w:rPr>
            </w:pPr>
          </w:p>
        </w:tc>
        <w:tc>
          <w:tcPr>
            <w:tcW w:w="820" w:type="dxa"/>
            <w:vAlign w:val="bottom"/>
            <w:vMerge w:val="restart"/>
            <w:shd w:val="clear" w:color="auto" w:fill="0C479D"/>
          </w:tcPr>
          <w:p>
            <w:pPr>
              <w:jc w:val="center"/>
              <w:ind w:right="328"/>
              <w:spacing w:after="0"/>
              <w:rPr>
                <w:sz w:val="20"/>
                <w:szCs w:val="20"/>
                <w:color w:val="auto"/>
              </w:rPr>
            </w:pPr>
            <w:r>
              <w:rPr>
                <w:rFonts w:ascii="Times New Roman" w:cs="Times New Roman" w:eastAsia="Times New Roman" w:hAnsi="Times New Roman"/>
                <w:sz w:val="14"/>
                <w:szCs w:val="14"/>
                <w:b w:val="1"/>
                <w:bCs w:val="1"/>
                <w:color w:val="FFFFFF"/>
              </w:rPr>
              <w:t>Non-</w:t>
            </w:r>
          </w:p>
        </w:tc>
        <w:tc>
          <w:tcPr>
            <w:tcW w:w="860" w:type="dxa"/>
            <w:vAlign w:val="bottom"/>
            <w:vMerge w:val="restart"/>
            <w:shd w:val="clear" w:color="auto" w:fill="0C479D"/>
          </w:tcPr>
          <w:p>
            <w:pPr>
              <w:jc w:val="right"/>
              <w:ind w:right="268"/>
              <w:spacing w:after="0"/>
              <w:rPr>
                <w:sz w:val="20"/>
                <w:szCs w:val="20"/>
                <w:color w:val="auto"/>
              </w:rPr>
            </w:pPr>
            <w:r>
              <w:rPr>
                <w:rFonts w:ascii="Times New Roman" w:cs="Times New Roman" w:eastAsia="Times New Roman" w:hAnsi="Times New Roman"/>
                <w:sz w:val="14"/>
                <w:szCs w:val="14"/>
                <w:b w:val="1"/>
                <w:bCs w:val="1"/>
                <w:color w:val="FFFFFF"/>
              </w:rPr>
              <w:t>Total</w:t>
            </w:r>
          </w:p>
        </w:tc>
        <w:tc>
          <w:tcPr>
            <w:tcW w:w="0" w:type="dxa"/>
            <w:vAlign w:val="bottom"/>
          </w:tcPr>
          <w:p>
            <w:pPr>
              <w:spacing w:after="0"/>
              <w:rPr>
                <w:sz w:val="1"/>
                <w:szCs w:val="1"/>
                <w:color w:val="auto"/>
              </w:rPr>
            </w:pPr>
          </w:p>
        </w:tc>
      </w:tr>
      <w:tr>
        <w:trPr>
          <w:trHeight w:val="81"/>
        </w:trPr>
        <w:tc>
          <w:tcPr>
            <w:tcW w:w="2480" w:type="dxa"/>
            <w:vAlign w:val="bottom"/>
            <w:shd w:val="clear" w:color="auto" w:fill="0C479D"/>
          </w:tcPr>
          <w:p>
            <w:pPr>
              <w:spacing w:after="0"/>
              <w:rPr>
                <w:sz w:val="7"/>
                <w:szCs w:val="7"/>
                <w:color w:val="auto"/>
              </w:rPr>
            </w:pPr>
          </w:p>
        </w:tc>
        <w:tc>
          <w:tcPr>
            <w:tcW w:w="1200" w:type="dxa"/>
            <w:vAlign w:val="bottom"/>
            <w:vMerge w:val="continue"/>
            <w:shd w:val="clear" w:color="auto" w:fill="0C479D"/>
          </w:tcPr>
          <w:p>
            <w:pPr>
              <w:spacing w:after="0"/>
              <w:rPr>
                <w:sz w:val="7"/>
                <w:szCs w:val="7"/>
                <w:color w:val="auto"/>
              </w:rPr>
            </w:pPr>
          </w:p>
        </w:tc>
        <w:tc>
          <w:tcPr>
            <w:tcW w:w="960" w:type="dxa"/>
            <w:vAlign w:val="bottom"/>
            <w:vMerge w:val="continue"/>
            <w:shd w:val="clear" w:color="auto" w:fill="0C479D"/>
          </w:tcPr>
          <w:p>
            <w:pPr>
              <w:spacing w:after="0"/>
              <w:rPr>
                <w:sz w:val="7"/>
                <w:szCs w:val="7"/>
                <w:color w:val="auto"/>
              </w:rPr>
            </w:pPr>
          </w:p>
        </w:tc>
        <w:tc>
          <w:tcPr>
            <w:tcW w:w="1140" w:type="dxa"/>
            <w:vAlign w:val="bottom"/>
            <w:vMerge w:val="restart"/>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Other</w:t>
            </w:r>
          </w:p>
        </w:tc>
        <w:tc>
          <w:tcPr>
            <w:tcW w:w="960" w:type="dxa"/>
            <w:vAlign w:val="bottom"/>
            <w:vMerge w:val="continue"/>
            <w:shd w:val="clear" w:color="auto" w:fill="0C479D"/>
          </w:tcPr>
          <w:p>
            <w:pPr>
              <w:spacing w:after="0"/>
              <w:rPr>
                <w:sz w:val="7"/>
                <w:szCs w:val="7"/>
                <w:color w:val="auto"/>
              </w:rPr>
            </w:pPr>
          </w:p>
        </w:tc>
        <w:tc>
          <w:tcPr>
            <w:tcW w:w="1000" w:type="dxa"/>
            <w:vAlign w:val="bottom"/>
            <w:gridSpan w:val="3"/>
            <w:vMerge w:val="continue"/>
            <w:shd w:val="clear" w:color="auto" w:fill="0C479D"/>
          </w:tcPr>
          <w:p>
            <w:pPr>
              <w:spacing w:after="0"/>
              <w:rPr>
                <w:sz w:val="7"/>
                <w:szCs w:val="7"/>
                <w:color w:val="auto"/>
              </w:rPr>
            </w:pPr>
          </w:p>
        </w:tc>
        <w:tc>
          <w:tcPr>
            <w:tcW w:w="220" w:type="dxa"/>
            <w:vAlign w:val="bottom"/>
            <w:shd w:val="clear" w:color="auto" w:fill="0C479D"/>
          </w:tcPr>
          <w:p>
            <w:pPr>
              <w:spacing w:after="0"/>
              <w:rPr>
                <w:sz w:val="7"/>
                <w:szCs w:val="7"/>
                <w:color w:val="auto"/>
              </w:rPr>
            </w:pPr>
          </w:p>
        </w:tc>
        <w:tc>
          <w:tcPr>
            <w:tcW w:w="60" w:type="dxa"/>
            <w:vAlign w:val="bottom"/>
            <w:shd w:val="clear" w:color="auto" w:fill="0C479D"/>
          </w:tcPr>
          <w:p>
            <w:pPr>
              <w:spacing w:after="0"/>
              <w:rPr>
                <w:sz w:val="7"/>
                <w:szCs w:val="7"/>
                <w:color w:val="auto"/>
              </w:rPr>
            </w:pPr>
          </w:p>
        </w:tc>
        <w:tc>
          <w:tcPr>
            <w:tcW w:w="820" w:type="dxa"/>
            <w:vAlign w:val="bottom"/>
            <w:vMerge w:val="continue"/>
            <w:shd w:val="clear" w:color="auto" w:fill="0C479D"/>
          </w:tcPr>
          <w:p>
            <w:pPr>
              <w:spacing w:after="0"/>
              <w:rPr>
                <w:sz w:val="7"/>
                <w:szCs w:val="7"/>
                <w:color w:val="auto"/>
              </w:rPr>
            </w:pPr>
          </w:p>
        </w:tc>
        <w:tc>
          <w:tcPr>
            <w:tcW w:w="860" w:type="dxa"/>
            <w:vAlign w:val="bottom"/>
            <w:vMerge w:val="continue"/>
            <w:shd w:val="clear" w:color="auto" w:fill="0C479D"/>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480" w:type="dxa"/>
            <w:vAlign w:val="bottom"/>
            <w:vMerge w:val="restart"/>
            <w:shd w:val="clear" w:color="auto" w:fill="0C479D"/>
          </w:tcPr>
          <w:p>
            <w:pPr>
              <w:ind w:left="40"/>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1200" w:type="dxa"/>
            <w:vAlign w:val="bottom"/>
            <w:vMerge w:val="continue"/>
            <w:shd w:val="clear" w:color="auto" w:fill="0C479D"/>
          </w:tcPr>
          <w:p>
            <w:pPr>
              <w:spacing w:after="0"/>
              <w:rPr>
                <w:sz w:val="7"/>
                <w:szCs w:val="7"/>
                <w:color w:val="auto"/>
              </w:rPr>
            </w:pPr>
          </w:p>
        </w:tc>
        <w:tc>
          <w:tcPr>
            <w:tcW w:w="960" w:type="dxa"/>
            <w:vAlign w:val="bottom"/>
            <w:vMerge w:val="continue"/>
            <w:shd w:val="clear" w:color="auto" w:fill="0C479D"/>
          </w:tcPr>
          <w:p>
            <w:pPr>
              <w:spacing w:after="0"/>
              <w:rPr>
                <w:sz w:val="7"/>
                <w:szCs w:val="7"/>
                <w:color w:val="auto"/>
              </w:rPr>
            </w:pPr>
          </w:p>
        </w:tc>
        <w:tc>
          <w:tcPr>
            <w:tcW w:w="1140" w:type="dxa"/>
            <w:vAlign w:val="bottom"/>
            <w:vMerge w:val="continue"/>
            <w:shd w:val="clear" w:color="auto" w:fill="0C479D"/>
          </w:tcPr>
          <w:p>
            <w:pPr>
              <w:spacing w:after="0"/>
              <w:rPr>
                <w:sz w:val="7"/>
                <w:szCs w:val="7"/>
                <w:color w:val="auto"/>
              </w:rPr>
            </w:pPr>
          </w:p>
        </w:tc>
        <w:tc>
          <w:tcPr>
            <w:tcW w:w="960" w:type="dxa"/>
            <w:vAlign w:val="bottom"/>
            <w:vMerge w:val="restart"/>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Stock Held in</w:t>
            </w:r>
          </w:p>
        </w:tc>
        <w:tc>
          <w:tcPr>
            <w:tcW w:w="1000" w:type="dxa"/>
            <w:vAlign w:val="bottom"/>
            <w:gridSpan w:val="3"/>
            <w:vMerge w:val="restart"/>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w w:val="99"/>
              </w:rPr>
              <w:t>Share of</w:t>
            </w:r>
          </w:p>
        </w:tc>
        <w:tc>
          <w:tcPr>
            <w:tcW w:w="1100" w:type="dxa"/>
            <w:vAlign w:val="bottom"/>
            <w:gridSpan w:val="3"/>
            <w:vMerge w:val="restart"/>
            <w:shd w:val="clear" w:color="auto" w:fill="0C479D"/>
          </w:tcPr>
          <w:p>
            <w:pPr>
              <w:jc w:val="center"/>
              <w:ind w:right="48"/>
              <w:spacing w:after="0"/>
              <w:rPr>
                <w:sz w:val="20"/>
                <w:szCs w:val="20"/>
                <w:color w:val="auto"/>
              </w:rPr>
            </w:pPr>
            <w:r>
              <w:rPr>
                <w:rFonts w:ascii="Times New Roman" w:cs="Times New Roman" w:eastAsia="Times New Roman" w:hAnsi="Times New Roman"/>
                <w:sz w:val="14"/>
                <w:szCs w:val="14"/>
                <w:b w:val="1"/>
                <w:bCs w:val="1"/>
                <w:color w:val="FFFFFF"/>
              </w:rPr>
              <w:t>controlling</w:t>
            </w:r>
          </w:p>
        </w:tc>
        <w:tc>
          <w:tcPr>
            <w:tcW w:w="860" w:type="dxa"/>
            <w:vAlign w:val="bottom"/>
            <w:vMerge w:val="continue"/>
            <w:shd w:val="clear" w:color="auto" w:fill="0C479D"/>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480" w:type="dxa"/>
            <w:vAlign w:val="bottom"/>
            <w:vMerge w:val="continue"/>
            <w:shd w:val="clear" w:color="auto" w:fill="0C479D"/>
          </w:tcPr>
          <w:p>
            <w:pPr>
              <w:spacing w:after="0"/>
              <w:rPr>
                <w:sz w:val="7"/>
                <w:szCs w:val="7"/>
                <w:color w:val="auto"/>
              </w:rPr>
            </w:pPr>
          </w:p>
        </w:tc>
        <w:tc>
          <w:tcPr>
            <w:tcW w:w="1200" w:type="dxa"/>
            <w:vAlign w:val="bottom"/>
            <w:vMerge w:val="restart"/>
            <w:shd w:val="clear" w:color="auto" w:fill="0C479D"/>
          </w:tcPr>
          <w:p>
            <w:pPr>
              <w:jc w:val="right"/>
              <w:ind w:right="308"/>
              <w:spacing w:after="0"/>
              <w:rPr>
                <w:sz w:val="20"/>
                <w:szCs w:val="20"/>
                <w:color w:val="auto"/>
              </w:rPr>
            </w:pPr>
            <w:r>
              <w:rPr>
                <w:rFonts w:ascii="Times New Roman" w:cs="Times New Roman" w:eastAsia="Times New Roman" w:hAnsi="Times New Roman"/>
                <w:sz w:val="14"/>
                <w:szCs w:val="14"/>
                <w:b w:val="1"/>
                <w:bCs w:val="1"/>
                <w:color w:val="FFFFFF"/>
              </w:rPr>
              <w:t>Stock</w:t>
            </w:r>
          </w:p>
        </w:tc>
        <w:tc>
          <w:tcPr>
            <w:tcW w:w="960" w:type="dxa"/>
            <w:vAlign w:val="bottom"/>
            <w:vMerge w:val="restart"/>
            <w:shd w:val="clear" w:color="auto" w:fill="0C479D"/>
          </w:tcPr>
          <w:p>
            <w:pPr>
              <w:jc w:val="right"/>
              <w:ind w:right="108"/>
              <w:spacing w:after="0"/>
              <w:rPr>
                <w:sz w:val="20"/>
                <w:szCs w:val="20"/>
                <w:color w:val="auto"/>
              </w:rPr>
            </w:pPr>
            <w:r>
              <w:rPr>
                <w:rFonts w:ascii="Times New Roman" w:cs="Times New Roman" w:eastAsia="Times New Roman" w:hAnsi="Times New Roman"/>
                <w:sz w:val="14"/>
                <w:szCs w:val="14"/>
                <w:b w:val="1"/>
                <w:bCs w:val="1"/>
                <w:color w:val="FFFFFF"/>
              </w:rPr>
              <w:t>Reinvested</w:t>
            </w:r>
          </w:p>
        </w:tc>
        <w:tc>
          <w:tcPr>
            <w:tcW w:w="1140" w:type="dxa"/>
            <w:vAlign w:val="bottom"/>
            <w:vMerge w:val="restart"/>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Comprehensive</w:t>
            </w:r>
          </w:p>
        </w:tc>
        <w:tc>
          <w:tcPr>
            <w:tcW w:w="960" w:type="dxa"/>
            <w:vAlign w:val="bottom"/>
            <w:vMerge w:val="continue"/>
            <w:shd w:val="clear" w:color="auto" w:fill="0C479D"/>
          </w:tcPr>
          <w:p>
            <w:pPr>
              <w:spacing w:after="0"/>
              <w:rPr>
                <w:sz w:val="7"/>
                <w:szCs w:val="7"/>
                <w:color w:val="auto"/>
              </w:rPr>
            </w:pPr>
          </w:p>
        </w:tc>
        <w:tc>
          <w:tcPr>
            <w:tcW w:w="1000" w:type="dxa"/>
            <w:vAlign w:val="bottom"/>
            <w:gridSpan w:val="3"/>
            <w:vMerge w:val="continue"/>
            <w:shd w:val="clear" w:color="auto" w:fill="0C479D"/>
          </w:tcPr>
          <w:p>
            <w:pPr>
              <w:spacing w:after="0"/>
              <w:rPr>
                <w:sz w:val="7"/>
                <w:szCs w:val="7"/>
                <w:color w:val="auto"/>
              </w:rPr>
            </w:pPr>
          </w:p>
        </w:tc>
        <w:tc>
          <w:tcPr>
            <w:tcW w:w="1100" w:type="dxa"/>
            <w:vAlign w:val="bottom"/>
            <w:gridSpan w:val="3"/>
            <w:vMerge w:val="continue"/>
            <w:shd w:val="clear" w:color="auto" w:fill="0C479D"/>
          </w:tcPr>
          <w:p>
            <w:pPr>
              <w:spacing w:after="0"/>
              <w:rPr>
                <w:sz w:val="7"/>
                <w:szCs w:val="7"/>
                <w:color w:val="auto"/>
              </w:rPr>
            </w:pPr>
          </w:p>
        </w:tc>
        <w:tc>
          <w:tcPr>
            <w:tcW w:w="860" w:type="dxa"/>
            <w:vAlign w:val="bottom"/>
            <w:vMerge w:val="restart"/>
            <w:shd w:val="clear" w:color="auto" w:fill="0C479D"/>
          </w:tcPr>
          <w:p>
            <w:pPr>
              <w:jc w:val="right"/>
              <w:ind w:right="208"/>
              <w:spacing w:after="0"/>
              <w:rPr>
                <w:sz w:val="20"/>
                <w:szCs w:val="20"/>
                <w:color w:val="auto"/>
              </w:rPr>
            </w:pPr>
            <w:r>
              <w:rPr>
                <w:rFonts w:ascii="Times New Roman" w:cs="Times New Roman" w:eastAsia="Times New Roman" w:hAnsi="Times New Roman"/>
                <w:sz w:val="14"/>
                <w:szCs w:val="14"/>
                <w:b w:val="1"/>
                <w:bCs w:val="1"/>
                <w:color w:val="FFFFFF"/>
              </w:rPr>
              <w:t>Equity</w:t>
            </w:r>
          </w:p>
        </w:tc>
        <w:tc>
          <w:tcPr>
            <w:tcW w:w="0" w:type="dxa"/>
            <w:vAlign w:val="bottom"/>
          </w:tcPr>
          <w:p>
            <w:pPr>
              <w:spacing w:after="0"/>
              <w:rPr>
                <w:sz w:val="1"/>
                <w:szCs w:val="1"/>
                <w:color w:val="auto"/>
              </w:rPr>
            </w:pPr>
          </w:p>
        </w:tc>
      </w:tr>
      <w:tr>
        <w:trPr>
          <w:trHeight w:val="94"/>
        </w:trPr>
        <w:tc>
          <w:tcPr>
            <w:tcW w:w="2480" w:type="dxa"/>
            <w:vAlign w:val="bottom"/>
            <w:shd w:val="clear" w:color="auto" w:fill="0C479D"/>
          </w:tcPr>
          <w:p>
            <w:pPr>
              <w:spacing w:after="0"/>
              <w:rPr>
                <w:sz w:val="8"/>
                <w:szCs w:val="8"/>
                <w:color w:val="auto"/>
              </w:rPr>
            </w:pPr>
          </w:p>
        </w:tc>
        <w:tc>
          <w:tcPr>
            <w:tcW w:w="1200" w:type="dxa"/>
            <w:vAlign w:val="bottom"/>
            <w:vMerge w:val="continue"/>
            <w:shd w:val="clear" w:color="auto" w:fill="0C479D"/>
          </w:tcPr>
          <w:p>
            <w:pPr>
              <w:spacing w:after="0"/>
              <w:rPr>
                <w:sz w:val="8"/>
                <w:szCs w:val="8"/>
                <w:color w:val="auto"/>
              </w:rPr>
            </w:pPr>
          </w:p>
        </w:tc>
        <w:tc>
          <w:tcPr>
            <w:tcW w:w="960" w:type="dxa"/>
            <w:vAlign w:val="bottom"/>
            <w:vMerge w:val="continue"/>
            <w:shd w:val="clear" w:color="auto" w:fill="0C479D"/>
          </w:tcPr>
          <w:p>
            <w:pPr>
              <w:spacing w:after="0"/>
              <w:rPr>
                <w:sz w:val="8"/>
                <w:szCs w:val="8"/>
                <w:color w:val="auto"/>
              </w:rPr>
            </w:pPr>
          </w:p>
        </w:tc>
        <w:tc>
          <w:tcPr>
            <w:tcW w:w="1140" w:type="dxa"/>
            <w:vAlign w:val="bottom"/>
            <w:vMerge w:val="continue"/>
            <w:shd w:val="clear" w:color="auto" w:fill="0C479D"/>
          </w:tcPr>
          <w:p>
            <w:pPr>
              <w:spacing w:after="0"/>
              <w:rPr>
                <w:sz w:val="8"/>
                <w:szCs w:val="8"/>
                <w:color w:val="auto"/>
              </w:rPr>
            </w:pPr>
          </w:p>
        </w:tc>
        <w:tc>
          <w:tcPr>
            <w:tcW w:w="960" w:type="dxa"/>
            <w:vAlign w:val="bottom"/>
            <w:vMerge w:val="restart"/>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Treasury</w:t>
            </w:r>
          </w:p>
        </w:tc>
        <w:tc>
          <w:tcPr>
            <w:tcW w:w="260" w:type="dxa"/>
            <w:vAlign w:val="bottom"/>
            <w:shd w:val="clear" w:color="auto" w:fill="0C479D"/>
          </w:tcPr>
          <w:p>
            <w:pPr>
              <w:spacing w:after="0"/>
              <w:rPr>
                <w:sz w:val="8"/>
                <w:szCs w:val="8"/>
                <w:color w:val="auto"/>
              </w:rPr>
            </w:pPr>
          </w:p>
        </w:tc>
        <w:tc>
          <w:tcPr>
            <w:tcW w:w="740" w:type="dxa"/>
            <w:vAlign w:val="bottom"/>
            <w:gridSpan w:val="2"/>
            <w:vMerge w:val="restart"/>
            <w:shd w:val="clear" w:color="auto" w:fill="0C479D"/>
          </w:tcPr>
          <w:p>
            <w:pPr>
              <w:jc w:val="center"/>
              <w:ind w:right="208"/>
              <w:spacing w:after="0"/>
              <w:rPr>
                <w:sz w:val="20"/>
                <w:szCs w:val="20"/>
                <w:color w:val="auto"/>
              </w:rPr>
            </w:pPr>
            <w:r>
              <w:rPr>
                <w:rFonts w:ascii="Times New Roman" w:cs="Times New Roman" w:eastAsia="Times New Roman" w:hAnsi="Times New Roman"/>
                <w:sz w:val="14"/>
                <w:szCs w:val="14"/>
                <w:b w:val="1"/>
                <w:bCs w:val="1"/>
                <w:color w:val="FFFFFF"/>
              </w:rPr>
              <w:t>Equity</w:t>
            </w:r>
          </w:p>
        </w:tc>
        <w:tc>
          <w:tcPr>
            <w:tcW w:w="220" w:type="dxa"/>
            <w:vAlign w:val="bottom"/>
            <w:shd w:val="clear" w:color="auto" w:fill="0C479D"/>
          </w:tcPr>
          <w:p>
            <w:pPr>
              <w:spacing w:after="0"/>
              <w:rPr>
                <w:sz w:val="8"/>
                <w:szCs w:val="8"/>
                <w:color w:val="auto"/>
              </w:rPr>
            </w:pPr>
          </w:p>
        </w:tc>
        <w:tc>
          <w:tcPr>
            <w:tcW w:w="880" w:type="dxa"/>
            <w:vAlign w:val="bottom"/>
            <w:gridSpan w:val="2"/>
            <w:vMerge w:val="restart"/>
            <w:shd w:val="clear" w:color="auto" w:fill="0C479D"/>
          </w:tcPr>
          <w:p>
            <w:pPr>
              <w:jc w:val="center"/>
              <w:ind w:right="268"/>
              <w:spacing w:after="0"/>
              <w:rPr>
                <w:sz w:val="20"/>
                <w:szCs w:val="20"/>
                <w:color w:val="auto"/>
              </w:rPr>
            </w:pPr>
            <w:r>
              <w:rPr>
                <w:rFonts w:ascii="Times New Roman" w:cs="Times New Roman" w:eastAsia="Times New Roman" w:hAnsi="Times New Roman"/>
                <w:sz w:val="14"/>
                <w:szCs w:val="14"/>
                <w:b w:val="1"/>
                <w:bCs w:val="1"/>
                <w:color w:val="FFFFFF"/>
              </w:rPr>
              <w:t>Interests</w:t>
            </w:r>
          </w:p>
        </w:tc>
        <w:tc>
          <w:tcPr>
            <w:tcW w:w="860" w:type="dxa"/>
            <w:vAlign w:val="bottom"/>
            <w:vMerge w:val="continue"/>
            <w:shd w:val="clear" w:color="auto" w:fill="0C479D"/>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480" w:type="dxa"/>
            <w:vAlign w:val="bottom"/>
            <w:shd w:val="clear" w:color="auto" w:fill="0C479D"/>
          </w:tcPr>
          <w:p>
            <w:pPr>
              <w:spacing w:after="0"/>
              <w:rPr>
                <w:sz w:val="8"/>
                <w:szCs w:val="8"/>
                <w:color w:val="auto"/>
              </w:rPr>
            </w:pPr>
          </w:p>
        </w:tc>
        <w:tc>
          <w:tcPr>
            <w:tcW w:w="1200" w:type="dxa"/>
            <w:vAlign w:val="bottom"/>
            <w:shd w:val="clear" w:color="auto" w:fill="0C479D"/>
          </w:tcPr>
          <w:p>
            <w:pPr>
              <w:spacing w:after="0"/>
              <w:rPr>
                <w:sz w:val="8"/>
                <w:szCs w:val="8"/>
                <w:color w:val="auto"/>
              </w:rPr>
            </w:pPr>
          </w:p>
        </w:tc>
        <w:tc>
          <w:tcPr>
            <w:tcW w:w="960" w:type="dxa"/>
            <w:vAlign w:val="bottom"/>
            <w:shd w:val="clear" w:color="auto" w:fill="0C479D"/>
          </w:tcPr>
          <w:p>
            <w:pPr>
              <w:spacing w:after="0"/>
              <w:rPr>
                <w:sz w:val="8"/>
                <w:szCs w:val="8"/>
                <w:color w:val="auto"/>
              </w:rPr>
            </w:pPr>
          </w:p>
        </w:tc>
        <w:tc>
          <w:tcPr>
            <w:tcW w:w="1140" w:type="dxa"/>
            <w:vAlign w:val="bottom"/>
            <w:vMerge w:val="restart"/>
            <w:shd w:val="clear" w:color="auto" w:fill="0C479D"/>
          </w:tcPr>
          <w:p>
            <w:pPr>
              <w:jc w:val="center"/>
              <w:ind w:right="8"/>
              <w:spacing w:after="0"/>
              <w:rPr>
                <w:sz w:val="20"/>
                <w:szCs w:val="20"/>
                <w:color w:val="auto"/>
              </w:rPr>
            </w:pPr>
            <w:r>
              <w:rPr>
                <w:rFonts w:ascii="Times New Roman" w:cs="Times New Roman" w:eastAsia="Times New Roman" w:hAnsi="Times New Roman"/>
                <w:sz w:val="14"/>
                <w:szCs w:val="14"/>
                <w:b w:val="1"/>
                <w:bCs w:val="1"/>
                <w:color w:val="FFFFFF"/>
              </w:rPr>
              <w:t>Income</w:t>
            </w:r>
          </w:p>
        </w:tc>
        <w:tc>
          <w:tcPr>
            <w:tcW w:w="960" w:type="dxa"/>
            <w:vAlign w:val="bottom"/>
            <w:vMerge w:val="continue"/>
            <w:shd w:val="clear" w:color="auto" w:fill="0C479D"/>
          </w:tcPr>
          <w:p>
            <w:pPr>
              <w:spacing w:after="0"/>
              <w:rPr>
                <w:sz w:val="8"/>
                <w:szCs w:val="8"/>
                <w:color w:val="auto"/>
              </w:rPr>
            </w:pPr>
          </w:p>
        </w:tc>
        <w:tc>
          <w:tcPr>
            <w:tcW w:w="260" w:type="dxa"/>
            <w:vAlign w:val="bottom"/>
            <w:shd w:val="clear" w:color="auto" w:fill="0C479D"/>
          </w:tcPr>
          <w:p>
            <w:pPr>
              <w:spacing w:after="0"/>
              <w:rPr>
                <w:sz w:val="8"/>
                <w:szCs w:val="8"/>
                <w:color w:val="auto"/>
              </w:rPr>
            </w:pPr>
          </w:p>
        </w:tc>
        <w:tc>
          <w:tcPr>
            <w:tcW w:w="740" w:type="dxa"/>
            <w:vAlign w:val="bottom"/>
            <w:gridSpan w:val="2"/>
            <w:vMerge w:val="continue"/>
            <w:shd w:val="clear" w:color="auto" w:fill="0C479D"/>
          </w:tcPr>
          <w:p>
            <w:pPr>
              <w:spacing w:after="0"/>
              <w:rPr>
                <w:sz w:val="8"/>
                <w:szCs w:val="8"/>
                <w:color w:val="auto"/>
              </w:rPr>
            </w:pPr>
          </w:p>
        </w:tc>
        <w:tc>
          <w:tcPr>
            <w:tcW w:w="220" w:type="dxa"/>
            <w:vAlign w:val="bottom"/>
            <w:shd w:val="clear" w:color="auto" w:fill="0C479D"/>
          </w:tcPr>
          <w:p>
            <w:pPr>
              <w:spacing w:after="0"/>
              <w:rPr>
                <w:sz w:val="8"/>
                <w:szCs w:val="8"/>
                <w:color w:val="auto"/>
              </w:rPr>
            </w:pPr>
          </w:p>
        </w:tc>
        <w:tc>
          <w:tcPr>
            <w:tcW w:w="880" w:type="dxa"/>
            <w:vAlign w:val="bottom"/>
            <w:gridSpan w:val="2"/>
            <w:vMerge w:val="continue"/>
            <w:shd w:val="clear" w:color="auto" w:fill="0C479D"/>
          </w:tcPr>
          <w:p>
            <w:pPr>
              <w:spacing w:after="0"/>
              <w:rPr>
                <w:sz w:val="8"/>
                <w:szCs w:val="8"/>
                <w:color w:val="auto"/>
              </w:rPr>
            </w:pPr>
          </w:p>
        </w:tc>
        <w:tc>
          <w:tcPr>
            <w:tcW w:w="860" w:type="dxa"/>
            <w:vAlign w:val="bottom"/>
            <w:shd w:val="clear" w:color="auto" w:fill="0C479D"/>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2480" w:type="dxa"/>
            <w:vAlign w:val="bottom"/>
            <w:tcBorders>
              <w:bottom w:val="single" w:sz="8" w:color="0C479D"/>
            </w:tcBorders>
            <w:shd w:val="clear" w:color="auto" w:fill="0C479D"/>
          </w:tcPr>
          <w:p>
            <w:pPr>
              <w:spacing w:after="0"/>
              <w:rPr>
                <w:sz w:val="9"/>
                <w:szCs w:val="9"/>
                <w:color w:val="auto"/>
              </w:rPr>
            </w:pPr>
          </w:p>
        </w:tc>
        <w:tc>
          <w:tcPr>
            <w:tcW w:w="1200" w:type="dxa"/>
            <w:vAlign w:val="bottom"/>
            <w:tcBorders>
              <w:bottom w:val="single" w:sz="8" w:color="0C479D"/>
            </w:tcBorders>
            <w:shd w:val="clear" w:color="auto" w:fill="0C479D"/>
          </w:tcPr>
          <w:p>
            <w:pPr>
              <w:spacing w:after="0"/>
              <w:rPr>
                <w:sz w:val="9"/>
                <w:szCs w:val="9"/>
                <w:color w:val="auto"/>
              </w:rPr>
            </w:pPr>
          </w:p>
        </w:tc>
        <w:tc>
          <w:tcPr>
            <w:tcW w:w="960" w:type="dxa"/>
            <w:vAlign w:val="bottom"/>
            <w:tcBorders>
              <w:bottom w:val="single" w:sz="8" w:color="0C479D"/>
            </w:tcBorders>
            <w:shd w:val="clear" w:color="auto" w:fill="0C479D"/>
          </w:tcPr>
          <w:p>
            <w:pPr>
              <w:spacing w:after="0"/>
              <w:rPr>
                <w:sz w:val="9"/>
                <w:szCs w:val="9"/>
                <w:color w:val="auto"/>
              </w:rPr>
            </w:pPr>
          </w:p>
        </w:tc>
        <w:tc>
          <w:tcPr>
            <w:tcW w:w="1140" w:type="dxa"/>
            <w:vAlign w:val="bottom"/>
            <w:tcBorders>
              <w:bottom w:val="single" w:sz="8" w:color="0C479D"/>
            </w:tcBorders>
            <w:vMerge w:val="continue"/>
            <w:shd w:val="clear" w:color="auto" w:fill="0C479D"/>
          </w:tcPr>
          <w:p>
            <w:pPr>
              <w:spacing w:after="0"/>
              <w:rPr>
                <w:sz w:val="9"/>
                <w:szCs w:val="9"/>
                <w:color w:val="auto"/>
              </w:rPr>
            </w:pPr>
          </w:p>
        </w:tc>
        <w:tc>
          <w:tcPr>
            <w:tcW w:w="960" w:type="dxa"/>
            <w:vAlign w:val="bottom"/>
            <w:tcBorders>
              <w:bottom w:val="single" w:sz="8" w:color="0C479D"/>
            </w:tcBorders>
            <w:shd w:val="clear" w:color="auto" w:fill="0C479D"/>
          </w:tcPr>
          <w:p>
            <w:pPr>
              <w:spacing w:after="0"/>
              <w:rPr>
                <w:sz w:val="9"/>
                <w:szCs w:val="9"/>
                <w:color w:val="auto"/>
              </w:rPr>
            </w:pPr>
          </w:p>
        </w:tc>
        <w:tc>
          <w:tcPr>
            <w:tcW w:w="260" w:type="dxa"/>
            <w:vAlign w:val="bottom"/>
            <w:tcBorders>
              <w:bottom w:val="single" w:sz="8" w:color="0C479D"/>
            </w:tcBorders>
            <w:shd w:val="clear" w:color="auto" w:fill="0C479D"/>
          </w:tcPr>
          <w:p>
            <w:pPr>
              <w:spacing w:after="0"/>
              <w:rPr>
                <w:sz w:val="9"/>
                <w:szCs w:val="9"/>
                <w:color w:val="auto"/>
              </w:rPr>
            </w:pPr>
          </w:p>
        </w:tc>
        <w:tc>
          <w:tcPr>
            <w:tcW w:w="80" w:type="dxa"/>
            <w:vAlign w:val="bottom"/>
            <w:tcBorders>
              <w:bottom w:val="single" w:sz="8" w:color="0C479D"/>
            </w:tcBorders>
            <w:shd w:val="clear" w:color="auto" w:fill="0C479D"/>
          </w:tcPr>
          <w:p>
            <w:pPr>
              <w:spacing w:after="0"/>
              <w:rPr>
                <w:sz w:val="9"/>
                <w:szCs w:val="9"/>
                <w:color w:val="auto"/>
              </w:rPr>
            </w:pPr>
          </w:p>
        </w:tc>
        <w:tc>
          <w:tcPr>
            <w:tcW w:w="660" w:type="dxa"/>
            <w:vAlign w:val="bottom"/>
            <w:tcBorders>
              <w:bottom w:val="single" w:sz="8" w:color="0C479D"/>
            </w:tcBorders>
            <w:shd w:val="clear" w:color="auto" w:fill="0C479D"/>
          </w:tcPr>
          <w:p>
            <w:pPr>
              <w:spacing w:after="0"/>
              <w:rPr>
                <w:sz w:val="9"/>
                <w:szCs w:val="9"/>
                <w:color w:val="auto"/>
              </w:rPr>
            </w:pPr>
          </w:p>
        </w:tc>
        <w:tc>
          <w:tcPr>
            <w:tcW w:w="220" w:type="dxa"/>
            <w:vAlign w:val="bottom"/>
            <w:tcBorders>
              <w:bottom w:val="single" w:sz="8" w:color="0C479D"/>
            </w:tcBorders>
            <w:shd w:val="clear" w:color="auto" w:fill="0C479D"/>
          </w:tcPr>
          <w:p>
            <w:pPr>
              <w:spacing w:after="0"/>
              <w:rPr>
                <w:sz w:val="9"/>
                <w:szCs w:val="9"/>
                <w:color w:val="auto"/>
              </w:rPr>
            </w:pPr>
          </w:p>
        </w:tc>
        <w:tc>
          <w:tcPr>
            <w:tcW w:w="60" w:type="dxa"/>
            <w:vAlign w:val="bottom"/>
            <w:tcBorders>
              <w:bottom w:val="single" w:sz="8" w:color="0C479D"/>
            </w:tcBorders>
            <w:shd w:val="clear" w:color="auto" w:fill="0C479D"/>
          </w:tcPr>
          <w:p>
            <w:pPr>
              <w:spacing w:after="0"/>
              <w:rPr>
                <w:sz w:val="9"/>
                <w:szCs w:val="9"/>
                <w:color w:val="auto"/>
              </w:rPr>
            </w:pPr>
          </w:p>
        </w:tc>
        <w:tc>
          <w:tcPr>
            <w:tcW w:w="820" w:type="dxa"/>
            <w:vAlign w:val="bottom"/>
            <w:tcBorders>
              <w:bottom w:val="single" w:sz="8" w:color="0C479D"/>
            </w:tcBorders>
            <w:shd w:val="clear" w:color="auto" w:fill="0C479D"/>
          </w:tcPr>
          <w:p>
            <w:pPr>
              <w:spacing w:after="0"/>
              <w:rPr>
                <w:sz w:val="9"/>
                <w:szCs w:val="9"/>
                <w:color w:val="auto"/>
              </w:rPr>
            </w:pPr>
          </w:p>
        </w:tc>
        <w:tc>
          <w:tcPr>
            <w:tcW w:w="860" w:type="dxa"/>
            <w:vAlign w:val="bottom"/>
            <w:tcBorders>
              <w:bottom w:val="single" w:sz="8" w:color="0C479D"/>
            </w:tcBorders>
            <w:shd w:val="clear" w:color="auto" w:fill="0C479D"/>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480" w:type="dxa"/>
            <w:vAlign w:val="bottom"/>
            <w:tcBorders>
              <w:bottom w:val="single" w:sz="8" w:color="0C479D"/>
            </w:tcBorders>
          </w:tcPr>
          <w:p>
            <w:pPr>
              <w:spacing w:after="0"/>
              <w:rPr>
                <w:sz w:val="17"/>
                <w:szCs w:val="17"/>
                <w:color w:val="auto"/>
              </w:rPr>
            </w:pPr>
          </w:p>
        </w:tc>
        <w:tc>
          <w:tcPr>
            <w:tcW w:w="1200" w:type="dxa"/>
            <w:vAlign w:val="bottom"/>
            <w:tcBorders>
              <w:bottom w:val="single" w:sz="8" w:color="0C479D"/>
            </w:tcBorders>
          </w:tcPr>
          <w:p>
            <w:pPr>
              <w:spacing w:after="0"/>
              <w:rPr>
                <w:sz w:val="17"/>
                <w:szCs w:val="17"/>
                <w:color w:val="auto"/>
              </w:rPr>
            </w:pPr>
          </w:p>
        </w:tc>
        <w:tc>
          <w:tcPr>
            <w:tcW w:w="960" w:type="dxa"/>
            <w:vAlign w:val="bottom"/>
            <w:tcBorders>
              <w:bottom w:val="single" w:sz="8" w:color="0C479D"/>
            </w:tcBorders>
          </w:tcPr>
          <w:p>
            <w:pPr>
              <w:spacing w:after="0"/>
              <w:rPr>
                <w:sz w:val="17"/>
                <w:szCs w:val="17"/>
                <w:color w:val="auto"/>
              </w:rPr>
            </w:pPr>
          </w:p>
        </w:tc>
        <w:tc>
          <w:tcPr>
            <w:tcW w:w="1140" w:type="dxa"/>
            <w:vAlign w:val="bottom"/>
            <w:tcBorders>
              <w:bottom w:val="single" w:sz="8" w:color="0C479D"/>
            </w:tcBorders>
          </w:tcPr>
          <w:p>
            <w:pPr>
              <w:spacing w:after="0"/>
              <w:rPr>
                <w:sz w:val="17"/>
                <w:szCs w:val="17"/>
                <w:color w:val="auto"/>
              </w:rPr>
            </w:pPr>
          </w:p>
        </w:tc>
        <w:tc>
          <w:tcPr>
            <w:tcW w:w="960" w:type="dxa"/>
            <w:vAlign w:val="bottom"/>
            <w:tcBorders>
              <w:bottom w:val="single" w:sz="8" w:color="0C479D"/>
            </w:tcBorders>
          </w:tcPr>
          <w:p>
            <w:pPr>
              <w:spacing w:after="0"/>
              <w:rPr>
                <w:sz w:val="17"/>
                <w:szCs w:val="17"/>
                <w:color w:val="auto"/>
              </w:rPr>
            </w:pPr>
          </w:p>
        </w:tc>
        <w:tc>
          <w:tcPr>
            <w:tcW w:w="260" w:type="dxa"/>
            <w:vAlign w:val="bottom"/>
            <w:tcBorders>
              <w:bottom w:val="single" w:sz="8" w:color="0C479D"/>
            </w:tcBorders>
            <w:shd w:val="clear" w:color="auto" w:fill="F0F0F0"/>
          </w:tcPr>
          <w:p>
            <w:pPr>
              <w:spacing w:after="0"/>
              <w:rPr>
                <w:sz w:val="17"/>
                <w:szCs w:val="17"/>
                <w:color w:val="auto"/>
              </w:rPr>
            </w:pPr>
          </w:p>
        </w:tc>
        <w:tc>
          <w:tcPr>
            <w:tcW w:w="80" w:type="dxa"/>
            <w:vAlign w:val="bottom"/>
            <w:tcBorders>
              <w:bottom w:val="single" w:sz="8" w:color="0C479D"/>
            </w:tcBorders>
            <w:shd w:val="clear" w:color="auto" w:fill="F0F0F0"/>
          </w:tcPr>
          <w:p>
            <w:pPr>
              <w:spacing w:after="0"/>
              <w:rPr>
                <w:sz w:val="17"/>
                <w:szCs w:val="17"/>
                <w:color w:val="auto"/>
              </w:rPr>
            </w:pPr>
          </w:p>
        </w:tc>
        <w:tc>
          <w:tcPr>
            <w:tcW w:w="660" w:type="dxa"/>
            <w:vAlign w:val="bottom"/>
            <w:tcBorders>
              <w:bottom w:val="single" w:sz="8" w:color="0C479D"/>
            </w:tcBorders>
            <w:shd w:val="clear" w:color="auto" w:fill="F0F0F0"/>
          </w:tcPr>
          <w:p>
            <w:pPr>
              <w:spacing w:after="0"/>
              <w:rPr>
                <w:sz w:val="17"/>
                <w:szCs w:val="17"/>
                <w:color w:val="auto"/>
              </w:rPr>
            </w:pPr>
          </w:p>
        </w:tc>
        <w:tc>
          <w:tcPr>
            <w:tcW w:w="220" w:type="dxa"/>
            <w:vAlign w:val="bottom"/>
            <w:tcBorders>
              <w:bottom w:val="single" w:sz="8" w:color="0C479D"/>
            </w:tcBorders>
          </w:tcPr>
          <w:p>
            <w:pPr>
              <w:spacing w:after="0"/>
              <w:rPr>
                <w:sz w:val="17"/>
                <w:szCs w:val="17"/>
                <w:color w:val="auto"/>
              </w:rPr>
            </w:pPr>
          </w:p>
        </w:tc>
        <w:tc>
          <w:tcPr>
            <w:tcW w:w="60" w:type="dxa"/>
            <w:vAlign w:val="bottom"/>
            <w:tcBorders>
              <w:bottom w:val="single" w:sz="8" w:color="0C479D"/>
            </w:tcBorders>
          </w:tcPr>
          <w:p>
            <w:pPr>
              <w:spacing w:after="0"/>
              <w:rPr>
                <w:sz w:val="17"/>
                <w:szCs w:val="17"/>
                <w:color w:val="auto"/>
              </w:rPr>
            </w:pPr>
          </w:p>
        </w:tc>
        <w:tc>
          <w:tcPr>
            <w:tcW w:w="820" w:type="dxa"/>
            <w:vAlign w:val="bottom"/>
            <w:tcBorders>
              <w:bottom w:val="single" w:sz="8" w:color="0C479D"/>
            </w:tcBorders>
          </w:tcPr>
          <w:p>
            <w:pPr>
              <w:spacing w:after="0"/>
              <w:rPr>
                <w:sz w:val="17"/>
                <w:szCs w:val="17"/>
                <w:color w:val="auto"/>
              </w:rPr>
            </w:pPr>
          </w:p>
        </w:tc>
        <w:tc>
          <w:tcPr>
            <w:tcW w:w="860" w:type="dxa"/>
            <w:vAlign w:val="bottom"/>
            <w:tcBorders>
              <w:bottom w:val="single" w:sz="8" w:color="0C479D"/>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48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2021</w:t>
            </w:r>
          </w:p>
        </w:tc>
        <w:tc>
          <w:tcPr>
            <w:tcW w:w="1200" w:type="dxa"/>
            <w:vAlign w:val="bottom"/>
            <w:tcBorders>
              <w:bottom w:val="single" w:sz="8" w:color="0C479D"/>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15,746</w:t>
            </w:r>
          </w:p>
        </w:tc>
        <w:tc>
          <w:tcPr>
            <w:tcW w:w="960" w:type="dxa"/>
            <w:vAlign w:val="bottom"/>
            <w:tcBorders>
              <w:bottom w:val="single" w:sz="8" w:color="0C479D"/>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392,059</w:t>
            </w:r>
          </w:p>
        </w:tc>
        <w:tc>
          <w:tcPr>
            <w:tcW w:w="1140" w:type="dxa"/>
            <w:vAlign w:val="bottom"/>
            <w:tcBorders>
              <w:bottom w:val="single" w:sz="8" w:color="0C479D"/>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(13,764)</w:t>
            </w:r>
          </w:p>
        </w:tc>
        <w:tc>
          <w:tcPr>
            <w:tcW w:w="9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(225,464)</w:t>
            </w:r>
          </w:p>
        </w:tc>
        <w:tc>
          <w:tcPr>
            <w:tcW w:w="260" w:type="dxa"/>
            <w:vAlign w:val="bottom"/>
            <w:tcBorders>
              <w:bottom w:val="single" w:sz="8" w:color="0C479D"/>
            </w:tcBorders>
            <w:shd w:val="clear" w:color="auto" w:fill="F0F0F0"/>
          </w:tcPr>
          <w:p>
            <w:pPr>
              <w:spacing w:after="0"/>
              <w:rPr>
                <w:sz w:val="16"/>
                <w:szCs w:val="16"/>
                <w:color w:val="auto"/>
              </w:rPr>
            </w:pPr>
          </w:p>
        </w:tc>
        <w:tc>
          <w:tcPr>
            <w:tcW w:w="740" w:type="dxa"/>
            <w:vAlign w:val="bottom"/>
            <w:tcBorders>
              <w:bottom w:val="single" w:sz="8" w:color="0C479D"/>
            </w:tcBorders>
            <w:gridSpan w:val="2"/>
            <w:shd w:val="clear" w:color="auto" w:fill="F0F0F0"/>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168,577</w:t>
            </w:r>
          </w:p>
        </w:tc>
        <w:tc>
          <w:tcPr>
            <w:tcW w:w="220" w:type="dxa"/>
            <w:vAlign w:val="bottom"/>
            <w:tcBorders>
              <w:bottom w:val="single" w:sz="8" w:color="0C479D"/>
            </w:tcBorders>
          </w:tcPr>
          <w:p>
            <w:pPr>
              <w:spacing w:after="0"/>
              <w:rPr>
                <w:sz w:val="16"/>
                <w:szCs w:val="16"/>
                <w:color w:val="auto"/>
              </w:rPr>
            </w:pPr>
          </w:p>
        </w:tc>
        <w:tc>
          <w:tcPr>
            <w:tcW w:w="60" w:type="dxa"/>
            <w:vAlign w:val="bottom"/>
            <w:tcBorders>
              <w:bottom w:val="single" w:sz="8" w:color="0C479D"/>
            </w:tcBorders>
          </w:tcPr>
          <w:p>
            <w:pPr>
              <w:spacing w:after="0"/>
              <w:rPr>
                <w:sz w:val="16"/>
                <w:szCs w:val="16"/>
                <w:color w:val="auto"/>
              </w:rPr>
            </w:pPr>
          </w:p>
        </w:tc>
        <w:tc>
          <w:tcPr>
            <w:tcW w:w="820" w:type="dxa"/>
            <w:vAlign w:val="bottom"/>
            <w:tcBorders>
              <w:bottom w:val="single" w:sz="8" w:color="0C479D"/>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7,106</w:t>
            </w:r>
          </w:p>
        </w:tc>
        <w:tc>
          <w:tcPr>
            <w:tcW w:w="860" w:type="dxa"/>
            <w:vAlign w:val="bottom"/>
            <w:tcBorders>
              <w:bottom w:val="single" w:sz="8" w:color="0C479D"/>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175,683</w:t>
            </w:r>
          </w:p>
        </w:tc>
        <w:tc>
          <w:tcPr>
            <w:tcW w:w="0" w:type="dxa"/>
            <w:vAlign w:val="bottom"/>
          </w:tcPr>
          <w:p>
            <w:pPr>
              <w:spacing w:after="0"/>
              <w:rPr>
                <w:sz w:val="1"/>
                <w:szCs w:val="1"/>
                <w:color w:val="auto"/>
              </w:rPr>
            </w:pPr>
          </w:p>
        </w:tc>
      </w:tr>
      <w:tr>
        <w:trPr>
          <w:trHeight w:val="188"/>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Amortization of stock-based awards</w:t>
            </w:r>
          </w:p>
        </w:tc>
        <w:tc>
          <w:tcPr>
            <w:tcW w:w="1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481</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F0F0F0"/>
          </w:tcPr>
          <w:p>
            <w:pPr>
              <w:spacing w:after="0"/>
              <w:rPr>
                <w:sz w:val="16"/>
                <w:szCs w:val="16"/>
                <w:color w:val="auto"/>
              </w:rPr>
            </w:pPr>
          </w:p>
        </w:tc>
        <w:tc>
          <w:tcPr>
            <w:tcW w:w="740" w:type="dxa"/>
            <w:vAlign w:val="bottom"/>
            <w:gridSpan w:val="2"/>
            <w:shd w:val="clear" w:color="auto" w:fill="F0F0F0"/>
          </w:tcPr>
          <w:p>
            <w:pPr>
              <w:jc w:val="right"/>
              <w:ind w:right="8"/>
              <w:spacing w:after="0"/>
              <w:rPr>
                <w:sz w:val="20"/>
                <w:szCs w:val="20"/>
                <w:color w:val="auto"/>
              </w:rPr>
            </w:pPr>
            <w:r>
              <w:rPr>
                <w:rFonts w:ascii="Times New Roman" w:cs="Times New Roman" w:eastAsia="Times New Roman" w:hAnsi="Times New Roman"/>
                <w:sz w:val="14"/>
                <w:szCs w:val="14"/>
                <w:color w:val="auto"/>
              </w:rPr>
              <w:t>481</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481</w:t>
            </w:r>
          </w:p>
        </w:tc>
        <w:tc>
          <w:tcPr>
            <w:tcW w:w="0" w:type="dxa"/>
            <w:vAlign w:val="bottom"/>
          </w:tcPr>
          <w:p>
            <w:pPr>
              <w:spacing w:after="0"/>
              <w:rPr>
                <w:sz w:val="1"/>
                <w:szCs w:val="1"/>
                <w:color w:val="auto"/>
              </w:rPr>
            </w:pPr>
          </w:p>
        </w:tc>
      </w:tr>
      <w:tr>
        <w:trPr>
          <w:trHeight w:val="207"/>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1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(475)</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F0F0F0"/>
          </w:tcPr>
          <w:p>
            <w:pPr>
              <w:spacing w:after="0"/>
              <w:rPr>
                <w:sz w:val="17"/>
                <w:szCs w:val="17"/>
                <w:color w:val="auto"/>
              </w:rPr>
            </w:pPr>
          </w:p>
        </w:tc>
        <w:tc>
          <w:tcPr>
            <w:tcW w:w="740" w:type="dxa"/>
            <w:vAlign w:val="bottom"/>
            <w:gridSpan w:val="2"/>
            <w:shd w:val="clear" w:color="auto" w:fill="F0F0F0"/>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405</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 for the year</w:t>
            </w:r>
          </w:p>
        </w:tc>
        <w:tc>
          <w:tcPr>
            <w:tcW w:w="1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55,740</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F0F0F0"/>
          </w:tcPr>
          <w:p>
            <w:pPr>
              <w:spacing w:after="0"/>
              <w:rPr>
                <w:sz w:val="18"/>
                <w:szCs w:val="18"/>
                <w:color w:val="auto"/>
              </w:rPr>
            </w:pPr>
          </w:p>
        </w:tc>
        <w:tc>
          <w:tcPr>
            <w:tcW w:w="740" w:type="dxa"/>
            <w:vAlign w:val="bottom"/>
            <w:gridSpan w:val="2"/>
            <w:shd w:val="clear" w:color="auto" w:fill="F0F0F0"/>
          </w:tcPr>
          <w:p>
            <w:pPr>
              <w:jc w:val="right"/>
              <w:ind w:right="28"/>
              <w:spacing w:after="0"/>
              <w:rPr>
                <w:sz w:val="20"/>
                <w:szCs w:val="20"/>
                <w:color w:val="auto"/>
              </w:rPr>
            </w:pPr>
            <w:r>
              <w:rPr>
                <w:rFonts w:ascii="Times New Roman" w:cs="Times New Roman" w:eastAsia="Times New Roman" w:hAnsi="Times New Roman"/>
                <w:sz w:val="14"/>
                <w:szCs w:val="14"/>
                <w:color w:val="auto"/>
              </w:rPr>
              <w:t>55,740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1,837</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57,577</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Dividends - common shares</w:t>
            </w:r>
          </w:p>
        </w:tc>
        <w:tc>
          <w:tcPr>
            <w:tcW w:w="1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(14,939)</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F0F0F0"/>
          </w:tcPr>
          <w:p>
            <w:pPr>
              <w:spacing w:after="0"/>
              <w:rPr>
                <w:sz w:val="18"/>
                <w:szCs w:val="18"/>
                <w:color w:val="auto"/>
              </w:rPr>
            </w:pPr>
          </w:p>
        </w:tc>
        <w:tc>
          <w:tcPr>
            <w:tcW w:w="740" w:type="dxa"/>
            <w:vAlign w:val="bottom"/>
            <w:gridSpan w:val="2"/>
            <w:shd w:val="clear" w:color="auto" w:fill="F0F0F0"/>
          </w:tcPr>
          <w:p>
            <w:pPr>
              <w:jc w:val="right"/>
              <w:spacing w:after="0"/>
              <w:rPr>
                <w:sz w:val="20"/>
                <w:szCs w:val="20"/>
                <w:color w:val="auto"/>
              </w:rPr>
            </w:pPr>
            <w:r>
              <w:rPr>
                <w:rFonts w:ascii="Times New Roman" w:cs="Times New Roman" w:eastAsia="Times New Roman" w:hAnsi="Times New Roman"/>
                <w:sz w:val="14"/>
                <w:szCs w:val="14"/>
                <w:color w:val="auto"/>
              </w:rPr>
              <w:t>(14,939)</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(267)</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(15,206)</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494</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F0F0F0"/>
          </w:tcPr>
          <w:p>
            <w:pPr>
              <w:spacing w:after="0"/>
              <w:rPr>
                <w:sz w:val="18"/>
                <w:szCs w:val="18"/>
                <w:color w:val="auto"/>
              </w:rPr>
            </w:pPr>
          </w:p>
        </w:tc>
        <w:tc>
          <w:tcPr>
            <w:tcW w:w="740" w:type="dxa"/>
            <w:vAlign w:val="bottom"/>
            <w:gridSpan w:val="2"/>
            <w:shd w:val="clear" w:color="auto" w:fill="F0F0F0"/>
          </w:tcPr>
          <w:p>
            <w:pPr>
              <w:jc w:val="right"/>
              <w:ind w:right="8"/>
              <w:spacing w:after="0"/>
              <w:rPr>
                <w:sz w:val="20"/>
                <w:szCs w:val="20"/>
                <w:color w:val="auto"/>
              </w:rPr>
            </w:pPr>
            <w:r>
              <w:rPr>
                <w:rFonts w:ascii="Times New Roman" w:cs="Times New Roman" w:eastAsia="Times New Roman" w:hAnsi="Times New Roman"/>
                <w:sz w:val="14"/>
                <w:szCs w:val="14"/>
                <w:color w:val="auto"/>
              </w:rPr>
              <w:t>494</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(178)</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316</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Share repurchases, at cost</w:t>
            </w:r>
          </w:p>
        </w:tc>
        <w:tc>
          <w:tcPr>
            <w:tcW w:w="1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(15,295)</w:t>
            </w:r>
          </w:p>
        </w:tc>
        <w:tc>
          <w:tcPr>
            <w:tcW w:w="260" w:type="dxa"/>
            <w:vAlign w:val="bottom"/>
            <w:shd w:val="clear" w:color="auto" w:fill="F0F0F0"/>
          </w:tcPr>
          <w:p>
            <w:pPr>
              <w:spacing w:after="0"/>
              <w:rPr>
                <w:sz w:val="18"/>
                <w:szCs w:val="18"/>
                <w:color w:val="auto"/>
              </w:rPr>
            </w:pPr>
          </w:p>
        </w:tc>
        <w:tc>
          <w:tcPr>
            <w:tcW w:w="740" w:type="dxa"/>
            <w:vAlign w:val="bottom"/>
            <w:gridSpan w:val="2"/>
            <w:shd w:val="clear" w:color="auto" w:fill="F0F0F0"/>
          </w:tcPr>
          <w:p>
            <w:pPr>
              <w:jc w:val="right"/>
              <w:spacing w:after="0"/>
              <w:rPr>
                <w:sz w:val="20"/>
                <w:szCs w:val="20"/>
                <w:color w:val="auto"/>
              </w:rPr>
            </w:pPr>
            <w:r>
              <w:rPr>
                <w:rFonts w:ascii="Times New Roman" w:cs="Times New Roman" w:eastAsia="Times New Roman" w:hAnsi="Times New Roman"/>
                <w:sz w:val="14"/>
                <w:szCs w:val="14"/>
                <w:color w:val="auto"/>
              </w:rPr>
              <w:t>(15,295)</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(1,479)</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(16,774)</w:t>
            </w:r>
          </w:p>
        </w:tc>
        <w:tc>
          <w:tcPr>
            <w:tcW w:w="0" w:type="dxa"/>
            <w:vAlign w:val="bottom"/>
          </w:tcPr>
          <w:p>
            <w:pPr>
              <w:spacing w:after="0"/>
              <w:rPr>
                <w:sz w:val="1"/>
                <w:szCs w:val="1"/>
                <w:color w:val="auto"/>
              </w:rPr>
            </w:pPr>
          </w:p>
        </w:tc>
      </w:tr>
      <w:tr>
        <w:trPr>
          <w:trHeight w:val="239"/>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Dispositions</w:t>
            </w:r>
          </w:p>
        </w:tc>
        <w:tc>
          <w:tcPr>
            <w:tcW w:w="1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466</w:t>
            </w:r>
          </w:p>
        </w:tc>
        <w:tc>
          <w:tcPr>
            <w:tcW w:w="260" w:type="dxa"/>
            <w:vAlign w:val="bottom"/>
            <w:tcBorders>
              <w:bottom w:val="single" w:sz="8" w:color="F0F0F0"/>
            </w:tcBorders>
            <w:shd w:val="clear" w:color="auto" w:fill="F0F0F0"/>
          </w:tcPr>
          <w:p>
            <w:pPr>
              <w:spacing w:after="0"/>
              <w:rPr>
                <w:sz w:val="20"/>
                <w:szCs w:val="20"/>
                <w:color w:val="auto"/>
              </w:rPr>
            </w:pPr>
          </w:p>
        </w:tc>
        <w:tc>
          <w:tcPr>
            <w:tcW w:w="740" w:type="dxa"/>
            <w:vAlign w:val="bottom"/>
            <w:tcBorders>
              <w:bottom w:val="single" w:sz="8" w:color="F0F0F0"/>
            </w:tcBorders>
            <w:gridSpan w:val="2"/>
            <w:shd w:val="clear" w:color="auto" w:fill="F0F0F0"/>
          </w:tcPr>
          <w:p>
            <w:pPr>
              <w:jc w:val="right"/>
              <w:ind w:right="8"/>
              <w:spacing w:after="0"/>
              <w:rPr>
                <w:sz w:val="20"/>
                <w:szCs w:val="20"/>
                <w:color w:val="auto"/>
              </w:rPr>
            </w:pPr>
            <w:r>
              <w:rPr>
                <w:rFonts w:ascii="Times New Roman" w:cs="Times New Roman" w:eastAsia="Times New Roman" w:hAnsi="Times New Roman"/>
                <w:sz w:val="14"/>
                <w:szCs w:val="14"/>
                <w:color w:val="auto"/>
              </w:rPr>
              <w:t>466</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466</w:t>
            </w:r>
          </w:p>
        </w:tc>
        <w:tc>
          <w:tcPr>
            <w:tcW w:w="0" w:type="dxa"/>
            <w:vAlign w:val="bottom"/>
          </w:tcPr>
          <w:p>
            <w:pPr>
              <w:spacing w:after="0"/>
              <w:rPr>
                <w:sz w:val="1"/>
                <w:szCs w:val="1"/>
                <w:color w:val="auto"/>
              </w:rPr>
            </w:pPr>
          </w:p>
        </w:tc>
      </w:tr>
      <w:tr>
        <w:trPr>
          <w:trHeight w:val="190"/>
        </w:trPr>
        <w:tc>
          <w:tcPr>
            <w:tcW w:w="2480" w:type="dxa"/>
            <w:vAlign w:val="bottom"/>
            <w:tcBorders>
              <w:top w:val="single" w:sz="8" w:color="0C479D"/>
              <w:bottom w:val="single" w:sz="8" w:color="0C479D"/>
            </w:tcBorders>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2022</w:t>
            </w:r>
          </w:p>
        </w:tc>
        <w:tc>
          <w:tcPr>
            <w:tcW w:w="1200" w:type="dxa"/>
            <w:vAlign w:val="bottom"/>
            <w:tcBorders>
              <w:top w:val="single" w:sz="8" w:color="0C479D"/>
              <w:bottom w:val="single" w:sz="8" w:color="0C479D"/>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15,752</w:t>
            </w:r>
          </w:p>
        </w:tc>
        <w:tc>
          <w:tcPr>
            <w:tcW w:w="960" w:type="dxa"/>
            <w:vAlign w:val="bottom"/>
            <w:tcBorders>
              <w:top w:val="single" w:sz="8" w:color="0C479D"/>
              <w:bottom w:val="single" w:sz="8" w:color="0C479D"/>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432,860</w:t>
            </w:r>
          </w:p>
        </w:tc>
        <w:tc>
          <w:tcPr>
            <w:tcW w:w="1140" w:type="dxa"/>
            <w:vAlign w:val="bottom"/>
            <w:tcBorders>
              <w:top w:val="single" w:sz="8" w:color="0C479D"/>
              <w:bottom w:val="single" w:sz="8" w:color="0C479D"/>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(13,270)</w:t>
            </w:r>
          </w:p>
        </w:tc>
        <w:tc>
          <w:tcPr>
            <w:tcW w:w="960" w:type="dxa"/>
            <w:vAlign w:val="bottom"/>
            <w:tcBorders>
              <w:top w:val="single" w:sz="8" w:color="0C479D"/>
              <w:bottom w:val="single" w:sz="8" w:color="0C479D"/>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(240,293)</w:t>
            </w:r>
          </w:p>
        </w:tc>
        <w:tc>
          <w:tcPr>
            <w:tcW w:w="260" w:type="dxa"/>
            <w:vAlign w:val="bottom"/>
            <w:tcBorders>
              <w:top w:val="single" w:sz="8" w:color="0C479D"/>
              <w:bottom w:val="single" w:sz="8" w:color="0C479D"/>
            </w:tcBorders>
            <w:shd w:val="clear" w:color="auto" w:fill="F0F0F0"/>
          </w:tcPr>
          <w:p>
            <w:pPr>
              <w:spacing w:after="0"/>
              <w:rPr>
                <w:sz w:val="16"/>
                <w:szCs w:val="16"/>
                <w:color w:val="auto"/>
              </w:rPr>
            </w:pPr>
          </w:p>
        </w:tc>
        <w:tc>
          <w:tcPr>
            <w:tcW w:w="740" w:type="dxa"/>
            <w:vAlign w:val="bottom"/>
            <w:tcBorders>
              <w:top w:val="single" w:sz="8" w:color="0C479D"/>
              <w:bottom w:val="single" w:sz="8" w:color="0C479D"/>
            </w:tcBorders>
            <w:gridSpan w:val="2"/>
            <w:shd w:val="clear" w:color="auto" w:fill="F0F0F0"/>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195,049</w:t>
            </w:r>
          </w:p>
        </w:tc>
        <w:tc>
          <w:tcPr>
            <w:tcW w:w="220" w:type="dxa"/>
            <w:vAlign w:val="bottom"/>
            <w:tcBorders>
              <w:top w:val="single" w:sz="8" w:color="0C479D"/>
              <w:bottom w:val="single" w:sz="8" w:color="0C479D"/>
            </w:tcBorders>
          </w:tcPr>
          <w:p>
            <w:pPr>
              <w:spacing w:after="0"/>
              <w:rPr>
                <w:sz w:val="16"/>
                <w:szCs w:val="16"/>
                <w:color w:val="auto"/>
              </w:rPr>
            </w:pPr>
          </w:p>
        </w:tc>
        <w:tc>
          <w:tcPr>
            <w:tcW w:w="60" w:type="dxa"/>
            <w:vAlign w:val="bottom"/>
            <w:tcBorders>
              <w:top w:val="single" w:sz="8" w:color="0C479D"/>
              <w:bottom w:val="single" w:sz="8" w:color="0C479D"/>
            </w:tcBorders>
          </w:tcPr>
          <w:p>
            <w:pPr>
              <w:spacing w:after="0"/>
              <w:rPr>
                <w:sz w:val="16"/>
                <w:szCs w:val="16"/>
                <w:color w:val="auto"/>
              </w:rPr>
            </w:pPr>
          </w:p>
        </w:tc>
        <w:tc>
          <w:tcPr>
            <w:tcW w:w="820" w:type="dxa"/>
            <w:vAlign w:val="bottom"/>
            <w:tcBorders>
              <w:top w:val="single" w:sz="8" w:color="0C479D"/>
              <w:bottom w:val="single" w:sz="8" w:color="0C479D"/>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7,424</w:t>
            </w:r>
          </w:p>
        </w:tc>
        <w:tc>
          <w:tcPr>
            <w:tcW w:w="860" w:type="dxa"/>
            <w:vAlign w:val="bottom"/>
            <w:tcBorders>
              <w:top w:val="single" w:sz="8" w:color="0C479D"/>
              <w:bottom w:val="single" w:sz="8" w:color="0C479D"/>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202,473</w:t>
            </w:r>
          </w:p>
        </w:tc>
        <w:tc>
          <w:tcPr>
            <w:tcW w:w="0" w:type="dxa"/>
            <w:vAlign w:val="bottom"/>
          </w:tcPr>
          <w:p>
            <w:pPr>
              <w:spacing w:after="0"/>
              <w:rPr>
                <w:sz w:val="1"/>
                <w:szCs w:val="1"/>
                <w:color w:val="auto"/>
              </w:rPr>
            </w:pPr>
          </w:p>
        </w:tc>
      </w:tr>
      <w:tr>
        <w:trPr>
          <w:trHeight w:val="188"/>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Amortization of stock-based awards</w:t>
            </w:r>
          </w:p>
        </w:tc>
        <w:tc>
          <w:tcPr>
            <w:tcW w:w="1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565</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F0F0F0"/>
          </w:tcPr>
          <w:p>
            <w:pPr>
              <w:spacing w:after="0"/>
              <w:rPr>
                <w:sz w:val="16"/>
                <w:szCs w:val="16"/>
                <w:color w:val="auto"/>
              </w:rPr>
            </w:pPr>
          </w:p>
        </w:tc>
        <w:tc>
          <w:tcPr>
            <w:tcW w:w="740" w:type="dxa"/>
            <w:vAlign w:val="bottom"/>
            <w:gridSpan w:val="2"/>
            <w:shd w:val="clear" w:color="auto" w:fill="F0F0F0"/>
          </w:tcPr>
          <w:p>
            <w:pPr>
              <w:jc w:val="right"/>
              <w:ind w:right="8"/>
              <w:spacing w:after="0"/>
              <w:rPr>
                <w:sz w:val="20"/>
                <w:szCs w:val="20"/>
                <w:color w:val="auto"/>
              </w:rPr>
            </w:pPr>
            <w:r>
              <w:rPr>
                <w:rFonts w:ascii="Times New Roman" w:cs="Times New Roman" w:eastAsia="Times New Roman" w:hAnsi="Times New Roman"/>
                <w:sz w:val="14"/>
                <w:szCs w:val="14"/>
                <w:color w:val="auto"/>
              </w:rPr>
              <w:t>565</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565</w:t>
            </w:r>
          </w:p>
        </w:tc>
        <w:tc>
          <w:tcPr>
            <w:tcW w:w="0" w:type="dxa"/>
            <w:vAlign w:val="bottom"/>
          </w:tcPr>
          <w:p>
            <w:pPr>
              <w:spacing w:after="0"/>
              <w:rPr>
                <w:sz w:val="1"/>
                <w:szCs w:val="1"/>
                <w:color w:val="auto"/>
              </w:rPr>
            </w:pPr>
          </w:p>
        </w:tc>
      </w:tr>
      <w:tr>
        <w:trPr>
          <w:trHeight w:val="207"/>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1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(514)</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F0F0F0"/>
          </w:tcPr>
          <w:p>
            <w:pPr>
              <w:spacing w:after="0"/>
              <w:rPr>
                <w:sz w:val="17"/>
                <w:szCs w:val="17"/>
                <w:color w:val="auto"/>
              </w:rPr>
            </w:pPr>
          </w:p>
        </w:tc>
        <w:tc>
          <w:tcPr>
            <w:tcW w:w="740" w:type="dxa"/>
            <w:vAlign w:val="bottom"/>
            <w:gridSpan w:val="2"/>
            <w:shd w:val="clear" w:color="auto" w:fill="F0F0F0"/>
          </w:tcPr>
          <w:p>
            <w:pPr>
              <w:jc w:val="right"/>
              <w:spacing w:after="0"/>
              <w:rPr>
                <w:sz w:val="20"/>
                <w:szCs w:val="20"/>
                <w:color w:val="auto"/>
              </w:rPr>
            </w:pPr>
            <w:r>
              <w:rPr>
                <w:rFonts w:ascii="Times New Roman" w:cs="Times New Roman" w:eastAsia="Times New Roman" w:hAnsi="Times New Roman"/>
                <w:sz w:val="14"/>
                <w:szCs w:val="14"/>
                <w:color w:val="auto"/>
              </w:rPr>
              <w:t>(516)</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89</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 for the year</w:t>
            </w:r>
          </w:p>
        </w:tc>
        <w:tc>
          <w:tcPr>
            <w:tcW w:w="1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36,010</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F0F0F0"/>
          </w:tcPr>
          <w:p>
            <w:pPr>
              <w:spacing w:after="0"/>
              <w:rPr>
                <w:sz w:val="18"/>
                <w:szCs w:val="18"/>
                <w:color w:val="auto"/>
              </w:rPr>
            </w:pPr>
          </w:p>
        </w:tc>
        <w:tc>
          <w:tcPr>
            <w:tcW w:w="740" w:type="dxa"/>
            <w:vAlign w:val="bottom"/>
            <w:gridSpan w:val="2"/>
            <w:shd w:val="clear" w:color="auto" w:fill="F0F0F0"/>
          </w:tcPr>
          <w:p>
            <w:pPr>
              <w:jc w:val="right"/>
              <w:ind w:right="28"/>
              <w:spacing w:after="0"/>
              <w:rPr>
                <w:sz w:val="20"/>
                <w:szCs w:val="20"/>
                <w:color w:val="auto"/>
              </w:rPr>
            </w:pPr>
            <w:r>
              <w:rPr>
                <w:rFonts w:ascii="Times New Roman" w:cs="Times New Roman" w:eastAsia="Times New Roman" w:hAnsi="Times New Roman"/>
                <w:sz w:val="14"/>
                <w:szCs w:val="14"/>
                <w:color w:val="auto"/>
              </w:rPr>
              <w:t>36,010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1,344</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37,354</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Dividends - common shares</w:t>
            </w:r>
          </w:p>
        </w:tc>
        <w:tc>
          <w:tcPr>
            <w:tcW w:w="1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(14,941)</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F0F0F0"/>
          </w:tcPr>
          <w:p>
            <w:pPr>
              <w:spacing w:after="0"/>
              <w:rPr>
                <w:sz w:val="18"/>
                <w:szCs w:val="18"/>
                <w:color w:val="auto"/>
              </w:rPr>
            </w:pPr>
          </w:p>
        </w:tc>
        <w:tc>
          <w:tcPr>
            <w:tcW w:w="740" w:type="dxa"/>
            <w:vAlign w:val="bottom"/>
            <w:gridSpan w:val="2"/>
            <w:shd w:val="clear" w:color="auto" w:fill="F0F0F0"/>
          </w:tcPr>
          <w:p>
            <w:pPr>
              <w:jc w:val="right"/>
              <w:spacing w:after="0"/>
              <w:rPr>
                <w:sz w:val="20"/>
                <w:szCs w:val="20"/>
                <w:color w:val="auto"/>
              </w:rPr>
            </w:pPr>
            <w:r>
              <w:rPr>
                <w:rFonts w:ascii="Times New Roman" w:cs="Times New Roman" w:eastAsia="Times New Roman" w:hAnsi="Times New Roman"/>
                <w:sz w:val="14"/>
                <w:szCs w:val="14"/>
                <w:color w:val="auto"/>
              </w:rPr>
              <w:t>(14,941)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(531)</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(15,472)</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1,281</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F0F0F0"/>
          </w:tcPr>
          <w:p>
            <w:pPr>
              <w:spacing w:after="0"/>
              <w:rPr>
                <w:sz w:val="18"/>
                <w:szCs w:val="18"/>
                <w:color w:val="auto"/>
              </w:rPr>
            </w:pPr>
          </w:p>
        </w:tc>
        <w:tc>
          <w:tcPr>
            <w:tcW w:w="740" w:type="dxa"/>
            <w:vAlign w:val="bottom"/>
            <w:gridSpan w:val="2"/>
            <w:shd w:val="clear" w:color="auto" w:fill="F0F0F0"/>
          </w:tcPr>
          <w:p>
            <w:pPr>
              <w:jc w:val="right"/>
              <w:ind w:right="28"/>
              <w:spacing w:after="0"/>
              <w:rPr>
                <w:sz w:val="20"/>
                <w:szCs w:val="20"/>
                <w:color w:val="auto"/>
              </w:rPr>
            </w:pPr>
            <w:r>
              <w:rPr>
                <w:rFonts w:ascii="Times New Roman" w:cs="Times New Roman" w:eastAsia="Times New Roman" w:hAnsi="Times New Roman"/>
                <w:sz w:val="14"/>
                <w:szCs w:val="14"/>
                <w:color w:val="auto"/>
              </w:rPr>
              <w:t>1,281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261</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1,542</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Share repurchases, at cost</w:t>
            </w:r>
          </w:p>
        </w:tc>
        <w:tc>
          <w:tcPr>
            <w:tcW w:w="1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(17,993)</w:t>
            </w:r>
          </w:p>
        </w:tc>
        <w:tc>
          <w:tcPr>
            <w:tcW w:w="260" w:type="dxa"/>
            <w:vAlign w:val="bottom"/>
            <w:shd w:val="clear" w:color="auto" w:fill="F0F0F0"/>
          </w:tcPr>
          <w:p>
            <w:pPr>
              <w:spacing w:after="0"/>
              <w:rPr>
                <w:sz w:val="18"/>
                <w:szCs w:val="18"/>
                <w:color w:val="auto"/>
              </w:rPr>
            </w:pPr>
          </w:p>
        </w:tc>
        <w:tc>
          <w:tcPr>
            <w:tcW w:w="740" w:type="dxa"/>
            <w:vAlign w:val="bottom"/>
            <w:gridSpan w:val="2"/>
            <w:shd w:val="clear" w:color="auto" w:fill="F0F0F0"/>
          </w:tcPr>
          <w:p>
            <w:pPr>
              <w:jc w:val="right"/>
              <w:spacing w:after="0"/>
              <w:rPr>
                <w:sz w:val="20"/>
                <w:szCs w:val="20"/>
                <w:color w:val="auto"/>
              </w:rPr>
            </w:pPr>
            <w:r>
              <w:rPr>
                <w:rFonts w:ascii="Times New Roman" w:cs="Times New Roman" w:eastAsia="Times New Roman" w:hAnsi="Times New Roman"/>
                <w:sz w:val="14"/>
                <w:szCs w:val="14"/>
                <w:color w:val="auto"/>
              </w:rPr>
              <w:t>(17,993)</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(851)</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(18,844)</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Issued for acquisitions</w:t>
            </w:r>
          </w:p>
        </w:tc>
        <w:tc>
          <w:tcPr>
            <w:tcW w:w="1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1,978</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2,866</w:t>
            </w:r>
          </w:p>
        </w:tc>
        <w:tc>
          <w:tcPr>
            <w:tcW w:w="260" w:type="dxa"/>
            <w:vAlign w:val="bottom"/>
            <w:shd w:val="clear" w:color="auto" w:fill="F0F0F0"/>
          </w:tcPr>
          <w:p>
            <w:pPr>
              <w:spacing w:after="0"/>
              <w:rPr>
                <w:sz w:val="18"/>
                <w:szCs w:val="18"/>
                <w:color w:val="auto"/>
              </w:rPr>
            </w:pPr>
          </w:p>
        </w:tc>
        <w:tc>
          <w:tcPr>
            <w:tcW w:w="740" w:type="dxa"/>
            <w:vAlign w:val="bottom"/>
            <w:gridSpan w:val="2"/>
            <w:shd w:val="clear" w:color="auto" w:fill="F0F0F0"/>
          </w:tcPr>
          <w:p>
            <w:pPr>
              <w:jc w:val="right"/>
              <w:ind w:right="28"/>
              <w:spacing w:after="0"/>
              <w:rPr>
                <w:sz w:val="20"/>
                <w:szCs w:val="20"/>
                <w:color w:val="auto"/>
              </w:rPr>
            </w:pPr>
            <w:r>
              <w:rPr>
                <w:rFonts w:ascii="Times New Roman" w:cs="Times New Roman" w:eastAsia="Times New Roman" w:hAnsi="Times New Roman"/>
                <w:sz w:val="14"/>
                <w:szCs w:val="14"/>
                <w:color w:val="auto"/>
              </w:rPr>
              <w:t>4,844</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4,844</w:t>
            </w:r>
          </w:p>
        </w:tc>
        <w:tc>
          <w:tcPr>
            <w:tcW w:w="0" w:type="dxa"/>
            <w:vAlign w:val="bottom"/>
          </w:tcPr>
          <w:p>
            <w:pPr>
              <w:spacing w:after="0"/>
              <w:rPr>
                <w:sz w:val="1"/>
                <w:szCs w:val="1"/>
                <w:color w:val="auto"/>
              </w:rPr>
            </w:pPr>
          </w:p>
        </w:tc>
      </w:tr>
      <w:tr>
        <w:trPr>
          <w:trHeight w:val="240"/>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Dispositions</w:t>
            </w:r>
          </w:p>
        </w:tc>
        <w:tc>
          <w:tcPr>
            <w:tcW w:w="1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503</w:t>
            </w:r>
          </w:p>
        </w:tc>
        <w:tc>
          <w:tcPr>
            <w:tcW w:w="260" w:type="dxa"/>
            <w:vAlign w:val="bottom"/>
            <w:tcBorders>
              <w:bottom w:val="single" w:sz="8" w:color="F0F0F0"/>
            </w:tcBorders>
            <w:shd w:val="clear" w:color="auto" w:fill="F0F0F0"/>
          </w:tcPr>
          <w:p>
            <w:pPr>
              <w:spacing w:after="0"/>
              <w:rPr>
                <w:sz w:val="20"/>
                <w:szCs w:val="20"/>
                <w:color w:val="auto"/>
              </w:rPr>
            </w:pPr>
          </w:p>
        </w:tc>
        <w:tc>
          <w:tcPr>
            <w:tcW w:w="740" w:type="dxa"/>
            <w:vAlign w:val="bottom"/>
            <w:tcBorders>
              <w:bottom w:val="single" w:sz="8" w:color="F0F0F0"/>
            </w:tcBorders>
            <w:gridSpan w:val="2"/>
            <w:shd w:val="clear" w:color="auto" w:fill="F0F0F0"/>
          </w:tcPr>
          <w:p>
            <w:pPr>
              <w:jc w:val="right"/>
              <w:ind w:right="8"/>
              <w:spacing w:after="0"/>
              <w:rPr>
                <w:sz w:val="20"/>
                <w:szCs w:val="20"/>
                <w:color w:val="auto"/>
              </w:rPr>
            </w:pPr>
            <w:r>
              <w:rPr>
                <w:rFonts w:ascii="Times New Roman" w:cs="Times New Roman" w:eastAsia="Times New Roman" w:hAnsi="Times New Roman"/>
                <w:sz w:val="14"/>
                <w:szCs w:val="14"/>
                <w:color w:val="auto"/>
              </w:rPr>
              <w:t>503</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503</w:t>
            </w:r>
          </w:p>
        </w:tc>
        <w:tc>
          <w:tcPr>
            <w:tcW w:w="0" w:type="dxa"/>
            <w:vAlign w:val="bottom"/>
          </w:tcPr>
          <w:p>
            <w:pPr>
              <w:spacing w:after="0"/>
              <w:rPr>
                <w:sz w:val="1"/>
                <w:szCs w:val="1"/>
                <w:color w:val="auto"/>
              </w:rPr>
            </w:pPr>
          </w:p>
        </w:tc>
      </w:tr>
      <w:tr>
        <w:trPr>
          <w:trHeight w:val="190"/>
        </w:trPr>
        <w:tc>
          <w:tcPr>
            <w:tcW w:w="2480" w:type="dxa"/>
            <w:vAlign w:val="bottom"/>
            <w:tcBorders>
              <w:top w:val="single" w:sz="8" w:color="0C479D"/>
              <w:bottom w:val="single" w:sz="8" w:color="0C479D"/>
            </w:tcBorders>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1200" w:type="dxa"/>
            <w:vAlign w:val="bottom"/>
            <w:tcBorders>
              <w:top w:val="single" w:sz="8" w:color="0C479D"/>
              <w:bottom w:val="single" w:sz="8" w:color="0C479D"/>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17,781</w:t>
            </w:r>
          </w:p>
        </w:tc>
        <w:tc>
          <w:tcPr>
            <w:tcW w:w="960" w:type="dxa"/>
            <w:vAlign w:val="bottom"/>
            <w:tcBorders>
              <w:top w:val="single" w:sz="8" w:color="0C479D"/>
              <w:bottom w:val="single" w:sz="8" w:color="0C479D"/>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453,927</w:t>
            </w:r>
          </w:p>
        </w:tc>
        <w:tc>
          <w:tcPr>
            <w:tcW w:w="1140" w:type="dxa"/>
            <w:vAlign w:val="bottom"/>
            <w:tcBorders>
              <w:top w:val="single" w:sz="8" w:color="0C479D"/>
              <w:bottom w:val="single" w:sz="8" w:color="0C479D"/>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(11,989)</w:t>
            </w:r>
          </w:p>
        </w:tc>
        <w:tc>
          <w:tcPr>
            <w:tcW w:w="960" w:type="dxa"/>
            <w:vAlign w:val="bottom"/>
            <w:tcBorders>
              <w:top w:val="single" w:sz="8" w:color="0C479D"/>
              <w:bottom w:val="single" w:sz="8" w:color="0C479D"/>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(254,917)</w:t>
            </w:r>
          </w:p>
        </w:tc>
        <w:tc>
          <w:tcPr>
            <w:tcW w:w="260" w:type="dxa"/>
            <w:vAlign w:val="bottom"/>
            <w:tcBorders>
              <w:top w:val="single" w:sz="8" w:color="0C479D"/>
              <w:bottom w:val="single" w:sz="8" w:color="0C479D"/>
            </w:tcBorders>
            <w:shd w:val="clear" w:color="auto" w:fill="F0F0F0"/>
          </w:tcPr>
          <w:p>
            <w:pPr>
              <w:spacing w:after="0"/>
              <w:rPr>
                <w:sz w:val="16"/>
                <w:szCs w:val="16"/>
                <w:color w:val="auto"/>
              </w:rPr>
            </w:pPr>
          </w:p>
        </w:tc>
        <w:tc>
          <w:tcPr>
            <w:tcW w:w="740" w:type="dxa"/>
            <w:vAlign w:val="bottom"/>
            <w:tcBorders>
              <w:top w:val="single" w:sz="8" w:color="0C479D"/>
              <w:bottom w:val="single" w:sz="8" w:color="0C479D"/>
            </w:tcBorders>
            <w:gridSpan w:val="2"/>
            <w:shd w:val="clear" w:color="auto" w:fill="F0F0F0"/>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204,802</w:t>
            </w:r>
          </w:p>
        </w:tc>
        <w:tc>
          <w:tcPr>
            <w:tcW w:w="220" w:type="dxa"/>
            <w:vAlign w:val="bottom"/>
            <w:tcBorders>
              <w:top w:val="single" w:sz="8" w:color="0C479D"/>
              <w:bottom w:val="single" w:sz="8" w:color="0C479D"/>
            </w:tcBorders>
          </w:tcPr>
          <w:p>
            <w:pPr>
              <w:spacing w:after="0"/>
              <w:rPr>
                <w:sz w:val="16"/>
                <w:szCs w:val="16"/>
                <w:color w:val="auto"/>
              </w:rPr>
            </w:pPr>
          </w:p>
        </w:tc>
        <w:tc>
          <w:tcPr>
            <w:tcW w:w="60" w:type="dxa"/>
            <w:vAlign w:val="bottom"/>
            <w:tcBorders>
              <w:top w:val="single" w:sz="8" w:color="0C479D"/>
              <w:bottom w:val="single" w:sz="8" w:color="0C479D"/>
            </w:tcBorders>
          </w:tcPr>
          <w:p>
            <w:pPr>
              <w:spacing w:after="0"/>
              <w:rPr>
                <w:sz w:val="16"/>
                <w:szCs w:val="16"/>
                <w:color w:val="auto"/>
              </w:rPr>
            </w:pPr>
          </w:p>
        </w:tc>
        <w:tc>
          <w:tcPr>
            <w:tcW w:w="820" w:type="dxa"/>
            <w:vAlign w:val="bottom"/>
            <w:tcBorders>
              <w:top w:val="single" w:sz="8" w:color="0C479D"/>
              <w:bottom w:val="single" w:sz="8" w:color="0C479D"/>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7,736</w:t>
            </w:r>
          </w:p>
        </w:tc>
        <w:tc>
          <w:tcPr>
            <w:tcW w:w="860" w:type="dxa"/>
            <w:vAlign w:val="bottom"/>
            <w:tcBorders>
              <w:top w:val="single" w:sz="8" w:color="0C479D"/>
              <w:bottom w:val="single" w:sz="8" w:color="0C479D"/>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212,538</w:t>
            </w:r>
          </w:p>
        </w:tc>
        <w:tc>
          <w:tcPr>
            <w:tcW w:w="0" w:type="dxa"/>
            <w:vAlign w:val="bottom"/>
          </w:tcPr>
          <w:p>
            <w:pPr>
              <w:spacing w:after="0"/>
              <w:rPr>
                <w:sz w:val="1"/>
                <w:szCs w:val="1"/>
                <w:color w:val="auto"/>
              </w:rPr>
            </w:pPr>
          </w:p>
        </w:tc>
      </w:tr>
      <w:tr>
        <w:trPr>
          <w:trHeight w:val="188"/>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Amortization of stock-based awards</w:t>
            </w:r>
          </w:p>
        </w:tc>
        <w:tc>
          <w:tcPr>
            <w:tcW w:w="1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735</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F0F0F0"/>
          </w:tcPr>
          <w:p>
            <w:pPr>
              <w:spacing w:after="0"/>
              <w:rPr>
                <w:sz w:val="16"/>
                <w:szCs w:val="16"/>
                <w:color w:val="auto"/>
              </w:rPr>
            </w:pPr>
          </w:p>
        </w:tc>
        <w:tc>
          <w:tcPr>
            <w:tcW w:w="740" w:type="dxa"/>
            <w:vAlign w:val="bottom"/>
            <w:gridSpan w:val="2"/>
            <w:shd w:val="clear" w:color="auto" w:fill="F0F0F0"/>
          </w:tcPr>
          <w:p>
            <w:pPr>
              <w:jc w:val="right"/>
              <w:ind w:right="8"/>
              <w:spacing w:after="0"/>
              <w:rPr>
                <w:sz w:val="20"/>
                <w:szCs w:val="20"/>
                <w:color w:val="auto"/>
              </w:rPr>
            </w:pPr>
            <w:r>
              <w:rPr>
                <w:rFonts w:ascii="Times New Roman" w:cs="Times New Roman" w:eastAsia="Times New Roman" w:hAnsi="Times New Roman"/>
                <w:sz w:val="14"/>
                <w:szCs w:val="14"/>
                <w:color w:val="auto"/>
              </w:rPr>
              <w:t>735</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735</w:t>
            </w:r>
          </w:p>
        </w:tc>
        <w:tc>
          <w:tcPr>
            <w:tcW w:w="0" w:type="dxa"/>
            <w:vAlign w:val="bottom"/>
          </w:tcPr>
          <w:p>
            <w:pPr>
              <w:spacing w:after="0"/>
              <w:rPr>
                <w:sz w:val="1"/>
                <w:szCs w:val="1"/>
                <w:color w:val="auto"/>
              </w:rPr>
            </w:pPr>
          </w:p>
        </w:tc>
      </w:tr>
      <w:tr>
        <w:trPr>
          <w:trHeight w:val="207"/>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1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(1,027)</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F0F0F0"/>
          </w:tcPr>
          <w:p>
            <w:pPr>
              <w:spacing w:after="0"/>
              <w:rPr>
                <w:sz w:val="17"/>
                <w:szCs w:val="17"/>
                <w:color w:val="auto"/>
              </w:rPr>
            </w:pPr>
          </w:p>
        </w:tc>
        <w:tc>
          <w:tcPr>
            <w:tcW w:w="740" w:type="dxa"/>
            <w:vAlign w:val="bottom"/>
            <w:gridSpan w:val="2"/>
            <w:shd w:val="clear" w:color="auto" w:fill="F0F0F0"/>
          </w:tcPr>
          <w:p>
            <w:pPr>
              <w:jc w:val="right"/>
              <w:spacing w:after="0"/>
              <w:rPr>
                <w:sz w:val="20"/>
                <w:szCs w:val="20"/>
                <w:color w:val="auto"/>
              </w:rPr>
            </w:pPr>
            <w:r>
              <w:rPr>
                <w:rFonts w:ascii="Times New Roman" w:cs="Times New Roman" w:eastAsia="Times New Roman" w:hAnsi="Times New Roman"/>
                <w:sz w:val="14"/>
                <w:szCs w:val="14"/>
                <w:color w:val="auto"/>
              </w:rPr>
              <w:t>(1,027)</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(624)</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(1,651)</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 for the year</w:t>
            </w:r>
          </w:p>
        </w:tc>
        <w:tc>
          <w:tcPr>
            <w:tcW w:w="1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33,680</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F0F0F0"/>
          </w:tcPr>
          <w:p>
            <w:pPr>
              <w:spacing w:after="0"/>
              <w:rPr>
                <w:sz w:val="18"/>
                <w:szCs w:val="18"/>
                <w:color w:val="auto"/>
              </w:rPr>
            </w:pPr>
          </w:p>
        </w:tc>
        <w:tc>
          <w:tcPr>
            <w:tcW w:w="740" w:type="dxa"/>
            <w:vAlign w:val="bottom"/>
            <w:gridSpan w:val="2"/>
            <w:shd w:val="clear" w:color="auto" w:fill="F0F0F0"/>
          </w:tcPr>
          <w:p>
            <w:pPr>
              <w:jc w:val="right"/>
              <w:ind w:right="28"/>
              <w:spacing w:after="0"/>
              <w:rPr>
                <w:sz w:val="20"/>
                <w:szCs w:val="20"/>
                <w:color w:val="auto"/>
              </w:rPr>
            </w:pPr>
            <w:r>
              <w:rPr>
                <w:rFonts w:ascii="Times New Roman" w:cs="Times New Roman" w:eastAsia="Times New Roman" w:hAnsi="Times New Roman"/>
                <w:sz w:val="14"/>
                <w:szCs w:val="14"/>
                <w:color w:val="auto"/>
              </w:rPr>
              <w:t>33,680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1,383</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35,063</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Dividends - common shares</w:t>
            </w:r>
          </w:p>
        </w:tc>
        <w:tc>
          <w:tcPr>
            <w:tcW w:w="1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(16,704)</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F0F0F0"/>
          </w:tcPr>
          <w:p>
            <w:pPr>
              <w:spacing w:after="0"/>
              <w:rPr>
                <w:sz w:val="18"/>
                <w:szCs w:val="18"/>
                <w:color w:val="auto"/>
              </w:rPr>
            </w:pPr>
          </w:p>
        </w:tc>
        <w:tc>
          <w:tcPr>
            <w:tcW w:w="740" w:type="dxa"/>
            <w:vAlign w:val="bottom"/>
            <w:gridSpan w:val="2"/>
            <w:shd w:val="clear" w:color="auto" w:fill="F0F0F0"/>
          </w:tcPr>
          <w:p>
            <w:pPr>
              <w:jc w:val="right"/>
              <w:spacing w:after="0"/>
              <w:rPr>
                <w:sz w:val="20"/>
                <w:szCs w:val="20"/>
                <w:color w:val="auto"/>
              </w:rPr>
            </w:pPr>
            <w:r>
              <w:rPr>
                <w:rFonts w:ascii="Times New Roman" w:cs="Times New Roman" w:eastAsia="Times New Roman" w:hAnsi="Times New Roman"/>
                <w:sz w:val="14"/>
                <w:szCs w:val="14"/>
                <w:color w:val="auto"/>
              </w:rPr>
              <w:t>(16,704)</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(658)</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(17,362)</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(2,630)</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F0F0F0"/>
          </w:tcPr>
          <w:p>
            <w:pPr>
              <w:spacing w:after="0"/>
              <w:rPr>
                <w:sz w:val="18"/>
                <w:szCs w:val="18"/>
                <w:color w:val="auto"/>
              </w:rPr>
            </w:pPr>
          </w:p>
        </w:tc>
        <w:tc>
          <w:tcPr>
            <w:tcW w:w="740" w:type="dxa"/>
            <w:vAlign w:val="bottom"/>
            <w:gridSpan w:val="2"/>
            <w:shd w:val="clear" w:color="auto" w:fill="F0F0F0"/>
          </w:tcPr>
          <w:p>
            <w:pPr>
              <w:jc w:val="right"/>
              <w:spacing w:after="0"/>
              <w:rPr>
                <w:sz w:val="20"/>
                <w:szCs w:val="20"/>
                <w:color w:val="auto"/>
              </w:rPr>
            </w:pPr>
            <w:r>
              <w:rPr>
                <w:rFonts w:ascii="Times New Roman" w:cs="Times New Roman" w:eastAsia="Times New Roman" w:hAnsi="Times New Roman"/>
                <w:sz w:val="14"/>
                <w:szCs w:val="14"/>
                <w:color w:val="auto"/>
              </w:rPr>
              <w:t>(2,630)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(320)</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(2,950)</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Share repurchases, at cost</w:t>
            </w:r>
          </w:p>
        </w:tc>
        <w:tc>
          <w:tcPr>
            <w:tcW w:w="1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(19,451)</w:t>
            </w:r>
          </w:p>
        </w:tc>
        <w:tc>
          <w:tcPr>
            <w:tcW w:w="260" w:type="dxa"/>
            <w:vAlign w:val="bottom"/>
            <w:shd w:val="clear" w:color="auto" w:fill="F0F0F0"/>
          </w:tcPr>
          <w:p>
            <w:pPr>
              <w:spacing w:after="0"/>
              <w:rPr>
                <w:sz w:val="18"/>
                <w:szCs w:val="18"/>
                <w:color w:val="auto"/>
              </w:rPr>
            </w:pPr>
          </w:p>
        </w:tc>
        <w:tc>
          <w:tcPr>
            <w:tcW w:w="740" w:type="dxa"/>
            <w:vAlign w:val="bottom"/>
            <w:gridSpan w:val="2"/>
            <w:shd w:val="clear" w:color="auto" w:fill="F0F0F0"/>
          </w:tcPr>
          <w:p>
            <w:pPr>
              <w:jc w:val="right"/>
              <w:spacing w:after="0"/>
              <w:rPr>
                <w:sz w:val="20"/>
                <w:szCs w:val="20"/>
                <w:color w:val="auto"/>
              </w:rPr>
            </w:pPr>
            <w:r>
              <w:rPr>
                <w:rFonts w:ascii="Times New Roman" w:cs="Times New Roman" w:eastAsia="Times New Roman" w:hAnsi="Times New Roman"/>
                <w:sz w:val="14"/>
                <w:szCs w:val="14"/>
                <w:color w:val="auto"/>
              </w:rPr>
              <w:t>(19,451)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(616)</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(20,067)</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Issued for acquisitions</w:t>
            </w:r>
          </w:p>
        </w:tc>
        <w:tc>
          <w:tcPr>
            <w:tcW w:w="1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28,749</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34,603</w:t>
            </w:r>
          </w:p>
        </w:tc>
        <w:tc>
          <w:tcPr>
            <w:tcW w:w="260" w:type="dxa"/>
            <w:vAlign w:val="bottom"/>
            <w:shd w:val="clear" w:color="auto" w:fill="F0F0F0"/>
          </w:tcPr>
          <w:p>
            <w:pPr>
              <w:spacing w:after="0"/>
              <w:rPr>
                <w:sz w:val="18"/>
                <w:szCs w:val="18"/>
                <w:color w:val="auto"/>
              </w:rPr>
            </w:pPr>
          </w:p>
        </w:tc>
        <w:tc>
          <w:tcPr>
            <w:tcW w:w="740" w:type="dxa"/>
            <w:vAlign w:val="bottom"/>
            <w:gridSpan w:val="2"/>
            <w:shd w:val="clear" w:color="auto" w:fill="F0F0F0"/>
          </w:tcPr>
          <w:p>
            <w:pPr>
              <w:jc w:val="right"/>
              <w:ind w:right="28"/>
              <w:spacing w:after="0"/>
              <w:rPr>
                <w:sz w:val="20"/>
                <w:szCs w:val="20"/>
                <w:color w:val="auto"/>
              </w:rPr>
            </w:pPr>
            <w:r>
              <w:rPr>
                <w:rFonts w:ascii="Times New Roman" w:cs="Times New Roman" w:eastAsia="Times New Roman" w:hAnsi="Times New Roman"/>
                <w:sz w:val="14"/>
                <w:szCs w:val="14"/>
                <w:color w:val="auto"/>
              </w:rPr>
              <w:t>63,352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63,352</w:t>
            </w:r>
          </w:p>
        </w:tc>
        <w:tc>
          <w:tcPr>
            <w:tcW w:w="0" w:type="dxa"/>
            <w:vAlign w:val="bottom"/>
          </w:tcPr>
          <w:p>
            <w:pPr>
              <w:spacing w:after="0"/>
              <w:rPr>
                <w:sz w:val="1"/>
                <w:szCs w:val="1"/>
                <w:color w:val="auto"/>
              </w:rPr>
            </w:pPr>
          </w:p>
        </w:tc>
      </w:tr>
      <w:tr>
        <w:trPr>
          <w:trHeight w:val="239"/>
        </w:trPr>
        <w:tc>
          <w:tcPr>
            <w:tcW w:w="2480" w:type="dxa"/>
            <w:vAlign w:val="bottom"/>
          </w:tcPr>
          <w:p>
            <w:pPr>
              <w:spacing w:after="0"/>
              <w:rPr>
                <w:sz w:val="20"/>
                <w:szCs w:val="20"/>
                <w:color w:val="auto"/>
              </w:rPr>
            </w:pPr>
            <w:r>
              <w:rPr>
                <w:rFonts w:ascii="Times New Roman" w:cs="Times New Roman" w:eastAsia="Times New Roman" w:hAnsi="Times New Roman"/>
                <w:sz w:val="14"/>
                <w:szCs w:val="14"/>
                <w:color w:val="auto"/>
              </w:rPr>
              <w:t>Dispositions</w:t>
            </w:r>
          </w:p>
        </w:tc>
        <w:tc>
          <w:tcPr>
            <w:tcW w:w="1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948</w:t>
            </w:r>
          </w:p>
        </w:tc>
        <w:tc>
          <w:tcPr>
            <w:tcW w:w="260" w:type="dxa"/>
            <w:vAlign w:val="bottom"/>
            <w:tcBorders>
              <w:bottom w:val="single" w:sz="8" w:color="F0F0F0"/>
            </w:tcBorders>
            <w:shd w:val="clear" w:color="auto" w:fill="F0F0F0"/>
          </w:tcPr>
          <w:p>
            <w:pPr>
              <w:spacing w:after="0"/>
              <w:rPr>
                <w:sz w:val="20"/>
                <w:szCs w:val="20"/>
                <w:color w:val="auto"/>
              </w:rPr>
            </w:pPr>
          </w:p>
        </w:tc>
        <w:tc>
          <w:tcPr>
            <w:tcW w:w="740" w:type="dxa"/>
            <w:vAlign w:val="bottom"/>
            <w:tcBorders>
              <w:bottom w:val="single" w:sz="8" w:color="F0F0F0"/>
            </w:tcBorders>
            <w:gridSpan w:val="2"/>
            <w:shd w:val="clear" w:color="auto" w:fill="F0F0F0"/>
          </w:tcPr>
          <w:p>
            <w:pPr>
              <w:jc w:val="right"/>
              <w:ind w:right="8"/>
              <w:spacing w:after="0"/>
              <w:rPr>
                <w:sz w:val="20"/>
                <w:szCs w:val="20"/>
                <w:color w:val="auto"/>
              </w:rPr>
            </w:pPr>
            <w:r>
              <w:rPr>
                <w:rFonts w:ascii="Times New Roman" w:cs="Times New Roman" w:eastAsia="Times New Roman" w:hAnsi="Times New Roman"/>
                <w:sz w:val="14"/>
                <w:szCs w:val="14"/>
                <w:color w:val="auto"/>
              </w:rPr>
              <w:t>948</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948</w:t>
            </w:r>
          </w:p>
        </w:tc>
        <w:tc>
          <w:tcPr>
            <w:tcW w:w="0" w:type="dxa"/>
            <w:vAlign w:val="bottom"/>
          </w:tcPr>
          <w:p>
            <w:pPr>
              <w:spacing w:after="0"/>
              <w:rPr>
                <w:sz w:val="1"/>
                <w:szCs w:val="1"/>
                <w:color w:val="auto"/>
              </w:rPr>
            </w:pPr>
          </w:p>
        </w:tc>
      </w:tr>
      <w:tr>
        <w:trPr>
          <w:trHeight w:val="203"/>
        </w:trPr>
        <w:tc>
          <w:tcPr>
            <w:tcW w:w="2480" w:type="dxa"/>
            <w:vAlign w:val="bottom"/>
            <w:tcBorders>
              <w:top w:val="single" w:sz="8" w:color="0C479D"/>
              <w:bottom w:val="single" w:sz="8" w:color="0C479D"/>
            </w:tcBorders>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1200" w:type="dxa"/>
            <w:vAlign w:val="bottom"/>
            <w:tcBorders>
              <w:top w:val="single" w:sz="8" w:color="0C479D"/>
              <w:bottom w:val="single" w:sz="8" w:color="0C479D"/>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46,238</w:t>
            </w:r>
          </w:p>
        </w:tc>
        <w:tc>
          <w:tcPr>
            <w:tcW w:w="960" w:type="dxa"/>
            <w:vAlign w:val="bottom"/>
            <w:tcBorders>
              <w:top w:val="single" w:sz="8" w:color="0C479D"/>
              <w:bottom w:val="single" w:sz="8" w:color="0C479D"/>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470,903</w:t>
            </w:r>
          </w:p>
        </w:tc>
        <w:tc>
          <w:tcPr>
            <w:tcW w:w="1140" w:type="dxa"/>
            <w:vAlign w:val="bottom"/>
            <w:tcBorders>
              <w:top w:val="single" w:sz="8" w:color="0C479D"/>
              <w:bottom w:val="single" w:sz="8" w:color="0C479D"/>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(14,619)</w:t>
            </w:r>
          </w:p>
        </w:tc>
        <w:tc>
          <w:tcPr>
            <w:tcW w:w="960" w:type="dxa"/>
            <w:vAlign w:val="bottom"/>
            <w:tcBorders>
              <w:top w:val="single" w:sz="8" w:color="0C479D"/>
              <w:bottom w:val="single" w:sz="8" w:color="0C479D"/>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(238,817)</w:t>
            </w:r>
          </w:p>
        </w:tc>
        <w:tc>
          <w:tcPr>
            <w:tcW w:w="260" w:type="dxa"/>
            <w:vAlign w:val="bottom"/>
            <w:tcBorders>
              <w:top w:val="single" w:sz="8" w:color="0C479D"/>
              <w:bottom w:val="single" w:sz="8" w:color="0C479D"/>
            </w:tcBorders>
            <w:shd w:val="clear" w:color="auto" w:fill="F0F0F0"/>
          </w:tcPr>
          <w:p>
            <w:pPr>
              <w:spacing w:after="0"/>
              <w:rPr>
                <w:sz w:val="17"/>
                <w:szCs w:val="17"/>
                <w:color w:val="auto"/>
              </w:rPr>
            </w:pPr>
          </w:p>
        </w:tc>
        <w:tc>
          <w:tcPr>
            <w:tcW w:w="740" w:type="dxa"/>
            <w:vAlign w:val="bottom"/>
            <w:tcBorders>
              <w:top w:val="single" w:sz="8" w:color="0C479D"/>
              <w:bottom w:val="single" w:sz="8" w:color="0C479D"/>
            </w:tcBorders>
            <w:gridSpan w:val="2"/>
            <w:shd w:val="clear" w:color="auto" w:fill="F0F0F0"/>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263,705</w:t>
            </w:r>
          </w:p>
        </w:tc>
        <w:tc>
          <w:tcPr>
            <w:tcW w:w="220" w:type="dxa"/>
            <w:vAlign w:val="bottom"/>
            <w:tcBorders>
              <w:top w:val="single" w:sz="8" w:color="0C479D"/>
              <w:bottom w:val="single" w:sz="8" w:color="0C479D"/>
            </w:tcBorders>
          </w:tcPr>
          <w:p>
            <w:pPr>
              <w:spacing w:after="0"/>
              <w:rPr>
                <w:sz w:val="17"/>
                <w:szCs w:val="17"/>
                <w:color w:val="auto"/>
              </w:rPr>
            </w:pPr>
          </w:p>
        </w:tc>
        <w:tc>
          <w:tcPr>
            <w:tcW w:w="60" w:type="dxa"/>
            <w:vAlign w:val="bottom"/>
            <w:tcBorders>
              <w:top w:val="single" w:sz="8" w:color="0C479D"/>
              <w:bottom w:val="single" w:sz="8" w:color="0C479D"/>
            </w:tcBorders>
          </w:tcPr>
          <w:p>
            <w:pPr>
              <w:spacing w:after="0"/>
              <w:rPr>
                <w:sz w:val="17"/>
                <w:szCs w:val="17"/>
                <w:color w:val="auto"/>
              </w:rPr>
            </w:pPr>
          </w:p>
        </w:tc>
        <w:tc>
          <w:tcPr>
            <w:tcW w:w="820" w:type="dxa"/>
            <w:vAlign w:val="bottom"/>
            <w:tcBorders>
              <w:top w:val="single" w:sz="8" w:color="0C479D"/>
              <w:bottom w:val="single" w:sz="8" w:color="0C479D"/>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6,901</w:t>
            </w:r>
          </w:p>
        </w:tc>
        <w:tc>
          <w:tcPr>
            <w:tcW w:w="860" w:type="dxa"/>
            <w:vAlign w:val="bottom"/>
            <w:tcBorders>
              <w:top w:val="single" w:sz="8" w:color="0C479D"/>
              <w:bottom w:val="single" w:sz="8" w:color="0C479D"/>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270,606</w:t>
            </w:r>
          </w:p>
        </w:tc>
        <w:tc>
          <w:tcPr>
            <w:tcW w:w="0" w:type="dxa"/>
            <w:vAlign w:val="bottom"/>
          </w:tcPr>
          <w:p>
            <w:pPr>
              <w:spacing w:after="0"/>
              <w:rPr>
                <w:sz w:val="1"/>
                <w:szCs w:val="1"/>
                <w:color w:val="auto"/>
              </w:rPr>
            </w:pPr>
          </w:p>
        </w:tc>
      </w:tr>
      <w:tr>
        <w:trPr>
          <w:trHeight w:val="513"/>
        </w:trPr>
        <w:tc>
          <w:tcPr>
            <w:tcW w:w="2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480" w:type="dxa"/>
            <w:vAlign w:val="bottom"/>
            <w:shd w:val="clear" w:color="auto" w:fill="0C479D"/>
          </w:tcPr>
          <w:p>
            <w:pPr>
              <w:ind w:left="20"/>
              <w:spacing w:after="0"/>
              <w:rPr>
                <w:sz w:val="20"/>
                <w:szCs w:val="20"/>
                <w:color w:val="auto"/>
              </w:rPr>
            </w:pPr>
            <w:r>
              <w:rPr>
                <w:rFonts w:ascii="Times New Roman" w:cs="Times New Roman" w:eastAsia="Times New Roman" w:hAnsi="Times New Roman"/>
                <w:sz w:val="14"/>
                <w:szCs w:val="14"/>
                <w:b w:val="1"/>
                <w:bCs w:val="1"/>
                <w:color w:val="FFFFFF"/>
              </w:rPr>
              <w:t>Common Stock Share Activity</w:t>
            </w:r>
          </w:p>
        </w:tc>
        <w:tc>
          <w:tcPr>
            <w:tcW w:w="1200" w:type="dxa"/>
            <w:vAlign w:val="bottom"/>
            <w:shd w:val="clear" w:color="auto" w:fill="0C479D"/>
          </w:tcPr>
          <w:p>
            <w:pPr>
              <w:spacing w:after="0"/>
              <w:rPr>
                <w:sz w:val="14"/>
                <w:szCs w:val="14"/>
                <w:color w:val="auto"/>
              </w:rPr>
            </w:pPr>
          </w:p>
        </w:tc>
        <w:tc>
          <w:tcPr>
            <w:tcW w:w="960" w:type="dxa"/>
            <w:vAlign w:val="bottom"/>
            <w:shd w:val="clear" w:color="auto" w:fill="0C479D"/>
          </w:tcPr>
          <w:p>
            <w:pPr>
              <w:spacing w:after="0"/>
              <w:rPr>
                <w:sz w:val="14"/>
                <w:szCs w:val="14"/>
                <w:color w:val="auto"/>
              </w:rPr>
            </w:pPr>
          </w:p>
        </w:tc>
        <w:tc>
          <w:tcPr>
            <w:tcW w:w="1140" w:type="dxa"/>
            <w:vAlign w:val="bottom"/>
            <w:shd w:val="clear" w:color="auto" w:fill="0C479D"/>
          </w:tcPr>
          <w:p>
            <w:pPr>
              <w:spacing w:after="0"/>
              <w:rPr>
                <w:sz w:val="14"/>
                <w:szCs w:val="14"/>
                <w:color w:val="auto"/>
              </w:rPr>
            </w:pPr>
          </w:p>
        </w:tc>
        <w:tc>
          <w:tcPr>
            <w:tcW w:w="960" w:type="dxa"/>
            <w:vAlign w:val="bottom"/>
            <w:vMerge w:val="restart"/>
            <w:shd w:val="clear" w:color="auto" w:fill="0C479D"/>
          </w:tcPr>
          <w:p>
            <w:pPr>
              <w:jc w:val="right"/>
              <w:ind w:right="48"/>
              <w:spacing w:after="0"/>
              <w:rPr>
                <w:sz w:val="20"/>
                <w:szCs w:val="20"/>
                <w:color w:val="auto"/>
              </w:rPr>
            </w:pPr>
            <w:r>
              <w:rPr>
                <w:rFonts w:ascii="Times New Roman" w:cs="Times New Roman" w:eastAsia="Times New Roman" w:hAnsi="Times New Roman"/>
                <w:sz w:val="14"/>
                <w:szCs w:val="14"/>
                <w:b w:val="1"/>
                <w:bCs w:val="1"/>
                <w:color w:val="FFFFFF"/>
              </w:rPr>
              <w:t>Issued</w:t>
            </w:r>
          </w:p>
        </w:tc>
        <w:tc>
          <w:tcPr>
            <w:tcW w:w="260" w:type="dxa"/>
            <w:vAlign w:val="bottom"/>
            <w:shd w:val="clear" w:color="auto" w:fill="0C479D"/>
          </w:tcPr>
          <w:p>
            <w:pPr>
              <w:spacing w:after="0"/>
              <w:rPr>
                <w:sz w:val="14"/>
                <w:szCs w:val="14"/>
                <w:color w:val="auto"/>
              </w:rPr>
            </w:pPr>
          </w:p>
        </w:tc>
        <w:tc>
          <w:tcPr>
            <w:tcW w:w="80" w:type="dxa"/>
            <w:vAlign w:val="bottom"/>
            <w:shd w:val="clear" w:color="auto" w:fill="0C479D"/>
          </w:tcPr>
          <w:p>
            <w:pPr>
              <w:spacing w:after="0"/>
              <w:rPr>
                <w:sz w:val="14"/>
                <w:szCs w:val="14"/>
                <w:color w:val="auto"/>
              </w:rPr>
            </w:pPr>
          </w:p>
        </w:tc>
        <w:tc>
          <w:tcPr>
            <w:tcW w:w="880" w:type="dxa"/>
            <w:vAlign w:val="bottom"/>
            <w:gridSpan w:val="2"/>
            <w:shd w:val="clear" w:color="auto" w:fill="0C479D"/>
          </w:tcPr>
          <w:p>
            <w:pPr>
              <w:jc w:val="center"/>
              <w:ind w:left="348"/>
              <w:spacing w:after="0"/>
              <w:rPr>
                <w:sz w:val="20"/>
                <w:szCs w:val="20"/>
                <w:color w:val="auto"/>
              </w:rPr>
            </w:pPr>
            <w:r>
              <w:rPr>
                <w:rFonts w:ascii="Times New Roman" w:cs="Times New Roman" w:eastAsia="Times New Roman" w:hAnsi="Times New Roman"/>
                <w:sz w:val="14"/>
                <w:szCs w:val="14"/>
                <w:b w:val="1"/>
                <w:bCs w:val="1"/>
                <w:color w:val="FFFFFF"/>
              </w:rPr>
              <w:t>Held in</w:t>
            </w:r>
          </w:p>
        </w:tc>
        <w:tc>
          <w:tcPr>
            <w:tcW w:w="60" w:type="dxa"/>
            <w:vAlign w:val="bottom"/>
            <w:shd w:val="clear" w:color="auto" w:fill="0C479D"/>
          </w:tcPr>
          <w:p>
            <w:pPr>
              <w:spacing w:after="0"/>
              <w:rPr>
                <w:sz w:val="14"/>
                <w:szCs w:val="14"/>
                <w:color w:val="auto"/>
              </w:rPr>
            </w:pPr>
          </w:p>
        </w:tc>
        <w:tc>
          <w:tcPr>
            <w:tcW w:w="1680" w:type="dxa"/>
            <w:vAlign w:val="bottom"/>
            <w:gridSpan w:val="2"/>
            <w:vMerge w:val="restart"/>
            <w:shd w:val="clear" w:color="auto" w:fill="0C479D"/>
          </w:tcPr>
          <w:p>
            <w:pPr>
              <w:jc w:val="right"/>
              <w:ind w:right="208"/>
              <w:spacing w:after="0"/>
              <w:rPr>
                <w:sz w:val="20"/>
                <w:szCs w:val="20"/>
                <w:color w:val="auto"/>
              </w:rPr>
            </w:pPr>
            <w:r>
              <w:rPr>
                <w:rFonts w:ascii="Times New Roman" w:cs="Times New Roman" w:eastAsia="Times New Roman" w:hAnsi="Times New Roman"/>
                <w:sz w:val="14"/>
                <w:szCs w:val="14"/>
                <w:b w:val="1"/>
                <w:bCs w:val="1"/>
                <w:color w:val="FFFFFF"/>
              </w:rPr>
              <w:t>Outstanding</w:t>
            </w:r>
          </w:p>
        </w:tc>
        <w:tc>
          <w:tcPr>
            <w:tcW w:w="0" w:type="dxa"/>
            <w:vAlign w:val="bottom"/>
          </w:tcPr>
          <w:p>
            <w:pPr>
              <w:spacing w:after="0"/>
              <w:rPr>
                <w:sz w:val="1"/>
                <w:szCs w:val="1"/>
                <w:color w:val="auto"/>
              </w:rPr>
            </w:pPr>
          </w:p>
        </w:tc>
      </w:tr>
      <w:tr>
        <w:trPr>
          <w:trHeight w:val="112"/>
        </w:trPr>
        <w:tc>
          <w:tcPr>
            <w:tcW w:w="2480" w:type="dxa"/>
            <w:vAlign w:val="bottom"/>
            <w:vMerge w:val="restart"/>
            <w:shd w:val="clear" w:color="auto" w:fill="0C479D"/>
          </w:tcPr>
          <w:p>
            <w:pPr>
              <w:ind w:left="20"/>
              <w:spacing w:after="0"/>
              <w:rPr>
                <w:sz w:val="20"/>
                <w:szCs w:val="20"/>
                <w:color w:val="auto"/>
              </w:rPr>
            </w:pPr>
            <w:r>
              <w:rPr>
                <w:rFonts w:ascii="Times New Roman" w:cs="Times New Roman" w:eastAsia="Times New Roman" w:hAnsi="Times New Roman"/>
                <w:sz w:val="14"/>
                <w:szCs w:val="14"/>
                <w:i w:val="1"/>
                <w:iCs w:val="1"/>
                <w:color w:val="FFFFFF"/>
              </w:rPr>
              <w:t>(millions of shares)</w:t>
            </w:r>
          </w:p>
        </w:tc>
        <w:tc>
          <w:tcPr>
            <w:tcW w:w="1200" w:type="dxa"/>
            <w:vAlign w:val="bottom"/>
            <w:shd w:val="clear" w:color="auto" w:fill="0C479D"/>
          </w:tcPr>
          <w:p>
            <w:pPr>
              <w:spacing w:after="0"/>
              <w:rPr>
                <w:sz w:val="9"/>
                <w:szCs w:val="9"/>
                <w:color w:val="auto"/>
              </w:rPr>
            </w:pPr>
          </w:p>
        </w:tc>
        <w:tc>
          <w:tcPr>
            <w:tcW w:w="960" w:type="dxa"/>
            <w:vAlign w:val="bottom"/>
            <w:shd w:val="clear" w:color="auto" w:fill="0C479D"/>
          </w:tcPr>
          <w:p>
            <w:pPr>
              <w:spacing w:after="0"/>
              <w:rPr>
                <w:sz w:val="9"/>
                <w:szCs w:val="9"/>
                <w:color w:val="auto"/>
              </w:rPr>
            </w:pPr>
          </w:p>
        </w:tc>
        <w:tc>
          <w:tcPr>
            <w:tcW w:w="1140" w:type="dxa"/>
            <w:vAlign w:val="bottom"/>
            <w:shd w:val="clear" w:color="auto" w:fill="0C479D"/>
          </w:tcPr>
          <w:p>
            <w:pPr>
              <w:spacing w:after="0"/>
              <w:rPr>
                <w:sz w:val="9"/>
                <w:szCs w:val="9"/>
                <w:color w:val="auto"/>
              </w:rPr>
            </w:pPr>
          </w:p>
        </w:tc>
        <w:tc>
          <w:tcPr>
            <w:tcW w:w="960" w:type="dxa"/>
            <w:vAlign w:val="bottom"/>
            <w:vMerge w:val="continue"/>
            <w:shd w:val="clear" w:color="auto" w:fill="0C479D"/>
          </w:tcPr>
          <w:p>
            <w:pPr>
              <w:spacing w:after="0"/>
              <w:rPr>
                <w:sz w:val="9"/>
                <w:szCs w:val="9"/>
                <w:color w:val="auto"/>
              </w:rPr>
            </w:pPr>
          </w:p>
        </w:tc>
        <w:tc>
          <w:tcPr>
            <w:tcW w:w="260" w:type="dxa"/>
            <w:vAlign w:val="bottom"/>
            <w:shd w:val="clear" w:color="auto" w:fill="0C479D"/>
          </w:tcPr>
          <w:p>
            <w:pPr>
              <w:spacing w:after="0"/>
              <w:rPr>
                <w:sz w:val="9"/>
                <w:szCs w:val="9"/>
                <w:color w:val="auto"/>
              </w:rPr>
            </w:pPr>
          </w:p>
        </w:tc>
        <w:tc>
          <w:tcPr>
            <w:tcW w:w="80" w:type="dxa"/>
            <w:vAlign w:val="bottom"/>
            <w:shd w:val="clear" w:color="auto" w:fill="0C479D"/>
          </w:tcPr>
          <w:p>
            <w:pPr>
              <w:spacing w:after="0"/>
              <w:rPr>
                <w:sz w:val="9"/>
                <w:szCs w:val="9"/>
                <w:color w:val="auto"/>
              </w:rPr>
            </w:pPr>
          </w:p>
        </w:tc>
        <w:tc>
          <w:tcPr>
            <w:tcW w:w="940" w:type="dxa"/>
            <w:vAlign w:val="bottom"/>
            <w:gridSpan w:val="3"/>
            <w:vMerge w:val="restart"/>
            <w:shd w:val="clear" w:color="auto" w:fill="0C479D"/>
          </w:tcPr>
          <w:p>
            <w:pPr>
              <w:jc w:val="center"/>
              <w:ind w:left="268"/>
              <w:spacing w:after="0"/>
              <w:rPr>
                <w:sz w:val="20"/>
                <w:szCs w:val="20"/>
                <w:color w:val="auto"/>
              </w:rPr>
            </w:pPr>
            <w:r>
              <w:rPr>
                <w:rFonts w:ascii="Times New Roman" w:cs="Times New Roman" w:eastAsia="Times New Roman" w:hAnsi="Times New Roman"/>
                <w:sz w:val="14"/>
                <w:szCs w:val="14"/>
                <w:b w:val="1"/>
                <w:bCs w:val="1"/>
                <w:color w:val="FFFFFF"/>
              </w:rPr>
              <w:t>Treasury</w:t>
            </w:r>
          </w:p>
        </w:tc>
        <w:tc>
          <w:tcPr>
            <w:tcW w:w="1680" w:type="dxa"/>
            <w:vAlign w:val="bottom"/>
            <w:gridSpan w:val="2"/>
            <w:vMerge w:val="continue"/>
            <w:shd w:val="clear" w:color="auto" w:fill="0C479D"/>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480" w:type="dxa"/>
            <w:vAlign w:val="bottom"/>
            <w:tcBorders>
              <w:bottom w:val="single" w:sz="8" w:color="0C479D"/>
            </w:tcBorders>
            <w:vMerge w:val="continue"/>
            <w:shd w:val="clear" w:color="auto" w:fill="0C479D"/>
          </w:tcPr>
          <w:p>
            <w:pPr>
              <w:spacing w:after="0"/>
              <w:rPr>
                <w:sz w:val="9"/>
                <w:szCs w:val="9"/>
                <w:color w:val="auto"/>
              </w:rPr>
            </w:pPr>
          </w:p>
        </w:tc>
        <w:tc>
          <w:tcPr>
            <w:tcW w:w="1200" w:type="dxa"/>
            <w:vAlign w:val="bottom"/>
            <w:tcBorders>
              <w:bottom w:val="single" w:sz="8" w:color="0C479D"/>
            </w:tcBorders>
            <w:shd w:val="clear" w:color="auto" w:fill="0C479D"/>
          </w:tcPr>
          <w:p>
            <w:pPr>
              <w:spacing w:after="0"/>
              <w:rPr>
                <w:sz w:val="9"/>
                <w:szCs w:val="9"/>
                <w:color w:val="auto"/>
              </w:rPr>
            </w:pPr>
          </w:p>
        </w:tc>
        <w:tc>
          <w:tcPr>
            <w:tcW w:w="960" w:type="dxa"/>
            <w:vAlign w:val="bottom"/>
            <w:tcBorders>
              <w:bottom w:val="single" w:sz="8" w:color="0C479D"/>
            </w:tcBorders>
            <w:shd w:val="clear" w:color="auto" w:fill="0C479D"/>
          </w:tcPr>
          <w:p>
            <w:pPr>
              <w:spacing w:after="0"/>
              <w:rPr>
                <w:sz w:val="9"/>
                <w:szCs w:val="9"/>
                <w:color w:val="auto"/>
              </w:rPr>
            </w:pPr>
          </w:p>
        </w:tc>
        <w:tc>
          <w:tcPr>
            <w:tcW w:w="1140" w:type="dxa"/>
            <w:vAlign w:val="bottom"/>
            <w:tcBorders>
              <w:bottom w:val="single" w:sz="8" w:color="0C479D"/>
            </w:tcBorders>
            <w:shd w:val="clear" w:color="auto" w:fill="0C479D"/>
          </w:tcPr>
          <w:p>
            <w:pPr>
              <w:spacing w:after="0"/>
              <w:rPr>
                <w:sz w:val="9"/>
                <w:szCs w:val="9"/>
                <w:color w:val="auto"/>
              </w:rPr>
            </w:pPr>
          </w:p>
        </w:tc>
        <w:tc>
          <w:tcPr>
            <w:tcW w:w="960" w:type="dxa"/>
            <w:vAlign w:val="bottom"/>
            <w:tcBorders>
              <w:bottom w:val="single" w:sz="8" w:color="0C479D"/>
            </w:tcBorders>
            <w:shd w:val="clear" w:color="auto" w:fill="0C479D"/>
          </w:tcPr>
          <w:p>
            <w:pPr>
              <w:spacing w:after="0"/>
              <w:rPr>
                <w:sz w:val="9"/>
                <w:szCs w:val="9"/>
                <w:color w:val="auto"/>
              </w:rPr>
            </w:pPr>
          </w:p>
        </w:tc>
        <w:tc>
          <w:tcPr>
            <w:tcW w:w="260" w:type="dxa"/>
            <w:vAlign w:val="bottom"/>
            <w:tcBorders>
              <w:bottom w:val="single" w:sz="8" w:color="0C479D"/>
            </w:tcBorders>
            <w:shd w:val="clear" w:color="auto" w:fill="0C479D"/>
          </w:tcPr>
          <w:p>
            <w:pPr>
              <w:spacing w:after="0"/>
              <w:rPr>
                <w:sz w:val="9"/>
                <w:szCs w:val="9"/>
                <w:color w:val="auto"/>
              </w:rPr>
            </w:pPr>
          </w:p>
        </w:tc>
        <w:tc>
          <w:tcPr>
            <w:tcW w:w="80" w:type="dxa"/>
            <w:vAlign w:val="bottom"/>
            <w:tcBorders>
              <w:bottom w:val="single" w:sz="8" w:color="0C479D"/>
            </w:tcBorders>
            <w:shd w:val="clear" w:color="auto" w:fill="0C479D"/>
          </w:tcPr>
          <w:p>
            <w:pPr>
              <w:spacing w:after="0"/>
              <w:rPr>
                <w:sz w:val="9"/>
                <w:szCs w:val="9"/>
                <w:color w:val="auto"/>
              </w:rPr>
            </w:pPr>
          </w:p>
        </w:tc>
        <w:tc>
          <w:tcPr>
            <w:tcW w:w="940" w:type="dxa"/>
            <w:vAlign w:val="bottom"/>
            <w:tcBorders>
              <w:bottom w:val="single" w:sz="8" w:color="0C479D"/>
            </w:tcBorders>
            <w:gridSpan w:val="3"/>
            <w:vMerge w:val="continue"/>
            <w:shd w:val="clear" w:color="auto" w:fill="0C479D"/>
          </w:tcPr>
          <w:p>
            <w:pPr>
              <w:spacing w:after="0"/>
              <w:rPr>
                <w:sz w:val="9"/>
                <w:szCs w:val="9"/>
                <w:color w:val="auto"/>
              </w:rPr>
            </w:pPr>
          </w:p>
        </w:tc>
        <w:tc>
          <w:tcPr>
            <w:tcW w:w="820" w:type="dxa"/>
            <w:vAlign w:val="bottom"/>
            <w:tcBorders>
              <w:bottom w:val="single" w:sz="8" w:color="0C479D"/>
            </w:tcBorders>
            <w:shd w:val="clear" w:color="auto" w:fill="0C479D"/>
          </w:tcPr>
          <w:p>
            <w:pPr>
              <w:spacing w:after="0"/>
              <w:rPr>
                <w:sz w:val="9"/>
                <w:szCs w:val="9"/>
                <w:color w:val="auto"/>
              </w:rPr>
            </w:pPr>
          </w:p>
        </w:tc>
        <w:tc>
          <w:tcPr>
            <w:tcW w:w="860" w:type="dxa"/>
            <w:vAlign w:val="bottom"/>
            <w:tcBorders>
              <w:bottom w:val="single" w:sz="8" w:color="0C479D"/>
            </w:tcBorders>
            <w:shd w:val="clear" w:color="auto" w:fill="0C479D"/>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480" w:type="dxa"/>
            <w:vAlign w:val="bottom"/>
            <w:tcBorders>
              <w:bottom w:val="single" w:sz="8" w:color="0C479D"/>
            </w:tcBorders>
          </w:tcPr>
          <w:p>
            <w:pPr>
              <w:spacing w:after="0"/>
              <w:rPr>
                <w:sz w:val="8"/>
                <w:szCs w:val="8"/>
                <w:color w:val="auto"/>
              </w:rPr>
            </w:pPr>
          </w:p>
        </w:tc>
        <w:tc>
          <w:tcPr>
            <w:tcW w:w="1200" w:type="dxa"/>
            <w:vAlign w:val="bottom"/>
            <w:tcBorders>
              <w:bottom w:val="single" w:sz="8" w:color="0C479D"/>
            </w:tcBorders>
          </w:tcPr>
          <w:p>
            <w:pPr>
              <w:spacing w:after="0"/>
              <w:rPr>
                <w:sz w:val="8"/>
                <w:szCs w:val="8"/>
                <w:color w:val="auto"/>
              </w:rPr>
            </w:pPr>
          </w:p>
        </w:tc>
        <w:tc>
          <w:tcPr>
            <w:tcW w:w="960" w:type="dxa"/>
            <w:vAlign w:val="bottom"/>
            <w:tcBorders>
              <w:bottom w:val="single" w:sz="8" w:color="0C479D"/>
            </w:tcBorders>
          </w:tcPr>
          <w:p>
            <w:pPr>
              <w:spacing w:after="0"/>
              <w:rPr>
                <w:sz w:val="8"/>
                <w:szCs w:val="8"/>
                <w:color w:val="auto"/>
              </w:rPr>
            </w:pPr>
          </w:p>
        </w:tc>
        <w:tc>
          <w:tcPr>
            <w:tcW w:w="1140" w:type="dxa"/>
            <w:vAlign w:val="bottom"/>
            <w:tcBorders>
              <w:bottom w:val="single" w:sz="8" w:color="0C479D"/>
            </w:tcBorders>
          </w:tcPr>
          <w:p>
            <w:pPr>
              <w:spacing w:after="0"/>
              <w:rPr>
                <w:sz w:val="8"/>
                <w:szCs w:val="8"/>
                <w:color w:val="auto"/>
              </w:rPr>
            </w:pPr>
          </w:p>
        </w:tc>
        <w:tc>
          <w:tcPr>
            <w:tcW w:w="1220" w:type="dxa"/>
            <w:vAlign w:val="bottom"/>
            <w:tcBorders>
              <w:bottom w:val="single" w:sz="8" w:color="0C479D"/>
            </w:tcBorders>
            <w:gridSpan w:val="2"/>
          </w:tcPr>
          <w:p>
            <w:pPr>
              <w:spacing w:after="0"/>
              <w:rPr>
                <w:sz w:val="8"/>
                <w:szCs w:val="8"/>
                <w:color w:val="auto"/>
              </w:rPr>
            </w:pPr>
          </w:p>
        </w:tc>
        <w:tc>
          <w:tcPr>
            <w:tcW w:w="80" w:type="dxa"/>
            <w:vAlign w:val="bottom"/>
            <w:tcBorders>
              <w:bottom w:val="single" w:sz="8" w:color="0C479D"/>
            </w:tcBorders>
          </w:tcPr>
          <w:p>
            <w:pPr>
              <w:spacing w:after="0"/>
              <w:rPr>
                <w:sz w:val="8"/>
                <w:szCs w:val="8"/>
                <w:color w:val="auto"/>
              </w:rPr>
            </w:pPr>
          </w:p>
        </w:tc>
        <w:tc>
          <w:tcPr>
            <w:tcW w:w="660" w:type="dxa"/>
            <w:vAlign w:val="bottom"/>
            <w:tcBorders>
              <w:bottom w:val="single" w:sz="8" w:color="0C479D"/>
            </w:tcBorders>
          </w:tcPr>
          <w:p>
            <w:pPr>
              <w:spacing w:after="0"/>
              <w:rPr>
                <w:sz w:val="8"/>
                <w:szCs w:val="8"/>
                <w:color w:val="auto"/>
              </w:rPr>
            </w:pPr>
          </w:p>
        </w:tc>
        <w:tc>
          <w:tcPr>
            <w:tcW w:w="1100" w:type="dxa"/>
            <w:vAlign w:val="bottom"/>
            <w:tcBorders>
              <w:bottom w:val="single" w:sz="8" w:color="0C479D"/>
            </w:tcBorders>
            <w:gridSpan w:val="3"/>
          </w:tcPr>
          <w:p>
            <w:pPr>
              <w:spacing w:after="0"/>
              <w:rPr>
                <w:sz w:val="8"/>
                <w:szCs w:val="8"/>
                <w:color w:val="auto"/>
              </w:rPr>
            </w:pPr>
          </w:p>
        </w:tc>
        <w:tc>
          <w:tcPr>
            <w:tcW w:w="860" w:type="dxa"/>
            <w:vAlign w:val="bottom"/>
            <w:tcBorders>
              <w:bottom w:val="single" w:sz="8" w:color="0C479D"/>
            </w:tcBorders>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48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2021</w:t>
            </w:r>
          </w:p>
        </w:tc>
        <w:tc>
          <w:tcPr>
            <w:tcW w:w="1200" w:type="dxa"/>
            <w:vAlign w:val="bottom"/>
            <w:tcBorders>
              <w:bottom w:val="single" w:sz="8" w:color="0C479D"/>
            </w:tcBorders>
          </w:tcPr>
          <w:p>
            <w:pPr>
              <w:spacing w:after="0"/>
              <w:rPr>
                <w:sz w:val="16"/>
                <w:szCs w:val="16"/>
                <w:color w:val="auto"/>
              </w:rPr>
            </w:pPr>
          </w:p>
        </w:tc>
        <w:tc>
          <w:tcPr>
            <w:tcW w:w="960" w:type="dxa"/>
            <w:vAlign w:val="bottom"/>
            <w:tcBorders>
              <w:bottom w:val="single" w:sz="8" w:color="0C479D"/>
            </w:tcBorders>
          </w:tcPr>
          <w:p>
            <w:pPr>
              <w:spacing w:after="0"/>
              <w:rPr>
                <w:sz w:val="16"/>
                <w:szCs w:val="16"/>
                <w:color w:val="auto"/>
              </w:rPr>
            </w:pPr>
          </w:p>
        </w:tc>
        <w:tc>
          <w:tcPr>
            <w:tcW w:w="1140" w:type="dxa"/>
            <w:vAlign w:val="bottom"/>
            <w:tcBorders>
              <w:bottom w:val="single" w:sz="8" w:color="0C479D"/>
            </w:tcBorders>
          </w:tcPr>
          <w:p>
            <w:pPr>
              <w:spacing w:after="0"/>
              <w:rPr>
                <w:sz w:val="16"/>
                <w:szCs w:val="16"/>
                <w:color w:val="auto"/>
              </w:rPr>
            </w:pPr>
          </w:p>
        </w:tc>
        <w:tc>
          <w:tcPr>
            <w:tcW w:w="1220" w:type="dxa"/>
            <w:vAlign w:val="bottom"/>
            <w:tcBorders>
              <w:bottom w:val="single" w:sz="8" w:color="0C479D"/>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8,019</w:t>
            </w:r>
          </w:p>
        </w:tc>
        <w:tc>
          <w:tcPr>
            <w:tcW w:w="80" w:type="dxa"/>
            <w:vAlign w:val="bottom"/>
            <w:tcBorders>
              <w:bottom w:val="single" w:sz="8" w:color="0C479D"/>
            </w:tcBorders>
          </w:tcPr>
          <w:p>
            <w:pPr>
              <w:spacing w:after="0"/>
              <w:rPr>
                <w:sz w:val="16"/>
                <w:szCs w:val="16"/>
                <w:color w:val="auto"/>
              </w:rPr>
            </w:pPr>
          </w:p>
        </w:tc>
        <w:tc>
          <w:tcPr>
            <w:tcW w:w="660" w:type="dxa"/>
            <w:vAlign w:val="bottom"/>
            <w:tcBorders>
              <w:bottom w:val="single" w:sz="8" w:color="0C479D"/>
            </w:tcBorders>
          </w:tcPr>
          <w:p>
            <w:pPr>
              <w:spacing w:after="0"/>
              <w:rPr>
                <w:sz w:val="16"/>
                <w:szCs w:val="16"/>
                <w:color w:val="auto"/>
              </w:rPr>
            </w:pPr>
          </w:p>
        </w:tc>
        <w:tc>
          <w:tcPr>
            <w:tcW w:w="1100" w:type="dxa"/>
            <w:vAlign w:val="bottom"/>
            <w:tcBorders>
              <w:bottom w:val="single" w:sz="8" w:color="0C479D"/>
            </w:tcBorders>
            <w:gridSpan w:val="3"/>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(3,780)</w:t>
            </w:r>
          </w:p>
        </w:tc>
        <w:tc>
          <w:tcPr>
            <w:tcW w:w="860" w:type="dxa"/>
            <w:vAlign w:val="bottom"/>
            <w:tcBorders>
              <w:bottom w:val="single" w:sz="8" w:color="0C479D"/>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4,239</w:t>
            </w:r>
          </w:p>
        </w:tc>
        <w:tc>
          <w:tcPr>
            <w:tcW w:w="0" w:type="dxa"/>
            <w:vAlign w:val="bottom"/>
          </w:tcPr>
          <w:p>
            <w:pPr>
              <w:spacing w:after="0"/>
              <w:rPr>
                <w:sz w:val="1"/>
                <w:szCs w:val="1"/>
                <w:color w:val="auto"/>
              </w:rPr>
            </w:pPr>
          </w:p>
        </w:tc>
      </w:tr>
      <w:tr>
        <w:trPr>
          <w:trHeight w:val="188"/>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 repurchases, at cost</w:t>
            </w: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w w:val="98"/>
              </w:rPr>
              <w:t>(165)</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0" w:type="dxa"/>
            <w:vAlign w:val="bottom"/>
          </w:tcPr>
          <w:p>
            <w:pPr>
              <w:spacing w:after="0"/>
              <w:rPr>
                <w:sz w:val="1"/>
                <w:szCs w:val="1"/>
                <w:color w:val="auto"/>
              </w:rPr>
            </w:pPr>
          </w:p>
        </w:tc>
      </w:tr>
      <w:tr>
        <w:trPr>
          <w:trHeight w:val="207"/>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Dispositions</w:t>
            </w: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8</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3"/>
        </w:trPr>
        <w:tc>
          <w:tcPr>
            <w:tcW w:w="2480" w:type="dxa"/>
            <w:vAlign w:val="bottom"/>
            <w:tcBorders>
              <w:bottom w:val="single" w:sz="8" w:color="0C479D"/>
            </w:tcBorders>
          </w:tcPr>
          <w:p>
            <w:pPr>
              <w:spacing w:after="0"/>
              <w:rPr>
                <w:sz w:val="2"/>
                <w:szCs w:val="2"/>
                <w:color w:val="auto"/>
              </w:rPr>
            </w:pPr>
          </w:p>
        </w:tc>
        <w:tc>
          <w:tcPr>
            <w:tcW w:w="1200" w:type="dxa"/>
            <w:vAlign w:val="bottom"/>
            <w:tcBorders>
              <w:bottom w:val="single" w:sz="8" w:color="0C479D"/>
            </w:tcBorders>
          </w:tcPr>
          <w:p>
            <w:pPr>
              <w:spacing w:after="0"/>
              <w:rPr>
                <w:sz w:val="2"/>
                <w:szCs w:val="2"/>
                <w:color w:val="auto"/>
              </w:rPr>
            </w:pPr>
          </w:p>
        </w:tc>
        <w:tc>
          <w:tcPr>
            <w:tcW w:w="960" w:type="dxa"/>
            <w:vAlign w:val="bottom"/>
            <w:tcBorders>
              <w:bottom w:val="single" w:sz="8" w:color="0C479D"/>
            </w:tcBorders>
          </w:tcPr>
          <w:p>
            <w:pPr>
              <w:spacing w:after="0"/>
              <w:rPr>
                <w:sz w:val="2"/>
                <w:szCs w:val="2"/>
                <w:color w:val="auto"/>
              </w:rPr>
            </w:pPr>
          </w:p>
        </w:tc>
        <w:tc>
          <w:tcPr>
            <w:tcW w:w="1140" w:type="dxa"/>
            <w:vAlign w:val="bottom"/>
            <w:tcBorders>
              <w:bottom w:val="single" w:sz="8" w:color="0C479D"/>
            </w:tcBorders>
          </w:tcPr>
          <w:p>
            <w:pPr>
              <w:spacing w:after="0"/>
              <w:rPr>
                <w:sz w:val="2"/>
                <w:szCs w:val="2"/>
                <w:color w:val="auto"/>
              </w:rPr>
            </w:pPr>
          </w:p>
        </w:tc>
        <w:tc>
          <w:tcPr>
            <w:tcW w:w="1220" w:type="dxa"/>
            <w:vAlign w:val="bottom"/>
            <w:tcBorders>
              <w:bottom w:val="single" w:sz="8" w:color="0C479D"/>
            </w:tcBorders>
            <w:gridSpan w:val="2"/>
          </w:tcPr>
          <w:p>
            <w:pPr>
              <w:spacing w:after="0"/>
              <w:rPr>
                <w:sz w:val="2"/>
                <w:szCs w:val="2"/>
                <w:color w:val="auto"/>
              </w:rPr>
            </w:pPr>
          </w:p>
        </w:tc>
        <w:tc>
          <w:tcPr>
            <w:tcW w:w="80" w:type="dxa"/>
            <w:vAlign w:val="bottom"/>
            <w:tcBorders>
              <w:bottom w:val="single" w:sz="8" w:color="0C479D"/>
            </w:tcBorders>
          </w:tcPr>
          <w:p>
            <w:pPr>
              <w:spacing w:after="0"/>
              <w:rPr>
                <w:sz w:val="2"/>
                <w:szCs w:val="2"/>
                <w:color w:val="auto"/>
              </w:rPr>
            </w:pPr>
          </w:p>
        </w:tc>
        <w:tc>
          <w:tcPr>
            <w:tcW w:w="660" w:type="dxa"/>
            <w:vAlign w:val="bottom"/>
            <w:tcBorders>
              <w:bottom w:val="single" w:sz="8" w:color="0C479D"/>
            </w:tcBorders>
          </w:tcPr>
          <w:p>
            <w:pPr>
              <w:spacing w:after="0"/>
              <w:rPr>
                <w:sz w:val="2"/>
                <w:szCs w:val="2"/>
                <w:color w:val="auto"/>
              </w:rPr>
            </w:pPr>
          </w:p>
        </w:tc>
        <w:tc>
          <w:tcPr>
            <w:tcW w:w="1100" w:type="dxa"/>
            <w:vAlign w:val="bottom"/>
            <w:tcBorders>
              <w:bottom w:val="single" w:sz="8" w:color="0C479D"/>
            </w:tcBorders>
            <w:gridSpan w:val="3"/>
          </w:tcPr>
          <w:p>
            <w:pPr>
              <w:spacing w:after="0"/>
              <w:rPr>
                <w:sz w:val="2"/>
                <w:szCs w:val="2"/>
                <w:color w:val="auto"/>
              </w:rPr>
            </w:pPr>
          </w:p>
        </w:tc>
        <w:tc>
          <w:tcPr>
            <w:tcW w:w="860" w:type="dxa"/>
            <w:vAlign w:val="bottom"/>
            <w:tcBorders>
              <w:bottom w:val="single" w:sz="8" w:color="0C479D"/>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48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2022</w:t>
            </w:r>
          </w:p>
        </w:tc>
        <w:tc>
          <w:tcPr>
            <w:tcW w:w="1200" w:type="dxa"/>
            <w:vAlign w:val="bottom"/>
            <w:tcBorders>
              <w:bottom w:val="single" w:sz="8" w:color="0C479D"/>
            </w:tcBorders>
          </w:tcPr>
          <w:p>
            <w:pPr>
              <w:spacing w:after="0"/>
              <w:rPr>
                <w:sz w:val="16"/>
                <w:szCs w:val="16"/>
                <w:color w:val="auto"/>
              </w:rPr>
            </w:pPr>
          </w:p>
        </w:tc>
        <w:tc>
          <w:tcPr>
            <w:tcW w:w="960" w:type="dxa"/>
            <w:vAlign w:val="bottom"/>
            <w:tcBorders>
              <w:bottom w:val="single" w:sz="8" w:color="0C479D"/>
            </w:tcBorders>
          </w:tcPr>
          <w:p>
            <w:pPr>
              <w:spacing w:after="0"/>
              <w:rPr>
                <w:sz w:val="16"/>
                <w:szCs w:val="16"/>
                <w:color w:val="auto"/>
              </w:rPr>
            </w:pPr>
          </w:p>
        </w:tc>
        <w:tc>
          <w:tcPr>
            <w:tcW w:w="1140" w:type="dxa"/>
            <w:vAlign w:val="bottom"/>
            <w:tcBorders>
              <w:bottom w:val="single" w:sz="8" w:color="0C479D"/>
            </w:tcBorders>
          </w:tcPr>
          <w:p>
            <w:pPr>
              <w:spacing w:after="0"/>
              <w:rPr>
                <w:sz w:val="16"/>
                <w:szCs w:val="16"/>
                <w:color w:val="auto"/>
              </w:rPr>
            </w:pPr>
          </w:p>
        </w:tc>
        <w:tc>
          <w:tcPr>
            <w:tcW w:w="1220" w:type="dxa"/>
            <w:vAlign w:val="bottom"/>
            <w:tcBorders>
              <w:bottom w:val="single" w:sz="8" w:color="0C479D"/>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8,019</w:t>
            </w:r>
          </w:p>
        </w:tc>
        <w:tc>
          <w:tcPr>
            <w:tcW w:w="80" w:type="dxa"/>
            <w:vAlign w:val="bottom"/>
            <w:tcBorders>
              <w:bottom w:val="single" w:sz="8" w:color="0C479D"/>
            </w:tcBorders>
          </w:tcPr>
          <w:p>
            <w:pPr>
              <w:spacing w:after="0"/>
              <w:rPr>
                <w:sz w:val="16"/>
                <w:szCs w:val="16"/>
                <w:color w:val="auto"/>
              </w:rPr>
            </w:pPr>
          </w:p>
        </w:tc>
        <w:tc>
          <w:tcPr>
            <w:tcW w:w="660" w:type="dxa"/>
            <w:vAlign w:val="bottom"/>
            <w:tcBorders>
              <w:bottom w:val="single" w:sz="8" w:color="0C479D"/>
            </w:tcBorders>
          </w:tcPr>
          <w:p>
            <w:pPr>
              <w:spacing w:after="0"/>
              <w:rPr>
                <w:sz w:val="16"/>
                <w:szCs w:val="16"/>
                <w:color w:val="auto"/>
              </w:rPr>
            </w:pPr>
          </w:p>
        </w:tc>
        <w:tc>
          <w:tcPr>
            <w:tcW w:w="1100" w:type="dxa"/>
            <w:vAlign w:val="bottom"/>
            <w:tcBorders>
              <w:bottom w:val="single" w:sz="8" w:color="0C479D"/>
            </w:tcBorders>
            <w:gridSpan w:val="3"/>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(3,937)</w:t>
            </w:r>
          </w:p>
        </w:tc>
        <w:tc>
          <w:tcPr>
            <w:tcW w:w="860" w:type="dxa"/>
            <w:vAlign w:val="bottom"/>
            <w:tcBorders>
              <w:bottom w:val="single" w:sz="8" w:color="0C479D"/>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4,082</w:t>
            </w:r>
          </w:p>
        </w:tc>
        <w:tc>
          <w:tcPr>
            <w:tcW w:w="0" w:type="dxa"/>
            <w:vAlign w:val="bottom"/>
          </w:tcPr>
          <w:p>
            <w:pPr>
              <w:spacing w:after="0"/>
              <w:rPr>
                <w:sz w:val="1"/>
                <w:szCs w:val="1"/>
                <w:color w:val="auto"/>
              </w:rPr>
            </w:pPr>
          </w:p>
        </w:tc>
      </w:tr>
      <w:tr>
        <w:trPr>
          <w:trHeight w:val="188"/>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 repurchases, at cost</w:t>
            </w: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w w:val="98"/>
              </w:rPr>
              <w:t>(165)</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0" w:type="dxa"/>
            <w:vAlign w:val="bottom"/>
          </w:tcPr>
          <w:p>
            <w:pPr>
              <w:spacing w:after="0"/>
              <w:rPr>
                <w:sz w:val="1"/>
                <w:szCs w:val="1"/>
                <w:color w:val="auto"/>
              </w:rPr>
            </w:pPr>
          </w:p>
        </w:tc>
      </w:tr>
      <w:tr>
        <w:trPr>
          <w:trHeight w:val="207"/>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Issued for acquisitions</w:t>
            </w: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46</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16"/>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Dispositions</w:t>
            </w: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ind w:right="468"/>
              <w:spacing w:after="0"/>
              <w:rPr>
                <w:sz w:val="20"/>
                <w:szCs w:val="20"/>
                <w:color w:val="auto"/>
              </w:rPr>
            </w:pPr>
            <w:r>
              <w:rPr>
                <w:rFonts w:ascii="Times New Roman" w:cs="Times New Roman" w:eastAsia="Times New Roman" w:hAnsi="Times New Roman"/>
                <w:sz w:val="14"/>
                <w:szCs w:val="14"/>
                <w:color w:val="auto"/>
              </w:rPr>
              <w:t>8</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3"/>
        </w:trPr>
        <w:tc>
          <w:tcPr>
            <w:tcW w:w="2480" w:type="dxa"/>
            <w:vAlign w:val="bottom"/>
            <w:tcBorders>
              <w:bottom w:val="single" w:sz="8" w:color="0C479D"/>
            </w:tcBorders>
          </w:tcPr>
          <w:p>
            <w:pPr>
              <w:spacing w:after="0"/>
              <w:rPr>
                <w:sz w:val="2"/>
                <w:szCs w:val="2"/>
                <w:color w:val="auto"/>
              </w:rPr>
            </w:pPr>
          </w:p>
        </w:tc>
        <w:tc>
          <w:tcPr>
            <w:tcW w:w="1200" w:type="dxa"/>
            <w:vAlign w:val="bottom"/>
            <w:tcBorders>
              <w:bottom w:val="single" w:sz="8" w:color="0C479D"/>
            </w:tcBorders>
          </w:tcPr>
          <w:p>
            <w:pPr>
              <w:spacing w:after="0"/>
              <w:rPr>
                <w:sz w:val="2"/>
                <w:szCs w:val="2"/>
                <w:color w:val="auto"/>
              </w:rPr>
            </w:pPr>
          </w:p>
        </w:tc>
        <w:tc>
          <w:tcPr>
            <w:tcW w:w="960" w:type="dxa"/>
            <w:vAlign w:val="bottom"/>
            <w:tcBorders>
              <w:bottom w:val="single" w:sz="8" w:color="0C479D"/>
            </w:tcBorders>
          </w:tcPr>
          <w:p>
            <w:pPr>
              <w:spacing w:after="0"/>
              <w:rPr>
                <w:sz w:val="2"/>
                <w:szCs w:val="2"/>
                <w:color w:val="auto"/>
              </w:rPr>
            </w:pPr>
          </w:p>
        </w:tc>
        <w:tc>
          <w:tcPr>
            <w:tcW w:w="1140" w:type="dxa"/>
            <w:vAlign w:val="bottom"/>
            <w:tcBorders>
              <w:bottom w:val="single" w:sz="8" w:color="0C479D"/>
            </w:tcBorders>
          </w:tcPr>
          <w:p>
            <w:pPr>
              <w:spacing w:after="0"/>
              <w:rPr>
                <w:sz w:val="2"/>
                <w:szCs w:val="2"/>
                <w:color w:val="auto"/>
              </w:rPr>
            </w:pPr>
          </w:p>
        </w:tc>
        <w:tc>
          <w:tcPr>
            <w:tcW w:w="1220" w:type="dxa"/>
            <w:vAlign w:val="bottom"/>
            <w:tcBorders>
              <w:bottom w:val="single" w:sz="8" w:color="0C479D"/>
            </w:tcBorders>
            <w:gridSpan w:val="2"/>
          </w:tcPr>
          <w:p>
            <w:pPr>
              <w:spacing w:after="0"/>
              <w:rPr>
                <w:sz w:val="2"/>
                <w:szCs w:val="2"/>
                <w:color w:val="auto"/>
              </w:rPr>
            </w:pPr>
          </w:p>
        </w:tc>
        <w:tc>
          <w:tcPr>
            <w:tcW w:w="80" w:type="dxa"/>
            <w:vAlign w:val="bottom"/>
            <w:tcBorders>
              <w:bottom w:val="single" w:sz="8" w:color="0C479D"/>
            </w:tcBorders>
          </w:tcPr>
          <w:p>
            <w:pPr>
              <w:spacing w:after="0"/>
              <w:rPr>
                <w:sz w:val="2"/>
                <w:szCs w:val="2"/>
                <w:color w:val="auto"/>
              </w:rPr>
            </w:pPr>
          </w:p>
        </w:tc>
        <w:tc>
          <w:tcPr>
            <w:tcW w:w="660" w:type="dxa"/>
            <w:vAlign w:val="bottom"/>
            <w:tcBorders>
              <w:bottom w:val="single" w:sz="8" w:color="0C479D"/>
            </w:tcBorders>
          </w:tcPr>
          <w:p>
            <w:pPr>
              <w:spacing w:after="0"/>
              <w:rPr>
                <w:sz w:val="2"/>
                <w:szCs w:val="2"/>
                <w:color w:val="auto"/>
              </w:rPr>
            </w:pPr>
          </w:p>
        </w:tc>
        <w:tc>
          <w:tcPr>
            <w:tcW w:w="1100" w:type="dxa"/>
            <w:vAlign w:val="bottom"/>
            <w:tcBorders>
              <w:bottom w:val="single" w:sz="8" w:color="0C479D"/>
            </w:tcBorders>
            <w:gridSpan w:val="3"/>
          </w:tcPr>
          <w:p>
            <w:pPr>
              <w:spacing w:after="0"/>
              <w:rPr>
                <w:sz w:val="2"/>
                <w:szCs w:val="2"/>
                <w:color w:val="auto"/>
              </w:rPr>
            </w:pPr>
          </w:p>
        </w:tc>
        <w:tc>
          <w:tcPr>
            <w:tcW w:w="860" w:type="dxa"/>
            <w:vAlign w:val="bottom"/>
            <w:tcBorders>
              <w:bottom w:val="single" w:sz="8" w:color="0C479D"/>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48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1200" w:type="dxa"/>
            <w:vAlign w:val="bottom"/>
            <w:tcBorders>
              <w:bottom w:val="single" w:sz="8" w:color="0C479D"/>
            </w:tcBorders>
          </w:tcPr>
          <w:p>
            <w:pPr>
              <w:spacing w:after="0"/>
              <w:rPr>
                <w:sz w:val="16"/>
                <w:szCs w:val="16"/>
                <w:color w:val="auto"/>
              </w:rPr>
            </w:pPr>
          </w:p>
        </w:tc>
        <w:tc>
          <w:tcPr>
            <w:tcW w:w="960" w:type="dxa"/>
            <w:vAlign w:val="bottom"/>
            <w:tcBorders>
              <w:bottom w:val="single" w:sz="8" w:color="0C479D"/>
            </w:tcBorders>
          </w:tcPr>
          <w:p>
            <w:pPr>
              <w:spacing w:after="0"/>
              <w:rPr>
                <w:sz w:val="16"/>
                <w:szCs w:val="16"/>
                <w:color w:val="auto"/>
              </w:rPr>
            </w:pPr>
          </w:p>
        </w:tc>
        <w:tc>
          <w:tcPr>
            <w:tcW w:w="1140" w:type="dxa"/>
            <w:vAlign w:val="bottom"/>
            <w:tcBorders>
              <w:bottom w:val="single" w:sz="8" w:color="0C479D"/>
            </w:tcBorders>
          </w:tcPr>
          <w:p>
            <w:pPr>
              <w:spacing w:after="0"/>
              <w:rPr>
                <w:sz w:val="16"/>
                <w:szCs w:val="16"/>
                <w:color w:val="auto"/>
              </w:rPr>
            </w:pPr>
          </w:p>
        </w:tc>
        <w:tc>
          <w:tcPr>
            <w:tcW w:w="1220" w:type="dxa"/>
            <w:vAlign w:val="bottom"/>
            <w:tcBorders>
              <w:bottom w:val="single" w:sz="8" w:color="0C479D"/>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8,019</w:t>
            </w:r>
          </w:p>
        </w:tc>
        <w:tc>
          <w:tcPr>
            <w:tcW w:w="80" w:type="dxa"/>
            <w:vAlign w:val="bottom"/>
            <w:tcBorders>
              <w:bottom w:val="single" w:sz="8" w:color="0C479D"/>
            </w:tcBorders>
          </w:tcPr>
          <w:p>
            <w:pPr>
              <w:spacing w:after="0"/>
              <w:rPr>
                <w:sz w:val="16"/>
                <w:szCs w:val="16"/>
                <w:color w:val="auto"/>
              </w:rPr>
            </w:pPr>
          </w:p>
        </w:tc>
        <w:tc>
          <w:tcPr>
            <w:tcW w:w="660" w:type="dxa"/>
            <w:vAlign w:val="bottom"/>
            <w:tcBorders>
              <w:bottom w:val="single" w:sz="8" w:color="0C479D"/>
            </w:tcBorders>
          </w:tcPr>
          <w:p>
            <w:pPr>
              <w:spacing w:after="0"/>
              <w:rPr>
                <w:sz w:val="16"/>
                <w:szCs w:val="16"/>
                <w:color w:val="auto"/>
              </w:rPr>
            </w:pPr>
          </w:p>
        </w:tc>
        <w:tc>
          <w:tcPr>
            <w:tcW w:w="1100" w:type="dxa"/>
            <w:vAlign w:val="bottom"/>
            <w:tcBorders>
              <w:bottom w:val="single" w:sz="8" w:color="0C479D"/>
            </w:tcBorders>
            <w:gridSpan w:val="3"/>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(4,048)</w:t>
            </w:r>
          </w:p>
        </w:tc>
        <w:tc>
          <w:tcPr>
            <w:tcW w:w="860" w:type="dxa"/>
            <w:vAlign w:val="bottom"/>
            <w:tcBorders>
              <w:bottom w:val="single" w:sz="8" w:color="0C479D"/>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3,971</w:t>
            </w:r>
          </w:p>
        </w:tc>
        <w:tc>
          <w:tcPr>
            <w:tcW w:w="0" w:type="dxa"/>
            <w:vAlign w:val="bottom"/>
          </w:tcPr>
          <w:p>
            <w:pPr>
              <w:spacing w:after="0"/>
              <w:rPr>
                <w:sz w:val="1"/>
                <w:szCs w:val="1"/>
                <w:color w:val="auto"/>
              </w:rPr>
            </w:pPr>
          </w:p>
        </w:tc>
      </w:tr>
      <w:tr>
        <w:trPr>
          <w:trHeight w:val="188"/>
        </w:trPr>
        <w:tc>
          <w:tcPr>
            <w:tcW w:w="2480" w:type="dxa"/>
            <w:vAlign w:val="bottom"/>
            <w:shd w:val="clear" w:color="auto" w:fill="F0F0F0"/>
          </w:tcPr>
          <w:p>
            <w:pPr>
              <w:ind w:left="20"/>
              <w:spacing w:after="0"/>
              <w:rPr>
                <w:sz w:val="20"/>
                <w:szCs w:val="20"/>
                <w:color w:val="auto"/>
              </w:rPr>
            </w:pPr>
            <w:r>
              <w:rPr>
                <w:rFonts w:ascii="Times New Roman" w:cs="Times New Roman" w:eastAsia="Times New Roman" w:hAnsi="Times New Roman"/>
                <w:sz w:val="14"/>
                <w:szCs w:val="14"/>
                <w:color w:val="auto"/>
              </w:rPr>
              <w:t>Share repurchases, at cost</w:t>
            </w:r>
          </w:p>
        </w:tc>
        <w:tc>
          <w:tcPr>
            <w:tcW w:w="1200" w:type="dxa"/>
            <w:vAlign w:val="bottom"/>
            <w:shd w:val="clear" w:color="auto" w:fill="F0F0F0"/>
          </w:tcPr>
          <w:p>
            <w:pPr>
              <w:spacing w:after="0"/>
              <w:rPr>
                <w:sz w:val="16"/>
                <w:szCs w:val="16"/>
                <w:color w:val="auto"/>
              </w:rPr>
            </w:pPr>
          </w:p>
        </w:tc>
        <w:tc>
          <w:tcPr>
            <w:tcW w:w="960" w:type="dxa"/>
            <w:vAlign w:val="bottom"/>
            <w:shd w:val="clear" w:color="auto" w:fill="F0F0F0"/>
          </w:tcPr>
          <w:p>
            <w:pPr>
              <w:spacing w:after="0"/>
              <w:rPr>
                <w:sz w:val="16"/>
                <w:szCs w:val="16"/>
                <w:color w:val="auto"/>
              </w:rPr>
            </w:pPr>
          </w:p>
        </w:tc>
        <w:tc>
          <w:tcPr>
            <w:tcW w:w="1140" w:type="dxa"/>
            <w:vAlign w:val="bottom"/>
            <w:shd w:val="clear" w:color="auto" w:fill="F0F0F0"/>
          </w:tcPr>
          <w:p>
            <w:pPr>
              <w:spacing w:after="0"/>
              <w:rPr>
                <w:sz w:val="16"/>
                <w:szCs w:val="16"/>
                <w:color w:val="auto"/>
              </w:rPr>
            </w:pPr>
          </w:p>
        </w:tc>
        <w:tc>
          <w:tcPr>
            <w:tcW w:w="960" w:type="dxa"/>
            <w:vAlign w:val="bottom"/>
            <w:shd w:val="clear" w:color="auto" w:fill="F0F0F0"/>
          </w:tcPr>
          <w:p>
            <w:pPr>
              <w:spacing w:after="0"/>
              <w:rPr>
                <w:sz w:val="16"/>
                <w:szCs w:val="16"/>
                <w:color w:val="auto"/>
              </w:rPr>
            </w:pPr>
          </w:p>
        </w:tc>
        <w:tc>
          <w:tcPr>
            <w:tcW w:w="2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F0F0F0"/>
          </w:tcPr>
          <w:p>
            <w:pPr>
              <w:spacing w:after="0"/>
              <w:rPr>
                <w:sz w:val="16"/>
                <w:szCs w:val="16"/>
                <w:color w:val="auto"/>
              </w:rPr>
            </w:pPr>
          </w:p>
        </w:tc>
        <w:tc>
          <w:tcPr>
            <w:tcW w:w="660" w:type="dxa"/>
            <w:vAlign w:val="bottom"/>
            <w:shd w:val="clear" w:color="auto" w:fill="F0F0F0"/>
          </w:tcPr>
          <w:p>
            <w:pPr>
              <w:spacing w:after="0"/>
              <w:rPr>
                <w:sz w:val="16"/>
                <w:szCs w:val="16"/>
                <w:color w:val="auto"/>
              </w:rPr>
            </w:pPr>
          </w:p>
        </w:tc>
        <w:tc>
          <w:tcPr>
            <w:tcW w:w="220" w:type="dxa"/>
            <w:vAlign w:val="bottom"/>
            <w:shd w:val="clear" w:color="auto" w:fill="F0F0F0"/>
          </w:tcPr>
          <w:p>
            <w:pPr>
              <w:spacing w:after="0"/>
              <w:rPr>
                <w:sz w:val="16"/>
                <w:szCs w:val="16"/>
                <w:color w:val="auto"/>
              </w:rPr>
            </w:pPr>
          </w:p>
        </w:tc>
        <w:tc>
          <w:tcPr>
            <w:tcW w:w="60" w:type="dxa"/>
            <w:vAlign w:val="bottom"/>
            <w:shd w:val="clear" w:color="auto" w:fill="F0F0F0"/>
          </w:tcPr>
          <w:p>
            <w:pPr>
              <w:spacing w:after="0"/>
              <w:rPr>
                <w:sz w:val="16"/>
                <w:szCs w:val="16"/>
                <w:color w:val="auto"/>
              </w:rPr>
            </w:pPr>
          </w:p>
        </w:tc>
        <w:tc>
          <w:tcPr>
            <w:tcW w:w="820" w:type="dxa"/>
            <w:vAlign w:val="bottom"/>
            <w:shd w:val="clear" w:color="auto" w:fill="F0F0F0"/>
          </w:tcPr>
          <w:p>
            <w:pPr>
              <w:jc w:val="right"/>
              <w:ind w:right="428"/>
              <w:spacing w:after="0"/>
              <w:rPr>
                <w:sz w:val="20"/>
                <w:szCs w:val="20"/>
                <w:color w:val="auto"/>
              </w:rPr>
            </w:pPr>
            <w:r>
              <w:rPr>
                <w:rFonts w:ascii="Times New Roman" w:cs="Times New Roman" w:eastAsia="Times New Roman" w:hAnsi="Times New Roman"/>
                <w:sz w:val="14"/>
                <w:szCs w:val="14"/>
                <w:color w:val="auto"/>
                <w:w w:val="98"/>
              </w:rPr>
              <w:t>(170)</w:t>
            </w:r>
          </w:p>
        </w:tc>
        <w:tc>
          <w:tcPr>
            <w:tcW w:w="8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207"/>
        </w:trPr>
        <w:tc>
          <w:tcPr>
            <w:tcW w:w="2480" w:type="dxa"/>
            <w:vAlign w:val="bottom"/>
            <w:shd w:val="clear" w:color="auto" w:fill="F0F0F0"/>
          </w:tcPr>
          <w:p>
            <w:pPr>
              <w:ind w:left="20"/>
              <w:spacing w:after="0"/>
              <w:rPr>
                <w:sz w:val="20"/>
                <w:szCs w:val="20"/>
                <w:color w:val="auto"/>
              </w:rPr>
            </w:pPr>
            <w:r>
              <w:rPr>
                <w:rFonts w:ascii="Times New Roman" w:cs="Times New Roman" w:eastAsia="Times New Roman" w:hAnsi="Times New Roman"/>
                <w:sz w:val="14"/>
                <w:szCs w:val="14"/>
                <w:color w:val="auto"/>
              </w:rPr>
              <w:t>Issued for acquisitions</w:t>
            </w:r>
          </w:p>
        </w:tc>
        <w:tc>
          <w:tcPr>
            <w:tcW w:w="1200" w:type="dxa"/>
            <w:vAlign w:val="bottom"/>
            <w:shd w:val="clear" w:color="auto" w:fill="F0F0F0"/>
          </w:tcPr>
          <w:p>
            <w:pPr>
              <w:spacing w:after="0"/>
              <w:rPr>
                <w:sz w:val="17"/>
                <w:szCs w:val="17"/>
                <w:color w:val="auto"/>
              </w:rPr>
            </w:pPr>
          </w:p>
        </w:tc>
        <w:tc>
          <w:tcPr>
            <w:tcW w:w="960" w:type="dxa"/>
            <w:vAlign w:val="bottom"/>
            <w:shd w:val="clear" w:color="auto" w:fill="F0F0F0"/>
          </w:tcPr>
          <w:p>
            <w:pPr>
              <w:spacing w:after="0"/>
              <w:rPr>
                <w:sz w:val="17"/>
                <w:szCs w:val="17"/>
                <w:color w:val="auto"/>
              </w:rPr>
            </w:pPr>
          </w:p>
        </w:tc>
        <w:tc>
          <w:tcPr>
            <w:tcW w:w="1140" w:type="dxa"/>
            <w:vAlign w:val="bottom"/>
            <w:shd w:val="clear" w:color="auto" w:fill="F0F0F0"/>
          </w:tcPr>
          <w:p>
            <w:pPr>
              <w:spacing w:after="0"/>
              <w:rPr>
                <w:sz w:val="17"/>
                <w:szCs w:val="17"/>
                <w:color w:val="auto"/>
              </w:rPr>
            </w:pPr>
          </w:p>
        </w:tc>
        <w:tc>
          <w:tcPr>
            <w:tcW w:w="960" w:type="dxa"/>
            <w:vAlign w:val="bottom"/>
            <w:shd w:val="clear" w:color="auto" w:fill="F0F0F0"/>
          </w:tcPr>
          <w:p>
            <w:pPr>
              <w:spacing w:after="0"/>
              <w:rPr>
                <w:sz w:val="17"/>
                <w:szCs w:val="17"/>
                <w:color w:val="auto"/>
              </w:rPr>
            </w:pPr>
          </w:p>
        </w:tc>
        <w:tc>
          <w:tcPr>
            <w:tcW w:w="2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F0F0F0"/>
          </w:tcPr>
          <w:p>
            <w:pPr>
              <w:spacing w:after="0"/>
              <w:rPr>
                <w:sz w:val="17"/>
                <w:szCs w:val="17"/>
                <w:color w:val="auto"/>
              </w:rPr>
            </w:pPr>
          </w:p>
        </w:tc>
        <w:tc>
          <w:tcPr>
            <w:tcW w:w="660" w:type="dxa"/>
            <w:vAlign w:val="bottom"/>
            <w:shd w:val="clear" w:color="auto" w:fill="F0F0F0"/>
          </w:tcPr>
          <w:p>
            <w:pPr>
              <w:spacing w:after="0"/>
              <w:rPr>
                <w:sz w:val="17"/>
                <w:szCs w:val="17"/>
                <w:color w:val="auto"/>
              </w:rPr>
            </w:pPr>
          </w:p>
        </w:tc>
        <w:tc>
          <w:tcPr>
            <w:tcW w:w="220" w:type="dxa"/>
            <w:vAlign w:val="bottom"/>
            <w:shd w:val="clear" w:color="auto" w:fill="F0F0F0"/>
          </w:tcPr>
          <w:p>
            <w:pPr>
              <w:spacing w:after="0"/>
              <w:rPr>
                <w:sz w:val="17"/>
                <w:szCs w:val="17"/>
                <w:color w:val="auto"/>
              </w:rPr>
            </w:pPr>
          </w:p>
        </w:tc>
        <w:tc>
          <w:tcPr>
            <w:tcW w:w="60" w:type="dxa"/>
            <w:vAlign w:val="bottom"/>
            <w:shd w:val="clear" w:color="auto" w:fill="F0F0F0"/>
          </w:tcPr>
          <w:p>
            <w:pPr>
              <w:spacing w:after="0"/>
              <w:rPr>
                <w:sz w:val="17"/>
                <w:szCs w:val="17"/>
                <w:color w:val="auto"/>
              </w:rPr>
            </w:pPr>
          </w:p>
        </w:tc>
        <w:tc>
          <w:tcPr>
            <w:tcW w:w="820" w:type="dxa"/>
            <w:vAlign w:val="bottom"/>
            <w:shd w:val="clear" w:color="auto" w:fill="F0F0F0"/>
          </w:tcPr>
          <w:p>
            <w:pPr>
              <w:jc w:val="right"/>
              <w:ind w:right="468"/>
              <w:spacing w:after="0"/>
              <w:rPr>
                <w:sz w:val="20"/>
                <w:szCs w:val="20"/>
                <w:color w:val="auto"/>
              </w:rPr>
            </w:pPr>
            <w:r>
              <w:rPr>
                <w:rFonts w:ascii="Times New Roman" w:cs="Times New Roman" w:eastAsia="Times New Roman" w:hAnsi="Times New Roman"/>
                <w:sz w:val="14"/>
                <w:szCs w:val="14"/>
                <w:color w:val="auto"/>
              </w:rPr>
              <w:t>545</w:t>
            </w:r>
          </w:p>
        </w:tc>
        <w:tc>
          <w:tcPr>
            <w:tcW w:w="860" w:type="dxa"/>
            <w:vAlign w:val="bottom"/>
            <w:shd w:val="clear" w:color="auto" w:fill="F0F0F0"/>
          </w:tcPr>
          <w:p>
            <w:pPr>
              <w:jc w:val="right"/>
              <w:ind w:right="8"/>
              <w:spacing w:after="0"/>
              <w:rPr>
                <w:sz w:val="20"/>
                <w:szCs w:val="20"/>
                <w:color w:val="auto"/>
              </w:rPr>
            </w:pPr>
            <w:r>
              <w:rPr>
                <w:rFonts w:ascii="Times New Roman" w:cs="Times New Roman" w:eastAsia="Times New Roman" w:hAnsi="Times New Roman"/>
                <w:sz w:val="14"/>
                <w:szCs w:val="14"/>
                <w:color w:val="auto"/>
              </w:rPr>
              <w:t>545</w:t>
            </w:r>
          </w:p>
        </w:tc>
        <w:tc>
          <w:tcPr>
            <w:tcW w:w="0" w:type="dxa"/>
            <w:vAlign w:val="bottom"/>
          </w:tcPr>
          <w:p>
            <w:pPr>
              <w:spacing w:after="0"/>
              <w:rPr>
                <w:sz w:val="1"/>
                <w:szCs w:val="1"/>
                <w:color w:val="auto"/>
              </w:rPr>
            </w:pPr>
          </w:p>
        </w:tc>
      </w:tr>
      <w:tr>
        <w:trPr>
          <w:trHeight w:val="245"/>
        </w:trPr>
        <w:tc>
          <w:tcPr>
            <w:tcW w:w="2480" w:type="dxa"/>
            <w:vAlign w:val="bottom"/>
            <w:tcBorders>
              <w:bottom w:val="single" w:sz="8" w:color="F0F0F0"/>
            </w:tcBorders>
            <w:shd w:val="clear" w:color="auto" w:fill="F0F0F0"/>
          </w:tcPr>
          <w:p>
            <w:pPr>
              <w:ind w:left="20"/>
              <w:spacing w:after="0"/>
              <w:rPr>
                <w:sz w:val="20"/>
                <w:szCs w:val="20"/>
                <w:color w:val="auto"/>
              </w:rPr>
            </w:pPr>
            <w:r>
              <w:rPr>
                <w:rFonts w:ascii="Times New Roman" w:cs="Times New Roman" w:eastAsia="Times New Roman" w:hAnsi="Times New Roman"/>
                <w:sz w:val="14"/>
                <w:szCs w:val="14"/>
                <w:color w:val="auto"/>
              </w:rPr>
              <w:t>Dispositions</w:t>
            </w:r>
          </w:p>
        </w:tc>
        <w:tc>
          <w:tcPr>
            <w:tcW w:w="1200" w:type="dxa"/>
            <w:vAlign w:val="bottom"/>
            <w:tcBorders>
              <w:bottom w:val="single" w:sz="8" w:color="F0F0F0"/>
            </w:tcBorders>
            <w:shd w:val="clear" w:color="auto" w:fill="F0F0F0"/>
          </w:tcPr>
          <w:p>
            <w:pPr>
              <w:spacing w:after="0"/>
              <w:rPr>
                <w:sz w:val="20"/>
                <w:szCs w:val="20"/>
                <w:color w:val="auto"/>
              </w:rPr>
            </w:pPr>
          </w:p>
        </w:tc>
        <w:tc>
          <w:tcPr>
            <w:tcW w:w="960" w:type="dxa"/>
            <w:vAlign w:val="bottom"/>
            <w:tcBorders>
              <w:bottom w:val="single" w:sz="8" w:color="F0F0F0"/>
            </w:tcBorders>
            <w:shd w:val="clear" w:color="auto" w:fill="F0F0F0"/>
          </w:tcPr>
          <w:p>
            <w:pPr>
              <w:spacing w:after="0"/>
              <w:rPr>
                <w:sz w:val="20"/>
                <w:szCs w:val="20"/>
                <w:color w:val="auto"/>
              </w:rPr>
            </w:pPr>
          </w:p>
        </w:tc>
        <w:tc>
          <w:tcPr>
            <w:tcW w:w="1140" w:type="dxa"/>
            <w:vAlign w:val="bottom"/>
            <w:tcBorders>
              <w:bottom w:val="single" w:sz="8" w:color="F0F0F0"/>
            </w:tcBorders>
            <w:shd w:val="clear" w:color="auto" w:fill="F0F0F0"/>
          </w:tcPr>
          <w:p>
            <w:pPr>
              <w:spacing w:after="0"/>
              <w:rPr>
                <w:sz w:val="20"/>
                <w:szCs w:val="20"/>
                <w:color w:val="auto"/>
              </w:rPr>
            </w:pPr>
          </w:p>
        </w:tc>
        <w:tc>
          <w:tcPr>
            <w:tcW w:w="960" w:type="dxa"/>
            <w:vAlign w:val="bottom"/>
            <w:tcBorders>
              <w:bottom w:val="single" w:sz="8" w:color="F0F0F0"/>
            </w:tcBorders>
            <w:shd w:val="clear" w:color="auto" w:fill="F0F0F0"/>
          </w:tcPr>
          <w:p>
            <w:pPr>
              <w:spacing w:after="0"/>
              <w:rPr>
                <w:sz w:val="20"/>
                <w:szCs w:val="20"/>
                <w:color w:val="auto"/>
              </w:rPr>
            </w:pPr>
          </w:p>
        </w:tc>
        <w:tc>
          <w:tcPr>
            <w:tcW w:w="260" w:type="dxa"/>
            <w:vAlign w:val="bottom"/>
            <w:tcBorders>
              <w:bottom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F0F0F0"/>
            </w:tcBorders>
            <w:shd w:val="clear" w:color="auto" w:fill="F0F0F0"/>
          </w:tcPr>
          <w:p>
            <w:pPr>
              <w:spacing w:after="0"/>
              <w:rPr>
                <w:sz w:val="20"/>
                <w:szCs w:val="20"/>
                <w:color w:val="auto"/>
              </w:rPr>
            </w:pPr>
          </w:p>
        </w:tc>
        <w:tc>
          <w:tcPr>
            <w:tcW w:w="660" w:type="dxa"/>
            <w:vAlign w:val="bottom"/>
            <w:tcBorders>
              <w:bottom w:val="single" w:sz="8" w:color="F0F0F0"/>
            </w:tcBorders>
            <w:shd w:val="clear" w:color="auto" w:fill="F0F0F0"/>
          </w:tcPr>
          <w:p>
            <w:pPr>
              <w:spacing w:after="0"/>
              <w:rPr>
                <w:sz w:val="20"/>
                <w:szCs w:val="20"/>
                <w:color w:val="auto"/>
              </w:rPr>
            </w:pPr>
          </w:p>
        </w:tc>
        <w:tc>
          <w:tcPr>
            <w:tcW w:w="220" w:type="dxa"/>
            <w:vAlign w:val="bottom"/>
            <w:tcBorders>
              <w:bottom w:val="single" w:sz="8" w:color="F0F0F0"/>
            </w:tcBorders>
            <w:shd w:val="clear" w:color="auto" w:fill="F0F0F0"/>
          </w:tcPr>
          <w:p>
            <w:pPr>
              <w:spacing w:after="0"/>
              <w:rPr>
                <w:sz w:val="20"/>
                <w:szCs w:val="20"/>
                <w:color w:val="auto"/>
              </w:rPr>
            </w:pPr>
          </w:p>
        </w:tc>
        <w:tc>
          <w:tcPr>
            <w:tcW w:w="60" w:type="dxa"/>
            <w:vAlign w:val="bottom"/>
            <w:tcBorders>
              <w:bottom w:val="single" w:sz="8" w:color="F0F0F0"/>
            </w:tcBorders>
            <w:shd w:val="clear" w:color="auto" w:fill="F0F0F0"/>
          </w:tcPr>
          <w:p>
            <w:pPr>
              <w:spacing w:after="0"/>
              <w:rPr>
                <w:sz w:val="20"/>
                <w:szCs w:val="20"/>
                <w:color w:val="auto"/>
              </w:rPr>
            </w:pPr>
          </w:p>
        </w:tc>
        <w:tc>
          <w:tcPr>
            <w:tcW w:w="820" w:type="dxa"/>
            <w:vAlign w:val="bottom"/>
            <w:tcBorders>
              <w:bottom w:val="single" w:sz="8" w:color="F0F0F0"/>
            </w:tcBorders>
            <w:shd w:val="clear" w:color="auto" w:fill="F0F0F0"/>
          </w:tcPr>
          <w:p>
            <w:pPr>
              <w:jc w:val="right"/>
              <w:ind w:right="468"/>
              <w:spacing w:after="0"/>
              <w:rPr>
                <w:sz w:val="20"/>
                <w:szCs w:val="20"/>
                <w:color w:val="auto"/>
              </w:rPr>
            </w:pPr>
            <w:r>
              <w:rPr>
                <w:rFonts w:ascii="Times New Roman" w:cs="Times New Roman" w:eastAsia="Times New Roman" w:hAnsi="Times New Roman"/>
                <w:sz w:val="14"/>
                <w:szCs w:val="14"/>
                <w:color w:val="auto"/>
              </w:rPr>
              <w:t>7</w:t>
            </w:r>
          </w:p>
        </w:tc>
        <w:tc>
          <w:tcPr>
            <w:tcW w:w="860" w:type="dxa"/>
            <w:vAlign w:val="bottom"/>
            <w:tcBorders>
              <w:bottom w:val="single" w:sz="8" w:color="F0F0F0"/>
            </w:tcBorders>
            <w:shd w:val="clear" w:color="auto" w:fill="F0F0F0"/>
          </w:tcPr>
          <w:p>
            <w:pPr>
              <w:jc w:val="right"/>
              <w:ind w:right="8"/>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3"/>
        </w:trPr>
        <w:tc>
          <w:tcPr>
            <w:tcW w:w="2480" w:type="dxa"/>
            <w:vAlign w:val="bottom"/>
            <w:tcBorders>
              <w:top w:val="single" w:sz="8" w:color="0C479D"/>
              <w:bottom w:val="single" w:sz="8" w:color="0C479D"/>
            </w:tcBorders>
            <w:shd w:val="clear" w:color="auto" w:fill="F0F0F0"/>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1200" w:type="dxa"/>
            <w:vAlign w:val="bottom"/>
            <w:tcBorders>
              <w:top w:val="single" w:sz="8" w:color="0C479D"/>
              <w:bottom w:val="single" w:sz="8" w:color="0C479D"/>
            </w:tcBorders>
            <w:shd w:val="clear" w:color="auto" w:fill="F0F0F0"/>
          </w:tcPr>
          <w:p>
            <w:pPr>
              <w:spacing w:after="0"/>
              <w:rPr>
                <w:sz w:val="17"/>
                <w:szCs w:val="17"/>
                <w:color w:val="auto"/>
              </w:rPr>
            </w:pPr>
          </w:p>
        </w:tc>
        <w:tc>
          <w:tcPr>
            <w:tcW w:w="960" w:type="dxa"/>
            <w:vAlign w:val="bottom"/>
            <w:tcBorders>
              <w:top w:val="single" w:sz="8" w:color="0C479D"/>
              <w:bottom w:val="single" w:sz="8" w:color="0C479D"/>
            </w:tcBorders>
            <w:shd w:val="clear" w:color="auto" w:fill="F0F0F0"/>
          </w:tcPr>
          <w:p>
            <w:pPr>
              <w:spacing w:after="0"/>
              <w:rPr>
                <w:sz w:val="17"/>
                <w:szCs w:val="17"/>
                <w:color w:val="auto"/>
              </w:rPr>
            </w:pPr>
          </w:p>
        </w:tc>
        <w:tc>
          <w:tcPr>
            <w:tcW w:w="1140" w:type="dxa"/>
            <w:vAlign w:val="bottom"/>
            <w:tcBorders>
              <w:top w:val="single" w:sz="8" w:color="0C479D"/>
              <w:bottom w:val="single" w:sz="8" w:color="0C479D"/>
            </w:tcBorders>
            <w:shd w:val="clear" w:color="auto" w:fill="F0F0F0"/>
          </w:tcPr>
          <w:p>
            <w:pPr>
              <w:spacing w:after="0"/>
              <w:rPr>
                <w:sz w:val="17"/>
                <w:szCs w:val="17"/>
                <w:color w:val="auto"/>
              </w:rPr>
            </w:pPr>
          </w:p>
        </w:tc>
        <w:tc>
          <w:tcPr>
            <w:tcW w:w="1220" w:type="dxa"/>
            <w:vAlign w:val="bottom"/>
            <w:tcBorders>
              <w:top w:val="single" w:sz="8" w:color="0C479D"/>
              <w:bottom w:val="single" w:sz="8" w:color="0C479D"/>
            </w:tcBorders>
            <w:gridSpan w:val="2"/>
            <w:shd w:val="clear" w:color="auto" w:fill="F0F0F0"/>
          </w:tcPr>
          <w:p>
            <w:pPr>
              <w:jc w:val="right"/>
              <w:spacing w:after="0"/>
              <w:rPr>
                <w:sz w:val="20"/>
                <w:szCs w:val="20"/>
                <w:color w:val="auto"/>
              </w:rPr>
            </w:pPr>
            <w:r>
              <w:rPr>
                <w:rFonts w:ascii="Times New Roman" w:cs="Times New Roman" w:eastAsia="Times New Roman" w:hAnsi="Times New Roman"/>
                <w:sz w:val="14"/>
                <w:szCs w:val="14"/>
                <w:b w:val="1"/>
                <w:bCs w:val="1"/>
                <w:color w:val="auto"/>
              </w:rPr>
              <w:t>8,019</w:t>
            </w:r>
          </w:p>
        </w:tc>
        <w:tc>
          <w:tcPr>
            <w:tcW w:w="80" w:type="dxa"/>
            <w:vAlign w:val="bottom"/>
            <w:tcBorders>
              <w:top w:val="single" w:sz="8" w:color="0C479D"/>
              <w:bottom w:val="single" w:sz="8" w:color="0C479D"/>
            </w:tcBorders>
            <w:shd w:val="clear" w:color="auto" w:fill="F0F0F0"/>
          </w:tcPr>
          <w:p>
            <w:pPr>
              <w:spacing w:after="0"/>
              <w:rPr>
                <w:sz w:val="17"/>
                <w:szCs w:val="17"/>
                <w:color w:val="auto"/>
              </w:rPr>
            </w:pPr>
          </w:p>
        </w:tc>
        <w:tc>
          <w:tcPr>
            <w:tcW w:w="660" w:type="dxa"/>
            <w:vAlign w:val="bottom"/>
            <w:tcBorders>
              <w:top w:val="single" w:sz="8" w:color="0C479D"/>
              <w:bottom w:val="single" w:sz="8" w:color="0C479D"/>
            </w:tcBorders>
            <w:shd w:val="clear" w:color="auto" w:fill="F0F0F0"/>
          </w:tcPr>
          <w:p>
            <w:pPr>
              <w:spacing w:after="0"/>
              <w:rPr>
                <w:sz w:val="17"/>
                <w:szCs w:val="17"/>
                <w:color w:val="auto"/>
              </w:rPr>
            </w:pPr>
          </w:p>
        </w:tc>
        <w:tc>
          <w:tcPr>
            <w:tcW w:w="1100" w:type="dxa"/>
            <w:vAlign w:val="bottom"/>
            <w:tcBorders>
              <w:top w:val="single" w:sz="8" w:color="0C479D"/>
              <w:bottom w:val="single" w:sz="8" w:color="0C479D"/>
            </w:tcBorders>
            <w:gridSpan w:val="3"/>
            <w:shd w:val="clear" w:color="auto" w:fill="F0F0F0"/>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(3,666)</w:t>
            </w:r>
          </w:p>
        </w:tc>
        <w:tc>
          <w:tcPr>
            <w:tcW w:w="860" w:type="dxa"/>
            <w:vAlign w:val="bottom"/>
            <w:tcBorders>
              <w:top w:val="single" w:sz="8" w:color="0C479D"/>
              <w:bottom w:val="single" w:sz="8" w:color="0C479D"/>
            </w:tcBorders>
            <w:shd w:val="clear" w:color="auto" w:fill="F0F0F0"/>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4,353</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i w:val="1"/>
          <w:iCs w:val="1"/>
          <w:color w:val="auto"/>
        </w:rPr>
        <w:t>The information in the Notes to Consolidated Financial Statements is an integral part of these statements.</w:t>
      </w:r>
    </w:p>
    <w:p>
      <w:pPr>
        <w:sectPr>
          <w:pgSz w:w="11900" w:h="16838" w:orient="portrait"/>
          <w:cols w:equalWidth="0" w:num="1">
            <w:col w:w="10480"/>
          </w:cols>
          <w:pgMar w:left="320" w:top="945"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320" w:top="945" w:right="109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22"/>
          <w:szCs w:val="22"/>
          <w:b w:val="1"/>
          <w:bCs w:val="1"/>
          <w:color w:val="0C479D"/>
        </w:rPr>
        <w:t>NOTES TO CONSOLIDATED FINANCIAL STATEMENTS</w:t>
      </w:r>
    </w:p>
    <w:p>
      <w:pPr>
        <w:spacing w:after="0" w:line="200" w:lineRule="exact"/>
        <w:rPr>
          <w:sz w:val="20"/>
          <w:szCs w:val="20"/>
          <w:color w:val="auto"/>
        </w:rPr>
      </w:pPr>
    </w:p>
    <w:p>
      <w:pPr>
        <w:spacing w:after="0" w:line="2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and the supporting and supplemental material are the responsibility of the management of Exxon Mobil Corporation.</w:t>
      </w:r>
    </w:p>
    <w:p>
      <w:pPr>
        <w:spacing w:after="0" w:line="4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Corporation’s principal business involves exploration for, and production of, crude oil and natural gas; manufacture, trade, transport and sale of crude oil, natural gas, petroleum products, petrochemicals and a wide variety of specialty products; and pursuit of lower-emission and other new business opportunities including carbon capture and storage, hydrogen, lower-emission fuels, Proxxima</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systems, carbon materials, and lithium.</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(GAAP) requires management to make estimates that affect the reported amounts of assets, liabilities, revenues, and expenses and the disclosure of contingent assets and liabilities. Actual results could differ from these estimates.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C479D"/>
        </w:rPr>
        <w:t>Note 1. Summary of Accounting Policies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 and Accounting for Investments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subsidiaries the Corporation controls and any variable interest entities where it is deemed the primary beneficiary. They also include the Corporation’s share of the undivided interest in certain upstream assets, liabilities, revenues, and expenses. Amounts representing the Corporation’s interest in entities that it does not control, but over which it exercises significant influence, are included in “Investments, advances and long-term receivables”. Under the equity method of accounting, the Corporation recognizes its share of the net income of these companies in “Income from equity affiliates”.</w:t>
      </w:r>
    </w:p>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Majority ownership is normally the indicator of control that is the basis on which subsidiaries are consolidated. However, certain factors may indicate that a majority-owned investment is not controlled and, therefore, should be accounted for using the equity method of accounting. These factors occur where the minority shareholders are granted, by law or by contract, substantive participating rights. These include the right to approve operating policies, expense budgets, financing and investment plans, and management compensation and succession plans.</w:t>
      </w:r>
    </w:p>
    <w:p>
      <w:pPr>
        <w:spacing w:after="0" w:line="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Investments accounted for by the equity method are assessed for possible impairment when events or changes in circumstances indicate that the carrying value of an investment may not be recoverable. Examples of key indicators include a history of operating losses, negative earnings and cash flow outlook, significant downward revisions to oil and gas reserves, and the financial condition and prospects for the investee’s business segment or geographic region. If the decline in value of the investment is other than temporary, the carrying value of the investment is written down to fair value. In the absence of market prices for the investment, discounted cash flows are used to assess fair value. The Corporation’s share of the cumulative foreign exchange translation adjustment for equity method investments is reported in “Accumulated other comprehensive income”.</w:t>
      </w:r>
    </w:p>
    <w:p>
      <w:pPr>
        <w:spacing w:after="0" w:line="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Investments in equity securities, other than consolidated subsidiaries and equity method investments, are measured at fair value with changes in fair value recognized in net income. The Corporation uses the modified approach for equity securities that do not have a readily determinable fair value. This modified approach measures investments at cost minus impairment, if any, plus or minus changes resulting from observable price changes in orderly transactions in a similar investment of the same issuer.</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Corporation generally sells crude oil, natural gas, and petroleum and chemical products under short-term agreements at prevailing market prices. In some cases (e.g., natural gas), products may be sold under long-term agreements, with periodic price adjustments to reflect market conditions. Revenue is recognized at the amount the Corporation expects to receive when the customer has taken control, which is typically when title transfers and the customer has assumed the risks and rewards of ownership. The prices of certain sales are based on price indices that are sometimes not available until the next period. In such cases, estimated realizations are accrued when the sale is recognized, and are finalized when the price is available. Such adjustments to revenue from performance obligations satisfied in previous periods are not significant. Payment for revenue transactions is typically due within 30 days. Future volume delivery obligations that are unsatisfied at the end of the period are expected to be fulfilled through ordinary production or purchases. These performance obligations are based on market prices at the time of the transaction and are fully constrained due to market price volatility.</w:t>
      </w:r>
    </w:p>
    <w:p>
      <w:pPr>
        <w:spacing w:after="0" w:line="7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Purchases and sales of inventory with the same counterparty that are entered into in contemplation of one another are combined and recorded as exchanges measured at the book value of the item sold.</w:t>
      </w:r>
    </w:p>
    <w:p>
      <w:pPr>
        <w:spacing w:after="0" w:line="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and other operating revenue” and “Notes and accounts receivable” include revenue and receivables both within the scope of ASC 606 "Revenue from Contracts with Customers” and those outside the scope of ASC 606. Long-term receivables are primarily from receivables outside the scope of ASC</w:t>
      </w:r>
    </w:p>
    <w:p>
      <w:pPr>
        <w:ind w:firstLine="8"/>
        <w:spacing w:after="0" w:line="260" w:lineRule="auto"/>
        <w:tabs>
          <w:tab w:leader="none" w:pos="38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assets are mainly from marketing assistance programs and are not significant. Contract liabilities are mainly customer prepayments and accruals of expected volume discounts and are not significant.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22"/>
          <w:szCs w:val="22"/>
          <w:b w:val="1"/>
          <w:bCs w:val="1"/>
          <w:color w:val="0C479D"/>
        </w:rPr>
        <w:t>NOTES TO CONSOLIDATED FINANCIAL STATEMENTS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and Other Taxes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Corporation excludes from the Consolidated Statement of Income certain sales and value-added taxes imposed on and concurrent with revenue-producing transactions with customers and collected on behalf of governmental authorities. Similar taxes, for which the Corporation is not considered to be an agent for the government, are reported on a gross basis (included in both “Sales and other operating revenue” and “Other taxes and duties”).</w:t>
      </w:r>
    </w:p>
    <w:p>
      <w:pPr>
        <w:spacing w:after="0" w:line="54" w:lineRule="exact"/>
        <w:rPr>
          <w:sz w:val="20"/>
          <w:szCs w:val="20"/>
          <w:color w:val="auto"/>
        </w:rPr>
      </w:pPr>
    </w:p>
    <w:p>
      <w:pPr>
        <w:ind w:right="1160"/>
        <w:spacing w:after="0" w:line="406" w:lineRule="auto"/>
        <w:rPr>
          <w:sz w:val="20"/>
          <w:szCs w:val="20"/>
          <w:color w:val="auto"/>
        </w:rPr>
      </w:pPr>
      <w:r>
        <w:rPr>
          <w:rFonts w:ascii="Times New Roman" w:cs="Times New Roman" w:eastAsia="Times New Roman" w:hAnsi="Times New Roman"/>
          <w:sz w:val="18"/>
          <w:szCs w:val="18"/>
          <w:color w:val="auto"/>
        </w:rPr>
        <w:t xml:space="preserve">The Corporation accounts for U.S. tax on global intangible low-taxed income as an income tax expense in the period in which it is incurred. </w:t>
      </w:r>
      <w:r>
        <w:rPr>
          <w:rFonts w:ascii="Times New Roman" w:cs="Times New Roman" w:eastAsia="Times New Roman" w:hAnsi="Times New Roman"/>
          <w:sz w:val="18"/>
          <w:szCs w:val="18"/>
          <w:b w:val="1"/>
          <w:bCs w:val="1"/>
          <w:color w:val="auto"/>
        </w:rPr>
        <w:t>Derivative Instruments</w:t>
      </w:r>
    </w:p>
    <w:p>
      <w:pPr>
        <w:spacing w:after="0" w:line="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Corporation may use derivative instruments for trading purposes and to offset exposures associated with commodity prices, foreign currency exchange rates, and interest rates that arise from existing assets, liabilities, firm commitments, and forecasted transactions. All derivative instruments, except those designated as normal purchase and normal sale, are recorded at fair value. Derivative assets and liabilities with the same counterparty are netted if the right of offset exists and certain other criteria are met. Collateral payables or receivables are netted against derivative assets and derivative liabilities, respectively.</w:t>
      </w:r>
    </w:p>
    <w:p>
      <w:pPr>
        <w:spacing w:after="0" w:line="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Recognition and classification of the gain or loss that results from adjusting a derivative to fair value depends on the purpose for the derivative. All gains and losses from derivative instruments for which the Corporation does not apply hedge accounting are immediately recognized in earnings. The Corporation may designate derivatives as fair value or cash flow hedges. For fair value hedges, the gain or loss from derivative instruments and the offsetting gain or loss from the hedged item are recognized in earnings. For cash flow hedges, the gain or loss from the derivative instrument is initially reported as a component of other comprehensive income and subsequently reclassified into earnings in the period that the forecasted transaction affects earnings.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Hierarchy levels 1, 2, and 3 are terms for the priority of inputs to valuation techniques used to measure fair value. Hierarchy level 1 inputs are quoted prices in active markets for identical assets or liabilities. Hierarchy level 2 inputs are inputs other than quoted prices included within level 1 that are directly or indirectly observable for the asset or liability. Hierarchy level 3 inputs are inputs that are not observable in the market.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Crude oil, products, and merchandise inventories are carried at the lower of current market value or cost (generally determined under the last-in, first-out method – LIFO). Inventory costs include expenditures and other charges (including depreciation) directly and indirectly incurred in bringing the inventory to its existing condition and location. Selling expenses and general and administrative expenses are reported as period costs and excluded from inventory cost. Inventories of materials and supplies are valued at cost or less.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Cost Basis. </w:t>
      </w:r>
      <w:r>
        <w:rPr>
          <w:rFonts w:ascii="Times New Roman" w:cs="Times New Roman" w:eastAsia="Times New Roman" w:hAnsi="Times New Roman"/>
          <w:sz w:val="18"/>
          <w:szCs w:val="18"/>
          <w:color w:val="auto"/>
        </w:rPr>
        <w:t>The Corporation uses the “successful efforts” method to account for its exploration and production activities. Under this method, costs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accumulated on a field-by-field basis. Costs incurred to purchase, lease, or otherwise acquire a property (whether unproved or proved) are capitalized when incurred. Exploratory well costs are carried as an asset when the well has found a sufficient quantity of reserves to justify its completion as a producing well and where the Corporation is making sufficient progress assessing the reserves and the economic and operating viability of the project. Exploratory well costs not meeting these criteria are charged to expense. Other exploratory expenditures, including geophysical costs and annual lease rentals, are expensed as incurred. Development costs, including costs of productive wells and development dry holes, are capitalized.</w:t>
      </w:r>
    </w:p>
    <w:p>
      <w:pPr>
        <w:spacing w:after="0" w:line="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costs incurred to finance expenditures during the construction phase of multiyear projects are capitalized as part of the historical cost of acquiring the constructed assets. The project construction phase commences with the development of the detailed engineering design and ends when the constructed assets are ready for their intended use. Capitalized interest costs are included in property, plant, and equipment and are depreciated over the service life of the related assets.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22"/>
          <w:szCs w:val="22"/>
          <w:b w:val="1"/>
          <w:bCs w:val="1"/>
          <w:color w:val="0C479D"/>
        </w:rPr>
        <w:t>NOTES TO CONSOLIDATED FINANCIAL STATEMENTS</w:t>
      </w:r>
    </w:p>
    <w:p>
      <w:pPr>
        <w:spacing w:after="0" w:line="200" w:lineRule="exact"/>
        <w:rPr>
          <w:sz w:val="20"/>
          <w:szCs w:val="20"/>
          <w:color w:val="auto"/>
        </w:rPr>
      </w:pPr>
    </w:p>
    <w:p>
      <w:pPr>
        <w:spacing w:after="0" w:line="2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Depreciation, Depletion, and Amortization. </w:t>
      </w:r>
      <w:r>
        <w:rPr>
          <w:rFonts w:ascii="Times New Roman" w:cs="Times New Roman" w:eastAsia="Times New Roman" w:hAnsi="Times New Roman"/>
          <w:sz w:val="18"/>
          <w:szCs w:val="18"/>
          <w:color w:val="auto"/>
        </w:rPr>
        <w:t>Depreciation, depletion, and amortization are primarily determined under either the unit-of-production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method or the straight-line method, which is based on estimated asset service life, taking obsolescence into consideration.</w:t>
      </w:r>
    </w:p>
    <w:p>
      <w:pPr>
        <w:spacing w:after="0" w:line="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Acquisition costs of proved properties are amortized using a unit-of-production method, computed on the basis of total proved oil and natural gas reserve volumes. Capitalized exploratory drilling and development costs associated with productive depletable extractive properties are amortized using the unit-of-production rates based on the amount of proved developed reserves of oil and gas that are estimated to be recoverable from existing facilities using current operating methods. Under the unit-of-production method, oil and natural gas volumes are considered produced once they have been measured through meters at custody transfer or sales transaction points at the outlet valve on the lease or field storage tank.</w:t>
      </w:r>
    </w:p>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that the unit-of-production method does not result in an equitable allocation of cost over the economic life of an upstream asset, an alternative method is used. The straight-line method is used in limited situations where the expected life of the asset does not reasonably correlate with that of the underlying reserves. For example, certain assets used in the production of oil and natural gas have a shorter life than the reserves, and as such, the Corporation uses straight-line depreciation to ensure the asset is fully depreciated by the end of its useful life.</w:t>
      </w:r>
    </w:p>
    <w:p>
      <w:pPr>
        <w:spacing w:after="0" w:line="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extent that proved reserves for a property are substantially de-booked and that property continues to produce such that the resulting depreciation charge does not result in an equitable allocation of cost over the expected life, assets will be depreciated using a unit-of-production method based on reserves determined at the most recent SEC price which results in a more meaningful quantity of proved reserves, appropriately adjusted for production and technical changes.</w:t>
      </w:r>
    </w:p>
    <w:p>
      <w:pPr>
        <w:spacing w:after="0" w:line="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Investments in refinery, chemical process, and lubes basestock manufacturing equipment are generally depreciated on a straight-line basis over a 25-year life. Service station buildings and fixed improvements are generally depreciated over a 20-year life. Maintenance and repairs, including planned major maintenance, are expensed as incurred. Major renewals and improvements are capitalized, and the assets replaced are retired.</w:t>
      </w:r>
    </w:p>
    <w:p>
      <w:pPr>
        <w:spacing w:after="0" w:line="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Impairment Assessment. </w:t>
      </w:r>
      <w:r>
        <w:rPr>
          <w:rFonts w:ascii="Times New Roman" w:cs="Times New Roman" w:eastAsia="Times New Roman" w:hAnsi="Times New Roman"/>
          <w:sz w:val="18"/>
          <w:szCs w:val="18"/>
          <w:color w:val="auto"/>
        </w:rPr>
        <w:t>The Corporation tests assets or groups of assets for recoverability on an ongoing basis whenever events or changes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circumstances indicate that the carrying amounts may not be recoverable. Among the events or changes in circumstances which could indicate that the carrying value of an asset or asset group may not be recoverable are the following:</w:t>
      </w:r>
    </w:p>
    <w:p>
      <w:pPr>
        <w:spacing w:after="0" w:line="40"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decrease in the market price of a long-lived asset;</w:t>
      </w:r>
    </w:p>
    <w:p>
      <w:pPr>
        <w:spacing w:after="0" w:line="10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adverse change in the extent or manner in which an asset is being used or in its physical condition, including a significant decrease in current and projected reserve volumes;</w:t>
      </w:r>
    </w:p>
    <w:p>
      <w:pPr>
        <w:spacing w:after="0" w:line="4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adverse change in legal factors or in the business climate that could affect the value, including an adverse action or assessment by a regulator;</w:t>
      </w:r>
    </w:p>
    <w:p>
      <w:pPr>
        <w:spacing w:after="0" w:line="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accumulation of project costs significantly in excess of the amount originally expected;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current-period operating loss combined with a history and forecast of operating or cash flow losses; and</w:t>
      </w:r>
    </w:p>
    <w:p>
      <w:pPr>
        <w:spacing w:after="0" w:line="10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current expectation that, more likely than not, a long-lived asset will be sold or otherwise disposed of significantly before the end of its previously estimated useful life.</w:t>
      </w:r>
    </w:p>
    <w:p>
      <w:pPr>
        <w:spacing w:after="0" w:line="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Corporation has a robust process to monitor for indicators of potential impairment across its asset groups throughout the year. This process is aligned with the requirements of ASC 360 and ASC 932, and relies, in part, on the Corporation’s planning and budgeting cycle. Asset valuation analysis, profitability reviews, and other periodic control processes assist the Corporation in assessing whether events or changes in circumstances indicate the carrying amounts of any of its assets may not be recoverable.</w:t>
      </w:r>
    </w:p>
    <w:p>
      <w:pPr>
        <w:spacing w:after="0" w:line="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Because the lifespans of the vast majority of the Corporation’s major assets are measured in decades, the future cash flows of these assets are predominantly based on long-term oil and natural gas commodity prices and industry margins, development costs, and production costs. Significant reductions in the Corporation’s view of oil or natural gas commodity prices or margin ranges, especially the longer-term prices and margins, and changes in the development plans, including decisions to defer, reduce, or eliminate planned capital spending, can be an indicator of potential impairment. Other events or changes in circumstances can be indicators of potential impairment as well.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22"/>
          <w:szCs w:val="22"/>
          <w:b w:val="1"/>
          <w:bCs w:val="1"/>
          <w:color w:val="0C479D"/>
        </w:rPr>
        <w:t>NOTES TO CONSOLIDATED FINANCIAL STATEMENTS</w:t>
      </w:r>
    </w:p>
    <w:p>
      <w:pPr>
        <w:spacing w:after="0" w:line="200" w:lineRule="exact"/>
        <w:rPr>
          <w:sz w:val="20"/>
          <w:szCs w:val="20"/>
          <w:color w:val="auto"/>
        </w:rPr>
      </w:pPr>
    </w:p>
    <w:p>
      <w:pPr>
        <w:spacing w:after="0" w:line="2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general, the Corporation does not view temporarily low prices or margins as an indication of impairment. Management believes that prices over the long term must be sufficient to generate investments in energy supply to meet global demand. Although prices will occasionally drop significantly, industry prices over the long term will continue to be driven by market supply and demand fundamentals. On the supply side, industry production from mature fields is declining. This is being offset by investments to generate production from new discoveries, field developments, and technology and efficiency advancements. OPEC+ investment activities and production policies also have an impact on world oil supplies. The demand side is largely a function of general economic activities, alternative energy sources, and levels of prosperity. During the lifespan of its major assets, the Corporation expects that oil and gas prices and industry margins will experience significant volatility. Consequently, these assets will experience periods of higher earnings and periods of lower earnings, or even losses. In assessing whether events or changes in circumstances indicate the carrying value of an asset may not be recoverable, the Corporation considers recent periods of operating losses in the context of its longer-term view of prices and margins.</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Upstream, the standardized measure of discounted cash flows included in the Supplemental Information on Oil and Gas Exploration and Production Activities is required to use prices based on the average of first-of-month prices in the year. These prices represent discrete points in time and could be higher or lower than the Corporation’s price assumptions which are used for impairment assessments. The Corporation believes the standardized measure does not provide a reliable estimate of the expected future cash flows to be obtained from the development and production of its oil and gas properties or of the value of its oil and gas reserves, and therefore, does not consider it relevant in determining whether events or changes in circumstances indicate the need for an impairment assessment.</w:t>
      </w:r>
    </w:p>
    <w:p>
      <w:pPr>
        <w:spacing w:after="0" w:line="1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Global Outlook and Cash Flow Assessment. </w:t>
      </w:r>
      <w:r>
        <w:rPr>
          <w:rFonts w:ascii="Times New Roman" w:cs="Times New Roman" w:eastAsia="Times New Roman" w:hAnsi="Times New Roman"/>
          <w:sz w:val="18"/>
          <w:szCs w:val="18"/>
          <w:color w:val="auto"/>
        </w:rPr>
        <w:t>The annual planning and budgeting process, known as the Corporate Plan, is the mechanism by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resources (capital, operating expenses, and people) are allocated across the Corporation. The foundation for the assumptions supporting the Corporate Plan is the Global Outlook (Outlook), which contains the Corporation’s demand and supply projections based on its assessment of current trends in technology, government policies, consumer preferences, geopolitics, economic development, and other factors. Reflective of the existing global policy environment, the Outlook does not attempt to project the degree of necessary future policy and technology advancement and deployment for the world, or the Corporation, to meet net zero by 2050. As future policies and technology advancements emerge, they will be incorporated into the Outlook, and the Corporation’s business plans will be updated accordingly.</w:t>
      </w:r>
    </w:p>
    <w:p>
      <w:pPr>
        <w:spacing w:after="0" w:line="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events or changes in circumstances indicate that the carrying value of an asset may not be recoverable, the Corporation estimates the future undiscounted cash flows of the affected properties to judge the recoverability of carrying amounts. In performing this assessment, assets are grouped at the lowest level for which there are identifiable cash flows that are largely independent of the cash flows of other groups of assets. Cash flows used in recoverability assessments are based on the assumptions developed in the Corporate Plan, which is reviewed and approved by the Board of Directors, and are consistent with the criteria management uses to evaluate investment opportunities. These evaluations make use of the Corporation’s assumptions of future capital allocations, crude oil and natural gas commodity prices, including price differentials, refining and chemical margins, volumes, development and operating costs including greenhouse gas emission prices, and foreign currency exchange rates. Notably, when assessing future cash flows, the Corporation includes the estimated costs in support of reaching its 2030 greenhouse gas emission-reduction plans, including its goal of net-zero Scope 1 and 2 greenhouse gas emissions from unconventional operated assets in the Permian Basin, and in Pioneer assets by 2035. Volumes are based on projected field and facility production profiles, throughput, or sales. Management’s estimate of upstream production volumes used for projected cash flows makes use of proved reserve quantities and may include risk-adjusted unproved reserve quantities. Cash flow estimates for impairment testing exclude the effects of derivative instruments. As part of the Corporate Plan, the Company considers estimated greenhouse gas emission costs, even for jurisdictions without a current greenhouse gas pricing policy.</w:t>
      </w:r>
    </w:p>
    <w:p>
      <w:pPr>
        <w:spacing w:after="0" w:line="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Fair Value of Impaired Assets. </w:t>
      </w:r>
      <w:r>
        <w:rPr>
          <w:rFonts w:ascii="Times New Roman" w:cs="Times New Roman" w:eastAsia="Times New Roman" w:hAnsi="Times New Roman"/>
          <w:sz w:val="18"/>
          <w:szCs w:val="18"/>
          <w:color w:val="auto"/>
        </w:rPr>
        <w:t>An asset group is impaired if its estimated undiscounted cash flows are less than the asset group's carrying 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Impairments are measured by the excess of the carrying value over fair value. The assessment of fair value is based upon the views of a likely market participant. The principal parameters used to establish fair value include estimates of acreage values and flowing production metrics from comparable market transactions, market-based estimates of historical cash flow multiples, and discounted cash flows. Inputs and assumptions used in discounted cash flow models include estimates of future production volumes, throughput and product sales volumes, commodity prices (which are consistent with the average of third-party industry experts and government agencies), refining and chemical margins, drilling and development costs, operating costs, and discount rates which are reflective of the characteristics of the asset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22"/>
          <w:szCs w:val="22"/>
          <w:b w:val="1"/>
          <w:bCs w:val="1"/>
          <w:color w:val="0C479D"/>
        </w:rPr>
        <w:t>NOTES TO CONSOLIDATED FINANCIAL STATEMENTS</w:t>
      </w:r>
    </w:p>
    <w:p>
      <w:pPr>
        <w:spacing w:after="0" w:line="200" w:lineRule="exact"/>
        <w:rPr>
          <w:sz w:val="20"/>
          <w:szCs w:val="20"/>
          <w:color w:val="auto"/>
        </w:rPr>
      </w:pPr>
    </w:p>
    <w:p>
      <w:pPr>
        <w:spacing w:after="0" w:line="27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Other Impairments Related to Property, Plant and Equipment. </w:t>
      </w:r>
      <w:r>
        <w:rPr>
          <w:rFonts w:ascii="Times New Roman" w:cs="Times New Roman" w:eastAsia="Times New Roman" w:hAnsi="Times New Roman"/>
          <w:sz w:val="18"/>
          <w:szCs w:val="18"/>
          <w:color w:val="auto"/>
        </w:rPr>
        <w:t>Unproved properties are assessed periodically to determine whether they have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impaired. Significant unproved properties are assessed for impairment individually, and valuation allowances against the capitalized costs are recorded based on the Corporation's future development plans, the estimated economic chance of success, and the length of time that the Corporation expects to hold the properties. Properties that are not individually significant are aggregated by groups and amortized based on development risk and average holding period.</w:t>
      </w:r>
    </w:p>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Long-lived assets that are held for sale are evaluated for possible impairment by comparing the carrying value of the asset with its fair value less the cost to sell. If the net book value exceeds the fair value less cost to sell, the assets are considered impaired and adjusted to the lower value. Gains on sales of proved and unproved properties are only recognized when there is neither uncertainty about the recovery of costs applicable to any interest retained nor any substantial obligation for future performance by the Corporation.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Liabilities</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Liabilities for environmental costs are recorded when it is probable that obligations have been incurred and the amounts can be reasonably estimated. These liabilities are not reduced by possible recoveries from third parties, and projected cash expenditures are not discounted.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Corporation selects the functional reporting currency for its international subsidiaries based on the currency of the primary economic environment in which each subsidiary operates. Operations in the Product Solutions businesses use the local currency. However, the U.S. dollar is used in countries with a history of high inflation (primarily in Latin America) and in Singapore, which predominantly sells into the U.S. dollar export market. Upstream operations which are relatively self-contained and integrated within a particular country, such as in Canada and Europe, use the local currency. Some Upstream operations, primarily in Asia and Africa, use the U.S. dollar because they predominantly sell crude and natural gas production into U.S. dollar-denominated markets.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all operations, gains or losses from remeasuring foreign currency transactions into the functional currency are included in income.</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C479D"/>
        </w:rPr>
        <w:t>Note 2. Russia</w:t>
      </w:r>
    </w:p>
    <w:p>
      <w:pPr>
        <w:spacing w:after="0" w:line="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response to Russia’s military action in Ukraine, the Corporation announced in early 2022 that it planned to discontinue operations on the Sakhalin-1 project (“Sakhalin”) and develop steps to exit the venture. In light of this, an impairment assessment was conducted, and management determined that the carrying value of the asset group was not recoverable. As a result, the Corporation’s first-quarter 2022 earnings included after-tax charges of $3.4 billion largely representing the full impairment of its operations related to Sakhalin. On a before-tax basis, the charges amounted to $4.6 billion, substantially all of which is reflected in the line captioned “Depreciation and depletion (including impairments)” on the Consolidated Statement of Income. Effective October 14, 2022, the Russian government unilaterally terminated the Corporation’s interests in Sakhalin, transferring operations to a Russian operator. The Corporation’s fourth-quarter 2022 results include an after-tax benefit of $1.1 billion largely reflecting the impact of the expropriation on the Company’s various obligations related to Sakhalin. The Corporation's exit from the project resulted in approximately 150 million oil-equivalent barrels no longer qualifying as proved reserves at year-end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22"/>
          <w:szCs w:val="22"/>
          <w:b w:val="1"/>
          <w:bCs w:val="1"/>
          <w:color w:val="0C479D"/>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C479D"/>
        </w:rPr>
        <w:t>Note 3. Miscellaneous Financial Information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totaled $987 million in 2024, $879 million in 2023, and $824 million in 2022.</w:t>
      </w:r>
    </w:p>
    <w:p>
      <w:pPr>
        <w:spacing w:after="0" w:line="1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income included before-tax aggregate foreign exchange transaction losses of $507 million, $51 million, and $218 million in 2024, 2023, and 2022, respectively.</w:t>
      </w:r>
    </w:p>
    <w:p>
      <w:pPr>
        <w:spacing w:after="0" w:line="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LIFO Inventory. </w:t>
      </w:r>
      <w:r>
        <w:rPr>
          <w:rFonts w:ascii="Times New Roman" w:cs="Times New Roman" w:eastAsia="Times New Roman" w:hAnsi="Times New Roman"/>
          <w:sz w:val="18"/>
          <w:szCs w:val="18"/>
          <w:color w:val="auto"/>
        </w:rPr>
        <w:t>In 2024, 2023, and 2022, net income included gains of $176 million, $366 million, and $367 million, respectively, attributable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combined effects of LIFO inventory accumulations and drawdowns. The aggregate replacement cost of inventories was estimated to exceed their LIFO carrying values by approximately $10 billion and $14 billion at December 31, 2024 and 2023, respectively.</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Crude oil, products, and merchandise as of year-end 2024 and 2023 consist of the following:</w:t>
      </w:r>
    </w:p>
    <w:p>
      <w:pPr>
        <w:spacing w:after="0" w:line="149" w:lineRule="exact"/>
        <w:rPr>
          <w:sz w:val="20"/>
          <w:szCs w:val="20"/>
          <w:color w:val="auto"/>
        </w:rPr>
      </w:pPr>
    </w:p>
    <w:tbl>
      <w:tblPr>
        <w:tblLayout w:type="fixed"/>
        <w:tblInd w:w="780" w:type="dxa"/>
        <w:tblCellMar>
          <w:top w:w="0" w:type="dxa"/>
          <w:left w:w="0" w:type="dxa"/>
          <w:bottom w:w="0" w:type="dxa"/>
          <w:right w:w="0" w:type="dxa"/>
        </w:tblCellMar>
      </w:tblPr>
      <w:tr>
        <w:trPr>
          <w:trHeight w:val="260"/>
        </w:trPr>
        <w:tc>
          <w:tcPr>
            <w:tcW w:w="7120" w:type="dxa"/>
            <w:vAlign w:val="bottom"/>
            <w:shd w:val="clear" w:color="auto" w:fill="0C479D"/>
          </w:tcPr>
          <w:p>
            <w:pPr>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1240" w:type="dxa"/>
            <w:vAlign w:val="bottom"/>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December 31, 2024</w:t>
            </w:r>
          </w:p>
        </w:tc>
        <w:tc>
          <w:tcPr>
            <w:tcW w:w="1340" w:type="dxa"/>
            <w:vAlign w:val="bottom"/>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December 31, 2023</w:t>
            </w:r>
          </w:p>
        </w:tc>
      </w:tr>
      <w:tr>
        <w:trPr>
          <w:trHeight w:val="104"/>
        </w:trPr>
        <w:tc>
          <w:tcPr>
            <w:tcW w:w="7120" w:type="dxa"/>
            <w:vAlign w:val="bottom"/>
            <w:shd w:val="clear" w:color="auto" w:fill="0C479D"/>
          </w:tcPr>
          <w:p>
            <w:pPr>
              <w:spacing w:after="0"/>
              <w:rPr>
                <w:sz w:val="9"/>
                <w:szCs w:val="9"/>
                <w:color w:val="auto"/>
              </w:rPr>
            </w:pPr>
          </w:p>
        </w:tc>
        <w:tc>
          <w:tcPr>
            <w:tcW w:w="1240" w:type="dxa"/>
            <w:vAlign w:val="bottom"/>
            <w:shd w:val="clear" w:color="auto" w:fill="0C479D"/>
          </w:tcPr>
          <w:p>
            <w:pPr>
              <w:spacing w:after="0"/>
              <w:rPr>
                <w:sz w:val="9"/>
                <w:szCs w:val="9"/>
                <w:color w:val="auto"/>
              </w:rPr>
            </w:pPr>
          </w:p>
        </w:tc>
        <w:tc>
          <w:tcPr>
            <w:tcW w:w="1340" w:type="dxa"/>
            <w:vAlign w:val="bottom"/>
            <w:shd w:val="clear" w:color="auto" w:fill="0C479D"/>
          </w:tcPr>
          <w:p>
            <w:pPr>
              <w:spacing w:after="0"/>
              <w:rPr>
                <w:sz w:val="9"/>
                <w:szCs w:val="9"/>
                <w:color w:val="auto"/>
              </w:rPr>
            </w:pPr>
          </w:p>
        </w:tc>
      </w:tr>
      <w:tr>
        <w:trPr>
          <w:trHeight w:val="270"/>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Crude oil</w:t>
            </w:r>
          </w:p>
        </w:tc>
        <w:tc>
          <w:tcPr>
            <w:tcW w:w="1240" w:type="dxa"/>
            <w:vAlign w:val="bottom"/>
            <w:shd w:val="clear" w:color="auto" w:fill="F0F0F0"/>
          </w:tcPr>
          <w:p>
            <w:pPr>
              <w:jc w:val="right"/>
              <w:ind w:right="13"/>
              <w:spacing w:after="0"/>
              <w:rPr>
                <w:sz w:val="20"/>
                <w:szCs w:val="20"/>
                <w:color w:val="auto"/>
              </w:rPr>
            </w:pPr>
            <w:r>
              <w:rPr>
                <w:rFonts w:ascii="Times New Roman" w:cs="Times New Roman" w:eastAsia="Times New Roman" w:hAnsi="Times New Roman"/>
                <w:sz w:val="18"/>
                <w:szCs w:val="18"/>
                <w:color w:val="auto"/>
              </w:rPr>
              <w:t>6,483</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6,944</w:t>
            </w:r>
          </w:p>
        </w:tc>
      </w:tr>
      <w:tr>
        <w:trPr>
          <w:trHeight w:val="270"/>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Petroleum products</w:t>
            </w:r>
          </w:p>
        </w:tc>
        <w:tc>
          <w:tcPr>
            <w:tcW w:w="1240" w:type="dxa"/>
            <w:vAlign w:val="bottom"/>
            <w:shd w:val="clear" w:color="auto" w:fill="F0F0F0"/>
          </w:tcPr>
          <w:p>
            <w:pPr>
              <w:jc w:val="right"/>
              <w:ind w:right="13"/>
              <w:spacing w:after="0"/>
              <w:rPr>
                <w:sz w:val="20"/>
                <w:szCs w:val="20"/>
                <w:color w:val="auto"/>
              </w:rPr>
            </w:pPr>
            <w:r>
              <w:rPr>
                <w:rFonts w:ascii="Times New Roman" w:cs="Times New Roman" w:eastAsia="Times New Roman" w:hAnsi="Times New Roman"/>
                <w:sz w:val="18"/>
                <w:szCs w:val="18"/>
                <w:color w:val="auto"/>
              </w:rPr>
              <w:t>6,017</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6,248</w:t>
            </w:r>
          </w:p>
        </w:tc>
      </w:tr>
      <w:tr>
        <w:trPr>
          <w:trHeight w:val="270"/>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Chemical products </w:t>
            </w:r>
            <w:r>
              <w:rPr>
                <w:rFonts w:ascii="Times New Roman" w:cs="Times New Roman" w:eastAsia="Times New Roman" w:hAnsi="Times New Roman"/>
                <w:sz w:val="9"/>
                <w:szCs w:val="9"/>
                <w:i w:val="1"/>
                <w:iCs w:val="1"/>
                <w:color w:val="auto"/>
              </w:rPr>
              <w:t>(1)</w:t>
            </w:r>
          </w:p>
        </w:tc>
        <w:tc>
          <w:tcPr>
            <w:tcW w:w="1240" w:type="dxa"/>
            <w:vAlign w:val="bottom"/>
            <w:shd w:val="clear" w:color="auto" w:fill="F0F0F0"/>
          </w:tcPr>
          <w:p>
            <w:pPr>
              <w:jc w:val="right"/>
              <w:ind w:right="13"/>
              <w:spacing w:after="0"/>
              <w:rPr>
                <w:sz w:val="20"/>
                <w:szCs w:val="20"/>
                <w:color w:val="auto"/>
              </w:rPr>
            </w:pPr>
            <w:r>
              <w:rPr>
                <w:rFonts w:ascii="Times New Roman" w:cs="Times New Roman" w:eastAsia="Times New Roman" w:hAnsi="Times New Roman"/>
                <w:sz w:val="18"/>
                <w:szCs w:val="18"/>
                <w:color w:val="auto"/>
              </w:rPr>
              <w:t>4,142</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3,930</w:t>
            </w:r>
          </w:p>
        </w:tc>
      </w:tr>
      <w:tr>
        <w:trPr>
          <w:trHeight w:val="270"/>
        </w:trPr>
        <w:tc>
          <w:tcPr>
            <w:tcW w:w="712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color w:val="auto"/>
              </w:rPr>
              <w:t>Gas/other</w:t>
            </w:r>
          </w:p>
        </w:tc>
        <w:tc>
          <w:tcPr>
            <w:tcW w:w="1240" w:type="dxa"/>
            <w:vAlign w:val="bottom"/>
            <w:tcBorders>
              <w:bottom w:val="single" w:sz="8" w:color="0C479D"/>
            </w:tcBorders>
            <w:shd w:val="clear" w:color="auto" w:fill="F0F0F0"/>
          </w:tcPr>
          <w:p>
            <w:pPr>
              <w:jc w:val="right"/>
              <w:ind w:right="13"/>
              <w:spacing w:after="0"/>
              <w:rPr>
                <w:sz w:val="20"/>
                <w:szCs w:val="20"/>
                <w:color w:val="auto"/>
              </w:rPr>
            </w:pPr>
            <w:r>
              <w:rPr>
                <w:rFonts w:ascii="Times New Roman" w:cs="Times New Roman" w:eastAsia="Times New Roman" w:hAnsi="Times New Roman"/>
                <w:sz w:val="18"/>
                <w:szCs w:val="18"/>
                <w:color w:val="auto"/>
              </w:rPr>
              <w:t>2,802</w:t>
            </w:r>
          </w:p>
        </w:tc>
        <w:tc>
          <w:tcPr>
            <w:tcW w:w="13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3,406</w:t>
            </w:r>
          </w:p>
        </w:tc>
      </w:tr>
      <w:tr>
        <w:trPr>
          <w:trHeight w:val="243"/>
        </w:trPr>
        <w:tc>
          <w:tcPr>
            <w:tcW w:w="712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Borders>
              <w:bottom w:val="single" w:sz="8" w:color="0C479D"/>
            </w:tcBorders>
            <w:shd w:val="clear" w:color="auto" w:fill="F0F0F0"/>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19,444</w:t>
            </w:r>
          </w:p>
        </w:tc>
        <w:tc>
          <w:tcPr>
            <w:tcW w:w="13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20,528</w:t>
            </w:r>
          </w:p>
        </w:tc>
      </w:tr>
    </w:tbl>
    <w:p>
      <w:pPr>
        <w:spacing w:after="0" w:line="83" w:lineRule="exact"/>
        <w:rPr>
          <w:sz w:val="20"/>
          <w:szCs w:val="20"/>
          <w:color w:val="auto"/>
        </w:rPr>
      </w:pPr>
    </w:p>
    <w:p>
      <w:pPr>
        <w:ind w:left="780" w:right="780" w:firstLine="9"/>
        <w:spacing w:after="0" w:line="254" w:lineRule="auto"/>
        <w:tabs>
          <w:tab w:leader="none" w:pos="912" w:val="left"/>
        </w:tabs>
        <w:numPr>
          <w:ilvl w:val="0"/>
          <w:numId w:val="47"/>
        </w:numPr>
        <w:rPr>
          <w:rFonts w:ascii="Times New Roman" w:cs="Times New Roman" w:eastAsia="Times New Roman" w:hAnsi="Times New Roman"/>
          <w:sz w:val="15"/>
          <w:szCs w:val="15"/>
          <w:i w:val="1"/>
          <w:iCs w:val="1"/>
          <w:color w:val="auto"/>
          <w:vertAlign w:val="superscript"/>
        </w:rPr>
      </w:pPr>
      <w:r>
        <w:rPr>
          <w:rFonts w:ascii="Times New Roman" w:cs="Times New Roman" w:eastAsia="Times New Roman" w:hAnsi="Times New Roman"/>
          <w:sz w:val="11"/>
          <w:szCs w:val="11"/>
          <w:i w:val="1"/>
          <w:iCs w:val="1"/>
          <w:color w:val="auto"/>
        </w:rPr>
        <w:t>Chemical products includes basic chemicals (olefins and aromatics), polymers (such as polyolefins, adhesions, specialty elastomers, &amp; butyl), intermediates (e.g. hydrocarbon fluids, plasticizers) and synthetics.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Government Assistance. </w:t>
      </w:r>
      <w:r>
        <w:rPr>
          <w:rFonts w:ascii="Times New Roman" w:cs="Times New Roman" w:eastAsia="Times New Roman" w:hAnsi="Times New Roman"/>
          <w:sz w:val="18"/>
          <w:szCs w:val="18"/>
          <w:color w:val="auto"/>
        </w:rPr>
        <w:t>ASC 832 "Government Assistance" requires disclosure of certain types of government assistance not otherwise covered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authoritative accounting guidance. During 2022 to 2024, certain governments outside the United States provided payments which, individually and in aggregate, were immaterial to the Corporation's financial results. Among these are programs where governments endeavor to stabilize or cap fuel and energy costs for local consumers. To compensate producers who sell at the government-mandated prices, these governments provide reimbursements to the producers. In 2024 and 2023, such reimbursements were negligible as were any corresponding receivables associated with these programs. In 2022, these reimbursements totaled approximately $1.5 billion before tax, which were reflected as reductions to the line captioned "Crude oil and product purchases" on the Consolidated Statement of Income. The terms and conditions of these programs, including their duration, vary by country. In the event that any of these programs are discontinued, the Corporation does not expect a significant impact to its financial results. Additionally, in connection with cap and trade programs in certain countries outside the United States, companies receive allowances from governments covering a specified level of emissions from facilities they operate. The terms of these programs vary by country. The Corporation records these allowances at a nominal amount, generally in "Inventories - Crude oil, products and merchandise" on the Consolidated Balance Sheet.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22"/>
          <w:szCs w:val="22"/>
          <w:b w:val="1"/>
          <w:bCs w:val="1"/>
          <w:color w:val="0C479D"/>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C479D"/>
        </w:rPr>
        <w:t>Note 4. Other Comprehensive Income Information</w:t>
      </w:r>
    </w:p>
    <w:p>
      <w:pPr>
        <w:spacing w:after="0" w:line="197" w:lineRule="exact"/>
        <w:rPr>
          <w:sz w:val="20"/>
          <w:szCs w:val="20"/>
          <w:color w:val="auto"/>
        </w:rPr>
      </w:pPr>
    </w:p>
    <w:tbl>
      <w:tblPr>
        <w:tblLayout w:type="fixed"/>
        <w:tblInd w:w="800" w:type="dxa"/>
        <w:tblCellMar>
          <w:top w:w="0" w:type="dxa"/>
          <w:left w:w="0" w:type="dxa"/>
          <w:bottom w:w="0" w:type="dxa"/>
          <w:right w:w="0" w:type="dxa"/>
        </w:tblCellMar>
      </w:tblPr>
      <w:tr>
        <w:trPr>
          <w:trHeight w:val="216"/>
        </w:trPr>
        <w:tc>
          <w:tcPr>
            <w:tcW w:w="5340" w:type="dxa"/>
            <w:vAlign w:val="bottom"/>
            <w:shd w:val="clear" w:color="auto" w:fill="0C479D"/>
          </w:tcPr>
          <w:p>
            <w:pPr>
              <w:spacing w:after="0"/>
              <w:rPr>
                <w:sz w:val="20"/>
                <w:szCs w:val="20"/>
                <w:color w:val="auto"/>
              </w:rPr>
            </w:pPr>
            <w:r>
              <w:rPr>
                <w:rFonts w:ascii="Times New Roman" w:cs="Times New Roman" w:eastAsia="Times New Roman" w:hAnsi="Times New Roman"/>
                <w:sz w:val="18"/>
                <w:szCs w:val="18"/>
                <w:b w:val="1"/>
                <w:bCs w:val="1"/>
                <w:color w:val="FFFFFF"/>
              </w:rPr>
              <w:t>ExxonMobil Share of Accumulated Other</w:t>
            </w:r>
          </w:p>
        </w:tc>
        <w:tc>
          <w:tcPr>
            <w:tcW w:w="160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Cumulative Foreign</w:t>
            </w:r>
          </w:p>
        </w:tc>
        <w:tc>
          <w:tcPr>
            <w:tcW w:w="1440" w:type="dxa"/>
            <w:vAlign w:val="bottom"/>
            <w:shd w:val="clear" w:color="auto" w:fill="0C479D"/>
          </w:tcPr>
          <w:p>
            <w:pPr>
              <w:jc w:val="center"/>
              <w:ind w:right="33"/>
              <w:spacing w:after="0"/>
              <w:rPr>
                <w:sz w:val="20"/>
                <w:szCs w:val="20"/>
                <w:color w:val="auto"/>
              </w:rPr>
            </w:pPr>
            <w:r>
              <w:rPr>
                <w:rFonts w:ascii="Times New Roman" w:cs="Times New Roman" w:eastAsia="Times New Roman" w:hAnsi="Times New Roman"/>
                <w:sz w:val="14"/>
                <w:szCs w:val="14"/>
                <w:b w:val="1"/>
                <w:bCs w:val="1"/>
                <w:color w:val="FFFFFF"/>
              </w:rPr>
              <w:t>Postretirement</w:t>
            </w:r>
          </w:p>
        </w:tc>
        <w:tc>
          <w:tcPr>
            <w:tcW w:w="1300" w:type="dxa"/>
            <w:vAlign w:val="bottom"/>
            <w:vMerge w:val="restart"/>
            <w:shd w:val="clear" w:color="auto" w:fill="0C479D"/>
          </w:tcPr>
          <w:p>
            <w:pPr>
              <w:jc w:val="right"/>
              <w:ind w:right="411"/>
              <w:spacing w:after="0"/>
              <w:rPr>
                <w:sz w:val="20"/>
                <w:szCs w:val="20"/>
                <w:color w:val="auto"/>
              </w:rPr>
            </w:pPr>
            <w:r>
              <w:rPr>
                <w:rFonts w:ascii="Times New Roman" w:cs="Times New Roman" w:eastAsia="Times New Roman" w:hAnsi="Times New Roman"/>
                <w:sz w:val="14"/>
                <w:szCs w:val="14"/>
                <w:b w:val="1"/>
                <w:bCs w:val="1"/>
                <w:color w:val="FFFFFF"/>
              </w:rPr>
              <w:t>Total</w:t>
            </w:r>
          </w:p>
        </w:tc>
        <w:tc>
          <w:tcPr>
            <w:tcW w:w="0" w:type="dxa"/>
            <w:vAlign w:val="bottom"/>
          </w:tcPr>
          <w:p>
            <w:pPr>
              <w:spacing w:after="0"/>
              <w:rPr>
                <w:sz w:val="1"/>
                <w:szCs w:val="1"/>
                <w:color w:val="auto"/>
              </w:rPr>
            </w:pPr>
          </w:p>
        </w:tc>
      </w:tr>
      <w:tr>
        <w:trPr>
          <w:trHeight w:val="175"/>
        </w:trPr>
        <w:tc>
          <w:tcPr>
            <w:tcW w:w="5340" w:type="dxa"/>
            <w:vAlign w:val="bottom"/>
            <w:shd w:val="clear" w:color="auto" w:fill="0C479D"/>
          </w:tcPr>
          <w:p>
            <w:pPr>
              <w:spacing w:after="0" w:line="176" w:lineRule="exact"/>
              <w:rPr>
                <w:sz w:val="20"/>
                <w:szCs w:val="20"/>
                <w:color w:val="auto"/>
              </w:rPr>
            </w:pPr>
            <w:r>
              <w:rPr>
                <w:rFonts w:ascii="Times New Roman" w:cs="Times New Roman" w:eastAsia="Times New Roman" w:hAnsi="Times New Roman"/>
                <w:sz w:val="18"/>
                <w:szCs w:val="18"/>
                <w:b w:val="1"/>
                <w:bCs w:val="1"/>
                <w:color w:val="FFFFFF"/>
              </w:rPr>
              <w:t>Comprehensive Income</w:t>
            </w:r>
          </w:p>
        </w:tc>
        <w:tc>
          <w:tcPr>
            <w:tcW w:w="160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Exchange Translation</w:t>
            </w:r>
          </w:p>
        </w:tc>
        <w:tc>
          <w:tcPr>
            <w:tcW w:w="1440" w:type="dxa"/>
            <w:vAlign w:val="bottom"/>
            <w:shd w:val="clear" w:color="auto" w:fill="0C479D"/>
          </w:tcPr>
          <w:p>
            <w:pPr>
              <w:jc w:val="center"/>
              <w:ind w:right="33"/>
              <w:spacing w:after="0"/>
              <w:rPr>
                <w:sz w:val="20"/>
                <w:szCs w:val="20"/>
                <w:color w:val="auto"/>
              </w:rPr>
            </w:pPr>
            <w:r>
              <w:rPr>
                <w:rFonts w:ascii="Times New Roman" w:cs="Times New Roman" w:eastAsia="Times New Roman" w:hAnsi="Times New Roman"/>
                <w:sz w:val="14"/>
                <w:szCs w:val="14"/>
                <w:b w:val="1"/>
                <w:bCs w:val="1"/>
                <w:color w:val="FFFFFF"/>
              </w:rPr>
              <w:t>Benefits Reserves</w:t>
            </w:r>
          </w:p>
        </w:tc>
        <w:tc>
          <w:tcPr>
            <w:tcW w:w="1300" w:type="dxa"/>
            <w:vAlign w:val="bottom"/>
            <w:vMerge w:val="continue"/>
            <w:shd w:val="clear" w:color="auto" w:fill="0C479D"/>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5340" w:type="dxa"/>
            <w:vAlign w:val="bottom"/>
            <w:shd w:val="clear" w:color="auto" w:fill="0C479D"/>
          </w:tcPr>
          <w:p>
            <w:pPr>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160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Adjustment</w:t>
            </w:r>
          </w:p>
        </w:tc>
        <w:tc>
          <w:tcPr>
            <w:tcW w:w="1440" w:type="dxa"/>
            <w:vAlign w:val="bottom"/>
            <w:shd w:val="clear" w:color="auto" w:fill="0C479D"/>
          </w:tcPr>
          <w:p>
            <w:pPr>
              <w:jc w:val="center"/>
              <w:ind w:right="33"/>
              <w:spacing w:after="0"/>
              <w:rPr>
                <w:sz w:val="20"/>
                <w:szCs w:val="20"/>
                <w:color w:val="auto"/>
              </w:rPr>
            </w:pPr>
            <w:r>
              <w:rPr>
                <w:rFonts w:ascii="Times New Roman" w:cs="Times New Roman" w:eastAsia="Times New Roman" w:hAnsi="Times New Roman"/>
                <w:sz w:val="14"/>
                <w:szCs w:val="14"/>
                <w:b w:val="1"/>
                <w:bCs w:val="1"/>
                <w:color w:val="FFFFFF"/>
              </w:rPr>
              <w:t>Adjustment</w:t>
            </w:r>
          </w:p>
        </w:tc>
        <w:tc>
          <w:tcPr>
            <w:tcW w:w="1300" w:type="dxa"/>
            <w:vAlign w:val="bottom"/>
            <w:shd w:val="clear" w:color="auto" w:fill="0C479D"/>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5340" w:type="dxa"/>
            <w:vAlign w:val="bottom"/>
            <w:shd w:val="clear" w:color="auto" w:fill="0C479D"/>
          </w:tcPr>
          <w:p>
            <w:pPr>
              <w:spacing w:after="0"/>
              <w:rPr>
                <w:sz w:val="5"/>
                <w:szCs w:val="5"/>
                <w:color w:val="auto"/>
              </w:rPr>
            </w:pPr>
          </w:p>
        </w:tc>
        <w:tc>
          <w:tcPr>
            <w:tcW w:w="1600" w:type="dxa"/>
            <w:vAlign w:val="bottom"/>
            <w:shd w:val="clear" w:color="auto" w:fill="0C479D"/>
          </w:tcPr>
          <w:p>
            <w:pPr>
              <w:spacing w:after="0"/>
              <w:rPr>
                <w:sz w:val="5"/>
                <w:szCs w:val="5"/>
                <w:color w:val="auto"/>
              </w:rPr>
            </w:pPr>
          </w:p>
        </w:tc>
        <w:tc>
          <w:tcPr>
            <w:tcW w:w="1440" w:type="dxa"/>
            <w:vAlign w:val="bottom"/>
            <w:shd w:val="clear" w:color="auto" w:fill="0C479D"/>
          </w:tcPr>
          <w:p>
            <w:pPr>
              <w:spacing w:after="0"/>
              <w:rPr>
                <w:sz w:val="5"/>
                <w:szCs w:val="5"/>
                <w:color w:val="auto"/>
              </w:rPr>
            </w:pPr>
          </w:p>
        </w:tc>
        <w:tc>
          <w:tcPr>
            <w:tcW w:w="1300" w:type="dxa"/>
            <w:vAlign w:val="bottom"/>
            <w:shd w:val="clear" w:color="auto" w:fill="0C479D"/>
          </w:tcPr>
          <w:p>
            <w:pPr>
              <w:spacing w:after="0"/>
              <w:rPr>
                <w:sz w:val="5"/>
                <w:szCs w:val="5"/>
                <w:color w:val="auto"/>
              </w:rPr>
            </w:pPr>
          </w:p>
        </w:tc>
        <w:tc>
          <w:tcPr>
            <w:tcW w:w="0" w:type="dxa"/>
            <w:vAlign w:val="bottom"/>
          </w:tcPr>
          <w:p>
            <w:pPr>
              <w:spacing w:after="0"/>
              <w:rPr>
                <w:sz w:val="1"/>
                <w:szCs w:val="1"/>
                <w:color w:val="auto"/>
              </w:rPr>
            </w:pPr>
          </w:p>
        </w:tc>
      </w:tr>
      <w:tr>
        <w:trPr>
          <w:trHeight w:val="500"/>
        </w:trPr>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600" w:type="dxa"/>
            <w:vAlign w:val="bottom"/>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(11,499)</w:t>
            </w:r>
          </w:p>
        </w:tc>
        <w:tc>
          <w:tcPr>
            <w:tcW w:w="1440" w:type="dxa"/>
            <w:vAlign w:val="bottom"/>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(2,265)</w:t>
            </w:r>
          </w:p>
        </w:tc>
        <w:tc>
          <w:tcPr>
            <w:tcW w:w="13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(13,764)</w:t>
            </w:r>
          </w:p>
        </w:tc>
        <w:tc>
          <w:tcPr>
            <w:tcW w:w="0" w:type="dxa"/>
            <w:vAlign w:val="bottom"/>
          </w:tcPr>
          <w:p>
            <w:pPr>
              <w:spacing w:after="0"/>
              <w:rPr>
                <w:sz w:val="1"/>
                <w:szCs w:val="1"/>
                <w:color w:val="auto"/>
              </w:rPr>
            </w:pPr>
          </w:p>
        </w:tc>
      </w:tr>
      <w:tr>
        <w:trPr>
          <w:trHeight w:val="175"/>
        </w:trPr>
        <w:tc>
          <w:tcPr>
            <w:tcW w:w="53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Current period change excluding amounts reclassified from accumulated</w:t>
            </w:r>
          </w:p>
        </w:tc>
        <w:tc>
          <w:tcPr>
            <w:tcW w:w="16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00" w:type="dxa"/>
            <w:vAlign w:val="bottom"/>
            <w:shd w:val="clear" w:color="auto" w:fill="F0F0F0"/>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(3,092)</w:t>
            </w:r>
          </w:p>
        </w:tc>
        <w:tc>
          <w:tcPr>
            <w:tcW w:w="14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3,205</w:t>
            </w:r>
          </w:p>
        </w:tc>
        <w:tc>
          <w:tcPr>
            <w:tcW w:w="1300" w:type="dxa"/>
            <w:vAlign w:val="bottom"/>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57"/>
        </w:trPr>
        <w:tc>
          <w:tcPr>
            <w:tcW w:w="534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1600" w:type="dxa"/>
            <w:vAlign w:val="bottom"/>
            <w:tcBorders>
              <w:bottom w:val="single" w:sz="8" w:color="0C479D"/>
            </w:tcBorders>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0C479D"/>
            </w:tcBorders>
          </w:tcPr>
          <w:p>
            <w:pPr>
              <w:jc w:val="right"/>
              <w:ind w:right="113"/>
              <w:spacing w:after="0"/>
              <w:rPr>
                <w:sz w:val="20"/>
                <w:szCs w:val="20"/>
                <w:color w:val="auto"/>
              </w:rPr>
            </w:pPr>
            <w:r>
              <w:rPr>
                <w:rFonts w:ascii="Times New Roman" w:cs="Times New Roman" w:eastAsia="Times New Roman" w:hAnsi="Times New Roman"/>
                <w:sz w:val="18"/>
                <w:szCs w:val="18"/>
                <w:color w:val="auto"/>
              </w:rPr>
              <w:t>381</w:t>
            </w:r>
          </w:p>
        </w:tc>
        <w:tc>
          <w:tcPr>
            <w:tcW w:w="1300" w:type="dxa"/>
            <w:vAlign w:val="bottom"/>
            <w:tcBorders>
              <w:bottom w:val="single" w:sz="8" w:color="0C479D"/>
            </w:tcBorders>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36"/>
        </w:trPr>
        <w:tc>
          <w:tcPr>
            <w:tcW w:w="534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color w:val="auto"/>
              </w:rPr>
              <w:t>Total change in accumulated other comprehensive income</w:t>
            </w:r>
          </w:p>
        </w:tc>
        <w:tc>
          <w:tcPr>
            <w:tcW w:w="1600" w:type="dxa"/>
            <w:vAlign w:val="bottom"/>
            <w:tcBorders>
              <w:bottom w:val="single" w:sz="8" w:color="0C479D"/>
            </w:tcBorders>
          </w:tcPr>
          <w:p>
            <w:pPr>
              <w:jc w:val="right"/>
              <w:ind w:right="73"/>
              <w:spacing w:after="0"/>
              <w:rPr>
                <w:sz w:val="20"/>
                <w:szCs w:val="20"/>
                <w:color w:val="auto"/>
              </w:rPr>
            </w:pPr>
            <w:r>
              <w:rPr>
                <w:rFonts w:ascii="Times New Roman" w:cs="Times New Roman" w:eastAsia="Times New Roman" w:hAnsi="Times New Roman"/>
                <w:sz w:val="18"/>
                <w:szCs w:val="18"/>
                <w:color w:val="auto"/>
              </w:rPr>
              <w:t>(3,092)</w:t>
            </w:r>
          </w:p>
        </w:tc>
        <w:tc>
          <w:tcPr>
            <w:tcW w:w="1440" w:type="dxa"/>
            <w:vAlign w:val="bottom"/>
            <w:tcBorders>
              <w:bottom w:val="single" w:sz="8" w:color="0C479D"/>
            </w:tcBorders>
          </w:tcPr>
          <w:p>
            <w:pPr>
              <w:jc w:val="right"/>
              <w:ind w:right="113"/>
              <w:spacing w:after="0"/>
              <w:rPr>
                <w:sz w:val="20"/>
                <w:szCs w:val="20"/>
                <w:color w:val="auto"/>
              </w:rPr>
            </w:pPr>
            <w:r>
              <w:rPr>
                <w:rFonts w:ascii="Times New Roman" w:cs="Times New Roman" w:eastAsia="Times New Roman" w:hAnsi="Times New Roman"/>
                <w:sz w:val="18"/>
                <w:szCs w:val="18"/>
                <w:color w:val="auto"/>
              </w:rPr>
              <w:t>3,586</w:t>
            </w:r>
          </w:p>
        </w:tc>
        <w:tc>
          <w:tcPr>
            <w:tcW w:w="1300" w:type="dxa"/>
            <w:vAlign w:val="bottom"/>
            <w:tcBorders>
              <w:bottom w:val="single" w:sz="8" w:color="0C479D"/>
            </w:tcBorders>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32"/>
        </w:trPr>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600" w:type="dxa"/>
            <w:vAlign w:val="bottom"/>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(14,591)</w:t>
            </w:r>
          </w:p>
        </w:tc>
        <w:tc>
          <w:tcPr>
            <w:tcW w:w="1440" w:type="dxa"/>
            <w:vAlign w:val="bottom"/>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1,321</w:t>
            </w:r>
          </w:p>
        </w:tc>
        <w:tc>
          <w:tcPr>
            <w:tcW w:w="13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(13,270)</w:t>
            </w:r>
          </w:p>
        </w:tc>
        <w:tc>
          <w:tcPr>
            <w:tcW w:w="0" w:type="dxa"/>
            <w:vAlign w:val="bottom"/>
          </w:tcPr>
          <w:p>
            <w:pPr>
              <w:spacing w:after="0"/>
              <w:rPr>
                <w:sz w:val="1"/>
                <w:szCs w:val="1"/>
                <w:color w:val="auto"/>
              </w:rPr>
            </w:pPr>
          </w:p>
        </w:tc>
      </w:tr>
      <w:tr>
        <w:trPr>
          <w:trHeight w:val="180"/>
        </w:trPr>
        <w:tc>
          <w:tcPr>
            <w:tcW w:w="53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Current period change excluding amounts reclassified from accumulated</w:t>
            </w:r>
          </w:p>
        </w:tc>
        <w:tc>
          <w:tcPr>
            <w:tcW w:w="16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00" w:type="dxa"/>
            <w:vAlign w:val="bottom"/>
            <w:shd w:val="clear" w:color="auto" w:fill="F0F0F0"/>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other comprehensive income </w:t>
            </w:r>
            <w:r>
              <w:rPr>
                <w:rFonts w:ascii="Times New Roman" w:cs="Times New Roman" w:eastAsia="Times New Roman" w:hAnsi="Times New Roman"/>
                <w:sz w:val="9"/>
                <w:szCs w:val="9"/>
                <w:i w:val="1"/>
                <w:iCs w:val="1"/>
                <w:color w:val="auto"/>
              </w:rPr>
              <w:t>(1)</w:t>
            </w:r>
          </w:p>
        </w:tc>
        <w:tc>
          <w:tcPr>
            <w:tcW w:w="16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1,108</w:t>
            </w:r>
          </w:p>
        </w:tc>
        <w:tc>
          <w:tcPr>
            <w:tcW w:w="144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(305)</w:t>
            </w:r>
          </w:p>
        </w:tc>
        <w:tc>
          <w:tcPr>
            <w:tcW w:w="1300" w:type="dxa"/>
            <w:vAlign w:val="bottom"/>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803</w:t>
            </w:r>
          </w:p>
        </w:tc>
        <w:tc>
          <w:tcPr>
            <w:tcW w:w="0" w:type="dxa"/>
            <w:vAlign w:val="bottom"/>
          </w:tcPr>
          <w:p>
            <w:pPr>
              <w:spacing w:after="0"/>
              <w:rPr>
                <w:sz w:val="1"/>
                <w:szCs w:val="1"/>
                <w:color w:val="auto"/>
              </w:rPr>
            </w:pPr>
          </w:p>
        </w:tc>
      </w:tr>
      <w:tr>
        <w:trPr>
          <w:trHeight w:val="257"/>
        </w:trPr>
        <w:tc>
          <w:tcPr>
            <w:tcW w:w="534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1600" w:type="dxa"/>
            <w:vAlign w:val="bottom"/>
            <w:tcBorders>
              <w:bottom w:val="single" w:sz="8" w:color="0C479D"/>
            </w:tcBorders>
          </w:tcPr>
          <w:p>
            <w:pPr>
              <w:jc w:val="right"/>
              <w:ind w:right="113"/>
              <w:spacing w:after="0"/>
              <w:rPr>
                <w:sz w:val="20"/>
                <w:szCs w:val="20"/>
                <w:color w:val="auto"/>
              </w:rPr>
            </w:pPr>
            <w:r>
              <w:rPr>
                <w:rFonts w:ascii="Times New Roman" w:cs="Times New Roman" w:eastAsia="Times New Roman" w:hAnsi="Times New Roman"/>
                <w:sz w:val="18"/>
                <w:szCs w:val="18"/>
                <w:color w:val="auto"/>
              </w:rPr>
              <w:t>427</w:t>
            </w:r>
          </w:p>
        </w:tc>
        <w:tc>
          <w:tcPr>
            <w:tcW w:w="1440" w:type="dxa"/>
            <w:vAlign w:val="bottom"/>
            <w:tcBorders>
              <w:bottom w:val="single" w:sz="8" w:color="0C479D"/>
            </w:tcBorders>
          </w:tcPr>
          <w:p>
            <w:pPr>
              <w:jc w:val="right"/>
              <w:ind w:right="113"/>
              <w:spacing w:after="0"/>
              <w:rPr>
                <w:sz w:val="20"/>
                <w:szCs w:val="20"/>
                <w:color w:val="auto"/>
              </w:rPr>
            </w:pPr>
            <w:r>
              <w:rPr>
                <w:rFonts w:ascii="Times New Roman" w:cs="Times New Roman" w:eastAsia="Times New Roman" w:hAnsi="Times New Roman"/>
                <w:sz w:val="18"/>
                <w:szCs w:val="18"/>
                <w:color w:val="auto"/>
              </w:rPr>
              <w:t>51</w:t>
            </w:r>
          </w:p>
        </w:tc>
        <w:tc>
          <w:tcPr>
            <w:tcW w:w="1300" w:type="dxa"/>
            <w:vAlign w:val="bottom"/>
            <w:tcBorders>
              <w:bottom w:val="single" w:sz="8" w:color="0C479D"/>
            </w:tcBorders>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37"/>
        </w:trPr>
        <w:tc>
          <w:tcPr>
            <w:tcW w:w="534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color w:val="auto"/>
              </w:rPr>
              <w:t>Total change in accumulated other comprehensive income</w:t>
            </w:r>
          </w:p>
        </w:tc>
        <w:tc>
          <w:tcPr>
            <w:tcW w:w="1600" w:type="dxa"/>
            <w:vAlign w:val="bottom"/>
            <w:tcBorders>
              <w:bottom w:val="single" w:sz="8" w:color="0C479D"/>
            </w:tcBorders>
          </w:tcPr>
          <w:p>
            <w:pPr>
              <w:jc w:val="right"/>
              <w:ind w:right="113"/>
              <w:spacing w:after="0"/>
              <w:rPr>
                <w:sz w:val="20"/>
                <w:szCs w:val="20"/>
                <w:color w:val="auto"/>
              </w:rPr>
            </w:pPr>
            <w:r>
              <w:rPr>
                <w:rFonts w:ascii="Times New Roman" w:cs="Times New Roman" w:eastAsia="Times New Roman" w:hAnsi="Times New Roman"/>
                <w:sz w:val="18"/>
                <w:szCs w:val="18"/>
                <w:color w:val="auto"/>
              </w:rPr>
              <w:t>1,535</w:t>
            </w:r>
          </w:p>
        </w:tc>
        <w:tc>
          <w:tcPr>
            <w:tcW w:w="1440" w:type="dxa"/>
            <w:vAlign w:val="bottom"/>
            <w:tcBorders>
              <w:bottom w:val="single" w:sz="8" w:color="0C479D"/>
            </w:tcBorders>
          </w:tcPr>
          <w:p>
            <w:pPr>
              <w:jc w:val="right"/>
              <w:ind w:right="73"/>
              <w:spacing w:after="0"/>
              <w:rPr>
                <w:sz w:val="20"/>
                <w:szCs w:val="20"/>
                <w:color w:val="auto"/>
              </w:rPr>
            </w:pPr>
            <w:r>
              <w:rPr>
                <w:rFonts w:ascii="Times New Roman" w:cs="Times New Roman" w:eastAsia="Times New Roman" w:hAnsi="Times New Roman"/>
                <w:sz w:val="18"/>
                <w:szCs w:val="18"/>
                <w:color w:val="auto"/>
              </w:rPr>
              <w:t>(254)</w:t>
            </w:r>
          </w:p>
        </w:tc>
        <w:tc>
          <w:tcPr>
            <w:tcW w:w="1300" w:type="dxa"/>
            <w:vAlign w:val="bottom"/>
            <w:tcBorders>
              <w:bottom w:val="single" w:sz="8" w:color="0C479D"/>
            </w:tcBorders>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1,281</w:t>
            </w:r>
          </w:p>
        </w:tc>
        <w:tc>
          <w:tcPr>
            <w:tcW w:w="0" w:type="dxa"/>
            <w:vAlign w:val="bottom"/>
          </w:tcPr>
          <w:p>
            <w:pPr>
              <w:spacing w:after="0"/>
              <w:rPr>
                <w:sz w:val="1"/>
                <w:szCs w:val="1"/>
                <w:color w:val="auto"/>
              </w:rPr>
            </w:pPr>
          </w:p>
        </w:tc>
      </w:tr>
      <w:tr>
        <w:trPr>
          <w:trHeight w:val="232"/>
        </w:trPr>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600" w:type="dxa"/>
            <w:vAlign w:val="bottom"/>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(13,056)</w:t>
            </w:r>
          </w:p>
        </w:tc>
        <w:tc>
          <w:tcPr>
            <w:tcW w:w="1440" w:type="dxa"/>
            <w:vAlign w:val="bottom"/>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1,067</w:t>
            </w:r>
          </w:p>
        </w:tc>
        <w:tc>
          <w:tcPr>
            <w:tcW w:w="13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(11,989)</w:t>
            </w:r>
          </w:p>
        </w:tc>
        <w:tc>
          <w:tcPr>
            <w:tcW w:w="0" w:type="dxa"/>
            <w:vAlign w:val="bottom"/>
          </w:tcPr>
          <w:p>
            <w:pPr>
              <w:spacing w:after="0"/>
              <w:rPr>
                <w:sz w:val="1"/>
                <w:szCs w:val="1"/>
                <w:color w:val="auto"/>
              </w:rPr>
            </w:pPr>
          </w:p>
        </w:tc>
      </w:tr>
      <w:tr>
        <w:trPr>
          <w:trHeight w:val="180"/>
        </w:trPr>
        <w:tc>
          <w:tcPr>
            <w:tcW w:w="53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Current period change excluding amounts reclassified from accumulated</w:t>
            </w:r>
          </w:p>
        </w:tc>
        <w:tc>
          <w:tcPr>
            <w:tcW w:w="16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300" w:type="dxa"/>
            <w:vAlign w:val="bottom"/>
            <w:shd w:val="clear" w:color="auto" w:fill="F0F0F0"/>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other comprehensive income </w:t>
            </w:r>
            <w:r>
              <w:rPr>
                <w:rFonts w:ascii="Times New Roman" w:cs="Times New Roman" w:eastAsia="Times New Roman" w:hAnsi="Times New Roman"/>
                <w:sz w:val="9"/>
                <w:szCs w:val="9"/>
                <w:i w:val="1"/>
                <w:iCs w:val="1"/>
                <w:color w:val="auto"/>
              </w:rPr>
              <w:t>(1)</w:t>
            </w:r>
          </w:p>
        </w:tc>
        <w:tc>
          <w:tcPr>
            <w:tcW w:w="16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(3,110)</w:t>
            </w:r>
          </w:p>
        </w:tc>
        <w:tc>
          <w:tcPr>
            <w:tcW w:w="14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449</w:t>
            </w:r>
          </w:p>
        </w:tc>
        <w:tc>
          <w:tcPr>
            <w:tcW w:w="13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0" w:type="dxa"/>
            <w:vAlign w:val="bottom"/>
          </w:tcPr>
          <w:p>
            <w:pPr>
              <w:spacing w:after="0"/>
              <w:rPr>
                <w:sz w:val="1"/>
                <w:szCs w:val="1"/>
                <w:color w:val="auto"/>
              </w:rPr>
            </w:pPr>
          </w:p>
        </w:tc>
      </w:tr>
      <w:tr>
        <w:trPr>
          <w:trHeight w:val="257"/>
        </w:trPr>
        <w:tc>
          <w:tcPr>
            <w:tcW w:w="534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w:t>
            </w:r>
          </w:p>
        </w:tc>
        <w:tc>
          <w:tcPr>
            <w:tcW w:w="1600" w:type="dxa"/>
            <w:vAlign w:val="bottom"/>
            <w:tcBorders>
              <w:bottom w:val="single" w:sz="8" w:color="0C479D"/>
            </w:tcBorders>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0C479D"/>
            </w:tcBorders>
          </w:tcPr>
          <w:p>
            <w:pPr>
              <w:jc w:val="right"/>
              <w:ind w:right="113"/>
              <w:spacing w:after="0"/>
              <w:rPr>
                <w:sz w:val="20"/>
                <w:szCs w:val="20"/>
                <w:color w:val="auto"/>
              </w:rPr>
            </w:pPr>
            <w:r>
              <w:rPr>
                <w:rFonts w:ascii="Times New Roman" w:cs="Times New Roman" w:eastAsia="Times New Roman" w:hAnsi="Times New Roman"/>
                <w:sz w:val="18"/>
                <w:szCs w:val="18"/>
                <w:color w:val="auto"/>
              </w:rPr>
              <w:t>31</w:t>
            </w:r>
          </w:p>
        </w:tc>
        <w:tc>
          <w:tcPr>
            <w:tcW w:w="1300" w:type="dxa"/>
            <w:vAlign w:val="bottom"/>
            <w:tcBorders>
              <w:bottom w:val="single" w:sz="8" w:color="0C479D"/>
            </w:tcBorders>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6"/>
        </w:trPr>
        <w:tc>
          <w:tcPr>
            <w:tcW w:w="534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color w:val="auto"/>
              </w:rPr>
              <w:t>Total change in accumulated other comprehensive income</w:t>
            </w:r>
          </w:p>
        </w:tc>
        <w:tc>
          <w:tcPr>
            <w:tcW w:w="1600" w:type="dxa"/>
            <w:vAlign w:val="bottom"/>
            <w:tcBorders>
              <w:bottom w:val="single" w:sz="8" w:color="0C479D"/>
            </w:tcBorders>
          </w:tcPr>
          <w:p>
            <w:pPr>
              <w:jc w:val="right"/>
              <w:ind w:right="73"/>
              <w:spacing w:after="0"/>
              <w:rPr>
                <w:sz w:val="20"/>
                <w:szCs w:val="20"/>
                <w:color w:val="auto"/>
              </w:rPr>
            </w:pPr>
            <w:r>
              <w:rPr>
                <w:rFonts w:ascii="Times New Roman" w:cs="Times New Roman" w:eastAsia="Times New Roman" w:hAnsi="Times New Roman"/>
                <w:sz w:val="18"/>
                <w:szCs w:val="18"/>
                <w:color w:val="auto"/>
              </w:rPr>
              <w:t>(3,110)</w:t>
            </w:r>
          </w:p>
        </w:tc>
        <w:tc>
          <w:tcPr>
            <w:tcW w:w="1440" w:type="dxa"/>
            <w:vAlign w:val="bottom"/>
            <w:tcBorders>
              <w:bottom w:val="single" w:sz="8" w:color="0C479D"/>
            </w:tcBorders>
          </w:tcPr>
          <w:p>
            <w:pPr>
              <w:jc w:val="right"/>
              <w:ind w:right="113"/>
              <w:spacing w:after="0"/>
              <w:rPr>
                <w:sz w:val="20"/>
                <w:szCs w:val="20"/>
                <w:color w:val="auto"/>
              </w:rPr>
            </w:pPr>
            <w:r>
              <w:rPr>
                <w:rFonts w:ascii="Times New Roman" w:cs="Times New Roman" w:eastAsia="Times New Roman" w:hAnsi="Times New Roman"/>
                <w:sz w:val="18"/>
                <w:szCs w:val="18"/>
                <w:color w:val="auto"/>
              </w:rPr>
              <w:t>480</w:t>
            </w:r>
          </w:p>
        </w:tc>
        <w:tc>
          <w:tcPr>
            <w:tcW w:w="13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600" w:type="dxa"/>
            <w:vAlign w:val="bottom"/>
            <w:tcBorders>
              <w:bottom w:val="single" w:sz="8" w:color="0C479D"/>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(16,166)</w:t>
            </w:r>
          </w:p>
        </w:tc>
        <w:tc>
          <w:tcPr>
            <w:tcW w:w="1440" w:type="dxa"/>
            <w:vAlign w:val="bottom"/>
            <w:tcBorders>
              <w:bottom w:val="single" w:sz="8" w:color="0C479D"/>
            </w:tcBorders>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1,547</w:t>
            </w:r>
          </w:p>
        </w:tc>
        <w:tc>
          <w:tcPr>
            <w:tcW w:w="13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(14,619)</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960" w:right="800" w:hanging="158"/>
        <w:spacing w:after="0" w:line="238" w:lineRule="auto"/>
        <w:tabs>
          <w:tab w:leader="none" w:pos="949" w:val="left"/>
        </w:tabs>
        <w:numPr>
          <w:ilvl w:val="0"/>
          <w:numId w:val="48"/>
        </w:numPr>
        <w:rPr>
          <w:rFonts w:ascii="Times New Roman" w:cs="Times New Roman" w:eastAsia="Times New Roman" w:hAnsi="Times New Roman"/>
          <w:sz w:val="18"/>
          <w:szCs w:val="18"/>
          <w:i w:val="1"/>
          <w:iCs w:val="1"/>
          <w:color w:val="auto"/>
          <w:vertAlign w:val="superscript"/>
        </w:rPr>
      </w:pPr>
      <w:r>
        <w:rPr>
          <w:rFonts w:ascii="Times New Roman" w:cs="Times New Roman" w:eastAsia="Times New Roman" w:hAnsi="Times New Roman"/>
          <w:sz w:val="14"/>
          <w:szCs w:val="14"/>
          <w:i w:val="1"/>
          <w:iCs w:val="1"/>
          <w:color w:val="auto"/>
        </w:rPr>
        <w:t>Cumulative Foreign Exchange Translation Adjustment includes net investment hedge gain/(loss) net of taxes of $196 million and $(135) million in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spacing w:after="0"/>
              <w:rPr>
                <w:sz w:val="18"/>
                <w:szCs w:val="18"/>
                <w:color w:val="auto"/>
              </w:rPr>
            </w:pPr>
          </w:p>
        </w:tc>
        <w:tc>
          <w:tcPr>
            <w:tcW w:w="5620" w:type="dxa"/>
            <w:vAlign w:val="bottom"/>
            <w:tcBorders>
              <w:right w:val="single" w:sz="8" w:color="0C479D"/>
            </w:tcBorders>
            <w:shd w:val="clear" w:color="auto" w:fill="0C479D"/>
          </w:tcPr>
          <w:p>
            <w:pPr>
              <w:spacing w:after="0"/>
              <w:rPr>
                <w:sz w:val="20"/>
                <w:szCs w:val="20"/>
                <w:color w:val="auto"/>
              </w:rPr>
            </w:pPr>
            <w:r>
              <w:rPr>
                <w:rFonts w:ascii="Times New Roman" w:cs="Times New Roman" w:eastAsia="Times New Roman" w:hAnsi="Times New Roman"/>
                <w:sz w:val="18"/>
                <w:szCs w:val="18"/>
                <w:b w:val="1"/>
                <w:bCs w:val="1"/>
                <w:color w:val="FFFFFF"/>
              </w:rPr>
              <w:t>Amounts Reclassified Out of Accumulated Other</w:t>
            </w:r>
          </w:p>
        </w:tc>
        <w:tc>
          <w:tcPr>
            <w:tcW w:w="1260" w:type="dxa"/>
            <w:vAlign w:val="bottom"/>
            <w:tcBorders>
              <w:right w:val="single" w:sz="8" w:color="0C479D"/>
            </w:tcBorders>
            <w:vMerge w:val="restart"/>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1800" w:type="dxa"/>
            <w:vAlign w:val="bottom"/>
            <w:vMerge w:val="restart"/>
            <w:shd w:val="clear" w:color="auto" w:fill="0C479D"/>
          </w:tcPr>
          <w:p>
            <w:pPr>
              <w:jc w:val="right"/>
              <w:ind w:right="335"/>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1000" w:type="dxa"/>
            <w:vAlign w:val="bottom"/>
            <w:vMerge w:val="restart"/>
            <w:shd w:val="clear" w:color="auto" w:fill="0C479D"/>
          </w:tcPr>
          <w:p>
            <w:pPr>
              <w:jc w:val="center"/>
              <w:ind w:left="555"/>
              <w:spacing w:after="0"/>
              <w:rPr>
                <w:sz w:val="20"/>
                <w:szCs w:val="20"/>
                <w:color w:val="auto"/>
              </w:rPr>
            </w:pPr>
            <w:r>
              <w:rPr>
                <w:rFonts w:ascii="Times New Roman" w:cs="Times New Roman" w:eastAsia="Times New Roman" w:hAnsi="Times New Roman"/>
                <w:sz w:val="14"/>
                <w:szCs w:val="14"/>
                <w:b w:val="1"/>
                <w:bCs w:val="1"/>
                <w:color w:val="FFFFFF"/>
                <w:w w:val="99"/>
              </w:rPr>
              <w:t>2022</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800" w:type="dxa"/>
            <w:vAlign w:val="bottom"/>
          </w:tcPr>
          <w:p>
            <w:pPr>
              <w:spacing w:after="0"/>
              <w:rPr>
                <w:sz w:val="16"/>
                <w:szCs w:val="16"/>
                <w:color w:val="auto"/>
              </w:rPr>
            </w:pPr>
          </w:p>
        </w:tc>
        <w:tc>
          <w:tcPr>
            <w:tcW w:w="5620" w:type="dxa"/>
            <w:vAlign w:val="bottom"/>
            <w:tcBorders>
              <w:right w:val="single" w:sz="8" w:color="0C479D"/>
            </w:tcBorders>
            <w:shd w:val="clear" w:color="auto" w:fill="0C479D"/>
          </w:tcPr>
          <w:p>
            <w:pPr>
              <w:spacing w:after="0" w:line="184" w:lineRule="exact"/>
              <w:rPr>
                <w:sz w:val="20"/>
                <w:szCs w:val="20"/>
                <w:color w:val="auto"/>
              </w:rPr>
            </w:pPr>
            <w:r>
              <w:rPr>
                <w:rFonts w:ascii="Times New Roman" w:cs="Times New Roman" w:eastAsia="Times New Roman" w:hAnsi="Times New Roman"/>
                <w:sz w:val="18"/>
                <w:szCs w:val="18"/>
                <w:b w:val="1"/>
                <w:bCs w:val="1"/>
                <w:color w:val="FFFFFF"/>
              </w:rPr>
              <w:t>Comprehensive Income - Before-tax Income/(Expense)</w:t>
            </w:r>
          </w:p>
        </w:tc>
        <w:tc>
          <w:tcPr>
            <w:tcW w:w="1260" w:type="dxa"/>
            <w:vAlign w:val="bottom"/>
            <w:tcBorders>
              <w:right w:val="single" w:sz="8" w:color="0C479D"/>
            </w:tcBorders>
            <w:vMerge w:val="continue"/>
            <w:shd w:val="clear" w:color="auto" w:fill="0C479D"/>
          </w:tcPr>
          <w:p>
            <w:pPr>
              <w:spacing w:after="0"/>
              <w:rPr>
                <w:sz w:val="16"/>
                <w:szCs w:val="16"/>
                <w:color w:val="auto"/>
              </w:rPr>
            </w:pPr>
          </w:p>
        </w:tc>
        <w:tc>
          <w:tcPr>
            <w:tcW w:w="1800" w:type="dxa"/>
            <w:vAlign w:val="bottom"/>
            <w:vMerge w:val="continue"/>
            <w:shd w:val="clear" w:color="auto" w:fill="0C479D"/>
          </w:tcPr>
          <w:p>
            <w:pPr>
              <w:spacing w:after="0"/>
              <w:rPr>
                <w:sz w:val="16"/>
                <w:szCs w:val="16"/>
                <w:color w:val="auto"/>
              </w:rPr>
            </w:pPr>
          </w:p>
        </w:tc>
        <w:tc>
          <w:tcPr>
            <w:tcW w:w="1000" w:type="dxa"/>
            <w:vAlign w:val="bottom"/>
            <w:vMerge w:val="continue"/>
            <w:shd w:val="clear" w:color="auto" w:fill="0C479D"/>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5620" w:type="dxa"/>
            <w:vAlign w:val="bottom"/>
            <w:tcBorders>
              <w:right w:val="single" w:sz="8" w:color="0C479D"/>
            </w:tcBorders>
            <w:shd w:val="clear" w:color="auto" w:fill="0C479D"/>
          </w:tcPr>
          <w:p>
            <w:pPr>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1260" w:type="dxa"/>
            <w:vAlign w:val="bottom"/>
            <w:tcBorders>
              <w:right w:val="single" w:sz="8" w:color="0C479D"/>
            </w:tcBorders>
            <w:shd w:val="clear" w:color="auto" w:fill="0C479D"/>
          </w:tcPr>
          <w:p>
            <w:pPr>
              <w:spacing w:after="0"/>
              <w:rPr>
                <w:sz w:val="17"/>
                <w:szCs w:val="17"/>
                <w:color w:val="auto"/>
              </w:rPr>
            </w:pPr>
          </w:p>
        </w:tc>
        <w:tc>
          <w:tcPr>
            <w:tcW w:w="1800" w:type="dxa"/>
            <w:vAlign w:val="bottom"/>
            <w:shd w:val="clear" w:color="auto" w:fill="0C479D"/>
          </w:tcPr>
          <w:p>
            <w:pPr>
              <w:spacing w:after="0"/>
              <w:rPr>
                <w:sz w:val="17"/>
                <w:szCs w:val="17"/>
                <w:color w:val="auto"/>
              </w:rPr>
            </w:pPr>
          </w:p>
        </w:tc>
        <w:tc>
          <w:tcPr>
            <w:tcW w:w="1000" w:type="dxa"/>
            <w:vAlign w:val="bottom"/>
            <w:shd w:val="clear" w:color="auto" w:fill="0C479D"/>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4"/>
        </w:trPr>
        <w:tc>
          <w:tcPr>
            <w:tcW w:w="80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translation gain/(loss) included in net income</w:t>
            </w:r>
          </w:p>
        </w:tc>
        <w:tc>
          <w:tcPr>
            <w:tcW w:w="1260" w:type="dxa"/>
            <w:vAlign w:val="bottom"/>
            <w:tcBorders>
              <w:right w:val="single" w:sz="8" w:color="F0F0F0"/>
            </w:tcBorders>
            <w:shd w:val="clear" w:color="auto" w:fill="F0F0F0"/>
          </w:tcPr>
          <w:p>
            <w:pPr>
              <w:spacing w:after="0"/>
              <w:rPr>
                <w:sz w:val="24"/>
                <w:szCs w:val="24"/>
                <w:color w:val="auto"/>
              </w:rPr>
            </w:pPr>
          </w:p>
        </w:tc>
        <w:tc>
          <w:tcPr>
            <w:tcW w:w="1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(Statement of Income line: Other income)</w:t>
            </w:r>
          </w:p>
        </w:tc>
        <w:tc>
          <w:tcPr>
            <w:tcW w:w="1260" w:type="dxa"/>
            <w:vAlign w:val="bottom"/>
            <w:tcBorders>
              <w:right w:val="single" w:sz="8" w:color="F0F0F0"/>
            </w:tcBorders>
            <w:shd w:val="clear" w:color="auto" w:fill="F0F0F0"/>
          </w:tcPr>
          <w:p>
            <w:pPr>
              <w:jc w:val="center"/>
              <w:ind w:left="835"/>
              <w:spacing w:after="0"/>
              <w:rPr>
                <w:sz w:val="20"/>
                <w:szCs w:val="20"/>
                <w:color w:val="auto"/>
              </w:rPr>
            </w:pPr>
            <w:r>
              <w:rPr>
                <w:rFonts w:ascii="Times New Roman" w:cs="Times New Roman" w:eastAsia="Times New Roman" w:hAnsi="Times New Roman"/>
                <w:sz w:val="18"/>
                <w:szCs w:val="18"/>
                <w:color w:val="auto"/>
                <w:w w:val="99"/>
              </w:rPr>
              <w:t>—</w:t>
            </w:r>
          </w:p>
        </w:tc>
        <w:tc>
          <w:tcPr>
            <w:tcW w:w="1800" w:type="dxa"/>
            <w:vAlign w:val="bottom"/>
          </w:tcPr>
          <w:p>
            <w:pPr>
              <w:jc w:val="right"/>
              <w:ind w:right="355"/>
              <w:spacing w:after="0"/>
              <w:rPr>
                <w:sz w:val="20"/>
                <w:szCs w:val="20"/>
                <w:color w:val="auto"/>
              </w:rPr>
            </w:pPr>
            <w:r>
              <w:rPr>
                <w:rFonts w:ascii="Times New Roman" w:cs="Times New Roman" w:eastAsia="Times New Roman" w:hAnsi="Times New Roman"/>
                <w:sz w:val="18"/>
                <w:szCs w:val="18"/>
                <w:color w:val="auto"/>
              </w:rPr>
              <w:t>(609)</w:t>
            </w:r>
          </w:p>
        </w:tc>
        <w:tc>
          <w:tcPr>
            <w:tcW w:w="17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84"/>
        </w:trPr>
        <w:tc>
          <w:tcPr>
            <w:tcW w:w="800" w:type="dxa"/>
            <w:vAlign w:val="bottom"/>
          </w:tcPr>
          <w:p>
            <w:pPr>
              <w:spacing w:after="0"/>
              <w:rPr>
                <w:sz w:val="16"/>
                <w:szCs w:val="16"/>
                <w:color w:val="auto"/>
              </w:rPr>
            </w:pPr>
          </w:p>
        </w:tc>
        <w:tc>
          <w:tcPr>
            <w:tcW w:w="562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Amortization and settlement of postretirement benefits reserves</w:t>
            </w:r>
          </w:p>
        </w:tc>
        <w:tc>
          <w:tcPr>
            <w:tcW w:w="1260" w:type="dxa"/>
            <w:vAlign w:val="bottom"/>
            <w:tcBorders>
              <w:right w:val="single" w:sz="8" w:color="F0F0F0"/>
            </w:tcBorders>
            <w:shd w:val="clear" w:color="auto" w:fill="F0F0F0"/>
          </w:tcPr>
          <w:p>
            <w:pPr>
              <w:spacing w:after="0"/>
              <w:rPr>
                <w:sz w:val="16"/>
                <w:szCs w:val="16"/>
                <w:color w:val="auto"/>
              </w:rPr>
            </w:pPr>
          </w:p>
        </w:tc>
        <w:tc>
          <w:tcPr>
            <w:tcW w:w="18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00" w:type="dxa"/>
            <w:vAlign w:val="bottom"/>
          </w:tcPr>
          <w:p>
            <w:pPr>
              <w:spacing w:after="0"/>
              <w:rPr>
                <w:sz w:val="15"/>
                <w:szCs w:val="15"/>
                <w:color w:val="auto"/>
              </w:rPr>
            </w:pPr>
          </w:p>
        </w:tc>
        <w:tc>
          <w:tcPr>
            <w:tcW w:w="56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adjustment included in net periodic benefit costs (Statement of Income</w:t>
            </w:r>
          </w:p>
        </w:tc>
        <w:tc>
          <w:tcPr>
            <w:tcW w:w="1260" w:type="dxa"/>
            <w:vAlign w:val="bottom"/>
            <w:tcBorders>
              <w:right w:val="single" w:sz="8" w:color="F0F0F0"/>
            </w:tcBorders>
            <w:vMerge w:val="restart"/>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800" w:type="dxa"/>
            <w:vAlign w:val="bottom"/>
            <w:vMerge w:val="restart"/>
          </w:tcPr>
          <w:p>
            <w:pPr>
              <w:jc w:val="right"/>
              <w:ind w:right="355"/>
              <w:spacing w:after="0"/>
              <w:rPr>
                <w:sz w:val="20"/>
                <w:szCs w:val="20"/>
                <w:color w:val="auto"/>
              </w:rPr>
            </w:pPr>
            <w:r>
              <w:rPr>
                <w:rFonts w:ascii="Times New Roman" w:cs="Times New Roman" w:eastAsia="Times New Roman" w:hAnsi="Times New Roman"/>
                <w:sz w:val="18"/>
                <w:szCs w:val="18"/>
                <w:color w:val="auto"/>
              </w:rPr>
              <w:t>(81)</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800" w:type="dxa"/>
            <w:vAlign w:val="bottom"/>
          </w:tcPr>
          <w:p>
            <w:pPr>
              <w:spacing w:after="0"/>
              <w:rPr>
                <w:sz w:val="20"/>
                <w:szCs w:val="20"/>
                <w:color w:val="auto"/>
              </w:rPr>
            </w:pPr>
          </w:p>
        </w:tc>
        <w:tc>
          <w:tcPr>
            <w:tcW w:w="562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color w:val="auto"/>
              </w:rPr>
              <w:t>line: Non-service pension and postretirement benefit expense)</w:t>
            </w:r>
          </w:p>
        </w:tc>
        <w:tc>
          <w:tcPr>
            <w:tcW w:w="1260" w:type="dxa"/>
            <w:vAlign w:val="bottom"/>
            <w:tcBorders>
              <w:bottom w:val="single" w:sz="8" w:color="0C479D"/>
              <w:right w:val="single" w:sz="8" w:color="F0F0F0"/>
            </w:tcBorders>
            <w:vMerge w:val="continue"/>
            <w:shd w:val="clear" w:color="auto" w:fill="F0F0F0"/>
          </w:tcPr>
          <w:p>
            <w:pPr>
              <w:spacing w:after="0"/>
              <w:rPr>
                <w:sz w:val="20"/>
                <w:szCs w:val="20"/>
                <w:color w:val="auto"/>
              </w:rPr>
            </w:pPr>
          </w:p>
        </w:tc>
        <w:tc>
          <w:tcPr>
            <w:tcW w:w="1800" w:type="dxa"/>
            <w:vAlign w:val="bottom"/>
            <w:tcBorders>
              <w:bottom w:val="single" w:sz="8" w:color="0C479D"/>
            </w:tcBorders>
            <w:vMerge w:val="continue"/>
          </w:tcPr>
          <w:p>
            <w:pPr>
              <w:spacing w:after="0"/>
              <w:rPr>
                <w:sz w:val="20"/>
                <w:szCs w:val="20"/>
                <w:color w:val="auto"/>
              </w:rPr>
            </w:pPr>
          </w:p>
        </w:tc>
        <w:tc>
          <w:tcPr>
            <w:tcW w:w="1000" w:type="dxa"/>
            <w:vAlign w:val="bottom"/>
            <w:tcBorders>
              <w:bottom w:val="single" w:sz="8" w:color="0C479D"/>
            </w:tcBorders>
            <w:vMerge w:val="continue"/>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80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00" w:type="dxa"/>
            <w:vAlign w:val="bottom"/>
          </w:tcPr>
          <w:p>
            <w:pPr>
              <w:spacing w:after="0"/>
              <w:rPr>
                <w:sz w:val="16"/>
                <w:szCs w:val="16"/>
                <w:color w:val="auto"/>
              </w:rPr>
            </w:pPr>
          </w:p>
        </w:tc>
        <w:tc>
          <w:tcPr>
            <w:tcW w:w="5620" w:type="dxa"/>
            <w:vAlign w:val="bottom"/>
            <w:tcBorders>
              <w:right w:val="single" w:sz="8" w:color="0C479D"/>
            </w:tcBorders>
            <w:shd w:val="clear" w:color="auto" w:fill="0C479D"/>
          </w:tcPr>
          <w:p>
            <w:pPr>
              <w:spacing w:after="0" w:line="189" w:lineRule="exact"/>
              <w:rPr>
                <w:sz w:val="20"/>
                <w:szCs w:val="20"/>
                <w:color w:val="auto"/>
              </w:rPr>
            </w:pPr>
            <w:r>
              <w:rPr>
                <w:rFonts w:ascii="Times New Roman" w:cs="Times New Roman" w:eastAsia="Times New Roman" w:hAnsi="Times New Roman"/>
                <w:sz w:val="18"/>
                <w:szCs w:val="18"/>
                <w:b w:val="1"/>
                <w:bCs w:val="1"/>
                <w:color w:val="FFFFFF"/>
              </w:rPr>
              <w:t>Income Tax (Expense)/Credit For</w:t>
            </w:r>
          </w:p>
        </w:tc>
        <w:tc>
          <w:tcPr>
            <w:tcW w:w="1260" w:type="dxa"/>
            <w:vAlign w:val="bottom"/>
            <w:tcBorders>
              <w:right w:val="single" w:sz="8" w:color="0C479D"/>
            </w:tcBorders>
            <w:vMerge w:val="restart"/>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1800" w:type="dxa"/>
            <w:vAlign w:val="bottom"/>
            <w:vMerge w:val="restart"/>
            <w:shd w:val="clear" w:color="auto" w:fill="0C479D"/>
          </w:tcPr>
          <w:p>
            <w:pPr>
              <w:jc w:val="right"/>
              <w:ind w:right="355"/>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1000" w:type="dxa"/>
            <w:vAlign w:val="bottom"/>
            <w:vMerge w:val="restart"/>
            <w:shd w:val="clear" w:color="auto" w:fill="0C479D"/>
          </w:tcPr>
          <w:p>
            <w:pPr>
              <w:jc w:val="center"/>
              <w:ind w:left="555"/>
              <w:spacing w:after="0"/>
              <w:rPr>
                <w:sz w:val="20"/>
                <w:szCs w:val="20"/>
                <w:color w:val="auto"/>
              </w:rPr>
            </w:pPr>
            <w:r>
              <w:rPr>
                <w:rFonts w:ascii="Times New Roman" w:cs="Times New Roman" w:eastAsia="Times New Roman" w:hAnsi="Times New Roman"/>
                <w:sz w:val="14"/>
                <w:szCs w:val="14"/>
                <w:b w:val="1"/>
                <w:bCs w:val="1"/>
                <w:color w:val="FFFFFF"/>
                <w:w w:val="99"/>
              </w:rPr>
              <w:t>2022</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00" w:type="dxa"/>
            <w:vAlign w:val="bottom"/>
          </w:tcPr>
          <w:p>
            <w:pPr>
              <w:spacing w:after="0"/>
              <w:rPr>
                <w:sz w:val="15"/>
                <w:szCs w:val="15"/>
                <w:color w:val="auto"/>
              </w:rPr>
            </w:pPr>
          </w:p>
        </w:tc>
        <w:tc>
          <w:tcPr>
            <w:tcW w:w="5620" w:type="dxa"/>
            <w:vAlign w:val="bottom"/>
            <w:tcBorders>
              <w:right w:val="single" w:sz="8" w:color="0C479D"/>
            </w:tcBorders>
            <w:shd w:val="clear" w:color="auto" w:fill="0C479D"/>
          </w:tcPr>
          <w:p>
            <w:pPr>
              <w:spacing w:after="0" w:line="176" w:lineRule="exact"/>
              <w:rPr>
                <w:sz w:val="20"/>
                <w:szCs w:val="20"/>
                <w:color w:val="auto"/>
              </w:rPr>
            </w:pPr>
            <w:r>
              <w:rPr>
                <w:rFonts w:ascii="Times New Roman" w:cs="Times New Roman" w:eastAsia="Times New Roman" w:hAnsi="Times New Roman"/>
                <w:sz w:val="18"/>
                <w:szCs w:val="18"/>
                <w:b w:val="1"/>
                <w:bCs w:val="1"/>
                <w:color w:val="FFFFFF"/>
              </w:rPr>
              <w:t>Components of Other Comprehensive Income</w:t>
            </w:r>
          </w:p>
        </w:tc>
        <w:tc>
          <w:tcPr>
            <w:tcW w:w="1260" w:type="dxa"/>
            <w:vAlign w:val="bottom"/>
            <w:tcBorders>
              <w:right w:val="single" w:sz="8" w:color="0C479D"/>
            </w:tcBorders>
            <w:vMerge w:val="continue"/>
            <w:shd w:val="clear" w:color="auto" w:fill="0C479D"/>
          </w:tcPr>
          <w:p>
            <w:pPr>
              <w:spacing w:after="0"/>
              <w:rPr>
                <w:sz w:val="15"/>
                <w:szCs w:val="15"/>
                <w:color w:val="auto"/>
              </w:rPr>
            </w:pPr>
          </w:p>
        </w:tc>
        <w:tc>
          <w:tcPr>
            <w:tcW w:w="1800" w:type="dxa"/>
            <w:vAlign w:val="bottom"/>
            <w:vMerge w:val="continue"/>
            <w:shd w:val="clear" w:color="auto" w:fill="0C479D"/>
          </w:tcPr>
          <w:p>
            <w:pPr>
              <w:spacing w:after="0"/>
              <w:rPr>
                <w:sz w:val="15"/>
                <w:szCs w:val="15"/>
                <w:color w:val="auto"/>
              </w:rPr>
            </w:pPr>
          </w:p>
        </w:tc>
        <w:tc>
          <w:tcPr>
            <w:tcW w:w="1000" w:type="dxa"/>
            <w:vAlign w:val="bottom"/>
            <w:vMerge w:val="continue"/>
            <w:shd w:val="clear" w:color="auto" w:fill="0C479D"/>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5620" w:type="dxa"/>
            <w:vAlign w:val="bottom"/>
            <w:tcBorders>
              <w:bottom w:val="single" w:sz="8" w:color="0C479D"/>
              <w:right w:val="single" w:sz="8" w:color="0C479D"/>
            </w:tcBorders>
            <w:shd w:val="clear" w:color="auto" w:fill="0C479D"/>
          </w:tcPr>
          <w:p>
            <w:pPr>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1260" w:type="dxa"/>
            <w:vAlign w:val="bottom"/>
            <w:tcBorders>
              <w:bottom w:val="single" w:sz="8" w:color="0C479D"/>
              <w:right w:val="single" w:sz="8" w:color="0C479D"/>
            </w:tcBorders>
            <w:shd w:val="clear" w:color="auto" w:fill="0C479D"/>
          </w:tcPr>
          <w:p>
            <w:pPr>
              <w:spacing w:after="0"/>
              <w:rPr>
                <w:sz w:val="17"/>
                <w:szCs w:val="17"/>
                <w:color w:val="auto"/>
              </w:rPr>
            </w:pPr>
          </w:p>
        </w:tc>
        <w:tc>
          <w:tcPr>
            <w:tcW w:w="1800" w:type="dxa"/>
            <w:vAlign w:val="bottom"/>
            <w:tcBorders>
              <w:bottom w:val="single" w:sz="8" w:color="0C479D"/>
            </w:tcBorders>
            <w:shd w:val="clear" w:color="auto" w:fill="0C479D"/>
          </w:tcPr>
          <w:p>
            <w:pPr>
              <w:spacing w:after="0"/>
              <w:rPr>
                <w:sz w:val="17"/>
                <w:szCs w:val="17"/>
                <w:color w:val="auto"/>
              </w:rPr>
            </w:pPr>
          </w:p>
        </w:tc>
        <w:tc>
          <w:tcPr>
            <w:tcW w:w="1000" w:type="dxa"/>
            <w:vAlign w:val="bottom"/>
            <w:tcBorders>
              <w:bottom w:val="single" w:sz="8" w:color="0C479D"/>
            </w:tcBorders>
            <w:shd w:val="clear" w:color="auto" w:fill="0C479D"/>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0"/>
        </w:trPr>
        <w:tc>
          <w:tcPr>
            <w:tcW w:w="800" w:type="dxa"/>
            <w:vAlign w:val="bottom"/>
          </w:tcPr>
          <w:p>
            <w:pPr>
              <w:spacing w:after="0"/>
              <w:rPr>
                <w:sz w:val="24"/>
                <w:szCs w:val="24"/>
                <w:color w:val="auto"/>
              </w:rPr>
            </w:pPr>
          </w:p>
        </w:tc>
        <w:tc>
          <w:tcPr>
            <w:tcW w:w="5620" w:type="dxa"/>
            <w:vAlign w:val="bottom"/>
            <w:tcBorders>
              <w:right w:val="single" w:sz="8" w:color="F0F0F0"/>
            </w:tcBorders>
          </w:tcPr>
          <w:p>
            <w:pPr>
              <w:spacing w:after="0"/>
              <w:rPr>
                <w:sz w:val="20"/>
                <w:szCs w:val="20"/>
                <w:color w:val="auto"/>
              </w:rPr>
            </w:pPr>
            <w:r>
              <w:rPr>
                <w:rFonts w:ascii="Times New Roman" w:cs="Times New Roman" w:eastAsia="Times New Roman" w:hAnsi="Times New Roman"/>
                <w:sz w:val="18"/>
                <w:szCs w:val="18"/>
                <w:color w:val="auto"/>
              </w:rPr>
              <w:t>Foreign exchange translation adjustment</w:t>
            </w:r>
          </w:p>
        </w:tc>
        <w:tc>
          <w:tcPr>
            <w:tcW w:w="1260" w:type="dxa"/>
            <w:vAlign w:val="bottom"/>
            <w:tcBorders>
              <w:right w:val="single" w:sz="8" w:color="F0F0F0"/>
            </w:tcBorders>
            <w:shd w:val="clear" w:color="auto" w:fill="F0F0F0"/>
          </w:tcPr>
          <w:p>
            <w:pPr>
              <w:jc w:val="right"/>
              <w:ind w:right="15"/>
              <w:spacing w:after="0"/>
              <w:rPr>
                <w:sz w:val="20"/>
                <w:szCs w:val="20"/>
                <w:color w:val="auto"/>
              </w:rPr>
            </w:pPr>
            <w:r>
              <w:rPr>
                <w:rFonts w:ascii="Times New Roman" w:cs="Times New Roman" w:eastAsia="Times New Roman" w:hAnsi="Times New Roman"/>
                <w:sz w:val="18"/>
                <w:szCs w:val="18"/>
                <w:color w:val="auto"/>
              </w:rPr>
              <w:t>14</w:t>
            </w:r>
          </w:p>
        </w:tc>
        <w:tc>
          <w:tcPr>
            <w:tcW w:w="1800" w:type="dxa"/>
            <w:vAlign w:val="bottom"/>
          </w:tcPr>
          <w:p>
            <w:pPr>
              <w:jc w:val="right"/>
              <w:ind w:right="415"/>
              <w:spacing w:after="0"/>
              <w:rPr>
                <w:sz w:val="20"/>
                <w:szCs w:val="20"/>
                <w:color w:val="auto"/>
              </w:rPr>
            </w:pPr>
            <w:r>
              <w:rPr>
                <w:rFonts w:ascii="Times New Roman" w:cs="Times New Roman" w:eastAsia="Times New Roman" w:hAnsi="Times New Roman"/>
                <w:sz w:val="18"/>
                <w:szCs w:val="18"/>
                <w:color w:val="auto"/>
              </w:rPr>
              <w:t>341</w:t>
            </w:r>
          </w:p>
        </w:tc>
        <w:tc>
          <w:tcPr>
            <w:tcW w:w="1000" w:type="dxa"/>
            <w:vAlign w:val="bottom"/>
          </w:tcPr>
          <w:p>
            <w:pPr>
              <w:jc w:val="center"/>
              <w:ind w:left="535"/>
              <w:spacing w:after="0"/>
              <w:rPr>
                <w:sz w:val="20"/>
                <w:szCs w:val="20"/>
                <w:color w:val="auto"/>
              </w:rPr>
            </w:pPr>
            <w:r>
              <w:rPr>
                <w:rFonts w:ascii="Times New Roman" w:cs="Times New Roman" w:eastAsia="Times New Roman" w:hAnsi="Times New Roman"/>
                <w:sz w:val="18"/>
                <w:szCs w:val="18"/>
                <w:color w:val="auto"/>
                <w:w w:val="99"/>
              </w:rPr>
              <w:t>54</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800" w:type="dxa"/>
            <w:vAlign w:val="bottom"/>
          </w:tcPr>
          <w:p>
            <w:pPr>
              <w:spacing w:after="0"/>
              <w:rPr>
                <w:sz w:val="23"/>
                <w:szCs w:val="23"/>
                <w:color w:val="auto"/>
              </w:rPr>
            </w:pPr>
          </w:p>
        </w:tc>
        <w:tc>
          <w:tcPr>
            <w:tcW w:w="5620" w:type="dxa"/>
            <w:vAlign w:val="bottom"/>
            <w:tcBorders>
              <w:right w:val="single" w:sz="8" w:color="F0F0F0"/>
            </w:tcBorders>
          </w:tcPr>
          <w:p>
            <w:pPr>
              <w:spacing w:after="0"/>
              <w:rPr>
                <w:sz w:val="20"/>
                <w:szCs w:val="20"/>
                <w:color w:val="auto"/>
              </w:rPr>
            </w:pPr>
            <w:r>
              <w:rPr>
                <w:rFonts w:ascii="Times New Roman" w:cs="Times New Roman" w:eastAsia="Times New Roman" w:hAnsi="Times New Roman"/>
                <w:sz w:val="18"/>
                <w:szCs w:val="18"/>
                <w:color w:val="auto"/>
              </w:rPr>
              <w:t>Postretirement benefits reserves adjustment (excluding amortization)</w:t>
            </w:r>
          </w:p>
        </w:tc>
        <w:tc>
          <w:tcPr>
            <w:tcW w:w="126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800" w:type="dxa"/>
            <w:vAlign w:val="bottom"/>
          </w:tcPr>
          <w:p>
            <w:pPr>
              <w:jc w:val="right"/>
              <w:ind w:right="415"/>
              <w:spacing w:after="0"/>
              <w:rPr>
                <w:sz w:val="20"/>
                <w:szCs w:val="20"/>
                <w:color w:val="auto"/>
              </w:rPr>
            </w:pPr>
            <w:r>
              <w:rPr>
                <w:rFonts w:ascii="Times New Roman" w:cs="Times New Roman" w:eastAsia="Times New Roman" w:hAnsi="Times New Roman"/>
                <w:sz w:val="18"/>
                <w:szCs w:val="18"/>
                <w:color w:val="auto"/>
              </w:rPr>
              <w:t>200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800" w:type="dxa"/>
            <w:vAlign w:val="bottom"/>
          </w:tcPr>
          <w:p>
            <w:pPr>
              <w:spacing w:after="0"/>
              <w:rPr>
                <w:sz w:val="15"/>
                <w:szCs w:val="15"/>
                <w:color w:val="auto"/>
              </w:rPr>
            </w:pPr>
          </w:p>
        </w:tc>
        <w:tc>
          <w:tcPr>
            <w:tcW w:w="5620" w:type="dxa"/>
            <w:vAlign w:val="bottom"/>
            <w:tcBorders>
              <w:right w:val="single" w:sz="8" w:color="F0F0F0"/>
            </w:tcBorders>
          </w:tcPr>
          <w:p>
            <w:pPr>
              <w:spacing w:after="0" w:line="181" w:lineRule="exact"/>
              <w:rPr>
                <w:sz w:val="20"/>
                <w:szCs w:val="20"/>
                <w:color w:val="auto"/>
              </w:rPr>
            </w:pPr>
            <w:r>
              <w:rPr>
                <w:rFonts w:ascii="Times New Roman" w:cs="Times New Roman" w:eastAsia="Times New Roman" w:hAnsi="Times New Roman"/>
                <w:sz w:val="18"/>
                <w:szCs w:val="18"/>
                <w:color w:val="auto"/>
              </w:rPr>
              <w:t>Amortization and settlement of postretirement benefits reserves</w:t>
            </w:r>
          </w:p>
        </w:tc>
        <w:tc>
          <w:tcPr>
            <w:tcW w:w="1260" w:type="dxa"/>
            <w:vAlign w:val="bottom"/>
            <w:tcBorders>
              <w:right w:val="single" w:sz="8" w:color="F0F0F0"/>
            </w:tcBorders>
            <w:shd w:val="clear" w:color="auto" w:fill="F0F0F0"/>
          </w:tcPr>
          <w:p>
            <w:pPr>
              <w:spacing w:after="0"/>
              <w:rPr>
                <w:sz w:val="15"/>
                <w:szCs w:val="15"/>
                <w:color w:val="auto"/>
              </w:rPr>
            </w:pPr>
          </w:p>
        </w:tc>
        <w:tc>
          <w:tcPr>
            <w:tcW w:w="18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800" w:type="dxa"/>
            <w:vAlign w:val="bottom"/>
          </w:tcPr>
          <w:p>
            <w:pPr>
              <w:spacing w:after="0"/>
              <w:rPr>
                <w:sz w:val="22"/>
                <w:szCs w:val="22"/>
                <w:color w:val="auto"/>
              </w:rPr>
            </w:pPr>
          </w:p>
        </w:tc>
        <w:tc>
          <w:tcPr>
            <w:tcW w:w="5620" w:type="dxa"/>
            <w:vAlign w:val="bottom"/>
            <w:tcBorders>
              <w:bottom w:val="single" w:sz="8" w:color="0C479D"/>
              <w:right w:val="single" w:sz="8" w:color="F0F0F0"/>
            </w:tcBorders>
          </w:tcPr>
          <w:p>
            <w:pPr>
              <w:spacing w:after="0"/>
              <w:rPr>
                <w:sz w:val="20"/>
                <w:szCs w:val="20"/>
                <w:color w:val="auto"/>
              </w:rPr>
            </w:pPr>
            <w:r>
              <w:rPr>
                <w:rFonts w:ascii="Times New Roman" w:cs="Times New Roman" w:eastAsia="Times New Roman" w:hAnsi="Times New Roman"/>
                <w:sz w:val="18"/>
                <w:szCs w:val="18"/>
                <w:color w:val="auto"/>
              </w:rPr>
              <w:t>adjustment included in net periodic benefit costs</w:t>
            </w:r>
          </w:p>
        </w:tc>
        <w:tc>
          <w:tcPr>
            <w:tcW w:w="1260" w:type="dxa"/>
            <w:vAlign w:val="bottom"/>
            <w:tcBorders>
              <w:bottom w:val="single" w:sz="8" w:color="0C479D"/>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0" w:type="dxa"/>
            <w:vAlign w:val="bottom"/>
            <w:tcBorders>
              <w:bottom w:val="single" w:sz="8" w:color="0C479D"/>
            </w:tcBorders>
          </w:tcPr>
          <w:p>
            <w:pPr>
              <w:jc w:val="right"/>
              <w:ind w:right="375"/>
              <w:spacing w:after="0"/>
              <w:rPr>
                <w:sz w:val="20"/>
                <w:szCs w:val="20"/>
                <w:color w:val="auto"/>
              </w:rPr>
            </w:pPr>
            <w:r>
              <w:rPr>
                <w:rFonts w:ascii="Times New Roman" w:cs="Times New Roman" w:eastAsia="Times New Roman" w:hAnsi="Times New Roman"/>
                <w:sz w:val="18"/>
                <w:szCs w:val="18"/>
                <w:color w:val="auto"/>
              </w:rPr>
              <w:t>(20)</w:t>
            </w:r>
          </w:p>
        </w:tc>
        <w:tc>
          <w:tcPr>
            <w:tcW w:w="10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800" w:type="dxa"/>
            <w:vAlign w:val="bottom"/>
          </w:tcPr>
          <w:p>
            <w:pPr>
              <w:spacing w:after="0"/>
              <w:rPr>
                <w:sz w:val="21"/>
                <w:szCs w:val="21"/>
                <w:color w:val="auto"/>
              </w:rPr>
            </w:pPr>
          </w:p>
        </w:tc>
        <w:tc>
          <w:tcPr>
            <w:tcW w:w="5620" w:type="dxa"/>
            <w:vAlign w:val="bottom"/>
            <w:tcBorders>
              <w:bottom w:val="single" w:sz="8" w:color="0C479D"/>
              <w:right w:val="single" w:sz="8" w:color="F0F0F0"/>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60" w:type="dxa"/>
            <w:vAlign w:val="bottom"/>
            <w:tcBorders>
              <w:bottom w:val="single" w:sz="8" w:color="0C479D"/>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(194)</w:t>
            </w:r>
          </w:p>
        </w:tc>
        <w:tc>
          <w:tcPr>
            <w:tcW w:w="1800" w:type="dxa"/>
            <w:vAlign w:val="bottom"/>
            <w:tcBorders>
              <w:bottom w:val="single" w:sz="8" w:color="0C479D"/>
            </w:tcBorders>
          </w:tcPr>
          <w:p>
            <w:pPr>
              <w:jc w:val="right"/>
              <w:ind w:right="415"/>
              <w:spacing w:after="0"/>
              <w:rPr>
                <w:sz w:val="20"/>
                <w:szCs w:val="20"/>
                <w:color w:val="auto"/>
              </w:rPr>
            </w:pPr>
            <w:r>
              <w:rPr>
                <w:rFonts w:ascii="Times New Roman" w:cs="Times New Roman" w:eastAsia="Times New Roman" w:hAnsi="Times New Roman"/>
                <w:sz w:val="18"/>
                <w:szCs w:val="18"/>
                <w:b w:val="1"/>
                <w:bCs w:val="1"/>
                <w:color w:val="auto"/>
              </w:rPr>
              <w:t>521</w:t>
            </w:r>
          </w:p>
        </w:tc>
        <w:tc>
          <w:tcPr>
            <w:tcW w:w="10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(1,182)</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39"/>
        </w:trPr>
        <w:tc>
          <w:tcPr>
            <w:tcW w:w="6420" w:type="dxa"/>
            <w:vAlign w:val="bottom"/>
            <w:gridSpan w:val="2"/>
          </w:tcPr>
          <w:p>
            <w:pPr>
              <w:jc w:val="right"/>
              <w:ind w:right="612"/>
              <w:spacing w:after="0"/>
              <w:rPr>
                <w:sz w:val="20"/>
                <w:szCs w:val="20"/>
                <w:color w:val="auto"/>
              </w:rPr>
            </w:pPr>
            <w:r>
              <w:rPr>
                <w:rFonts w:ascii="Times New Roman" w:cs="Times New Roman" w:eastAsia="Times New Roman" w:hAnsi="Times New Roman"/>
                <w:sz w:val="18"/>
                <w:szCs w:val="18"/>
                <w:color w:val="auto"/>
              </w:rPr>
              <w:t>88</w:t>
            </w:r>
          </w:p>
        </w:tc>
        <w:tc>
          <w:tcPr>
            <w:tcW w:w="1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 w:type="dxa"/>
            <w:vAlign w:val="bottom"/>
            <w:tcBorders>
              <w:bottom w:val="single" w:sz="8" w:color="9A9A9A"/>
            </w:tcBorders>
          </w:tcPr>
          <w:p>
            <w:pPr>
              <w:spacing w:after="0"/>
              <w:rPr>
                <w:sz w:val="10"/>
                <w:szCs w:val="10"/>
                <w:color w:val="auto"/>
              </w:rPr>
            </w:pPr>
          </w:p>
        </w:tc>
        <w:tc>
          <w:tcPr>
            <w:tcW w:w="56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22"/>
          <w:szCs w:val="22"/>
          <w:b w:val="1"/>
          <w:bCs w:val="1"/>
          <w:color w:val="0C479D"/>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C479D"/>
        </w:rPr>
        <w:t>Note 5. Cash Flow Information</w:t>
      </w:r>
    </w:p>
    <w:p>
      <w:pPr>
        <w:spacing w:after="0" w:line="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Statement of Cash Flows provides information about changes in cash and cash equivalents. Highly liquid investments with maturities of three months or less when acquired are classified as cash equivalents.</w:t>
      </w:r>
    </w:p>
    <w:p>
      <w:pPr>
        <w:spacing w:after="0" w:line="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 2024, the Corporation completed the acquisition of Pioneer Natural Resources Company (Pioneer) through the issuance of 545 million shares of ExxonMobil common stock having a fair value of $63 billion on the acquisition date and assumed debt with a fair value of $5 billion. Additional information is provided in </w:t>
      </w:r>
      <w:r>
        <w:rPr>
          <w:rFonts w:ascii="Times New Roman" w:cs="Times New Roman" w:eastAsia="Times New Roman" w:hAnsi="Times New Roman"/>
          <w:sz w:val="18"/>
          <w:szCs w:val="18"/>
          <w:color w:val="0000FF"/>
        </w:rPr>
        <w:t>Note 21</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In 2023, the Corporation completed the acquisition of Denbury Inc. (Denbury) through the issuance of 46 million shares of ExxonMobil common stock having a fair value of $4.8 billion on the acquisition date. Additional information is provided in </w:t>
      </w:r>
      <w:r>
        <w:rPr>
          <w:rFonts w:ascii="Times New Roman" w:cs="Times New Roman" w:eastAsia="Times New Roman" w:hAnsi="Times New Roman"/>
          <w:sz w:val="18"/>
          <w:szCs w:val="18"/>
          <w:color w:val="0000FF"/>
        </w:rPr>
        <w:t>Note 21</w:t>
      </w:r>
      <w:r>
        <w:rPr>
          <w:rFonts w:ascii="Times New Roman" w:cs="Times New Roman" w:eastAsia="Times New Roman" w:hAnsi="Times New Roman"/>
          <w:sz w:val="18"/>
          <w:szCs w:val="18"/>
          <w:color w:val="auto"/>
        </w:rPr>
        <w:t>.</w:t>
      </w:r>
    </w:p>
    <w:p>
      <w:pPr>
        <w:spacing w:after="0" w:line="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2023, the Corporation completed the sale of Esso Thailand. The sale included cash proceeds as well as cash from debt that was issued to facilitate the sale, which was assumed by the buyer upon closing.</w:t>
      </w:r>
    </w:p>
    <w:p>
      <w:pPr>
        <w:spacing w:after="0" w:line="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2024, the “Net (gain)/loss on asset sales” on the Consolidated Statement of Cash Flows includes before-tax amounts mainly from the sale of upstream assets in the United States, Argentina, and Nigeria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For 2023, the number includes before-tax amounts from the sale of upstream assets in the United States. For 2022, the number includes before-tax amounts from the sale of certain unproved assets in Romania and unconventional assets in Canada and the United States, as well as other smaller divestments. These net (gain)/loss amounts are reported in "Other income" on the Consolidated Statement of Income.</w:t>
      </w:r>
    </w:p>
    <w:p>
      <w:pPr>
        <w:spacing w:after="0" w:line="144" w:lineRule="exact"/>
        <w:rPr>
          <w:sz w:val="20"/>
          <w:szCs w:val="20"/>
          <w:color w:val="auto"/>
        </w:rPr>
      </w:pPr>
    </w:p>
    <w:tbl>
      <w:tblPr>
        <w:tblLayout w:type="fixed"/>
        <w:tblInd w:w="780" w:type="dxa"/>
        <w:tblCellMar>
          <w:top w:w="0" w:type="dxa"/>
          <w:left w:w="0" w:type="dxa"/>
          <w:bottom w:w="0" w:type="dxa"/>
          <w:right w:w="0" w:type="dxa"/>
        </w:tblCellMar>
      </w:tblPr>
      <w:tr>
        <w:trPr>
          <w:trHeight w:val="250"/>
        </w:trPr>
        <w:tc>
          <w:tcPr>
            <w:tcW w:w="6580" w:type="dxa"/>
            <w:vAlign w:val="bottom"/>
            <w:tcBorders>
              <w:bottom w:val="single" w:sz="8" w:color="0C479D"/>
            </w:tcBorders>
            <w:shd w:val="clear" w:color="auto" w:fill="0C479D"/>
          </w:tcPr>
          <w:p>
            <w:pPr>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960" w:type="dxa"/>
            <w:vAlign w:val="bottom"/>
            <w:tcBorders>
              <w:bottom w:val="single" w:sz="8" w:color="0C479D"/>
            </w:tcBorders>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1320" w:type="dxa"/>
            <w:vAlign w:val="bottom"/>
            <w:tcBorders>
              <w:bottom w:val="single" w:sz="8" w:color="0C479D"/>
            </w:tcBorders>
            <w:shd w:val="clear" w:color="auto" w:fill="0C479D"/>
          </w:tcPr>
          <w:p>
            <w:pPr>
              <w:jc w:val="right"/>
              <w:ind w:right="174"/>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840" w:type="dxa"/>
            <w:vAlign w:val="bottom"/>
            <w:tcBorders>
              <w:bottom w:val="single" w:sz="8" w:color="0C479D"/>
            </w:tcBorders>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2022</w:t>
            </w:r>
          </w:p>
        </w:tc>
      </w:tr>
      <w:tr>
        <w:trPr>
          <w:trHeight w:val="499"/>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9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13,293</w:t>
            </w:r>
          </w:p>
        </w:tc>
        <w:tc>
          <w:tcPr>
            <w:tcW w:w="132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15,473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15,364</w:t>
            </w:r>
          </w:p>
        </w:tc>
      </w:tr>
      <w:tr>
        <w:trPr>
          <w:trHeight w:val="338"/>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0C479D"/>
              </w:rPr>
              <w:t>Cash interest paid</w:t>
            </w:r>
          </w:p>
        </w:tc>
        <w:tc>
          <w:tcPr>
            <w:tcW w:w="960" w:type="dxa"/>
            <w:vAlign w:val="bottom"/>
            <w:shd w:val="clear" w:color="auto" w:fill="F0F0F0"/>
          </w:tcPr>
          <w:p>
            <w:pPr>
              <w:spacing w:after="0"/>
              <w:rPr>
                <w:sz w:val="24"/>
                <w:szCs w:val="24"/>
                <w:color w:val="auto"/>
              </w:rPr>
            </w:pPr>
          </w:p>
        </w:tc>
        <w:tc>
          <w:tcPr>
            <w:tcW w:w="13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97"/>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Included in cash flows from operating activities</w:t>
            </w:r>
          </w:p>
        </w:tc>
        <w:tc>
          <w:tcPr>
            <w:tcW w:w="9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32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584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r>
      <w:tr>
        <w:trPr>
          <w:trHeight w:val="270"/>
        </w:trPr>
        <w:tc>
          <w:tcPr>
            <w:tcW w:w="658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color w:val="auto"/>
              </w:rPr>
              <w:t>Capitalized, included in cash flows from investing activities</w:t>
            </w:r>
          </w:p>
        </w:tc>
        <w:tc>
          <w:tcPr>
            <w:tcW w:w="9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320" w:type="dxa"/>
            <w:vAlign w:val="bottom"/>
            <w:tcBorders>
              <w:bottom w:val="single" w:sz="8" w:color="0C479D"/>
            </w:tcBorders>
          </w:tcPr>
          <w:p>
            <w:pPr>
              <w:jc w:val="right"/>
              <w:ind w:right="234"/>
              <w:spacing w:after="0"/>
              <w:rPr>
                <w:sz w:val="20"/>
                <w:szCs w:val="20"/>
                <w:color w:val="auto"/>
              </w:rPr>
            </w:pPr>
            <w:r>
              <w:rPr>
                <w:rFonts w:ascii="Times New Roman" w:cs="Times New Roman" w:eastAsia="Times New Roman" w:hAnsi="Times New Roman"/>
                <w:sz w:val="18"/>
                <w:szCs w:val="18"/>
                <w:color w:val="auto"/>
              </w:rPr>
              <w:t>1,152</w:t>
            </w:r>
          </w:p>
        </w:tc>
        <w:tc>
          <w:tcPr>
            <w:tcW w:w="8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838</w:t>
            </w:r>
          </w:p>
        </w:tc>
      </w:tr>
      <w:tr>
        <w:trPr>
          <w:trHeight w:val="244"/>
        </w:trPr>
        <w:tc>
          <w:tcPr>
            <w:tcW w:w="658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interest paid</w:t>
            </w:r>
          </w:p>
        </w:tc>
        <w:tc>
          <w:tcPr>
            <w:tcW w:w="9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1,900</w:t>
            </w:r>
          </w:p>
        </w:tc>
        <w:tc>
          <w:tcPr>
            <w:tcW w:w="1320" w:type="dxa"/>
            <w:vAlign w:val="bottom"/>
            <w:tcBorders>
              <w:bottom w:val="single" w:sz="8" w:color="0C479D"/>
            </w:tcBorders>
          </w:tcPr>
          <w:p>
            <w:pPr>
              <w:jc w:val="right"/>
              <w:ind w:right="234"/>
              <w:spacing w:after="0"/>
              <w:rPr>
                <w:sz w:val="20"/>
                <w:szCs w:val="20"/>
                <w:color w:val="auto"/>
              </w:rPr>
            </w:pPr>
            <w:r>
              <w:rPr>
                <w:rFonts w:ascii="Times New Roman" w:cs="Times New Roman" w:eastAsia="Times New Roman" w:hAnsi="Times New Roman"/>
                <w:sz w:val="18"/>
                <w:szCs w:val="18"/>
                <w:b w:val="1"/>
                <w:bCs w:val="1"/>
                <w:color w:val="auto"/>
              </w:rPr>
              <w:t>1,736</w:t>
            </w:r>
          </w:p>
        </w:tc>
        <w:tc>
          <w:tcPr>
            <w:tcW w:w="8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1,504</w:t>
            </w: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C479D"/>
        </w:rPr>
        <w:t>Note 6. Additional Working Capital Information</w:t>
      </w:r>
    </w:p>
    <w:p>
      <w:pPr>
        <w:spacing w:after="0" w:line="143" w:lineRule="exact"/>
        <w:rPr>
          <w:sz w:val="20"/>
          <w:szCs w:val="20"/>
          <w:color w:val="auto"/>
        </w:rPr>
      </w:pPr>
    </w:p>
    <w:tbl>
      <w:tblPr>
        <w:tblLayout w:type="fixed"/>
        <w:tblInd w:w="680" w:type="dxa"/>
        <w:tblCellMar>
          <w:top w:w="0" w:type="dxa"/>
          <w:left w:w="0" w:type="dxa"/>
          <w:bottom w:w="0" w:type="dxa"/>
          <w:right w:w="0" w:type="dxa"/>
        </w:tblCellMar>
      </w:tblPr>
      <w:tr>
        <w:trPr>
          <w:trHeight w:val="260"/>
        </w:trPr>
        <w:tc>
          <w:tcPr>
            <w:tcW w:w="7160" w:type="dxa"/>
            <w:vAlign w:val="bottom"/>
            <w:shd w:val="clear" w:color="auto" w:fill="0C479D"/>
          </w:tcPr>
          <w:p>
            <w:pPr>
              <w:ind w:left="20"/>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1220" w:type="dxa"/>
            <w:vAlign w:val="bottom"/>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December 31, 2024</w:t>
            </w:r>
          </w:p>
        </w:tc>
        <w:tc>
          <w:tcPr>
            <w:tcW w:w="1320" w:type="dxa"/>
            <w:vAlign w:val="bottom"/>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December 31, 2023</w:t>
            </w:r>
          </w:p>
        </w:tc>
      </w:tr>
      <w:tr>
        <w:trPr>
          <w:trHeight w:val="104"/>
        </w:trPr>
        <w:tc>
          <w:tcPr>
            <w:tcW w:w="7160" w:type="dxa"/>
            <w:vAlign w:val="bottom"/>
            <w:shd w:val="clear" w:color="auto" w:fill="0C479D"/>
          </w:tcPr>
          <w:p>
            <w:pPr>
              <w:spacing w:after="0"/>
              <w:rPr>
                <w:sz w:val="9"/>
                <w:szCs w:val="9"/>
                <w:color w:val="auto"/>
              </w:rPr>
            </w:pPr>
          </w:p>
        </w:tc>
        <w:tc>
          <w:tcPr>
            <w:tcW w:w="1220" w:type="dxa"/>
            <w:vAlign w:val="bottom"/>
            <w:shd w:val="clear" w:color="auto" w:fill="0C479D"/>
          </w:tcPr>
          <w:p>
            <w:pPr>
              <w:spacing w:after="0"/>
              <w:rPr>
                <w:sz w:val="9"/>
                <w:szCs w:val="9"/>
                <w:color w:val="auto"/>
              </w:rPr>
            </w:pPr>
          </w:p>
        </w:tc>
        <w:tc>
          <w:tcPr>
            <w:tcW w:w="1320" w:type="dxa"/>
            <w:vAlign w:val="bottom"/>
            <w:shd w:val="clear" w:color="auto" w:fill="0C479D"/>
          </w:tcPr>
          <w:p>
            <w:pPr>
              <w:spacing w:after="0"/>
              <w:rPr>
                <w:sz w:val="9"/>
                <w:szCs w:val="9"/>
                <w:color w:val="auto"/>
              </w:rPr>
            </w:pPr>
          </w:p>
        </w:tc>
      </w:tr>
      <w:tr>
        <w:trPr>
          <w:trHeight w:val="473"/>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C479D"/>
              </w:rPr>
              <w:t>Notes and accounts receivable</w:t>
            </w:r>
          </w:p>
        </w:tc>
        <w:tc>
          <w:tcPr>
            <w:tcW w:w="1220" w:type="dxa"/>
            <w:vAlign w:val="bottom"/>
            <w:shd w:val="clear" w:color="auto" w:fill="F0F0F0"/>
          </w:tcPr>
          <w:p>
            <w:pPr>
              <w:spacing w:after="0"/>
              <w:rPr>
                <w:sz w:val="24"/>
                <w:szCs w:val="24"/>
                <w:color w:val="auto"/>
              </w:rPr>
            </w:pPr>
          </w:p>
        </w:tc>
        <w:tc>
          <w:tcPr>
            <w:tcW w:w="1320" w:type="dxa"/>
            <w:vAlign w:val="bottom"/>
          </w:tcPr>
          <w:p>
            <w:pPr>
              <w:spacing w:after="0"/>
              <w:rPr>
                <w:sz w:val="24"/>
                <w:szCs w:val="24"/>
                <w:color w:val="auto"/>
              </w:rPr>
            </w:pPr>
          </w:p>
        </w:tc>
      </w:tr>
      <w:tr>
        <w:trPr>
          <w:trHeight w:val="297"/>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less reserves of $162 million and $170 million</w:t>
            </w:r>
          </w:p>
        </w:tc>
        <w:tc>
          <w:tcPr>
            <w:tcW w:w="1220" w:type="dxa"/>
            <w:vAlign w:val="bottom"/>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35,282</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30,296</w:t>
            </w:r>
          </w:p>
        </w:tc>
      </w:tr>
      <w:tr>
        <w:trPr>
          <w:trHeight w:val="270"/>
        </w:trPr>
        <w:tc>
          <w:tcPr>
            <w:tcW w:w="716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Other, less reserves of $314 million and $101 million</w:t>
            </w:r>
          </w:p>
        </w:tc>
        <w:tc>
          <w:tcPr>
            <w:tcW w:w="1220" w:type="dxa"/>
            <w:vAlign w:val="bottom"/>
            <w:tcBorders>
              <w:bottom w:val="single" w:sz="8" w:color="0C479D"/>
            </w:tcBorders>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8,399</w:t>
            </w:r>
          </w:p>
        </w:tc>
        <w:tc>
          <w:tcPr>
            <w:tcW w:w="13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7,719</w:t>
            </w:r>
          </w:p>
        </w:tc>
      </w:tr>
      <w:tr>
        <w:trPr>
          <w:trHeight w:val="250"/>
        </w:trPr>
        <w:tc>
          <w:tcPr>
            <w:tcW w:w="7160" w:type="dxa"/>
            <w:vAlign w:val="bottom"/>
            <w:tcBorders>
              <w:bottom w:val="single" w:sz="8" w:color="0C479D"/>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20" w:type="dxa"/>
            <w:vAlign w:val="bottom"/>
            <w:tcBorders>
              <w:bottom w:val="single" w:sz="8" w:color="0C479D"/>
            </w:tcBorders>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43,681</w:t>
            </w:r>
          </w:p>
        </w:tc>
        <w:tc>
          <w:tcPr>
            <w:tcW w:w="13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38,015</w:t>
            </w:r>
          </w:p>
        </w:tc>
      </w:tr>
      <w:tr>
        <w:trPr>
          <w:trHeight w:val="344"/>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C479D"/>
              </w:rPr>
              <w:t>Notes and loans payable</w:t>
            </w:r>
          </w:p>
        </w:tc>
        <w:tc>
          <w:tcPr>
            <w:tcW w:w="1220" w:type="dxa"/>
            <w:vAlign w:val="bottom"/>
            <w:shd w:val="clear" w:color="auto" w:fill="F0F0F0"/>
          </w:tcPr>
          <w:p>
            <w:pPr>
              <w:spacing w:after="0"/>
              <w:rPr>
                <w:sz w:val="24"/>
                <w:szCs w:val="24"/>
                <w:color w:val="auto"/>
              </w:rPr>
            </w:pPr>
          </w:p>
        </w:tc>
        <w:tc>
          <w:tcPr>
            <w:tcW w:w="1320" w:type="dxa"/>
            <w:vAlign w:val="bottom"/>
          </w:tcPr>
          <w:p>
            <w:pPr>
              <w:spacing w:after="0"/>
              <w:rPr>
                <w:sz w:val="24"/>
                <w:szCs w:val="24"/>
                <w:color w:val="auto"/>
              </w:rPr>
            </w:pPr>
          </w:p>
        </w:tc>
      </w:tr>
      <w:tr>
        <w:trPr>
          <w:trHeight w:val="27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loans</w:t>
            </w:r>
          </w:p>
        </w:tc>
        <w:tc>
          <w:tcPr>
            <w:tcW w:w="1220" w:type="dxa"/>
            <w:vAlign w:val="bottom"/>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63</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220" w:type="dxa"/>
            <w:vAlign w:val="bottom"/>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70"/>
        </w:trPr>
        <w:tc>
          <w:tcPr>
            <w:tcW w:w="716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Long-term debt due within one year</w:t>
            </w:r>
          </w:p>
        </w:tc>
        <w:tc>
          <w:tcPr>
            <w:tcW w:w="1220" w:type="dxa"/>
            <w:vAlign w:val="bottom"/>
            <w:tcBorders>
              <w:bottom w:val="single" w:sz="8" w:color="0C479D"/>
            </w:tcBorders>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4,892</w:t>
            </w:r>
          </w:p>
        </w:tc>
        <w:tc>
          <w:tcPr>
            <w:tcW w:w="13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4,009</w:t>
            </w:r>
          </w:p>
        </w:tc>
      </w:tr>
      <w:tr>
        <w:trPr>
          <w:trHeight w:val="250"/>
        </w:trPr>
        <w:tc>
          <w:tcPr>
            <w:tcW w:w="716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20" w:type="dxa"/>
            <w:vAlign w:val="bottom"/>
            <w:tcBorders>
              <w:bottom w:val="single" w:sz="8" w:color="0C479D"/>
            </w:tcBorders>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4,955</w:t>
            </w:r>
          </w:p>
        </w:tc>
        <w:tc>
          <w:tcPr>
            <w:tcW w:w="13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4,090</w:t>
            </w:r>
          </w:p>
        </w:tc>
      </w:tr>
      <w:tr>
        <w:trPr>
          <w:trHeight w:val="345"/>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C479D"/>
              </w:rPr>
              <w:t>Accounts payable and accrued liabilities</w:t>
            </w:r>
          </w:p>
        </w:tc>
        <w:tc>
          <w:tcPr>
            <w:tcW w:w="1220" w:type="dxa"/>
            <w:vAlign w:val="bottom"/>
            <w:shd w:val="clear" w:color="auto" w:fill="F0F0F0"/>
          </w:tcPr>
          <w:p>
            <w:pPr>
              <w:spacing w:after="0"/>
              <w:rPr>
                <w:sz w:val="24"/>
                <w:szCs w:val="24"/>
                <w:color w:val="auto"/>
              </w:rPr>
            </w:pPr>
          </w:p>
        </w:tc>
        <w:tc>
          <w:tcPr>
            <w:tcW w:w="1320" w:type="dxa"/>
            <w:vAlign w:val="bottom"/>
          </w:tcPr>
          <w:p>
            <w:pPr>
              <w:spacing w:after="0"/>
              <w:rPr>
                <w:sz w:val="24"/>
                <w:szCs w:val="24"/>
                <w:color w:val="auto"/>
              </w:rPr>
            </w:pPr>
          </w:p>
        </w:tc>
      </w:tr>
      <w:tr>
        <w:trPr>
          <w:trHeight w:val="27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payables</w:t>
            </w:r>
          </w:p>
        </w:tc>
        <w:tc>
          <w:tcPr>
            <w:tcW w:w="1220" w:type="dxa"/>
            <w:vAlign w:val="bottom"/>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36,145</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31,249</w:t>
            </w:r>
          </w:p>
        </w:tc>
      </w:tr>
      <w:tr>
        <w:trPr>
          <w:trHeight w:val="27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Payables to equity companies</w:t>
            </w:r>
          </w:p>
        </w:tc>
        <w:tc>
          <w:tcPr>
            <w:tcW w:w="1220" w:type="dxa"/>
            <w:vAlign w:val="bottom"/>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10,378</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11,885</w:t>
            </w:r>
          </w:p>
        </w:tc>
      </w:tr>
      <w:tr>
        <w:trPr>
          <w:trHeight w:val="27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taxes other than income taxes</w:t>
            </w:r>
          </w:p>
        </w:tc>
        <w:tc>
          <w:tcPr>
            <w:tcW w:w="1220" w:type="dxa"/>
            <w:vAlign w:val="bottom"/>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3,577</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3,817</w:t>
            </w:r>
          </w:p>
        </w:tc>
      </w:tr>
      <w:tr>
        <w:trPr>
          <w:trHeight w:val="270"/>
        </w:trPr>
        <w:tc>
          <w:tcPr>
            <w:tcW w:w="716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20" w:type="dxa"/>
            <w:vAlign w:val="bottom"/>
            <w:tcBorders>
              <w:bottom w:val="single" w:sz="8" w:color="0C479D"/>
            </w:tcBorders>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11,197</w:t>
            </w:r>
          </w:p>
        </w:tc>
        <w:tc>
          <w:tcPr>
            <w:tcW w:w="13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11,086</w:t>
            </w:r>
          </w:p>
        </w:tc>
      </w:tr>
      <w:tr>
        <w:trPr>
          <w:trHeight w:val="243"/>
        </w:trPr>
        <w:tc>
          <w:tcPr>
            <w:tcW w:w="716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20" w:type="dxa"/>
            <w:vAlign w:val="bottom"/>
            <w:tcBorders>
              <w:bottom w:val="single" w:sz="8" w:color="0C479D"/>
            </w:tcBorders>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61,297</w:t>
            </w:r>
          </w:p>
        </w:tc>
        <w:tc>
          <w:tcPr>
            <w:tcW w:w="13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58,037</w:t>
            </w:r>
          </w:p>
        </w:tc>
      </w:tr>
    </w:tbl>
    <w:p>
      <w:pPr>
        <w:spacing w:after="0" w:line="3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Trade notes and accounts receivables include both receivables within the scope of ASC 606 and outside the scope of ASC 606. Receivables outside the scope of ASC 606 primarily relate to physically settled commodity contracts accounted for as derivatives. Credit quality and type of customer are generally similar between receivables within the scope of ASC 606 and those outside it.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Corporation has short-term committed lines of credit of $0.2 billion which were unused as of December 31, 2024. These lines of credit are available for general corporate purposes.</w:t>
      </w:r>
    </w:p>
    <w:p>
      <w:pPr>
        <w:sectPr>
          <w:pgSz w:w="11900" w:h="16838" w:orient="portrait"/>
          <w:cols w:equalWidth="0" w:num="1">
            <w:col w:w="11240"/>
          </w:cols>
          <w:pgMar w:left="320" w:top="216"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22"/>
          <w:szCs w:val="22"/>
          <w:b w:val="1"/>
          <w:bCs w:val="1"/>
          <w:color w:val="0C479D"/>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C479D"/>
        </w:rPr>
        <w:t>Note 7. Equity Company Information</w:t>
      </w:r>
    </w:p>
    <w:p>
      <w:pPr>
        <w:spacing w:after="0" w:line="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summarized financial information below includes amounts related to certain less-than-majority-owned companies and majority-owned subsidiaries where minority shareholders possess the right to participate in significant management decisions (see </w:t>
      </w:r>
      <w:r>
        <w:rPr>
          <w:rFonts w:ascii="Times New Roman" w:cs="Times New Roman" w:eastAsia="Times New Roman" w:hAnsi="Times New Roman"/>
          <w:sz w:val="18"/>
          <w:szCs w:val="18"/>
          <w:color w:val="0000FF"/>
        </w:rPr>
        <w:t>Note 1</w:t>
      </w:r>
      <w:r>
        <w:rPr>
          <w:rFonts w:ascii="Times New Roman" w:cs="Times New Roman" w:eastAsia="Times New Roman" w:hAnsi="Times New Roman"/>
          <w:sz w:val="18"/>
          <w:szCs w:val="18"/>
          <w:color w:val="auto"/>
        </w:rPr>
        <w:t>). These companies are primarily engaged in oil and gas exploration and production, natural gas marketing, transportation of crude oil, and petrochemical manufacturing in North America; natural gas production and distribution in Europe; LNG operations in Africa; and exploration, production, LNG operations, and the manufacture and sale of petroleum and petrochemical products in Asia and the Middle East. Also included are several refining and marketing ventures.</w:t>
      </w:r>
    </w:p>
    <w:p>
      <w:pPr>
        <w:spacing w:after="0" w:line="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share of total equity company revenues from sales to ExxonMobil consolidated companies was 9 percent, 9 percent, and 11 percent in the years 2024, 2023, and 2022, respectively.</w:t>
      </w:r>
    </w:p>
    <w:p>
      <w:pPr>
        <w:spacing w:after="0" w:line="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Corporation’s ownership in these ventures is in the form of shares in corporate joint ventures as well as interests in partnerships. Differences between the Company’s carrying value of an equity investment and its underlying equity in the net assets of the affiliate are assigned, to the extent practicable, to specific assets and liabilities based on the Company’s analysis of the factors giving rise to the difference. The amortization of this difference, as appropriate, is included in “Income from equity affiliates” on the Consolidated Statement of Income.</w:t>
      </w:r>
    </w:p>
    <w:p>
      <w:pPr>
        <w:spacing w:after="0" w:line="103" w:lineRule="exact"/>
        <w:rPr>
          <w:sz w:val="20"/>
          <w:szCs w:val="20"/>
          <w:color w:val="auto"/>
        </w:rPr>
      </w:pPr>
    </w:p>
    <w:tbl>
      <w:tblPr>
        <w:tblLayout w:type="fixed"/>
        <w:tblInd w:w="800" w:type="dxa"/>
        <w:tblCellMar>
          <w:top w:w="0" w:type="dxa"/>
          <w:left w:w="0" w:type="dxa"/>
          <w:bottom w:w="0" w:type="dxa"/>
          <w:right w:w="0" w:type="dxa"/>
        </w:tblCellMar>
      </w:tblPr>
      <w:tr>
        <w:trPr>
          <w:trHeight w:val="243"/>
        </w:trPr>
        <w:tc>
          <w:tcPr>
            <w:tcW w:w="3020" w:type="dxa"/>
            <w:vAlign w:val="bottom"/>
            <w:shd w:val="clear" w:color="auto" w:fill="0C479D"/>
          </w:tcPr>
          <w:p>
            <w:pPr>
              <w:spacing w:after="0"/>
              <w:rPr>
                <w:sz w:val="20"/>
                <w:szCs w:val="20"/>
                <w:color w:val="auto"/>
              </w:rPr>
            </w:pPr>
            <w:r>
              <w:rPr>
                <w:rFonts w:ascii="Times New Roman" w:cs="Times New Roman" w:eastAsia="Times New Roman" w:hAnsi="Times New Roman"/>
                <w:sz w:val="18"/>
                <w:szCs w:val="18"/>
                <w:b w:val="1"/>
                <w:bCs w:val="1"/>
                <w:color w:val="FFFFFF"/>
              </w:rPr>
              <w:t>Equity Company</w:t>
            </w:r>
          </w:p>
        </w:tc>
        <w:tc>
          <w:tcPr>
            <w:tcW w:w="140" w:type="dxa"/>
            <w:vAlign w:val="bottom"/>
          </w:tcPr>
          <w:p>
            <w:pPr>
              <w:spacing w:after="0"/>
              <w:rPr>
                <w:sz w:val="21"/>
                <w:szCs w:val="21"/>
                <w:color w:val="auto"/>
              </w:rPr>
            </w:pPr>
          </w:p>
        </w:tc>
        <w:tc>
          <w:tcPr>
            <w:tcW w:w="2060" w:type="dxa"/>
            <w:vAlign w:val="bottom"/>
            <w:gridSpan w:val="3"/>
            <w:shd w:val="clear" w:color="auto" w:fill="0C479D"/>
          </w:tcPr>
          <w:p>
            <w:pPr>
              <w:jc w:val="right"/>
              <w:ind w:right="794"/>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140" w:type="dxa"/>
            <w:vAlign w:val="bottom"/>
          </w:tcPr>
          <w:p>
            <w:pPr>
              <w:spacing w:after="0"/>
              <w:rPr>
                <w:sz w:val="21"/>
                <w:szCs w:val="21"/>
                <w:color w:val="auto"/>
              </w:rPr>
            </w:pPr>
          </w:p>
        </w:tc>
        <w:tc>
          <w:tcPr>
            <w:tcW w:w="2080" w:type="dxa"/>
            <w:vAlign w:val="bottom"/>
            <w:gridSpan w:val="2"/>
            <w:shd w:val="clear" w:color="auto" w:fill="0C479D"/>
          </w:tcPr>
          <w:p>
            <w:pPr>
              <w:jc w:val="right"/>
              <w:ind w:right="813"/>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140" w:type="dxa"/>
            <w:vAlign w:val="bottom"/>
          </w:tcPr>
          <w:p>
            <w:pPr>
              <w:spacing w:after="0"/>
              <w:rPr>
                <w:sz w:val="21"/>
                <w:szCs w:val="21"/>
                <w:color w:val="auto"/>
              </w:rPr>
            </w:pPr>
          </w:p>
        </w:tc>
        <w:tc>
          <w:tcPr>
            <w:tcW w:w="2100" w:type="dxa"/>
            <w:vAlign w:val="bottom"/>
            <w:gridSpan w:val="2"/>
            <w:shd w:val="clear" w:color="auto" w:fill="0C479D"/>
          </w:tcPr>
          <w:p>
            <w:pPr>
              <w:jc w:val="right"/>
              <w:ind w:right="833"/>
              <w:spacing w:after="0"/>
              <w:rPr>
                <w:sz w:val="20"/>
                <w:szCs w:val="20"/>
                <w:color w:val="auto"/>
              </w:rPr>
            </w:pPr>
            <w:r>
              <w:rPr>
                <w:rFonts w:ascii="Times New Roman" w:cs="Times New Roman" w:eastAsia="Times New Roman" w:hAnsi="Times New Roman"/>
                <w:sz w:val="14"/>
                <w:szCs w:val="14"/>
                <w:b w:val="1"/>
                <w:bCs w:val="1"/>
                <w:color w:val="FFFFFF"/>
              </w:rPr>
              <w:t>2022</w:t>
            </w:r>
          </w:p>
        </w:tc>
        <w:tc>
          <w:tcPr>
            <w:tcW w:w="0" w:type="dxa"/>
            <w:vAlign w:val="bottom"/>
          </w:tcPr>
          <w:p>
            <w:pPr>
              <w:spacing w:after="0"/>
              <w:rPr>
                <w:sz w:val="1"/>
                <w:szCs w:val="1"/>
                <w:color w:val="auto"/>
              </w:rPr>
            </w:pPr>
          </w:p>
        </w:tc>
      </w:tr>
      <w:tr>
        <w:trPr>
          <w:trHeight w:val="202"/>
        </w:trPr>
        <w:tc>
          <w:tcPr>
            <w:tcW w:w="3020" w:type="dxa"/>
            <w:vAlign w:val="bottom"/>
            <w:shd w:val="clear" w:color="auto" w:fill="0C479D"/>
          </w:tcPr>
          <w:p>
            <w:pPr>
              <w:spacing w:after="0" w:line="202" w:lineRule="exact"/>
              <w:rPr>
                <w:sz w:val="20"/>
                <w:szCs w:val="20"/>
                <w:color w:val="auto"/>
              </w:rPr>
            </w:pPr>
            <w:r>
              <w:rPr>
                <w:rFonts w:ascii="Times New Roman" w:cs="Times New Roman" w:eastAsia="Times New Roman" w:hAnsi="Times New Roman"/>
                <w:sz w:val="18"/>
                <w:szCs w:val="18"/>
                <w:b w:val="1"/>
                <w:bCs w:val="1"/>
                <w:color w:val="FFFFFF"/>
              </w:rPr>
              <w:t>Financial Summary</w:t>
            </w:r>
          </w:p>
        </w:tc>
        <w:tc>
          <w:tcPr>
            <w:tcW w:w="140" w:type="dxa"/>
            <w:vAlign w:val="bottom"/>
          </w:tcPr>
          <w:p>
            <w:pPr>
              <w:spacing w:after="0"/>
              <w:rPr>
                <w:sz w:val="17"/>
                <w:szCs w:val="17"/>
                <w:color w:val="auto"/>
              </w:rPr>
            </w:pPr>
          </w:p>
        </w:tc>
        <w:tc>
          <w:tcPr>
            <w:tcW w:w="980" w:type="dxa"/>
            <w:vAlign w:val="bottom"/>
            <w:vMerge w:val="restart"/>
            <w:shd w:val="clear" w:color="auto" w:fill="0C479D"/>
          </w:tcPr>
          <w:p>
            <w:pPr>
              <w:jc w:val="right"/>
              <w:ind w:right="233"/>
              <w:spacing w:after="0"/>
              <w:rPr>
                <w:sz w:val="20"/>
                <w:szCs w:val="20"/>
                <w:color w:val="auto"/>
              </w:rPr>
            </w:pPr>
            <w:r>
              <w:rPr>
                <w:rFonts w:ascii="Times New Roman" w:cs="Times New Roman" w:eastAsia="Times New Roman" w:hAnsi="Times New Roman"/>
                <w:sz w:val="14"/>
                <w:szCs w:val="14"/>
                <w:b w:val="1"/>
                <w:bCs w:val="1"/>
                <w:color w:val="FFFFFF"/>
              </w:rPr>
              <w:t>Total</w:t>
            </w:r>
          </w:p>
        </w:tc>
        <w:tc>
          <w:tcPr>
            <w:tcW w:w="40" w:type="dxa"/>
            <w:vAlign w:val="bottom"/>
            <w:shd w:val="clear" w:color="auto" w:fill="0C479D"/>
          </w:tcPr>
          <w:p>
            <w:pPr>
              <w:spacing w:after="0"/>
              <w:rPr>
                <w:sz w:val="17"/>
                <w:szCs w:val="17"/>
                <w:color w:val="auto"/>
              </w:rPr>
            </w:pPr>
          </w:p>
        </w:tc>
        <w:tc>
          <w:tcPr>
            <w:tcW w:w="1040" w:type="dxa"/>
            <w:vAlign w:val="bottom"/>
            <w:shd w:val="clear" w:color="auto" w:fill="0C479D"/>
          </w:tcPr>
          <w:p>
            <w:pPr>
              <w:jc w:val="right"/>
              <w:ind w:right="54"/>
              <w:spacing w:after="0"/>
              <w:rPr>
                <w:sz w:val="20"/>
                <w:szCs w:val="20"/>
                <w:color w:val="auto"/>
              </w:rPr>
            </w:pPr>
            <w:r>
              <w:rPr>
                <w:rFonts w:ascii="Times New Roman" w:cs="Times New Roman" w:eastAsia="Times New Roman" w:hAnsi="Times New Roman"/>
                <w:sz w:val="14"/>
                <w:szCs w:val="14"/>
                <w:b w:val="1"/>
                <w:bCs w:val="1"/>
                <w:color w:val="FFFFFF"/>
              </w:rPr>
              <w:t>ExxonMobil</w:t>
            </w:r>
          </w:p>
        </w:tc>
        <w:tc>
          <w:tcPr>
            <w:tcW w:w="140" w:type="dxa"/>
            <w:vAlign w:val="bottom"/>
          </w:tcPr>
          <w:p>
            <w:pPr>
              <w:spacing w:after="0"/>
              <w:rPr>
                <w:sz w:val="17"/>
                <w:szCs w:val="17"/>
                <w:color w:val="auto"/>
              </w:rPr>
            </w:pPr>
          </w:p>
        </w:tc>
        <w:tc>
          <w:tcPr>
            <w:tcW w:w="1060" w:type="dxa"/>
            <w:vAlign w:val="bottom"/>
            <w:vMerge w:val="restart"/>
            <w:shd w:val="clear" w:color="auto" w:fill="0C479D"/>
          </w:tcPr>
          <w:p>
            <w:pPr>
              <w:jc w:val="right"/>
              <w:ind w:right="328"/>
              <w:spacing w:after="0"/>
              <w:rPr>
                <w:sz w:val="20"/>
                <w:szCs w:val="20"/>
                <w:color w:val="auto"/>
              </w:rPr>
            </w:pPr>
            <w:r>
              <w:rPr>
                <w:rFonts w:ascii="Times New Roman" w:cs="Times New Roman" w:eastAsia="Times New Roman" w:hAnsi="Times New Roman"/>
                <w:sz w:val="14"/>
                <w:szCs w:val="14"/>
                <w:b w:val="1"/>
                <w:bCs w:val="1"/>
                <w:color w:val="FFFFFF"/>
              </w:rPr>
              <w:t>Total</w:t>
            </w:r>
          </w:p>
        </w:tc>
        <w:tc>
          <w:tcPr>
            <w:tcW w:w="1020" w:type="dxa"/>
            <w:vAlign w:val="bottom"/>
            <w:shd w:val="clear" w:color="auto" w:fill="0C479D"/>
          </w:tcPr>
          <w:p>
            <w:pPr>
              <w:jc w:val="right"/>
              <w:ind w:right="73"/>
              <w:spacing w:after="0"/>
              <w:rPr>
                <w:sz w:val="20"/>
                <w:szCs w:val="20"/>
                <w:color w:val="auto"/>
              </w:rPr>
            </w:pPr>
            <w:r>
              <w:rPr>
                <w:rFonts w:ascii="Times New Roman" w:cs="Times New Roman" w:eastAsia="Times New Roman" w:hAnsi="Times New Roman"/>
                <w:sz w:val="14"/>
                <w:szCs w:val="14"/>
                <w:b w:val="1"/>
                <w:bCs w:val="1"/>
                <w:color w:val="FFFFFF"/>
              </w:rPr>
              <w:t>ExxonMobil</w:t>
            </w:r>
          </w:p>
        </w:tc>
        <w:tc>
          <w:tcPr>
            <w:tcW w:w="140" w:type="dxa"/>
            <w:vAlign w:val="bottom"/>
          </w:tcPr>
          <w:p>
            <w:pPr>
              <w:spacing w:after="0"/>
              <w:rPr>
                <w:sz w:val="17"/>
                <w:szCs w:val="17"/>
                <w:color w:val="auto"/>
              </w:rPr>
            </w:pPr>
          </w:p>
        </w:tc>
        <w:tc>
          <w:tcPr>
            <w:tcW w:w="1060" w:type="dxa"/>
            <w:vAlign w:val="bottom"/>
            <w:vMerge w:val="restart"/>
            <w:shd w:val="clear" w:color="auto" w:fill="0C479D"/>
          </w:tcPr>
          <w:p>
            <w:pPr>
              <w:jc w:val="right"/>
              <w:ind w:right="328"/>
              <w:spacing w:after="0"/>
              <w:rPr>
                <w:sz w:val="20"/>
                <w:szCs w:val="20"/>
                <w:color w:val="auto"/>
              </w:rPr>
            </w:pPr>
            <w:r>
              <w:rPr>
                <w:rFonts w:ascii="Times New Roman" w:cs="Times New Roman" w:eastAsia="Times New Roman" w:hAnsi="Times New Roman"/>
                <w:sz w:val="14"/>
                <w:szCs w:val="14"/>
                <w:b w:val="1"/>
                <w:bCs w:val="1"/>
                <w:color w:val="FFFFFF"/>
              </w:rPr>
              <w:t>Total</w:t>
            </w:r>
          </w:p>
        </w:tc>
        <w:tc>
          <w:tcPr>
            <w:tcW w:w="1040" w:type="dxa"/>
            <w:vAlign w:val="bottom"/>
            <w:shd w:val="clear" w:color="auto" w:fill="0C479D"/>
          </w:tcPr>
          <w:p>
            <w:pPr>
              <w:jc w:val="right"/>
              <w:ind w:right="73"/>
              <w:spacing w:after="0"/>
              <w:rPr>
                <w:sz w:val="20"/>
                <w:szCs w:val="20"/>
                <w:color w:val="auto"/>
              </w:rPr>
            </w:pPr>
            <w:r>
              <w:rPr>
                <w:rFonts w:ascii="Times New Roman" w:cs="Times New Roman" w:eastAsia="Times New Roman" w:hAnsi="Times New Roman"/>
                <w:sz w:val="14"/>
                <w:szCs w:val="14"/>
                <w:b w:val="1"/>
                <w:bCs w:val="1"/>
                <w:color w:val="FFFFFF"/>
              </w:rPr>
              <w:t>ExxonMobil</w:t>
            </w:r>
          </w:p>
        </w:tc>
        <w:tc>
          <w:tcPr>
            <w:tcW w:w="0" w:type="dxa"/>
            <w:vAlign w:val="bottom"/>
          </w:tcPr>
          <w:p>
            <w:pPr>
              <w:spacing w:after="0"/>
              <w:rPr>
                <w:sz w:val="1"/>
                <w:szCs w:val="1"/>
                <w:color w:val="auto"/>
              </w:rPr>
            </w:pPr>
          </w:p>
        </w:tc>
      </w:tr>
      <w:tr>
        <w:trPr>
          <w:trHeight w:val="112"/>
        </w:trPr>
        <w:tc>
          <w:tcPr>
            <w:tcW w:w="3020" w:type="dxa"/>
            <w:vAlign w:val="bottom"/>
            <w:vMerge w:val="restart"/>
            <w:shd w:val="clear" w:color="auto" w:fill="0C479D"/>
          </w:tcPr>
          <w:p>
            <w:pPr>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140" w:type="dxa"/>
            <w:vAlign w:val="bottom"/>
          </w:tcPr>
          <w:p>
            <w:pPr>
              <w:spacing w:after="0"/>
              <w:rPr>
                <w:sz w:val="9"/>
                <w:szCs w:val="9"/>
                <w:color w:val="auto"/>
              </w:rPr>
            </w:pPr>
          </w:p>
        </w:tc>
        <w:tc>
          <w:tcPr>
            <w:tcW w:w="980" w:type="dxa"/>
            <w:vAlign w:val="bottom"/>
            <w:vMerge w:val="continue"/>
            <w:shd w:val="clear" w:color="auto" w:fill="0C479D"/>
          </w:tcPr>
          <w:p>
            <w:pPr>
              <w:spacing w:after="0"/>
              <w:rPr>
                <w:sz w:val="9"/>
                <w:szCs w:val="9"/>
                <w:color w:val="auto"/>
              </w:rPr>
            </w:pPr>
          </w:p>
        </w:tc>
        <w:tc>
          <w:tcPr>
            <w:tcW w:w="40" w:type="dxa"/>
            <w:vAlign w:val="bottom"/>
            <w:shd w:val="clear" w:color="auto" w:fill="0C479D"/>
          </w:tcPr>
          <w:p>
            <w:pPr>
              <w:spacing w:after="0"/>
              <w:rPr>
                <w:sz w:val="9"/>
                <w:szCs w:val="9"/>
                <w:color w:val="auto"/>
              </w:rPr>
            </w:pPr>
          </w:p>
        </w:tc>
        <w:tc>
          <w:tcPr>
            <w:tcW w:w="1040" w:type="dxa"/>
            <w:vAlign w:val="bottom"/>
            <w:vMerge w:val="restart"/>
            <w:shd w:val="clear" w:color="auto" w:fill="0C479D"/>
          </w:tcPr>
          <w:p>
            <w:pPr>
              <w:jc w:val="right"/>
              <w:ind w:right="254"/>
              <w:spacing w:after="0"/>
              <w:rPr>
                <w:sz w:val="20"/>
                <w:szCs w:val="20"/>
                <w:color w:val="auto"/>
              </w:rPr>
            </w:pPr>
            <w:r>
              <w:rPr>
                <w:rFonts w:ascii="Times New Roman" w:cs="Times New Roman" w:eastAsia="Times New Roman" w:hAnsi="Times New Roman"/>
                <w:sz w:val="14"/>
                <w:szCs w:val="14"/>
                <w:b w:val="1"/>
                <w:bCs w:val="1"/>
                <w:color w:val="FFFFFF"/>
              </w:rPr>
              <w:t>Share</w:t>
            </w:r>
          </w:p>
        </w:tc>
        <w:tc>
          <w:tcPr>
            <w:tcW w:w="140" w:type="dxa"/>
            <w:vAlign w:val="bottom"/>
          </w:tcPr>
          <w:p>
            <w:pPr>
              <w:spacing w:after="0"/>
              <w:rPr>
                <w:sz w:val="9"/>
                <w:szCs w:val="9"/>
                <w:color w:val="auto"/>
              </w:rPr>
            </w:pPr>
          </w:p>
        </w:tc>
        <w:tc>
          <w:tcPr>
            <w:tcW w:w="1060" w:type="dxa"/>
            <w:vAlign w:val="bottom"/>
            <w:vMerge w:val="continue"/>
            <w:shd w:val="clear" w:color="auto" w:fill="0C479D"/>
          </w:tcPr>
          <w:p>
            <w:pPr>
              <w:spacing w:after="0"/>
              <w:rPr>
                <w:sz w:val="9"/>
                <w:szCs w:val="9"/>
                <w:color w:val="auto"/>
              </w:rPr>
            </w:pPr>
          </w:p>
        </w:tc>
        <w:tc>
          <w:tcPr>
            <w:tcW w:w="1020" w:type="dxa"/>
            <w:vAlign w:val="bottom"/>
            <w:vMerge w:val="restart"/>
            <w:shd w:val="clear" w:color="auto" w:fill="0C479D"/>
          </w:tcPr>
          <w:p>
            <w:pPr>
              <w:jc w:val="right"/>
              <w:ind w:right="273"/>
              <w:spacing w:after="0"/>
              <w:rPr>
                <w:sz w:val="20"/>
                <w:szCs w:val="20"/>
                <w:color w:val="auto"/>
              </w:rPr>
            </w:pPr>
            <w:r>
              <w:rPr>
                <w:rFonts w:ascii="Times New Roman" w:cs="Times New Roman" w:eastAsia="Times New Roman" w:hAnsi="Times New Roman"/>
                <w:sz w:val="14"/>
                <w:szCs w:val="14"/>
                <w:b w:val="1"/>
                <w:bCs w:val="1"/>
                <w:color w:val="FFFFFF"/>
              </w:rPr>
              <w:t>Share</w:t>
            </w:r>
          </w:p>
        </w:tc>
        <w:tc>
          <w:tcPr>
            <w:tcW w:w="140" w:type="dxa"/>
            <w:vAlign w:val="bottom"/>
          </w:tcPr>
          <w:p>
            <w:pPr>
              <w:spacing w:after="0"/>
              <w:rPr>
                <w:sz w:val="9"/>
                <w:szCs w:val="9"/>
                <w:color w:val="auto"/>
              </w:rPr>
            </w:pPr>
          </w:p>
        </w:tc>
        <w:tc>
          <w:tcPr>
            <w:tcW w:w="1060" w:type="dxa"/>
            <w:vAlign w:val="bottom"/>
            <w:vMerge w:val="continue"/>
            <w:shd w:val="clear" w:color="auto" w:fill="0C479D"/>
          </w:tcPr>
          <w:p>
            <w:pPr>
              <w:spacing w:after="0"/>
              <w:rPr>
                <w:sz w:val="9"/>
                <w:szCs w:val="9"/>
                <w:color w:val="auto"/>
              </w:rPr>
            </w:pPr>
          </w:p>
        </w:tc>
        <w:tc>
          <w:tcPr>
            <w:tcW w:w="1040" w:type="dxa"/>
            <w:vAlign w:val="bottom"/>
            <w:vMerge w:val="restart"/>
            <w:shd w:val="clear" w:color="auto" w:fill="0C479D"/>
          </w:tcPr>
          <w:p>
            <w:pPr>
              <w:jc w:val="right"/>
              <w:ind w:right="273"/>
              <w:spacing w:after="0"/>
              <w:rPr>
                <w:sz w:val="20"/>
                <w:szCs w:val="20"/>
                <w:color w:val="auto"/>
              </w:rPr>
            </w:pPr>
            <w:r>
              <w:rPr>
                <w:rFonts w:ascii="Times New Roman" w:cs="Times New Roman" w:eastAsia="Times New Roman" w:hAnsi="Times New Roman"/>
                <w:sz w:val="14"/>
                <w:szCs w:val="14"/>
                <w:b w:val="1"/>
                <w:bCs w:val="1"/>
                <w:color w:val="FFFFFF"/>
              </w:rPr>
              <w:t>Share</w:t>
            </w:r>
          </w:p>
        </w:tc>
        <w:tc>
          <w:tcPr>
            <w:tcW w:w="0" w:type="dxa"/>
            <w:vAlign w:val="bottom"/>
          </w:tcPr>
          <w:p>
            <w:pPr>
              <w:spacing w:after="0"/>
              <w:rPr>
                <w:sz w:val="1"/>
                <w:szCs w:val="1"/>
                <w:color w:val="auto"/>
              </w:rPr>
            </w:pPr>
          </w:p>
        </w:tc>
      </w:tr>
      <w:tr>
        <w:trPr>
          <w:trHeight w:val="81"/>
        </w:trPr>
        <w:tc>
          <w:tcPr>
            <w:tcW w:w="3020" w:type="dxa"/>
            <w:vAlign w:val="bottom"/>
            <w:vMerge w:val="continue"/>
            <w:shd w:val="clear" w:color="auto" w:fill="0C479D"/>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shd w:val="clear" w:color="auto" w:fill="0C479D"/>
          </w:tcPr>
          <w:p>
            <w:pPr>
              <w:spacing w:after="0"/>
              <w:rPr>
                <w:sz w:val="7"/>
                <w:szCs w:val="7"/>
                <w:color w:val="auto"/>
              </w:rPr>
            </w:pPr>
          </w:p>
        </w:tc>
        <w:tc>
          <w:tcPr>
            <w:tcW w:w="40" w:type="dxa"/>
            <w:vAlign w:val="bottom"/>
            <w:shd w:val="clear" w:color="auto" w:fill="0C479D"/>
          </w:tcPr>
          <w:p>
            <w:pPr>
              <w:spacing w:after="0"/>
              <w:rPr>
                <w:sz w:val="7"/>
                <w:szCs w:val="7"/>
                <w:color w:val="auto"/>
              </w:rPr>
            </w:pPr>
          </w:p>
        </w:tc>
        <w:tc>
          <w:tcPr>
            <w:tcW w:w="1040" w:type="dxa"/>
            <w:vAlign w:val="bottom"/>
            <w:vMerge w:val="continue"/>
            <w:shd w:val="clear" w:color="auto" w:fill="0C479D"/>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shd w:val="clear" w:color="auto" w:fill="0C479D"/>
          </w:tcPr>
          <w:p>
            <w:pPr>
              <w:spacing w:after="0"/>
              <w:rPr>
                <w:sz w:val="7"/>
                <w:szCs w:val="7"/>
                <w:color w:val="auto"/>
              </w:rPr>
            </w:pPr>
          </w:p>
        </w:tc>
        <w:tc>
          <w:tcPr>
            <w:tcW w:w="1020" w:type="dxa"/>
            <w:vAlign w:val="bottom"/>
            <w:vMerge w:val="continue"/>
            <w:shd w:val="clear" w:color="auto" w:fill="0C479D"/>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shd w:val="clear" w:color="auto" w:fill="0C479D"/>
          </w:tcPr>
          <w:p>
            <w:pPr>
              <w:spacing w:after="0"/>
              <w:rPr>
                <w:sz w:val="7"/>
                <w:szCs w:val="7"/>
                <w:color w:val="auto"/>
              </w:rPr>
            </w:pPr>
          </w:p>
        </w:tc>
        <w:tc>
          <w:tcPr>
            <w:tcW w:w="1040" w:type="dxa"/>
            <w:vAlign w:val="bottom"/>
            <w:vMerge w:val="continue"/>
            <w:shd w:val="clear" w:color="auto" w:fill="0C479D"/>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3020" w:type="dxa"/>
            <w:vAlign w:val="bottom"/>
            <w:shd w:val="clear" w:color="auto" w:fill="0C479D"/>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shd w:val="clear" w:color="auto" w:fill="0C479D"/>
          </w:tcPr>
          <w:p>
            <w:pPr>
              <w:spacing w:after="0"/>
              <w:rPr>
                <w:sz w:val="5"/>
                <w:szCs w:val="5"/>
                <w:color w:val="auto"/>
              </w:rPr>
            </w:pPr>
          </w:p>
        </w:tc>
        <w:tc>
          <w:tcPr>
            <w:tcW w:w="40" w:type="dxa"/>
            <w:vAlign w:val="bottom"/>
            <w:shd w:val="clear" w:color="auto" w:fill="0C479D"/>
          </w:tcPr>
          <w:p>
            <w:pPr>
              <w:spacing w:after="0"/>
              <w:rPr>
                <w:sz w:val="5"/>
                <w:szCs w:val="5"/>
                <w:color w:val="auto"/>
              </w:rPr>
            </w:pPr>
          </w:p>
        </w:tc>
        <w:tc>
          <w:tcPr>
            <w:tcW w:w="1040" w:type="dxa"/>
            <w:vAlign w:val="bottom"/>
            <w:shd w:val="clear" w:color="auto" w:fill="0C479D"/>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shd w:val="clear" w:color="auto" w:fill="0C479D"/>
          </w:tcPr>
          <w:p>
            <w:pPr>
              <w:spacing w:after="0"/>
              <w:rPr>
                <w:sz w:val="5"/>
                <w:szCs w:val="5"/>
                <w:color w:val="auto"/>
              </w:rPr>
            </w:pPr>
          </w:p>
        </w:tc>
        <w:tc>
          <w:tcPr>
            <w:tcW w:w="1020" w:type="dxa"/>
            <w:vAlign w:val="bottom"/>
            <w:shd w:val="clear" w:color="auto" w:fill="0C479D"/>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shd w:val="clear" w:color="auto" w:fill="0C479D"/>
          </w:tcPr>
          <w:p>
            <w:pPr>
              <w:spacing w:after="0"/>
              <w:rPr>
                <w:sz w:val="5"/>
                <w:szCs w:val="5"/>
                <w:color w:val="auto"/>
              </w:rPr>
            </w:pPr>
          </w:p>
        </w:tc>
        <w:tc>
          <w:tcPr>
            <w:tcW w:w="1040" w:type="dxa"/>
            <w:vAlign w:val="bottom"/>
            <w:shd w:val="clear" w:color="auto" w:fill="0C479D"/>
          </w:tcPr>
          <w:p>
            <w:pPr>
              <w:spacing w:after="0"/>
              <w:rPr>
                <w:sz w:val="5"/>
                <w:szCs w:val="5"/>
                <w:color w:val="auto"/>
              </w:rPr>
            </w:pPr>
          </w:p>
        </w:tc>
        <w:tc>
          <w:tcPr>
            <w:tcW w:w="0" w:type="dxa"/>
            <w:vAlign w:val="bottom"/>
          </w:tcPr>
          <w:p>
            <w:pPr>
              <w:spacing w:after="0"/>
              <w:rPr>
                <w:sz w:val="1"/>
                <w:szCs w:val="1"/>
                <w:color w:val="auto"/>
              </w:rPr>
            </w:pPr>
          </w:p>
        </w:tc>
      </w:tr>
      <w:tr>
        <w:trPr>
          <w:trHeight w:val="500"/>
        </w:trPr>
        <w:tc>
          <w:tcPr>
            <w:tcW w:w="302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40" w:type="dxa"/>
            <w:vAlign w:val="bottom"/>
            <w:tcBorders>
              <w:bottom w:val="single" w:sz="8" w:color="0C479D"/>
            </w:tcBorders>
          </w:tcPr>
          <w:p>
            <w:pPr>
              <w:spacing w:after="0"/>
              <w:rPr>
                <w:sz w:val="24"/>
                <w:szCs w:val="24"/>
                <w:color w:val="auto"/>
              </w:rPr>
            </w:pPr>
          </w:p>
        </w:tc>
        <w:tc>
          <w:tcPr>
            <w:tcW w:w="98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117,036</w:t>
            </w:r>
          </w:p>
        </w:tc>
        <w:tc>
          <w:tcPr>
            <w:tcW w:w="1080" w:type="dxa"/>
            <w:vAlign w:val="bottom"/>
            <w:tcBorders>
              <w:bottom w:val="single" w:sz="8" w:color="0C479D"/>
            </w:tcBorders>
            <w:gridSpan w:val="2"/>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35,532</w:t>
            </w:r>
          </w:p>
        </w:tc>
        <w:tc>
          <w:tcPr>
            <w:tcW w:w="1200" w:type="dxa"/>
            <w:vAlign w:val="bottom"/>
            <w:tcBorders>
              <w:bottom w:val="single" w:sz="8" w:color="0C479D"/>
            </w:tcBorders>
            <w:gridSpan w:val="2"/>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132,783</w:t>
            </w:r>
          </w:p>
        </w:tc>
        <w:tc>
          <w:tcPr>
            <w:tcW w:w="10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40,682</w:t>
            </w:r>
          </w:p>
        </w:tc>
        <w:tc>
          <w:tcPr>
            <w:tcW w:w="1200" w:type="dxa"/>
            <w:vAlign w:val="bottom"/>
            <w:tcBorders>
              <w:bottom w:val="single" w:sz="8" w:color="0C479D"/>
            </w:tcBorders>
            <w:gridSpan w:val="2"/>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183,812</w:t>
            </w:r>
          </w:p>
        </w:tc>
        <w:tc>
          <w:tcPr>
            <w:tcW w:w="1040" w:type="dxa"/>
            <w:vAlign w:val="bottom"/>
            <w:tcBorders>
              <w:bottom w:val="single" w:sz="8" w:color="0C479D"/>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57,528</w:t>
            </w:r>
          </w:p>
        </w:tc>
        <w:tc>
          <w:tcPr>
            <w:tcW w:w="0" w:type="dxa"/>
            <w:vAlign w:val="bottom"/>
          </w:tcPr>
          <w:p>
            <w:pPr>
              <w:spacing w:after="0"/>
              <w:rPr>
                <w:sz w:val="1"/>
                <w:szCs w:val="1"/>
                <w:color w:val="auto"/>
              </w:rPr>
            </w:pPr>
          </w:p>
        </w:tc>
      </w:tr>
      <w:tr>
        <w:trPr>
          <w:trHeight w:val="250"/>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Pr>
          <w:p>
            <w:pPr>
              <w:spacing w:after="0"/>
              <w:rPr>
                <w:sz w:val="21"/>
                <w:szCs w:val="21"/>
                <w:color w:val="auto"/>
              </w:rPr>
            </w:pP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33,357</w:t>
            </w:r>
          </w:p>
        </w:tc>
        <w:tc>
          <w:tcPr>
            <w:tcW w:w="40" w:type="dxa"/>
            <w:vAlign w:val="bottom"/>
            <w:shd w:val="clear" w:color="auto" w:fill="F0F0F0"/>
          </w:tcPr>
          <w:p>
            <w:pPr>
              <w:spacing w:after="0"/>
              <w:rPr>
                <w:sz w:val="21"/>
                <w:szCs w:val="21"/>
                <w:color w:val="auto"/>
              </w:rPr>
            </w:pPr>
          </w:p>
        </w:tc>
        <w:tc>
          <w:tcPr>
            <w:tcW w:w="10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9,304</w:t>
            </w:r>
          </w:p>
        </w:tc>
        <w:tc>
          <w:tcPr>
            <w:tcW w:w="12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35,999</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10,078</w:t>
            </w:r>
          </w:p>
        </w:tc>
        <w:tc>
          <w:tcPr>
            <w:tcW w:w="12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61,550</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19,279</w:t>
            </w:r>
          </w:p>
        </w:tc>
        <w:tc>
          <w:tcPr>
            <w:tcW w:w="0" w:type="dxa"/>
            <w:vAlign w:val="bottom"/>
          </w:tcPr>
          <w:p>
            <w:pPr>
              <w:spacing w:after="0"/>
              <w:rPr>
                <w:sz w:val="1"/>
                <w:szCs w:val="1"/>
                <w:color w:val="auto"/>
              </w:rPr>
            </w:pPr>
          </w:p>
        </w:tc>
      </w:tr>
      <w:tr>
        <w:trPr>
          <w:trHeight w:val="270"/>
        </w:trPr>
        <w:tc>
          <w:tcPr>
            <w:tcW w:w="302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40" w:type="dxa"/>
            <w:vAlign w:val="bottom"/>
            <w:tcBorders>
              <w:bottom w:val="single" w:sz="8" w:color="0C479D"/>
            </w:tcBorders>
          </w:tcPr>
          <w:p>
            <w:pPr>
              <w:spacing w:after="0"/>
              <w:rPr>
                <w:sz w:val="23"/>
                <w:szCs w:val="23"/>
                <w:color w:val="auto"/>
              </w:rPr>
            </w:pPr>
          </w:p>
        </w:tc>
        <w:tc>
          <w:tcPr>
            <w:tcW w:w="98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11,434</w:t>
            </w:r>
          </w:p>
        </w:tc>
        <w:tc>
          <w:tcPr>
            <w:tcW w:w="40" w:type="dxa"/>
            <w:vAlign w:val="bottom"/>
            <w:tcBorders>
              <w:bottom w:val="single" w:sz="8" w:color="0C479D"/>
            </w:tcBorders>
            <w:shd w:val="clear" w:color="auto" w:fill="F0F0F0"/>
          </w:tcPr>
          <w:p>
            <w:pPr>
              <w:spacing w:after="0"/>
              <w:rPr>
                <w:sz w:val="23"/>
                <w:szCs w:val="23"/>
                <w:color w:val="auto"/>
              </w:rPr>
            </w:pPr>
          </w:p>
        </w:tc>
        <w:tc>
          <w:tcPr>
            <w:tcW w:w="104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1200" w:type="dxa"/>
            <w:vAlign w:val="bottom"/>
            <w:tcBorders>
              <w:bottom w:val="single" w:sz="8" w:color="0C479D"/>
            </w:tcBorders>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11,404</w:t>
            </w:r>
          </w:p>
        </w:tc>
        <w:tc>
          <w:tcPr>
            <w:tcW w:w="10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1200" w:type="dxa"/>
            <w:vAlign w:val="bottom"/>
            <w:tcBorders>
              <w:bottom w:val="single" w:sz="8" w:color="0C479D"/>
            </w:tcBorders>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23,149</w:t>
            </w:r>
          </w:p>
        </w:tc>
        <w:tc>
          <w:tcPr>
            <w:tcW w:w="1040" w:type="dxa"/>
            <w:vAlign w:val="bottom"/>
            <w:tcBorders>
              <w:bottom w:val="single" w:sz="8" w:color="0C479D"/>
            </w:tcBorders>
          </w:tcPr>
          <w:p>
            <w:pPr>
              <w:jc w:val="right"/>
              <w:ind w:right="13"/>
              <w:spacing w:after="0"/>
              <w:rPr>
                <w:sz w:val="20"/>
                <w:szCs w:val="20"/>
                <w:color w:val="auto"/>
              </w:rPr>
            </w:pPr>
            <w:r>
              <w:rPr>
                <w:rFonts w:ascii="Times New Roman" w:cs="Times New Roman" w:eastAsia="Times New Roman" w:hAnsi="Times New Roman"/>
                <w:sz w:val="18"/>
                <w:szCs w:val="18"/>
                <w:color w:val="auto"/>
              </w:rPr>
              <w:t>7,603</w:t>
            </w:r>
          </w:p>
        </w:tc>
        <w:tc>
          <w:tcPr>
            <w:tcW w:w="0" w:type="dxa"/>
            <w:vAlign w:val="bottom"/>
          </w:tcPr>
          <w:p>
            <w:pPr>
              <w:spacing w:after="0"/>
              <w:rPr>
                <w:sz w:val="1"/>
                <w:szCs w:val="1"/>
                <w:color w:val="auto"/>
              </w:rPr>
            </w:pPr>
          </w:p>
        </w:tc>
      </w:tr>
      <w:tr>
        <w:trPr>
          <w:trHeight w:val="250"/>
        </w:trPr>
        <w:tc>
          <w:tcPr>
            <w:tcW w:w="302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b w:val="1"/>
                <w:bCs w:val="1"/>
                <w:color w:val="auto"/>
              </w:rPr>
              <w:t>Income from equity affiliates</w:t>
            </w:r>
          </w:p>
        </w:tc>
        <w:tc>
          <w:tcPr>
            <w:tcW w:w="140" w:type="dxa"/>
            <w:vAlign w:val="bottom"/>
            <w:tcBorders>
              <w:bottom w:val="single" w:sz="8" w:color="0C479D"/>
            </w:tcBorders>
          </w:tcPr>
          <w:p>
            <w:pPr>
              <w:spacing w:after="0"/>
              <w:rPr>
                <w:sz w:val="21"/>
                <w:szCs w:val="21"/>
                <w:color w:val="auto"/>
              </w:rPr>
            </w:pPr>
          </w:p>
        </w:tc>
        <w:tc>
          <w:tcPr>
            <w:tcW w:w="98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21,923</w:t>
            </w:r>
          </w:p>
        </w:tc>
        <w:tc>
          <w:tcPr>
            <w:tcW w:w="40" w:type="dxa"/>
            <w:vAlign w:val="bottom"/>
            <w:tcBorders>
              <w:bottom w:val="single" w:sz="8" w:color="0C479D"/>
            </w:tcBorders>
            <w:shd w:val="clear" w:color="auto" w:fill="F0F0F0"/>
          </w:tcPr>
          <w:p>
            <w:pPr>
              <w:spacing w:after="0"/>
              <w:rPr>
                <w:sz w:val="21"/>
                <w:szCs w:val="21"/>
                <w:color w:val="auto"/>
              </w:rPr>
            </w:pPr>
          </w:p>
        </w:tc>
        <w:tc>
          <w:tcPr>
            <w:tcW w:w="104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6,095</w:t>
            </w:r>
          </w:p>
        </w:tc>
        <w:tc>
          <w:tcPr>
            <w:tcW w:w="1200" w:type="dxa"/>
            <w:vAlign w:val="bottom"/>
            <w:tcBorders>
              <w:bottom w:val="single" w:sz="8" w:color="0C479D"/>
            </w:tcBorders>
            <w:gridSpan w:val="2"/>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24,595</w:t>
            </w:r>
          </w:p>
        </w:tc>
        <w:tc>
          <w:tcPr>
            <w:tcW w:w="10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6,993</w:t>
            </w:r>
          </w:p>
        </w:tc>
        <w:tc>
          <w:tcPr>
            <w:tcW w:w="1200" w:type="dxa"/>
            <w:vAlign w:val="bottom"/>
            <w:tcBorders>
              <w:bottom w:val="single" w:sz="8" w:color="0C479D"/>
            </w:tcBorders>
            <w:gridSpan w:val="2"/>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38,401</w:t>
            </w:r>
          </w:p>
        </w:tc>
        <w:tc>
          <w:tcPr>
            <w:tcW w:w="1040" w:type="dxa"/>
            <w:vAlign w:val="bottom"/>
            <w:tcBorders>
              <w:bottom w:val="single" w:sz="8" w:color="0C479D"/>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11,676</w:t>
            </w:r>
          </w:p>
        </w:tc>
        <w:tc>
          <w:tcPr>
            <w:tcW w:w="0" w:type="dxa"/>
            <w:vAlign w:val="bottom"/>
          </w:tcPr>
          <w:p>
            <w:pPr>
              <w:spacing w:after="0"/>
              <w:rPr>
                <w:sz w:val="1"/>
                <w:szCs w:val="1"/>
                <w:color w:val="auto"/>
              </w:rPr>
            </w:pPr>
          </w:p>
        </w:tc>
      </w:tr>
      <w:tr>
        <w:trPr>
          <w:trHeight w:val="344"/>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24"/>
                <w:szCs w:val="24"/>
                <w:color w:val="auto"/>
              </w:rPr>
            </w:pP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50,779</w:t>
            </w:r>
          </w:p>
        </w:tc>
        <w:tc>
          <w:tcPr>
            <w:tcW w:w="1080" w:type="dxa"/>
            <w:vAlign w:val="bottom"/>
            <w:gridSpan w:val="2"/>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18,286</w:t>
            </w:r>
          </w:p>
        </w:tc>
        <w:tc>
          <w:tcPr>
            <w:tcW w:w="12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53,081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18,713</w:t>
            </w:r>
          </w:p>
        </w:tc>
        <w:tc>
          <w:tcPr>
            <w:tcW w:w="12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77,457</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24,994</w:t>
            </w:r>
          </w:p>
        </w:tc>
        <w:tc>
          <w:tcPr>
            <w:tcW w:w="0" w:type="dxa"/>
            <w:vAlign w:val="bottom"/>
          </w:tcPr>
          <w:p>
            <w:pPr>
              <w:spacing w:after="0"/>
              <w:rPr>
                <w:sz w:val="1"/>
                <w:szCs w:val="1"/>
                <w:color w:val="auto"/>
              </w:rPr>
            </w:pPr>
          </w:p>
        </w:tc>
      </w:tr>
      <w:tr>
        <w:trPr>
          <w:trHeight w:val="270"/>
        </w:trPr>
        <w:tc>
          <w:tcPr>
            <w:tcW w:w="302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color w:val="auto"/>
              </w:rPr>
              <w:t>Long-term assets</w:t>
            </w:r>
          </w:p>
        </w:tc>
        <w:tc>
          <w:tcPr>
            <w:tcW w:w="140" w:type="dxa"/>
            <w:vAlign w:val="bottom"/>
            <w:tcBorders>
              <w:bottom w:val="single" w:sz="8" w:color="0C479D"/>
            </w:tcBorders>
          </w:tcPr>
          <w:p>
            <w:pPr>
              <w:spacing w:after="0"/>
              <w:rPr>
                <w:sz w:val="23"/>
                <w:szCs w:val="23"/>
                <w:color w:val="auto"/>
              </w:rPr>
            </w:pPr>
          </w:p>
        </w:tc>
        <w:tc>
          <w:tcPr>
            <w:tcW w:w="98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145,671</w:t>
            </w:r>
          </w:p>
        </w:tc>
        <w:tc>
          <w:tcPr>
            <w:tcW w:w="40" w:type="dxa"/>
            <w:vAlign w:val="bottom"/>
            <w:tcBorders>
              <w:bottom w:val="single" w:sz="8" w:color="0C479D"/>
            </w:tcBorders>
            <w:shd w:val="clear" w:color="auto" w:fill="F0F0F0"/>
          </w:tcPr>
          <w:p>
            <w:pPr>
              <w:spacing w:after="0"/>
              <w:rPr>
                <w:sz w:val="23"/>
                <w:szCs w:val="23"/>
                <w:color w:val="auto"/>
              </w:rPr>
            </w:pPr>
          </w:p>
        </w:tc>
        <w:tc>
          <w:tcPr>
            <w:tcW w:w="104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39,092</w:t>
            </w:r>
          </w:p>
        </w:tc>
        <w:tc>
          <w:tcPr>
            <w:tcW w:w="1200" w:type="dxa"/>
            <w:vAlign w:val="bottom"/>
            <w:tcBorders>
              <w:bottom w:val="single" w:sz="8" w:color="0C479D"/>
            </w:tcBorders>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150,198</w:t>
            </w:r>
          </w:p>
        </w:tc>
        <w:tc>
          <w:tcPr>
            <w:tcW w:w="10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40,986</w:t>
            </w:r>
          </w:p>
        </w:tc>
        <w:tc>
          <w:tcPr>
            <w:tcW w:w="1200" w:type="dxa"/>
            <w:vAlign w:val="bottom"/>
            <w:tcBorders>
              <w:bottom w:val="single" w:sz="8" w:color="0C479D"/>
            </w:tcBorders>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153,186</w:t>
            </w:r>
          </w:p>
        </w:tc>
        <w:tc>
          <w:tcPr>
            <w:tcW w:w="1040" w:type="dxa"/>
            <w:vAlign w:val="bottom"/>
            <w:tcBorders>
              <w:bottom w:val="single" w:sz="8" w:color="0C479D"/>
            </w:tcBorders>
          </w:tcPr>
          <w:p>
            <w:pPr>
              <w:jc w:val="right"/>
              <w:ind w:right="13"/>
              <w:spacing w:after="0"/>
              <w:rPr>
                <w:sz w:val="20"/>
                <w:szCs w:val="20"/>
                <w:color w:val="auto"/>
              </w:rPr>
            </w:pPr>
            <w:r>
              <w:rPr>
                <w:rFonts w:ascii="Times New Roman" w:cs="Times New Roman" w:eastAsia="Times New Roman" w:hAnsi="Times New Roman"/>
                <w:sz w:val="18"/>
                <w:szCs w:val="18"/>
                <w:color w:val="auto"/>
              </w:rPr>
              <w:t>42,921</w:t>
            </w:r>
          </w:p>
        </w:tc>
        <w:tc>
          <w:tcPr>
            <w:tcW w:w="0" w:type="dxa"/>
            <w:vAlign w:val="bottom"/>
          </w:tcPr>
          <w:p>
            <w:pPr>
              <w:spacing w:after="0"/>
              <w:rPr>
                <w:sz w:val="1"/>
                <w:szCs w:val="1"/>
                <w:color w:val="auto"/>
              </w:rPr>
            </w:pPr>
          </w:p>
        </w:tc>
      </w:tr>
      <w:tr>
        <w:trPr>
          <w:trHeight w:val="250"/>
        </w:trPr>
        <w:tc>
          <w:tcPr>
            <w:tcW w:w="302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bottom w:val="single" w:sz="8" w:color="0C479D"/>
            </w:tcBorders>
          </w:tcPr>
          <w:p>
            <w:pPr>
              <w:spacing w:after="0"/>
              <w:rPr>
                <w:sz w:val="21"/>
                <w:szCs w:val="21"/>
                <w:color w:val="auto"/>
              </w:rPr>
            </w:pPr>
          </w:p>
        </w:tc>
        <w:tc>
          <w:tcPr>
            <w:tcW w:w="98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196,450</w:t>
            </w:r>
          </w:p>
        </w:tc>
        <w:tc>
          <w:tcPr>
            <w:tcW w:w="40" w:type="dxa"/>
            <w:vAlign w:val="bottom"/>
            <w:tcBorders>
              <w:bottom w:val="single" w:sz="8" w:color="0C479D"/>
            </w:tcBorders>
            <w:shd w:val="clear" w:color="auto" w:fill="F0F0F0"/>
          </w:tcPr>
          <w:p>
            <w:pPr>
              <w:spacing w:after="0"/>
              <w:rPr>
                <w:sz w:val="21"/>
                <w:szCs w:val="21"/>
                <w:color w:val="auto"/>
              </w:rPr>
            </w:pPr>
          </w:p>
        </w:tc>
        <w:tc>
          <w:tcPr>
            <w:tcW w:w="104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57,378</w:t>
            </w:r>
          </w:p>
        </w:tc>
        <w:tc>
          <w:tcPr>
            <w:tcW w:w="1200" w:type="dxa"/>
            <w:vAlign w:val="bottom"/>
            <w:tcBorders>
              <w:bottom w:val="single" w:sz="8" w:color="0C479D"/>
            </w:tcBorders>
            <w:gridSpan w:val="2"/>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203,279</w:t>
            </w:r>
          </w:p>
        </w:tc>
        <w:tc>
          <w:tcPr>
            <w:tcW w:w="10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59,699</w:t>
            </w:r>
          </w:p>
        </w:tc>
        <w:tc>
          <w:tcPr>
            <w:tcW w:w="1200" w:type="dxa"/>
            <w:vAlign w:val="bottom"/>
            <w:tcBorders>
              <w:bottom w:val="single" w:sz="8" w:color="0C479D"/>
            </w:tcBorders>
            <w:gridSpan w:val="2"/>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230,643</w:t>
            </w:r>
          </w:p>
        </w:tc>
        <w:tc>
          <w:tcPr>
            <w:tcW w:w="1040" w:type="dxa"/>
            <w:vAlign w:val="bottom"/>
            <w:tcBorders>
              <w:bottom w:val="single" w:sz="8" w:color="0C479D"/>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67,915</w:t>
            </w:r>
          </w:p>
        </w:tc>
        <w:tc>
          <w:tcPr>
            <w:tcW w:w="0" w:type="dxa"/>
            <w:vAlign w:val="bottom"/>
          </w:tcPr>
          <w:p>
            <w:pPr>
              <w:spacing w:after="0"/>
              <w:rPr>
                <w:sz w:val="1"/>
                <w:szCs w:val="1"/>
                <w:color w:val="auto"/>
              </w:rPr>
            </w:pPr>
          </w:p>
        </w:tc>
      </w:tr>
      <w:tr>
        <w:trPr>
          <w:trHeight w:val="344"/>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24"/>
                <w:szCs w:val="24"/>
                <w:color w:val="auto"/>
              </w:rPr>
            </w:pPr>
          </w:p>
        </w:tc>
        <w:tc>
          <w:tcPr>
            <w:tcW w:w="9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26,786</w:t>
            </w:r>
          </w:p>
        </w:tc>
        <w:tc>
          <w:tcPr>
            <w:tcW w:w="40" w:type="dxa"/>
            <w:vAlign w:val="bottom"/>
            <w:shd w:val="clear" w:color="auto" w:fill="F0F0F0"/>
          </w:tcPr>
          <w:p>
            <w:pPr>
              <w:spacing w:after="0"/>
              <w:rPr>
                <w:sz w:val="24"/>
                <w:szCs w:val="24"/>
                <w:color w:val="auto"/>
              </w:rPr>
            </w:pPr>
          </w:p>
        </w:tc>
        <w:tc>
          <w:tcPr>
            <w:tcW w:w="10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8,699</w:t>
            </w:r>
          </w:p>
        </w:tc>
        <w:tc>
          <w:tcPr>
            <w:tcW w:w="12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30,721</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9,652</w:t>
            </w:r>
          </w:p>
        </w:tc>
        <w:tc>
          <w:tcPr>
            <w:tcW w:w="12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53,640</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15,555</w:t>
            </w:r>
          </w:p>
        </w:tc>
        <w:tc>
          <w:tcPr>
            <w:tcW w:w="0" w:type="dxa"/>
            <w:vAlign w:val="bottom"/>
          </w:tcPr>
          <w:p>
            <w:pPr>
              <w:spacing w:after="0"/>
              <w:rPr>
                <w:sz w:val="1"/>
                <w:szCs w:val="1"/>
                <w:color w:val="auto"/>
              </w:rPr>
            </w:pPr>
          </w:p>
        </w:tc>
      </w:tr>
      <w:tr>
        <w:trPr>
          <w:trHeight w:val="270"/>
        </w:trPr>
        <w:tc>
          <w:tcPr>
            <w:tcW w:w="302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40" w:type="dxa"/>
            <w:vAlign w:val="bottom"/>
            <w:tcBorders>
              <w:bottom w:val="single" w:sz="8" w:color="0C479D"/>
            </w:tcBorders>
          </w:tcPr>
          <w:p>
            <w:pPr>
              <w:spacing w:after="0"/>
              <w:rPr>
                <w:sz w:val="23"/>
                <w:szCs w:val="23"/>
                <w:color w:val="auto"/>
              </w:rPr>
            </w:pPr>
          </w:p>
        </w:tc>
        <w:tc>
          <w:tcPr>
            <w:tcW w:w="98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55,218</w:t>
            </w:r>
          </w:p>
        </w:tc>
        <w:tc>
          <w:tcPr>
            <w:tcW w:w="40" w:type="dxa"/>
            <w:vAlign w:val="bottom"/>
            <w:tcBorders>
              <w:bottom w:val="single" w:sz="8" w:color="0C479D"/>
            </w:tcBorders>
            <w:shd w:val="clear" w:color="auto" w:fill="F0F0F0"/>
          </w:tcPr>
          <w:p>
            <w:pPr>
              <w:spacing w:after="0"/>
              <w:rPr>
                <w:sz w:val="23"/>
                <w:szCs w:val="23"/>
                <w:color w:val="auto"/>
              </w:rPr>
            </w:pPr>
          </w:p>
        </w:tc>
        <w:tc>
          <w:tcPr>
            <w:tcW w:w="104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16,484</w:t>
            </w:r>
          </w:p>
        </w:tc>
        <w:tc>
          <w:tcPr>
            <w:tcW w:w="1200" w:type="dxa"/>
            <w:vAlign w:val="bottom"/>
            <w:tcBorders>
              <w:bottom w:val="single" w:sz="8" w:color="0C479D"/>
            </w:tcBorders>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57,237</w:t>
            </w:r>
          </w:p>
        </w:tc>
        <w:tc>
          <w:tcPr>
            <w:tcW w:w="10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17,059</w:t>
            </w:r>
          </w:p>
        </w:tc>
        <w:tc>
          <w:tcPr>
            <w:tcW w:w="1200" w:type="dxa"/>
            <w:vAlign w:val="bottom"/>
            <w:tcBorders>
              <w:bottom w:val="single" w:sz="8" w:color="0C479D"/>
            </w:tcBorders>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62,009</w:t>
            </w:r>
          </w:p>
        </w:tc>
        <w:tc>
          <w:tcPr>
            <w:tcW w:w="1040" w:type="dxa"/>
            <w:vAlign w:val="bottom"/>
            <w:tcBorders>
              <w:bottom w:val="single" w:sz="8" w:color="0C479D"/>
            </w:tcBorders>
          </w:tcPr>
          <w:p>
            <w:pPr>
              <w:jc w:val="right"/>
              <w:ind w:right="13"/>
              <w:spacing w:after="0"/>
              <w:rPr>
                <w:sz w:val="20"/>
                <w:szCs w:val="20"/>
                <w:color w:val="auto"/>
              </w:rPr>
            </w:pPr>
            <w:r>
              <w:rPr>
                <w:rFonts w:ascii="Times New Roman" w:cs="Times New Roman" w:eastAsia="Times New Roman" w:hAnsi="Times New Roman"/>
                <w:sz w:val="18"/>
                <w:szCs w:val="18"/>
                <w:color w:val="auto"/>
              </w:rPr>
              <w:t>18,929</w:t>
            </w:r>
          </w:p>
        </w:tc>
        <w:tc>
          <w:tcPr>
            <w:tcW w:w="0" w:type="dxa"/>
            <w:vAlign w:val="bottom"/>
          </w:tcPr>
          <w:p>
            <w:pPr>
              <w:spacing w:after="0"/>
              <w:rPr>
                <w:sz w:val="1"/>
                <w:szCs w:val="1"/>
                <w:color w:val="auto"/>
              </w:rPr>
            </w:pPr>
          </w:p>
        </w:tc>
      </w:tr>
      <w:tr>
        <w:trPr>
          <w:trHeight w:val="250"/>
        </w:trPr>
        <w:tc>
          <w:tcPr>
            <w:tcW w:w="302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40" w:type="dxa"/>
            <w:vAlign w:val="bottom"/>
            <w:tcBorders>
              <w:bottom w:val="single" w:sz="8" w:color="0C479D"/>
            </w:tcBorders>
          </w:tcPr>
          <w:p>
            <w:pPr>
              <w:spacing w:after="0"/>
              <w:rPr>
                <w:sz w:val="21"/>
                <w:szCs w:val="21"/>
                <w:color w:val="auto"/>
              </w:rPr>
            </w:pPr>
          </w:p>
        </w:tc>
        <w:tc>
          <w:tcPr>
            <w:tcW w:w="98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114,446</w:t>
            </w:r>
          </w:p>
        </w:tc>
        <w:tc>
          <w:tcPr>
            <w:tcW w:w="40" w:type="dxa"/>
            <w:vAlign w:val="bottom"/>
            <w:tcBorders>
              <w:bottom w:val="single" w:sz="8" w:color="0C479D"/>
            </w:tcBorders>
            <w:shd w:val="clear" w:color="auto" w:fill="F0F0F0"/>
          </w:tcPr>
          <w:p>
            <w:pPr>
              <w:spacing w:after="0"/>
              <w:rPr>
                <w:sz w:val="21"/>
                <w:szCs w:val="21"/>
                <w:color w:val="auto"/>
              </w:rPr>
            </w:pPr>
          </w:p>
        </w:tc>
        <w:tc>
          <w:tcPr>
            <w:tcW w:w="104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32,195</w:t>
            </w:r>
          </w:p>
        </w:tc>
        <w:tc>
          <w:tcPr>
            <w:tcW w:w="1200" w:type="dxa"/>
            <w:vAlign w:val="bottom"/>
            <w:tcBorders>
              <w:bottom w:val="single" w:sz="8" w:color="0C479D"/>
            </w:tcBorders>
            <w:gridSpan w:val="2"/>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115,321</w:t>
            </w:r>
          </w:p>
        </w:tc>
        <w:tc>
          <w:tcPr>
            <w:tcW w:w="10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32,988</w:t>
            </w:r>
          </w:p>
        </w:tc>
        <w:tc>
          <w:tcPr>
            <w:tcW w:w="1200" w:type="dxa"/>
            <w:vAlign w:val="bottom"/>
            <w:tcBorders>
              <w:bottom w:val="single" w:sz="8" w:color="0C479D"/>
            </w:tcBorders>
            <w:gridSpan w:val="2"/>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114,994</w:t>
            </w:r>
          </w:p>
        </w:tc>
        <w:tc>
          <w:tcPr>
            <w:tcW w:w="1040" w:type="dxa"/>
            <w:vAlign w:val="bottom"/>
            <w:tcBorders>
              <w:bottom w:val="single" w:sz="8" w:color="0C479D"/>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33,431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22"/>
          <w:szCs w:val="22"/>
          <w:b w:val="1"/>
          <w:bCs w:val="1"/>
          <w:color w:val="0C479D"/>
        </w:rPr>
        <w:t>NOTES TO CONSOLIDATED FINANCIAL STATEMENTS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list of significant equity companies as of December 31, 2024, together with the Corporation’s percentage ownership interest, is detailed below:</w:t>
      </w:r>
    </w:p>
    <w:p>
      <w:pPr>
        <w:spacing w:after="0" w:line="129" w:lineRule="exact"/>
        <w:rPr>
          <w:sz w:val="20"/>
          <w:szCs w:val="20"/>
          <w:color w:val="auto"/>
        </w:rPr>
      </w:pPr>
    </w:p>
    <w:tbl>
      <w:tblPr>
        <w:tblLayout w:type="fixed"/>
        <w:tblInd w:w="2020" w:type="dxa"/>
        <w:tblCellMar>
          <w:top w:w="0" w:type="dxa"/>
          <w:left w:w="0" w:type="dxa"/>
          <w:bottom w:w="0" w:type="dxa"/>
          <w:right w:w="0" w:type="dxa"/>
        </w:tblCellMar>
      </w:tblPr>
      <w:tr>
        <w:trPr>
          <w:trHeight w:val="207"/>
        </w:trPr>
        <w:tc>
          <w:tcPr>
            <w:tcW w:w="5500" w:type="dxa"/>
            <w:vAlign w:val="bottom"/>
            <w:shd w:val="clear" w:color="auto" w:fill="0C479D"/>
          </w:tcPr>
          <w:p>
            <w:pPr>
              <w:spacing w:after="0"/>
              <w:rPr>
                <w:sz w:val="17"/>
                <w:szCs w:val="17"/>
                <w:color w:val="auto"/>
              </w:rPr>
            </w:pPr>
          </w:p>
        </w:tc>
        <w:tc>
          <w:tcPr>
            <w:tcW w:w="1720" w:type="dxa"/>
            <w:vAlign w:val="bottom"/>
            <w:shd w:val="clear" w:color="auto" w:fill="0C479D"/>
          </w:tcPr>
          <w:p>
            <w:pPr>
              <w:jc w:val="center"/>
              <w:ind w:left="190"/>
              <w:spacing w:after="0"/>
              <w:rPr>
                <w:sz w:val="20"/>
                <w:szCs w:val="20"/>
                <w:color w:val="auto"/>
              </w:rPr>
            </w:pPr>
            <w:r>
              <w:rPr>
                <w:rFonts w:ascii="Times New Roman" w:cs="Times New Roman" w:eastAsia="Times New Roman" w:hAnsi="Times New Roman"/>
                <w:sz w:val="18"/>
                <w:szCs w:val="18"/>
                <w:b w:val="1"/>
                <w:bCs w:val="1"/>
                <w:color w:val="FFFFFF"/>
                <w:w w:val="98"/>
              </w:rPr>
              <w:t>Percentage</w:t>
            </w:r>
          </w:p>
        </w:tc>
      </w:tr>
      <w:tr>
        <w:trPr>
          <w:trHeight w:val="180"/>
        </w:trPr>
        <w:tc>
          <w:tcPr>
            <w:tcW w:w="5500" w:type="dxa"/>
            <w:vAlign w:val="bottom"/>
            <w:shd w:val="clear" w:color="auto" w:fill="0C479D"/>
          </w:tcPr>
          <w:p>
            <w:pPr>
              <w:spacing w:after="0"/>
              <w:rPr>
                <w:sz w:val="15"/>
                <w:szCs w:val="15"/>
                <w:color w:val="auto"/>
              </w:rPr>
            </w:pPr>
          </w:p>
        </w:tc>
        <w:tc>
          <w:tcPr>
            <w:tcW w:w="1720" w:type="dxa"/>
            <w:vAlign w:val="bottom"/>
            <w:shd w:val="clear" w:color="auto" w:fill="0C479D"/>
          </w:tcPr>
          <w:p>
            <w:pPr>
              <w:jc w:val="center"/>
              <w:ind w:left="210"/>
              <w:spacing w:after="0" w:line="180" w:lineRule="exact"/>
              <w:rPr>
                <w:sz w:val="20"/>
                <w:szCs w:val="20"/>
                <w:color w:val="auto"/>
              </w:rPr>
            </w:pPr>
            <w:r>
              <w:rPr>
                <w:rFonts w:ascii="Times New Roman" w:cs="Times New Roman" w:eastAsia="Times New Roman" w:hAnsi="Times New Roman"/>
                <w:sz w:val="18"/>
                <w:szCs w:val="18"/>
                <w:b w:val="1"/>
                <w:bCs w:val="1"/>
                <w:color w:val="FFFFFF"/>
              </w:rPr>
              <w:t>Ownership</w:t>
            </w:r>
          </w:p>
        </w:tc>
      </w:tr>
      <w:tr>
        <w:trPr>
          <w:trHeight w:val="238"/>
        </w:trPr>
        <w:tc>
          <w:tcPr>
            <w:tcW w:w="5500" w:type="dxa"/>
            <w:vAlign w:val="bottom"/>
            <w:shd w:val="clear" w:color="auto" w:fill="0C479D"/>
          </w:tcPr>
          <w:p>
            <w:pPr>
              <w:spacing w:after="0"/>
              <w:rPr>
                <w:sz w:val="20"/>
                <w:szCs w:val="20"/>
                <w:color w:val="auto"/>
              </w:rPr>
            </w:pPr>
          </w:p>
        </w:tc>
        <w:tc>
          <w:tcPr>
            <w:tcW w:w="1720" w:type="dxa"/>
            <w:vAlign w:val="bottom"/>
            <w:shd w:val="clear" w:color="auto" w:fill="0C479D"/>
          </w:tcPr>
          <w:p>
            <w:pPr>
              <w:jc w:val="center"/>
              <w:ind w:left="190"/>
              <w:spacing w:after="0"/>
              <w:rPr>
                <w:sz w:val="20"/>
                <w:szCs w:val="20"/>
                <w:color w:val="auto"/>
              </w:rPr>
            </w:pPr>
            <w:r>
              <w:rPr>
                <w:rFonts w:ascii="Times New Roman" w:cs="Times New Roman" w:eastAsia="Times New Roman" w:hAnsi="Times New Roman"/>
                <w:sz w:val="18"/>
                <w:szCs w:val="18"/>
                <w:b w:val="1"/>
                <w:bCs w:val="1"/>
                <w:color w:val="FFFFFF"/>
                <w:w w:val="99"/>
              </w:rPr>
              <w:t>Interest</w:t>
            </w:r>
          </w:p>
        </w:tc>
      </w:tr>
      <w:tr>
        <w:trPr>
          <w:trHeight w:val="364"/>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C479D"/>
              </w:rPr>
              <w:t>Upstream</w:t>
            </w:r>
          </w:p>
        </w:tc>
        <w:tc>
          <w:tcPr>
            <w:tcW w:w="1720" w:type="dxa"/>
            <w:vAlign w:val="bottom"/>
          </w:tcPr>
          <w:p>
            <w:pPr>
              <w:spacing w:after="0"/>
              <w:rPr>
                <w:sz w:val="24"/>
                <w:szCs w:val="24"/>
                <w:color w:val="auto"/>
              </w:rPr>
            </w:pPr>
          </w:p>
        </w:tc>
      </w:tr>
      <w:tr>
        <w:trPr>
          <w:trHeight w:val="27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Barzan Gas Company Limited</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BEB Erdgas und Erdoel GmbH &amp; Co. KG</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50</w:t>
            </w:r>
          </w:p>
        </w:tc>
      </w:tr>
      <w:tr>
        <w:trPr>
          <w:trHeight w:val="27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Caspian Pipeline Consortium</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8</w:t>
            </w:r>
          </w:p>
        </w:tc>
      </w:tr>
      <w:tr>
        <w:trPr>
          <w:trHeight w:val="27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Coral FLNG S.A.</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25</w:t>
            </w:r>
          </w:p>
        </w:tc>
      </w:tr>
      <w:tr>
        <w:trPr>
          <w:trHeight w:val="27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Cross Timbers Energy LLC</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50</w:t>
            </w:r>
          </w:p>
        </w:tc>
      </w:tr>
      <w:tr>
        <w:trPr>
          <w:trHeight w:val="27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GasTerra B.V.</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25</w:t>
            </w:r>
          </w:p>
        </w:tc>
      </w:tr>
      <w:tr>
        <w:trPr>
          <w:trHeight w:val="27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Golden Pass LNG Terminal LLC</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30</w:t>
            </w:r>
          </w:p>
        </w:tc>
      </w:tr>
      <w:tr>
        <w:trPr>
          <w:trHeight w:val="27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Golden Pass Pipeline LLC</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30</w:t>
            </w:r>
          </w:p>
        </w:tc>
      </w:tr>
      <w:tr>
        <w:trPr>
          <w:trHeight w:val="27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Marine Well Containment Company LLC</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11</w:t>
            </w:r>
          </w:p>
        </w:tc>
      </w:tr>
      <w:tr>
        <w:trPr>
          <w:trHeight w:val="27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Mozambique Rovuma Venture S.p.A.</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36</w:t>
            </w:r>
          </w:p>
        </w:tc>
      </w:tr>
      <w:tr>
        <w:trPr>
          <w:trHeight w:val="27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Nederlandse Aardolie Maatschappij B.V.</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50</w:t>
            </w:r>
          </w:p>
        </w:tc>
      </w:tr>
      <w:tr>
        <w:trPr>
          <w:trHeight w:val="27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Papua New Guinea Liquefied Natural Gas Global Company LDC</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33</w:t>
            </w:r>
          </w:p>
        </w:tc>
      </w:tr>
      <w:tr>
        <w:trPr>
          <w:trHeight w:val="27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Permian Highway Pipeline LLC</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17</w:t>
            </w:r>
          </w:p>
        </w:tc>
      </w:tr>
      <w:tr>
        <w:trPr>
          <w:trHeight w:val="27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QatarEnergy LNG N (2)</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24</w:t>
            </w:r>
          </w:p>
        </w:tc>
      </w:tr>
      <w:tr>
        <w:trPr>
          <w:trHeight w:val="27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QatarEnergy LNG NFE (3)</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25</w:t>
            </w:r>
          </w:p>
        </w:tc>
      </w:tr>
      <w:tr>
        <w:trPr>
          <w:trHeight w:val="27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QatarEnergy LNG S (1)</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25</w:t>
            </w:r>
          </w:p>
        </w:tc>
      </w:tr>
      <w:tr>
        <w:trPr>
          <w:trHeight w:val="27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QatarEnergy LNG S (2)</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31</w:t>
            </w:r>
          </w:p>
        </w:tc>
      </w:tr>
      <w:tr>
        <w:trPr>
          <w:trHeight w:val="27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QatarEnergy LNG S (3)</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30</w:t>
            </w:r>
          </w:p>
        </w:tc>
      </w:tr>
      <w:tr>
        <w:trPr>
          <w:trHeight w:val="27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 Hook LNG Terminal Company Limited</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24</w:t>
            </w:r>
          </w:p>
        </w:tc>
      </w:tr>
      <w:tr>
        <w:trPr>
          <w:trHeight w:val="27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Tengizchevroil LLP</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25</w:t>
            </w:r>
          </w:p>
        </w:tc>
      </w:tr>
      <w:tr>
        <w:trPr>
          <w:trHeight w:val="54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C479D"/>
              </w:rPr>
              <w:t>Energy Products, Chemical Products, and/or Specialty Products</w:t>
            </w:r>
          </w:p>
        </w:tc>
        <w:tc>
          <w:tcPr>
            <w:tcW w:w="1720" w:type="dxa"/>
            <w:vAlign w:val="bottom"/>
          </w:tcPr>
          <w:p>
            <w:pPr>
              <w:spacing w:after="0"/>
              <w:rPr>
                <w:sz w:val="24"/>
                <w:szCs w:val="24"/>
                <w:color w:val="auto"/>
              </w:rPr>
            </w:pPr>
          </w:p>
        </w:tc>
      </w:tr>
      <w:tr>
        <w:trPr>
          <w:trHeight w:val="27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Al-Jubail Petrochemical Company</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50</w:t>
            </w:r>
          </w:p>
        </w:tc>
      </w:tr>
      <w:tr>
        <w:trPr>
          <w:trHeight w:val="27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Alberta Products Pipe Line Ltd.</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45</w:t>
            </w:r>
          </w:p>
        </w:tc>
      </w:tr>
      <w:tr>
        <w:trPr>
          <w:trHeight w:val="27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Fujian Refining &amp; Petrochemical Co. Ltd.</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25</w:t>
            </w:r>
          </w:p>
        </w:tc>
      </w:tr>
      <w:tr>
        <w:trPr>
          <w:trHeight w:val="27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Gulf Coast Growth Ventures LLC</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50</w:t>
            </w:r>
          </w:p>
        </w:tc>
      </w:tr>
      <w:tr>
        <w:trPr>
          <w:trHeight w:val="27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Infineum USA L.P.</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50</w:t>
            </w:r>
          </w:p>
        </w:tc>
      </w:tr>
      <w:tr>
        <w:trPr>
          <w:trHeight w:val="27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Permian Express Partners LLC</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12</w:t>
            </w:r>
          </w:p>
        </w:tc>
      </w:tr>
      <w:tr>
        <w:trPr>
          <w:trHeight w:val="27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Saudi Aramco Mobil Refinery Company Ltd.</w:t>
            </w:r>
          </w:p>
        </w:tc>
        <w:tc>
          <w:tcPr>
            <w:tcW w:w="1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50</w:t>
            </w:r>
          </w:p>
        </w:tc>
      </w:tr>
      <w:tr>
        <w:trPr>
          <w:trHeight w:val="263"/>
        </w:trPr>
        <w:tc>
          <w:tcPr>
            <w:tcW w:w="550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Saudi Yanbu Petrochemical Co.</w:t>
            </w:r>
          </w:p>
        </w:tc>
        <w:tc>
          <w:tcPr>
            <w:tcW w:w="1720" w:type="dxa"/>
            <w:vAlign w:val="bottom"/>
            <w:tcBorders>
              <w:bottom w:val="single" w:sz="8" w:color="0C479D"/>
            </w:tcBorders>
          </w:tcPr>
          <w:p>
            <w:pPr>
              <w:jc w:val="center"/>
              <w:ind w:left="210"/>
              <w:spacing w:after="0"/>
              <w:rPr>
                <w:sz w:val="20"/>
                <w:szCs w:val="20"/>
                <w:color w:val="auto"/>
              </w:rPr>
            </w:pPr>
            <w:r>
              <w:rPr>
                <w:rFonts w:ascii="Times New Roman" w:cs="Times New Roman" w:eastAsia="Times New Roman" w:hAnsi="Times New Roman"/>
                <w:sz w:val="18"/>
                <w:szCs w:val="18"/>
                <w:color w:val="auto"/>
                <w:w w:val="99"/>
              </w:rPr>
              <w:t>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20" w:top="216" w:right="11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22"/>
          <w:szCs w:val="22"/>
          <w:b w:val="1"/>
          <w:bCs w:val="1"/>
          <w:color w:val="0C479D"/>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C479D"/>
        </w:rPr>
        <w:t>Note 8. Investments, Advances and Long-Term Receivables</w:t>
      </w:r>
    </w:p>
    <w:p>
      <w:pPr>
        <w:spacing w:after="0" w:line="143" w:lineRule="exact"/>
        <w:rPr>
          <w:sz w:val="20"/>
          <w:szCs w:val="20"/>
          <w:color w:val="auto"/>
        </w:rPr>
      </w:pPr>
    </w:p>
    <w:tbl>
      <w:tblPr>
        <w:tblLayout w:type="fixed"/>
        <w:tblInd w:w="800" w:type="dxa"/>
        <w:tblCellMar>
          <w:top w:w="0" w:type="dxa"/>
          <w:left w:w="0" w:type="dxa"/>
          <w:bottom w:w="0" w:type="dxa"/>
          <w:right w:w="0" w:type="dxa"/>
        </w:tblCellMar>
      </w:tblPr>
      <w:tr>
        <w:trPr>
          <w:trHeight w:val="260"/>
        </w:trPr>
        <w:tc>
          <w:tcPr>
            <w:tcW w:w="7080" w:type="dxa"/>
            <w:vAlign w:val="bottom"/>
            <w:shd w:val="clear" w:color="auto" w:fill="0C479D"/>
          </w:tcPr>
          <w:p>
            <w:pPr>
              <w:ind w:left="20"/>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1220" w:type="dxa"/>
            <w:vAlign w:val="bottom"/>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December 31, 2024</w:t>
            </w:r>
          </w:p>
        </w:tc>
        <w:tc>
          <w:tcPr>
            <w:tcW w:w="1360" w:type="dxa"/>
            <w:vAlign w:val="bottom"/>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December 31, 2023</w:t>
            </w:r>
          </w:p>
        </w:tc>
      </w:tr>
      <w:tr>
        <w:trPr>
          <w:trHeight w:val="104"/>
        </w:trPr>
        <w:tc>
          <w:tcPr>
            <w:tcW w:w="7080" w:type="dxa"/>
            <w:vAlign w:val="bottom"/>
            <w:shd w:val="clear" w:color="auto" w:fill="0C479D"/>
          </w:tcPr>
          <w:p>
            <w:pPr>
              <w:spacing w:after="0"/>
              <w:rPr>
                <w:sz w:val="9"/>
                <w:szCs w:val="9"/>
                <w:color w:val="auto"/>
              </w:rPr>
            </w:pPr>
          </w:p>
        </w:tc>
        <w:tc>
          <w:tcPr>
            <w:tcW w:w="1220" w:type="dxa"/>
            <w:vAlign w:val="bottom"/>
            <w:shd w:val="clear" w:color="auto" w:fill="0C479D"/>
          </w:tcPr>
          <w:p>
            <w:pPr>
              <w:spacing w:after="0"/>
              <w:rPr>
                <w:sz w:val="9"/>
                <w:szCs w:val="9"/>
                <w:color w:val="auto"/>
              </w:rPr>
            </w:pPr>
          </w:p>
        </w:tc>
        <w:tc>
          <w:tcPr>
            <w:tcW w:w="1360" w:type="dxa"/>
            <w:vAlign w:val="bottom"/>
            <w:shd w:val="clear" w:color="auto" w:fill="0C479D"/>
          </w:tcPr>
          <w:p>
            <w:pPr>
              <w:spacing w:after="0"/>
              <w:rPr>
                <w:sz w:val="9"/>
                <w:szCs w:val="9"/>
                <w:color w:val="auto"/>
              </w:rPr>
            </w:pPr>
          </w:p>
        </w:tc>
      </w:tr>
      <w:tr>
        <w:trPr>
          <w:trHeight w:val="338"/>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C479D"/>
              </w:rPr>
              <w:t>Equity method company investments and advances</w:t>
            </w:r>
          </w:p>
        </w:tc>
        <w:tc>
          <w:tcPr>
            <w:tcW w:w="1220" w:type="dxa"/>
            <w:vAlign w:val="bottom"/>
            <w:shd w:val="clear" w:color="auto" w:fill="F0F0F0"/>
          </w:tcPr>
          <w:p>
            <w:pPr>
              <w:spacing w:after="0"/>
              <w:rPr>
                <w:sz w:val="24"/>
                <w:szCs w:val="24"/>
                <w:color w:val="auto"/>
              </w:rPr>
            </w:pPr>
          </w:p>
        </w:tc>
        <w:tc>
          <w:tcPr>
            <w:tcW w:w="1360" w:type="dxa"/>
            <w:vAlign w:val="bottom"/>
          </w:tcPr>
          <w:p>
            <w:pPr>
              <w:spacing w:after="0"/>
              <w:rPr>
                <w:sz w:val="24"/>
                <w:szCs w:val="24"/>
                <w:color w:val="auto"/>
              </w:rPr>
            </w:pPr>
          </w:p>
        </w:tc>
      </w:tr>
      <w:tr>
        <w:trPr>
          <w:trHeight w:val="297"/>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12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34,010</w:t>
            </w: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34,080</w:t>
            </w:r>
          </w:p>
        </w:tc>
      </w:tr>
      <w:tr>
        <w:trPr>
          <w:trHeight w:val="270"/>
        </w:trPr>
        <w:tc>
          <w:tcPr>
            <w:tcW w:w="708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Advances, net of allowances of $40 million and $33 million</w:t>
            </w:r>
          </w:p>
        </w:tc>
        <w:tc>
          <w:tcPr>
            <w:tcW w:w="122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7,084</w:t>
            </w:r>
          </w:p>
        </w:tc>
        <w:tc>
          <w:tcPr>
            <w:tcW w:w="1360" w:type="dxa"/>
            <w:vAlign w:val="bottom"/>
            <w:tcBorders>
              <w:bottom w:val="single" w:sz="8" w:color="0C479D"/>
            </w:tcBorders>
          </w:tcPr>
          <w:p>
            <w:pPr>
              <w:jc w:val="right"/>
              <w:ind w:right="13"/>
              <w:spacing w:after="0"/>
              <w:rPr>
                <w:sz w:val="20"/>
                <w:szCs w:val="20"/>
                <w:color w:val="auto"/>
              </w:rPr>
            </w:pPr>
            <w:r>
              <w:rPr>
                <w:rFonts w:ascii="Times New Roman" w:cs="Times New Roman" w:eastAsia="Times New Roman" w:hAnsi="Times New Roman"/>
                <w:sz w:val="18"/>
                <w:szCs w:val="18"/>
                <w:color w:val="auto"/>
              </w:rPr>
              <w:t>7,527</w:t>
            </w:r>
          </w:p>
        </w:tc>
      </w:tr>
      <w:tr>
        <w:trPr>
          <w:trHeight w:val="250"/>
        </w:trPr>
        <w:tc>
          <w:tcPr>
            <w:tcW w:w="708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 method company investments and advances</w:t>
            </w:r>
          </w:p>
        </w:tc>
        <w:tc>
          <w:tcPr>
            <w:tcW w:w="122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41,094</w:t>
            </w:r>
          </w:p>
        </w:tc>
        <w:tc>
          <w:tcPr>
            <w:tcW w:w="1360" w:type="dxa"/>
            <w:vAlign w:val="bottom"/>
            <w:tcBorders>
              <w:bottom w:val="single" w:sz="8" w:color="0C479D"/>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41,607</w:t>
            </w:r>
          </w:p>
        </w:tc>
      </w:tr>
      <w:tr>
        <w:trPr>
          <w:trHeight w:val="25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securities carried at fair value and other investments at adjusted cost basis</w:t>
            </w:r>
          </w:p>
        </w:tc>
        <w:tc>
          <w:tcPr>
            <w:tcW w:w="12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3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177</w:t>
            </w:r>
          </w:p>
        </w:tc>
      </w:tr>
      <w:tr>
        <w:trPr>
          <w:trHeight w:val="270"/>
        </w:trPr>
        <w:tc>
          <w:tcPr>
            <w:tcW w:w="708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Long-term receivables and miscellaneous, net of reserves of $2,433 million and $1,966 million</w:t>
            </w:r>
          </w:p>
        </w:tc>
        <w:tc>
          <w:tcPr>
            <w:tcW w:w="122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5,763</w:t>
            </w:r>
          </w:p>
        </w:tc>
        <w:tc>
          <w:tcPr>
            <w:tcW w:w="1360" w:type="dxa"/>
            <w:vAlign w:val="bottom"/>
            <w:tcBorders>
              <w:bottom w:val="single" w:sz="8" w:color="0C479D"/>
            </w:tcBorders>
          </w:tcPr>
          <w:p>
            <w:pPr>
              <w:jc w:val="right"/>
              <w:ind w:right="13"/>
              <w:spacing w:after="0"/>
              <w:rPr>
                <w:sz w:val="20"/>
                <w:szCs w:val="20"/>
                <w:color w:val="auto"/>
              </w:rPr>
            </w:pPr>
            <w:r>
              <w:rPr>
                <w:rFonts w:ascii="Times New Roman" w:cs="Times New Roman" w:eastAsia="Times New Roman" w:hAnsi="Times New Roman"/>
                <w:sz w:val="18"/>
                <w:szCs w:val="18"/>
                <w:color w:val="auto"/>
              </w:rPr>
              <w:t>5,846</w:t>
            </w:r>
          </w:p>
        </w:tc>
      </w:tr>
      <w:tr>
        <w:trPr>
          <w:trHeight w:val="243"/>
        </w:trPr>
        <w:tc>
          <w:tcPr>
            <w:tcW w:w="708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2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47,200</w:t>
            </w:r>
          </w:p>
        </w:tc>
        <w:tc>
          <w:tcPr>
            <w:tcW w:w="1360" w:type="dxa"/>
            <w:vAlign w:val="bottom"/>
            <w:tcBorders>
              <w:bottom w:val="single" w:sz="8" w:color="0C479D"/>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47,630</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C479D"/>
        </w:rPr>
        <w:t>Note 9. Property, Plant and Equipment and Asset Retirement Obligations</w:t>
      </w:r>
    </w:p>
    <w:p>
      <w:pPr>
        <w:spacing w:after="0" w:line="291" w:lineRule="exact"/>
        <w:rPr>
          <w:sz w:val="20"/>
          <w:szCs w:val="20"/>
          <w:color w:val="auto"/>
        </w:rPr>
      </w:pPr>
    </w:p>
    <w:tbl>
      <w:tblPr>
        <w:tblLayout w:type="fixed"/>
        <w:tblInd w:w="760" w:type="dxa"/>
        <w:tblCellMar>
          <w:top w:w="0" w:type="dxa"/>
          <w:left w:w="0" w:type="dxa"/>
          <w:bottom w:w="0" w:type="dxa"/>
          <w:right w:w="0" w:type="dxa"/>
        </w:tblCellMar>
      </w:tblPr>
      <w:tr>
        <w:trPr>
          <w:trHeight w:val="210"/>
        </w:trPr>
        <w:tc>
          <w:tcPr>
            <w:tcW w:w="4760" w:type="dxa"/>
            <w:vAlign w:val="bottom"/>
            <w:vMerge w:val="restart"/>
            <w:shd w:val="clear" w:color="auto" w:fill="0C479D"/>
          </w:tcPr>
          <w:p>
            <w:pPr>
              <w:ind w:left="20"/>
              <w:spacing w:after="0"/>
              <w:rPr>
                <w:sz w:val="20"/>
                <w:szCs w:val="20"/>
                <w:color w:val="auto"/>
              </w:rPr>
            </w:pPr>
            <w:r>
              <w:rPr>
                <w:rFonts w:ascii="Times New Roman" w:cs="Times New Roman" w:eastAsia="Times New Roman" w:hAnsi="Times New Roman"/>
                <w:sz w:val="18"/>
                <w:szCs w:val="18"/>
                <w:b w:val="1"/>
                <w:bCs w:val="1"/>
                <w:color w:val="FFFFFF"/>
              </w:rPr>
              <w:t>Property, Plant and Equipment</w:t>
            </w:r>
          </w:p>
        </w:tc>
        <w:tc>
          <w:tcPr>
            <w:tcW w:w="2420" w:type="dxa"/>
            <w:vAlign w:val="bottom"/>
            <w:gridSpan w:val="2"/>
            <w:shd w:val="clear" w:color="auto" w:fill="0C479D"/>
          </w:tcPr>
          <w:p>
            <w:pPr>
              <w:jc w:val="right"/>
              <w:ind w:right="553"/>
              <w:spacing w:after="0"/>
              <w:rPr>
                <w:sz w:val="20"/>
                <w:szCs w:val="20"/>
                <w:color w:val="auto"/>
              </w:rPr>
            </w:pPr>
            <w:r>
              <w:rPr>
                <w:rFonts w:ascii="Times New Roman" w:cs="Times New Roman" w:eastAsia="Times New Roman" w:hAnsi="Times New Roman"/>
                <w:sz w:val="14"/>
                <w:szCs w:val="14"/>
                <w:b w:val="1"/>
                <w:bCs w:val="1"/>
                <w:color w:val="FFFFFF"/>
              </w:rPr>
              <w:t>December 31, 2024</w:t>
            </w:r>
          </w:p>
        </w:tc>
        <w:tc>
          <w:tcPr>
            <w:tcW w:w="2560" w:type="dxa"/>
            <w:vAlign w:val="bottom"/>
            <w:gridSpan w:val="2"/>
            <w:shd w:val="clear" w:color="auto" w:fill="0C479D"/>
          </w:tcPr>
          <w:p>
            <w:pPr>
              <w:jc w:val="right"/>
              <w:ind w:right="553"/>
              <w:spacing w:after="0"/>
              <w:rPr>
                <w:sz w:val="20"/>
                <w:szCs w:val="20"/>
                <w:color w:val="auto"/>
              </w:rPr>
            </w:pPr>
            <w:r>
              <w:rPr>
                <w:rFonts w:ascii="Times New Roman" w:cs="Times New Roman" w:eastAsia="Times New Roman" w:hAnsi="Times New Roman"/>
                <w:sz w:val="14"/>
                <w:szCs w:val="14"/>
                <w:b w:val="1"/>
                <w:bCs w:val="1"/>
                <w:color w:val="FFFFFF"/>
              </w:rPr>
              <w:t>December 31, 2023</w:t>
            </w:r>
          </w:p>
        </w:tc>
        <w:tc>
          <w:tcPr>
            <w:tcW w:w="0" w:type="dxa"/>
            <w:vAlign w:val="bottom"/>
          </w:tcPr>
          <w:p>
            <w:pPr>
              <w:spacing w:after="0"/>
              <w:rPr>
                <w:sz w:val="1"/>
                <w:szCs w:val="1"/>
                <w:color w:val="auto"/>
              </w:rPr>
            </w:pPr>
          </w:p>
        </w:tc>
      </w:tr>
      <w:tr>
        <w:trPr>
          <w:trHeight w:val="46"/>
        </w:trPr>
        <w:tc>
          <w:tcPr>
            <w:tcW w:w="4760" w:type="dxa"/>
            <w:vAlign w:val="bottom"/>
            <w:vMerge w:val="continue"/>
            <w:shd w:val="clear" w:color="auto" w:fill="0C479D"/>
          </w:tcPr>
          <w:p>
            <w:pPr>
              <w:spacing w:after="0"/>
              <w:rPr>
                <w:sz w:val="4"/>
                <w:szCs w:val="4"/>
                <w:color w:val="auto"/>
              </w:rPr>
            </w:pPr>
          </w:p>
        </w:tc>
        <w:tc>
          <w:tcPr>
            <w:tcW w:w="1180" w:type="dxa"/>
            <w:vAlign w:val="bottom"/>
            <w:shd w:val="clear" w:color="auto" w:fill="0C479D"/>
          </w:tcPr>
          <w:p>
            <w:pPr>
              <w:spacing w:after="0"/>
              <w:rPr>
                <w:sz w:val="4"/>
                <w:szCs w:val="4"/>
                <w:color w:val="auto"/>
              </w:rPr>
            </w:pPr>
          </w:p>
        </w:tc>
        <w:tc>
          <w:tcPr>
            <w:tcW w:w="1240" w:type="dxa"/>
            <w:vAlign w:val="bottom"/>
            <w:shd w:val="clear" w:color="auto" w:fill="0C479D"/>
          </w:tcPr>
          <w:p>
            <w:pPr>
              <w:spacing w:after="0"/>
              <w:rPr>
                <w:sz w:val="4"/>
                <w:szCs w:val="4"/>
                <w:color w:val="auto"/>
              </w:rPr>
            </w:pPr>
          </w:p>
        </w:tc>
        <w:tc>
          <w:tcPr>
            <w:tcW w:w="1540" w:type="dxa"/>
            <w:vAlign w:val="bottom"/>
            <w:shd w:val="clear" w:color="auto" w:fill="0C479D"/>
          </w:tcPr>
          <w:p>
            <w:pPr>
              <w:spacing w:after="0"/>
              <w:rPr>
                <w:sz w:val="4"/>
                <w:szCs w:val="4"/>
                <w:color w:val="auto"/>
              </w:rPr>
            </w:pPr>
          </w:p>
        </w:tc>
        <w:tc>
          <w:tcPr>
            <w:tcW w:w="1020" w:type="dxa"/>
            <w:vAlign w:val="bottom"/>
            <w:shd w:val="clear" w:color="auto" w:fill="0C479D"/>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4760" w:type="dxa"/>
            <w:vAlign w:val="bottom"/>
            <w:shd w:val="clear" w:color="auto" w:fill="0C479D"/>
          </w:tcPr>
          <w:p>
            <w:pPr>
              <w:ind w:left="20"/>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1180" w:type="dxa"/>
            <w:vAlign w:val="bottom"/>
            <w:shd w:val="clear" w:color="auto" w:fill="0C479D"/>
          </w:tcPr>
          <w:p>
            <w:pPr>
              <w:jc w:val="right"/>
              <w:ind w:right="355"/>
              <w:spacing w:after="0"/>
              <w:rPr>
                <w:sz w:val="20"/>
                <w:szCs w:val="20"/>
                <w:color w:val="auto"/>
              </w:rPr>
            </w:pPr>
            <w:r>
              <w:rPr>
                <w:rFonts w:ascii="Times New Roman" w:cs="Times New Roman" w:eastAsia="Times New Roman" w:hAnsi="Times New Roman"/>
                <w:sz w:val="14"/>
                <w:szCs w:val="14"/>
                <w:b w:val="1"/>
                <w:bCs w:val="1"/>
                <w:color w:val="FFFFFF"/>
              </w:rPr>
              <w:t>Cost</w:t>
            </w:r>
          </w:p>
        </w:tc>
        <w:tc>
          <w:tcPr>
            <w:tcW w:w="1240" w:type="dxa"/>
            <w:vAlign w:val="bottom"/>
            <w:shd w:val="clear" w:color="auto" w:fill="0C479D"/>
          </w:tcPr>
          <w:p>
            <w:pPr>
              <w:jc w:val="right"/>
              <w:ind w:right="413"/>
              <w:spacing w:after="0"/>
              <w:rPr>
                <w:sz w:val="20"/>
                <w:szCs w:val="20"/>
                <w:color w:val="auto"/>
              </w:rPr>
            </w:pPr>
            <w:r>
              <w:rPr>
                <w:rFonts w:ascii="Times New Roman" w:cs="Times New Roman" w:eastAsia="Times New Roman" w:hAnsi="Times New Roman"/>
                <w:sz w:val="14"/>
                <w:szCs w:val="14"/>
                <w:b w:val="1"/>
                <w:bCs w:val="1"/>
                <w:color w:val="FFFFFF"/>
              </w:rPr>
              <w:t>Net</w:t>
            </w:r>
          </w:p>
        </w:tc>
        <w:tc>
          <w:tcPr>
            <w:tcW w:w="1540" w:type="dxa"/>
            <w:vAlign w:val="bottom"/>
            <w:shd w:val="clear" w:color="auto" w:fill="0C479D"/>
          </w:tcPr>
          <w:p>
            <w:pPr>
              <w:jc w:val="right"/>
              <w:ind w:right="595"/>
              <w:spacing w:after="0"/>
              <w:rPr>
                <w:sz w:val="20"/>
                <w:szCs w:val="20"/>
                <w:color w:val="auto"/>
              </w:rPr>
            </w:pPr>
            <w:r>
              <w:rPr>
                <w:rFonts w:ascii="Times New Roman" w:cs="Times New Roman" w:eastAsia="Times New Roman" w:hAnsi="Times New Roman"/>
                <w:sz w:val="14"/>
                <w:szCs w:val="14"/>
                <w:b w:val="1"/>
                <w:bCs w:val="1"/>
                <w:color w:val="FFFFFF"/>
              </w:rPr>
              <w:t>Cost</w:t>
            </w:r>
          </w:p>
        </w:tc>
        <w:tc>
          <w:tcPr>
            <w:tcW w:w="1020" w:type="dxa"/>
            <w:vAlign w:val="bottom"/>
            <w:shd w:val="clear" w:color="auto" w:fill="0C479D"/>
          </w:tcPr>
          <w:p>
            <w:pPr>
              <w:jc w:val="right"/>
              <w:ind w:right="413"/>
              <w:spacing w:after="0"/>
              <w:rPr>
                <w:sz w:val="20"/>
                <w:szCs w:val="20"/>
                <w:color w:val="auto"/>
              </w:rPr>
            </w:pPr>
            <w:r>
              <w:rPr>
                <w:rFonts w:ascii="Times New Roman" w:cs="Times New Roman" w:eastAsia="Times New Roman" w:hAnsi="Times New Roman"/>
                <w:sz w:val="14"/>
                <w:szCs w:val="14"/>
                <w:b w:val="1"/>
                <w:bCs w:val="1"/>
                <w:color w:val="FFFFFF"/>
              </w:rPr>
              <w:t>Net</w:t>
            </w:r>
          </w:p>
        </w:tc>
        <w:tc>
          <w:tcPr>
            <w:tcW w:w="0" w:type="dxa"/>
            <w:vAlign w:val="bottom"/>
          </w:tcPr>
          <w:p>
            <w:pPr>
              <w:spacing w:after="0"/>
              <w:rPr>
                <w:sz w:val="1"/>
                <w:szCs w:val="1"/>
                <w:color w:val="auto"/>
              </w:rPr>
            </w:pPr>
          </w:p>
        </w:tc>
      </w:tr>
      <w:tr>
        <w:trPr>
          <w:trHeight w:val="64"/>
        </w:trPr>
        <w:tc>
          <w:tcPr>
            <w:tcW w:w="4760" w:type="dxa"/>
            <w:vAlign w:val="bottom"/>
            <w:shd w:val="clear" w:color="auto" w:fill="0C479D"/>
          </w:tcPr>
          <w:p>
            <w:pPr>
              <w:spacing w:after="0"/>
              <w:rPr>
                <w:sz w:val="5"/>
                <w:szCs w:val="5"/>
                <w:color w:val="auto"/>
              </w:rPr>
            </w:pPr>
          </w:p>
        </w:tc>
        <w:tc>
          <w:tcPr>
            <w:tcW w:w="1180" w:type="dxa"/>
            <w:vAlign w:val="bottom"/>
            <w:shd w:val="clear" w:color="auto" w:fill="0C479D"/>
          </w:tcPr>
          <w:p>
            <w:pPr>
              <w:spacing w:after="0"/>
              <w:rPr>
                <w:sz w:val="5"/>
                <w:szCs w:val="5"/>
                <w:color w:val="auto"/>
              </w:rPr>
            </w:pPr>
          </w:p>
        </w:tc>
        <w:tc>
          <w:tcPr>
            <w:tcW w:w="1240" w:type="dxa"/>
            <w:vAlign w:val="bottom"/>
            <w:shd w:val="clear" w:color="auto" w:fill="0C479D"/>
          </w:tcPr>
          <w:p>
            <w:pPr>
              <w:spacing w:after="0"/>
              <w:rPr>
                <w:sz w:val="5"/>
                <w:szCs w:val="5"/>
                <w:color w:val="auto"/>
              </w:rPr>
            </w:pPr>
          </w:p>
        </w:tc>
        <w:tc>
          <w:tcPr>
            <w:tcW w:w="1540" w:type="dxa"/>
            <w:vAlign w:val="bottom"/>
            <w:shd w:val="clear" w:color="auto" w:fill="0C479D"/>
          </w:tcPr>
          <w:p>
            <w:pPr>
              <w:spacing w:after="0"/>
              <w:rPr>
                <w:sz w:val="5"/>
                <w:szCs w:val="5"/>
                <w:color w:val="auto"/>
              </w:rPr>
            </w:pPr>
          </w:p>
        </w:tc>
        <w:tc>
          <w:tcPr>
            <w:tcW w:w="1020" w:type="dxa"/>
            <w:vAlign w:val="bottom"/>
            <w:shd w:val="clear" w:color="auto" w:fill="0C479D"/>
          </w:tcPr>
          <w:p>
            <w:pPr>
              <w:spacing w:after="0"/>
              <w:rPr>
                <w:sz w:val="5"/>
                <w:szCs w:val="5"/>
                <w:color w:val="auto"/>
              </w:rPr>
            </w:pPr>
          </w:p>
        </w:tc>
        <w:tc>
          <w:tcPr>
            <w:tcW w:w="0" w:type="dxa"/>
            <w:vAlign w:val="bottom"/>
          </w:tcPr>
          <w:p>
            <w:pPr>
              <w:spacing w:after="0"/>
              <w:rPr>
                <w:sz w:val="1"/>
                <w:szCs w:val="1"/>
                <w:color w:val="auto"/>
              </w:rPr>
            </w:pPr>
          </w:p>
        </w:tc>
      </w:tr>
      <w:tr>
        <w:trPr>
          <w:trHeight w:val="50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Upstream</w:t>
            </w:r>
          </w:p>
        </w:tc>
        <w:tc>
          <w:tcPr>
            <w:tcW w:w="11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423,038</w:t>
            </w:r>
          </w:p>
        </w:tc>
        <w:tc>
          <w:tcPr>
            <w:tcW w:w="12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226,021</w:t>
            </w:r>
          </w:p>
        </w:tc>
        <w:tc>
          <w:tcPr>
            <w:tcW w:w="154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359,031</w:t>
            </w: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148,245</w:t>
            </w:r>
          </w:p>
        </w:tc>
        <w:tc>
          <w:tcPr>
            <w:tcW w:w="0" w:type="dxa"/>
            <w:vAlign w:val="bottom"/>
          </w:tcPr>
          <w:p>
            <w:pPr>
              <w:spacing w:after="0"/>
              <w:rPr>
                <w:sz w:val="1"/>
                <w:szCs w:val="1"/>
                <w:color w:val="auto"/>
              </w:rPr>
            </w:pPr>
          </w:p>
        </w:tc>
      </w:tr>
      <w:tr>
        <w:trPr>
          <w:trHeight w:val="27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Energy Products</w:t>
            </w:r>
          </w:p>
        </w:tc>
        <w:tc>
          <w:tcPr>
            <w:tcW w:w="11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58,259</w:t>
            </w:r>
          </w:p>
        </w:tc>
        <w:tc>
          <w:tcPr>
            <w:tcW w:w="12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28,349</w:t>
            </w:r>
          </w:p>
        </w:tc>
        <w:tc>
          <w:tcPr>
            <w:tcW w:w="154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57,400</w:t>
            </w: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27,284</w:t>
            </w:r>
          </w:p>
        </w:tc>
        <w:tc>
          <w:tcPr>
            <w:tcW w:w="0" w:type="dxa"/>
            <w:vAlign w:val="bottom"/>
          </w:tcPr>
          <w:p>
            <w:pPr>
              <w:spacing w:after="0"/>
              <w:rPr>
                <w:sz w:val="1"/>
                <w:szCs w:val="1"/>
                <w:color w:val="auto"/>
              </w:rPr>
            </w:pPr>
          </w:p>
        </w:tc>
      </w:tr>
      <w:tr>
        <w:trPr>
          <w:trHeight w:val="27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Chemical Products</w:t>
            </w:r>
          </w:p>
        </w:tc>
        <w:tc>
          <w:tcPr>
            <w:tcW w:w="11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39,224</w:t>
            </w:r>
          </w:p>
        </w:tc>
        <w:tc>
          <w:tcPr>
            <w:tcW w:w="12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19,973</w:t>
            </w:r>
          </w:p>
        </w:tc>
        <w:tc>
          <w:tcPr>
            <w:tcW w:w="154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38,801</w:t>
            </w: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20,329</w:t>
            </w:r>
          </w:p>
        </w:tc>
        <w:tc>
          <w:tcPr>
            <w:tcW w:w="0" w:type="dxa"/>
            <w:vAlign w:val="bottom"/>
          </w:tcPr>
          <w:p>
            <w:pPr>
              <w:spacing w:after="0"/>
              <w:rPr>
                <w:sz w:val="1"/>
                <w:szCs w:val="1"/>
                <w:color w:val="auto"/>
              </w:rPr>
            </w:pPr>
          </w:p>
        </w:tc>
      </w:tr>
      <w:tr>
        <w:trPr>
          <w:trHeight w:val="27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Specialty Products</w:t>
            </w:r>
          </w:p>
        </w:tc>
        <w:tc>
          <w:tcPr>
            <w:tcW w:w="11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9,559</w:t>
            </w:r>
          </w:p>
        </w:tc>
        <w:tc>
          <w:tcPr>
            <w:tcW w:w="12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4,229</w:t>
            </w:r>
          </w:p>
        </w:tc>
        <w:tc>
          <w:tcPr>
            <w:tcW w:w="154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9,385</w:t>
            </w: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4,378</w:t>
            </w:r>
          </w:p>
        </w:tc>
        <w:tc>
          <w:tcPr>
            <w:tcW w:w="0" w:type="dxa"/>
            <w:vAlign w:val="bottom"/>
          </w:tcPr>
          <w:p>
            <w:pPr>
              <w:spacing w:after="0"/>
              <w:rPr>
                <w:sz w:val="1"/>
                <w:szCs w:val="1"/>
                <w:color w:val="auto"/>
              </w:rPr>
            </w:pPr>
          </w:p>
        </w:tc>
      </w:tr>
      <w:tr>
        <w:trPr>
          <w:trHeight w:val="270"/>
        </w:trPr>
        <w:tc>
          <w:tcPr>
            <w:tcW w:w="476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23,823</w:t>
            </w:r>
          </w:p>
        </w:tc>
        <w:tc>
          <w:tcPr>
            <w:tcW w:w="124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15,746</w:t>
            </w:r>
          </w:p>
        </w:tc>
        <w:tc>
          <w:tcPr>
            <w:tcW w:w="1540" w:type="dxa"/>
            <w:vAlign w:val="bottom"/>
            <w:tcBorders>
              <w:bottom w:val="single" w:sz="8" w:color="0C479D"/>
            </w:tcBorders>
          </w:tcPr>
          <w:p>
            <w:pPr>
              <w:jc w:val="right"/>
              <w:ind w:right="195"/>
              <w:spacing w:after="0"/>
              <w:rPr>
                <w:sz w:val="20"/>
                <w:szCs w:val="20"/>
                <w:color w:val="auto"/>
              </w:rPr>
            </w:pPr>
            <w:r>
              <w:rPr>
                <w:rFonts w:ascii="Times New Roman" w:cs="Times New Roman" w:eastAsia="Times New Roman" w:hAnsi="Times New Roman"/>
                <w:sz w:val="18"/>
                <w:szCs w:val="18"/>
                <w:color w:val="auto"/>
              </w:rPr>
              <w:t>22,768</w:t>
            </w:r>
          </w:p>
        </w:tc>
        <w:tc>
          <w:tcPr>
            <w:tcW w:w="1020" w:type="dxa"/>
            <w:vAlign w:val="bottom"/>
            <w:tcBorders>
              <w:bottom w:val="single" w:sz="8" w:color="0C479D"/>
            </w:tcBorders>
          </w:tcPr>
          <w:p>
            <w:pPr>
              <w:jc w:val="right"/>
              <w:ind w:right="13"/>
              <w:spacing w:after="0"/>
              <w:rPr>
                <w:sz w:val="20"/>
                <w:szCs w:val="20"/>
                <w:color w:val="auto"/>
              </w:rPr>
            </w:pPr>
            <w:r>
              <w:rPr>
                <w:rFonts w:ascii="Times New Roman" w:cs="Times New Roman" w:eastAsia="Times New Roman" w:hAnsi="Times New Roman"/>
                <w:sz w:val="18"/>
                <w:szCs w:val="18"/>
                <w:color w:val="auto"/>
              </w:rPr>
              <w:t>14,704</w:t>
            </w:r>
          </w:p>
        </w:tc>
        <w:tc>
          <w:tcPr>
            <w:tcW w:w="0" w:type="dxa"/>
            <w:vAlign w:val="bottom"/>
          </w:tcPr>
          <w:p>
            <w:pPr>
              <w:spacing w:after="0"/>
              <w:rPr>
                <w:sz w:val="1"/>
                <w:szCs w:val="1"/>
                <w:color w:val="auto"/>
              </w:rPr>
            </w:pPr>
          </w:p>
        </w:tc>
      </w:tr>
      <w:tr>
        <w:trPr>
          <w:trHeight w:val="244"/>
        </w:trPr>
        <w:tc>
          <w:tcPr>
            <w:tcW w:w="476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8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553,903</w:t>
            </w:r>
          </w:p>
        </w:tc>
        <w:tc>
          <w:tcPr>
            <w:tcW w:w="124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294,318</w:t>
            </w:r>
          </w:p>
        </w:tc>
        <w:tc>
          <w:tcPr>
            <w:tcW w:w="1540" w:type="dxa"/>
            <w:vAlign w:val="bottom"/>
            <w:tcBorders>
              <w:bottom w:val="single" w:sz="8" w:color="0C479D"/>
            </w:tcBorders>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rPr>
              <w:t>487,385</w:t>
            </w:r>
          </w:p>
        </w:tc>
        <w:tc>
          <w:tcPr>
            <w:tcW w:w="1020" w:type="dxa"/>
            <w:vAlign w:val="bottom"/>
            <w:tcBorders>
              <w:bottom w:val="single" w:sz="8" w:color="0C479D"/>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214,940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2024, the Corporation identified situations where events or changes in circumstances indicated that the carrying value of certain long-lived assets may not be recoverable and conducted impairment assessments. Before-tax impairment charges recognized during 2024 are immaterial.</w:t>
      </w:r>
    </w:p>
    <w:p>
      <w:pPr>
        <w:spacing w:after="0" w:line="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2023, the Corporation recognized before-tax impairment charges of $3.3 billion, in large part due to impairing the idled Upstream Santa Ynez Unit assets and associated facilities in California, reflecting the continuing challenges in the state regulatory environment that impeded progress in restoring operations. Other before-tax impairment charges recognized during 2023 included $0.3 billion in Upstream, $0.3 billion in Chemical Products, and $0.1 billion in Specialty Products.</w:t>
      </w:r>
    </w:p>
    <w:p>
      <w:pPr>
        <w:spacing w:after="0" w:line="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 2022, the Corporation recognized before-tax impairment charges of $4.5 billion as a result of the Corporation's plans to discontinue operations on the Sakhalin-1 project and develop steps to exit the venture in response to Russia's military action in Ukraine (Refer to </w:t>
      </w:r>
      <w:r>
        <w:rPr>
          <w:rFonts w:ascii="Times New Roman" w:cs="Times New Roman" w:eastAsia="Times New Roman" w:hAnsi="Times New Roman"/>
          <w:sz w:val="18"/>
          <w:szCs w:val="18"/>
          <w:color w:val="0000FF"/>
        </w:rPr>
        <w:t>Note 2</w:t>
      </w:r>
      <w:r>
        <w:rPr>
          <w:rFonts w:ascii="Times New Roman" w:cs="Times New Roman" w:eastAsia="Times New Roman" w:hAnsi="Times New Roman"/>
          <w:sz w:val="18"/>
          <w:szCs w:val="18"/>
          <w:color w:val="auto"/>
        </w:rPr>
        <w:t xml:space="preserve"> for additional information). Other before-tax impairment charges recognized during 2022 included $1.5 billion in Upstream and $0.4 billion in Energy Products.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Impairment charges are primarily recognized in the lines “Depreciation and depletion” and “Exploration expenses, including dry holes” on the Consolidated Statement of Income. Accumulated depreciation and depletion totaled $259,585 million at the end of 2024 and $272,445 million at the end of 2023.</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22"/>
          <w:szCs w:val="22"/>
          <w:b w:val="1"/>
          <w:bCs w:val="1"/>
          <w:color w:val="0C479D"/>
        </w:rPr>
        <w:t>NOTES TO CONSOLIDATED FINANCIAL STATEMENTS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Retirement Obligations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Corporation incurs retirement obligations for certain assets. The fair values of these obligations are recorded as liabilities on a discounted basis, which is typically at the time the assets are installed. In the estimation of fair value, the Corporation uses assumptions and judgments regarding such factors as the existence of a legal obligation for an asset retirement obligation, technical assessments of the assets, estimated amounts and timing of settlements, discount rates, and inflation rates. Asset retirement obligations incurred in the current period were level 3 fair value measurements. The costs associated with these liabilities are capitalized as part of the related assets and depreciated as the reserves are produced. Over time, the liabilities are accreted for the change in their present value.</w:t>
      </w:r>
    </w:p>
    <w:p>
      <w:pPr>
        <w:spacing w:after="0" w:line="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Asset retirement obligations for facilities in the Product Solutions business generally become firm at the time a decision is made to permanently shut down and dismantle the facilities. These obligations may include the costs of asset disposal and additional soil remediation. However, these sites generally have indeterminate lives based on plans for continued operations and as such, the fair value of the conditional legal obligations cannot be measured, since it is impossible to estimate the future settlement dates of such obligations.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in the liability for asset retirement obligations:</w:t>
      </w:r>
    </w:p>
    <w:p>
      <w:pPr>
        <w:spacing w:after="0" w:line="149" w:lineRule="exact"/>
        <w:rPr>
          <w:sz w:val="20"/>
          <w:szCs w:val="20"/>
          <w:color w:val="auto"/>
        </w:rPr>
      </w:pPr>
    </w:p>
    <w:tbl>
      <w:tblPr>
        <w:tblLayout w:type="fixed"/>
        <w:tblInd w:w="800" w:type="dxa"/>
        <w:tblCellMar>
          <w:top w:w="0" w:type="dxa"/>
          <w:left w:w="0" w:type="dxa"/>
          <w:bottom w:w="0" w:type="dxa"/>
          <w:right w:w="0" w:type="dxa"/>
        </w:tblCellMar>
      </w:tblPr>
      <w:tr>
        <w:trPr>
          <w:trHeight w:val="250"/>
        </w:trPr>
        <w:tc>
          <w:tcPr>
            <w:tcW w:w="6560" w:type="dxa"/>
            <w:vAlign w:val="bottom"/>
            <w:tcBorders>
              <w:bottom w:val="single" w:sz="8" w:color="0C479D"/>
            </w:tcBorders>
            <w:shd w:val="clear" w:color="auto" w:fill="0C479D"/>
          </w:tcPr>
          <w:p>
            <w:pPr>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960" w:type="dxa"/>
            <w:vAlign w:val="bottom"/>
            <w:tcBorders>
              <w:bottom w:val="single" w:sz="8" w:color="0C479D"/>
            </w:tcBorders>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1300" w:type="dxa"/>
            <w:vAlign w:val="bottom"/>
            <w:tcBorders>
              <w:bottom w:val="single" w:sz="8" w:color="0C479D"/>
            </w:tcBorders>
            <w:shd w:val="clear" w:color="auto" w:fill="0C479D"/>
          </w:tcPr>
          <w:p>
            <w:pPr>
              <w:jc w:val="right"/>
              <w:ind w:right="172"/>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860" w:type="dxa"/>
            <w:vAlign w:val="bottom"/>
            <w:tcBorders>
              <w:bottom w:val="single" w:sz="8" w:color="0C479D"/>
            </w:tcBorders>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2022</w:t>
            </w:r>
          </w:p>
        </w:tc>
      </w:tr>
      <w:tr>
        <w:trPr>
          <w:trHeight w:val="499"/>
        </w:trPr>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January 1</w:t>
            </w:r>
          </w:p>
        </w:tc>
        <w:tc>
          <w:tcPr>
            <w:tcW w:w="960" w:type="dxa"/>
            <w:vAlign w:val="bottom"/>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12,989</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10,491</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10,630</w:t>
            </w:r>
          </w:p>
        </w:tc>
      </w:tr>
      <w:tr>
        <w:trPr>
          <w:trHeight w:val="270"/>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Accretion expense and other provisions</w:t>
            </w:r>
          </w:p>
        </w:tc>
        <w:tc>
          <w:tcPr>
            <w:tcW w:w="960" w:type="dxa"/>
            <w:vAlign w:val="bottom"/>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color w:val="auto"/>
              </w:rPr>
              <w:t>709</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734</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744</w:t>
            </w:r>
          </w:p>
        </w:tc>
      </w:tr>
      <w:tr>
        <w:trPr>
          <w:trHeight w:val="270"/>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Reduction due to property sales</w:t>
            </w:r>
          </w:p>
        </w:tc>
        <w:tc>
          <w:tcPr>
            <w:tcW w:w="9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13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(288)</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70"/>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Payments made</w:t>
            </w:r>
          </w:p>
        </w:tc>
        <w:tc>
          <w:tcPr>
            <w:tcW w:w="9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30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(693)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r>
      <w:tr>
        <w:trPr>
          <w:trHeight w:val="270"/>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Liabilities incurred</w:t>
            </w:r>
          </w:p>
        </w:tc>
        <w:tc>
          <w:tcPr>
            <w:tcW w:w="960" w:type="dxa"/>
            <w:vAlign w:val="bottom"/>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color w:val="auto"/>
              </w:rPr>
              <w:t>533</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831</w:t>
            </w: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119</w:t>
            </w:r>
          </w:p>
        </w:tc>
      </w:tr>
      <w:tr>
        <w:trPr>
          <w:trHeight w:val="270"/>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124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70"/>
        </w:trPr>
        <w:tc>
          <w:tcPr>
            <w:tcW w:w="656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color w:val="auto"/>
              </w:rPr>
              <w:t>Revisions</w:t>
            </w:r>
          </w:p>
        </w:tc>
        <w:tc>
          <w:tcPr>
            <w:tcW w:w="960" w:type="dxa"/>
            <w:vAlign w:val="bottom"/>
            <w:tcBorders>
              <w:bottom w:val="single" w:sz="8" w:color="0C479D"/>
            </w:tcBorders>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color w:val="auto"/>
              </w:rPr>
              <w:t>884</w:t>
            </w:r>
          </w:p>
        </w:tc>
        <w:tc>
          <w:tcPr>
            <w:tcW w:w="1300" w:type="dxa"/>
            <w:vAlign w:val="bottom"/>
            <w:tcBorders>
              <w:bottom w:val="single" w:sz="8" w:color="0C479D"/>
            </w:tcBorders>
          </w:tcPr>
          <w:p>
            <w:pPr>
              <w:jc w:val="right"/>
              <w:ind w:right="232"/>
              <w:spacing w:after="0"/>
              <w:rPr>
                <w:sz w:val="20"/>
                <w:szCs w:val="20"/>
                <w:color w:val="auto"/>
              </w:rPr>
            </w:pPr>
            <w:r>
              <w:rPr>
                <w:rFonts w:ascii="Times New Roman" w:cs="Times New Roman" w:eastAsia="Times New Roman" w:hAnsi="Times New Roman"/>
                <w:sz w:val="18"/>
                <w:szCs w:val="18"/>
                <w:color w:val="auto"/>
              </w:rPr>
              <w:t>1,790</w:t>
            </w:r>
          </w:p>
        </w:tc>
        <w:tc>
          <w:tcPr>
            <w:tcW w:w="860" w:type="dxa"/>
            <w:vAlign w:val="bottom"/>
            <w:tcBorders>
              <w:bottom w:val="single" w:sz="8" w:color="0C479D"/>
            </w:tcBorders>
          </w:tcPr>
          <w:p>
            <w:pPr>
              <w:jc w:val="right"/>
              <w:ind w:right="12"/>
              <w:spacing w:after="0"/>
              <w:rPr>
                <w:sz w:val="20"/>
                <w:szCs w:val="20"/>
                <w:color w:val="auto"/>
              </w:rPr>
            </w:pPr>
            <w:r>
              <w:rPr>
                <w:rFonts w:ascii="Times New Roman" w:cs="Times New Roman" w:eastAsia="Times New Roman" w:hAnsi="Times New Roman"/>
                <w:sz w:val="18"/>
                <w:szCs w:val="18"/>
                <w:color w:val="auto"/>
              </w:rPr>
              <w:t>174</w:t>
            </w:r>
          </w:p>
        </w:tc>
      </w:tr>
      <w:tr>
        <w:trPr>
          <w:trHeight w:val="244"/>
        </w:trPr>
        <w:tc>
          <w:tcPr>
            <w:tcW w:w="656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w:t>
            </w:r>
          </w:p>
        </w:tc>
        <w:tc>
          <w:tcPr>
            <w:tcW w:w="960" w:type="dxa"/>
            <w:vAlign w:val="bottom"/>
            <w:tcBorders>
              <w:bottom w:val="single" w:sz="8" w:color="0C479D"/>
            </w:tcBorders>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12,032</w:t>
            </w:r>
          </w:p>
        </w:tc>
        <w:tc>
          <w:tcPr>
            <w:tcW w:w="1300" w:type="dxa"/>
            <w:vAlign w:val="bottom"/>
            <w:tcBorders>
              <w:bottom w:val="single" w:sz="8" w:color="0C479D"/>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12,989</w:t>
            </w:r>
          </w:p>
        </w:tc>
        <w:tc>
          <w:tcPr>
            <w:tcW w:w="860" w:type="dxa"/>
            <w:vAlign w:val="bottom"/>
            <w:tcBorders>
              <w:bottom w:val="single" w:sz="8" w:color="0C479D"/>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10,491</w:t>
            </w:r>
          </w:p>
        </w:tc>
      </w:tr>
    </w:tbl>
    <w:p>
      <w:pPr>
        <w:spacing w:after="0" w:line="200" w:lineRule="exact"/>
        <w:rPr>
          <w:sz w:val="20"/>
          <w:szCs w:val="20"/>
          <w:color w:val="auto"/>
        </w:rPr>
      </w:pPr>
    </w:p>
    <w:p>
      <w:pPr>
        <w:spacing w:after="0" w:line="2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long-term Asset Retirement Obligations were $10,886 million and $11,942 million at December 31, 2024 and 2023, respectively, and are included in “Other long-term obligations” on the Consolidated Balance Sheet. Estimated cash payments in 2025 and 2026 are $1,146 million and $968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22"/>
          <w:szCs w:val="22"/>
          <w:b w:val="1"/>
          <w:bCs w:val="1"/>
          <w:color w:val="0C479D"/>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C479D"/>
        </w:rPr>
        <w:t>Note 10. Accounting for Suspended Exploratory Well Costs</w:t>
      </w:r>
    </w:p>
    <w:p>
      <w:pPr>
        <w:spacing w:after="0" w:line="9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Corporation continues capitalization of exploratory well costs when the well has found a sufficient quantity of reserves to justify its completion as a producing well and the Corporation is making sufficient progress assessing the reserves and the economic and operating viability of the project. The term “project” as used in this report can refer to a variety of different activities and does not necessarily have the same meaning as in any government payment transparency reports.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two tables provide details of the changes in the balance of suspended exploratory well costs, including an aging summary of those costs.</w:t>
      </w:r>
    </w:p>
    <w:p>
      <w:pPr>
        <w:spacing w:after="0" w:line="135" w:lineRule="exact"/>
        <w:rPr>
          <w:sz w:val="20"/>
          <w:szCs w:val="20"/>
          <w:color w:val="auto"/>
        </w:rPr>
      </w:pPr>
    </w:p>
    <w:tbl>
      <w:tblPr>
        <w:tblLayout w:type="fixed"/>
        <w:tblInd w:w="800" w:type="dxa"/>
        <w:tblCellMar>
          <w:top w:w="0" w:type="dxa"/>
          <w:left w:w="0" w:type="dxa"/>
          <w:bottom w:w="0" w:type="dxa"/>
          <w:right w:w="0" w:type="dxa"/>
        </w:tblCellMar>
      </w:tblPr>
      <w:tr>
        <w:trPr>
          <w:trHeight w:val="209"/>
        </w:trPr>
        <w:tc>
          <w:tcPr>
            <w:tcW w:w="20" w:type="dxa"/>
            <w:vAlign w:val="bottom"/>
            <w:shd w:val="clear" w:color="auto" w:fill="0C479D"/>
          </w:tcPr>
          <w:p>
            <w:pPr>
              <w:spacing w:after="0"/>
              <w:rPr>
                <w:sz w:val="18"/>
                <w:szCs w:val="18"/>
                <w:color w:val="auto"/>
              </w:rPr>
            </w:pPr>
          </w:p>
        </w:tc>
        <w:tc>
          <w:tcPr>
            <w:tcW w:w="7360" w:type="dxa"/>
            <w:vAlign w:val="bottom"/>
            <w:shd w:val="clear" w:color="auto" w:fill="0C479D"/>
          </w:tcPr>
          <w:p>
            <w:pPr>
              <w:spacing w:after="0"/>
              <w:rPr>
                <w:sz w:val="20"/>
                <w:szCs w:val="20"/>
                <w:color w:val="auto"/>
              </w:rPr>
            </w:pPr>
            <w:r>
              <w:rPr>
                <w:rFonts w:ascii="Times New Roman" w:cs="Times New Roman" w:eastAsia="Times New Roman" w:hAnsi="Times New Roman"/>
                <w:sz w:val="18"/>
                <w:szCs w:val="18"/>
                <w:b w:val="1"/>
                <w:bCs w:val="1"/>
                <w:color w:val="FFFFFF"/>
              </w:rPr>
              <w:t>Change in capitalized suspended exploratory well costs</w:t>
            </w:r>
          </w:p>
        </w:tc>
        <w:tc>
          <w:tcPr>
            <w:tcW w:w="680" w:type="dxa"/>
            <w:vAlign w:val="bottom"/>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920" w:type="dxa"/>
            <w:vAlign w:val="bottom"/>
            <w:shd w:val="clear" w:color="auto" w:fill="0C479D"/>
          </w:tcPr>
          <w:p>
            <w:pPr>
              <w:jc w:val="right"/>
              <w:ind w:right="72"/>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660" w:type="dxa"/>
            <w:vAlign w:val="bottom"/>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2022</w:t>
            </w:r>
          </w:p>
        </w:tc>
      </w:tr>
      <w:tr>
        <w:trPr>
          <w:trHeight w:val="209"/>
        </w:trPr>
        <w:tc>
          <w:tcPr>
            <w:tcW w:w="20" w:type="dxa"/>
            <w:vAlign w:val="bottom"/>
            <w:shd w:val="clear" w:color="auto" w:fill="0C479D"/>
          </w:tcPr>
          <w:p>
            <w:pPr>
              <w:spacing w:after="0"/>
              <w:rPr>
                <w:sz w:val="18"/>
                <w:szCs w:val="18"/>
                <w:color w:val="auto"/>
              </w:rPr>
            </w:pPr>
          </w:p>
        </w:tc>
        <w:tc>
          <w:tcPr>
            <w:tcW w:w="7360" w:type="dxa"/>
            <w:vAlign w:val="bottom"/>
            <w:shd w:val="clear" w:color="auto" w:fill="0C479D"/>
          </w:tcPr>
          <w:p>
            <w:pPr>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680" w:type="dxa"/>
            <w:vAlign w:val="bottom"/>
            <w:shd w:val="clear" w:color="auto" w:fill="0C479D"/>
          </w:tcPr>
          <w:p>
            <w:pPr>
              <w:spacing w:after="0"/>
              <w:rPr>
                <w:sz w:val="18"/>
                <w:szCs w:val="18"/>
                <w:color w:val="auto"/>
              </w:rPr>
            </w:pPr>
          </w:p>
        </w:tc>
        <w:tc>
          <w:tcPr>
            <w:tcW w:w="920" w:type="dxa"/>
            <w:vAlign w:val="bottom"/>
            <w:shd w:val="clear" w:color="auto" w:fill="0C479D"/>
          </w:tcPr>
          <w:p>
            <w:pPr>
              <w:spacing w:after="0"/>
              <w:rPr>
                <w:sz w:val="18"/>
                <w:szCs w:val="18"/>
                <w:color w:val="auto"/>
              </w:rPr>
            </w:pPr>
          </w:p>
        </w:tc>
        <w:tc>
          <w:tcPr>
            <w:tcW w:w="660" w:type="dxa"/>
            <w:vAlign w:val="bottom"/>
            <w:shd w:val="clear" w:color="auto" w:fill="0C479D"/>
          </w:tcPr>
          <w:p>
            <w:pPr>
              <w:spacing w:after="0"/>
              <w:rPr>
                <w:sz w:val="18"/>
                <w:szCs w:val="18"/>
                <w:color w:val="auto"/>
              </w:rPr>
            </w:pPr>
          </w:p>
        </w:tc>
      </w:tr>
      <w:tr>
        <w:trPr>
          <w:trHeight w:val="499"/>
        </w:trPr>
        <w:tc>
          <w:tcPr>
            <w:tcW w:w="20" w:type="dxa"/>
            <w:vAlign w:val="bottom"/>
          </w:tcPr>
          <w:p>
            <w:pPr>
              <w:spacing w:after="0"/>
              <w:rPr>
                <w:sz w:val="24"/>
                <w:szCs w:val="24"/>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beginning at January 1</w:t>
            </w:r>
          </w:p>
        </w:tc>
        <w:tc>
          <w:tcPr>
            <w:tcW w:w="680" w:type="dxa"/>
            <w:vAlign w:val="bottom"/>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3,559</w:t>
            </w: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3,512</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4,120</w:t>
            </w:r>
          </w:p>
        </w:tc>
      </w:tr>
      <w:tr>
        <w:trPr>
          <w:trHeight w:val="270"/>
        </w:trPr>
        <w:tc>
          <w:tcPr>
            <w:tcW w:w="20" w:type="dxa"/>
            <w:vAlign w:val="bottom"/>
          </w:tcPr>
          <w:p>
            <w:pPr>
              <w:spacing w:after="0"/>
              <w:rPr>
                <w:sz w:val="23"/>
                <w:szCs w:val="23"/>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Additions pending the determination of proved reserves</w:t>
            </w:r>
          </w:p>
        </w:tc>
        <w:tc>
          <w:tcPr>
            <w:tcW w:w="680" w:type="dxa"/>
            <w:vAlign w:val="bottom"/>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color w:val="auto"/>
              </w:rPr>
              <w:t>453</w:t>
            </w: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200</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70"/>
        </w:trPr>
        <w:tc>
          <w:tcPr>
            <w:tcW w:w="20" w:type="dxa"/>
            <w:vAlign w:val="bottom"/>
          </w:tcPr>
          <w:p>
            <w:pPr>
              <w:spacing w:after="0"/>
              <w:rPr>
                <w:sz w:val="23"/>
                <w:szCs w:val="23"/>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Charged to expense</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(95)</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70"/>
        </w:trPr>
        <w:tc>
          <w:tcPr>
            <w:tcW w:w="20" w:type="dxa"/>
            <w:vAlign w:val="bottom"/>
          </w:tcPr>
          <w:p>
            <w:pPr>
              <w:spacing w:after="0"/>
              <w:rPr>
                <w:sz w:val="23"/>
                <w:szCs w:val="23"/>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Reclassifications to wells, facilities and equipment based on the determination of proved reserves</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(142)</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70"/>
        </w:trPr>
        <w:tc>
          <w:tcPr>
            <w:tcW w:w="20" w:type="dxa"/>
            <w:vAlign w:val="bottom"/>
            <w:tcBorders>
              <w:bottom w:val="single" w:sz="8" w:color="0C479D"/>
            </w:tcBorders>
          </w:tcPr>
          <w:p>
            <w:pPr>
              <w:spacing w:after="0"/>
              <w:rPr>
                <w:sz w:val="23"/>
                <w:szCs w:val="23"/>
                <w:color w:val="auto"/>
              </w:rPr>
            </w:pPr>
          </w:p>
        </w:tc>
        <w:tc>
          <w:tcPr>
            <w:tcW w:w="736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color w:val="auto"/>
              </w:rPr>
              <w:t>Divestments/Other</w:t>
            </w:r>
          </w:p>
        </w:tc>
        <w:tc>
          <w:tcPr>
            <w:tcW w:w="68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920" w:type="dxa"/>
            <w:vAlign w:val="bottom"/>
            <w:tcBorders>
              <w:bottom w:val="single" w:sz="8" w:color="0C479D"/>
            </w:tcBorders>
          </w:tcPr>
          <w:p>
            <w:pPr>
              <w:jc w:val="right"/>
              <w:ind w:right="132"/>
              <w:spacing w:after="0"/>
              <w:rPr>
                <w:sz w:val="20"/>
                <w:szCs w:val="20"/>
                <w:color w:val="auto"/>
              </w:rPr>
            </w:pPr>
            <w:r>
              <w:rPr>
                <w:rFonts w:ascii="Times New Roman" w:cs="Times New Roman" w:eastAsia="Times New Roman" w:hAnsi="Times New Roman"/>
                <w:sz w:val="18"/>
                <w:szCs w:val="18"/>
                <w:color w:val="auto"/>
              </w:rPr>
              <w:t>84</w:t>
            </w:r>
          </w:p>
        </w:tc>
        <w:tc>
          <w:tcPr>
            <w:tcW w:w="6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50"/>
        </w:trPr>
        <w:tc>
          <w:tcPr>
            <w:tcW w:w="20" w:type="dxa"/>
            <w:vAlign w:val="bottom"/>
            <w:tcBorders>
              <w:bottom w:val="single" w:sz="8" w:color="0C479D"/>
            </w:tcBorders>
          </w:tcPr>
          <w:p>
            <w:pPr>
              <w:spacing w:after="0"/>
              <w:rPr>
                <w:sz w:val="21"/>
                <w:szCs w:val="21"/>
                <w:color w:val="auto"/>
              </w:rPr>
            </w:pPr>
          </w:p>
        </w:tc>
        <w:tc>
          <w:tcPr>
            <w:tcW w:w="736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b w:val="1"/>
                <w:bCs w:val="1"/>
                <w:color w:val="auto"/>
              </w:rPr>
              <w:t>Ending balance at December 31</w:t>
            </w:r>
          </w:p>
        </w:tc>
        <w:tc>
          <w:tcPr>
            <w:tcW w:w="680" w:type="dxa"/>
            <w:vAlign w:val="bottom"/>
            <w:tcBorders>
              <w:bottom w:val="single" w:sz="8" w:color="0C479D"/>
            </w:tcBorders>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3,600</w:t>
            </w:r>
          </w:p>
        </w:tc>
        <w:tc>
          <w:tcPr>
            <w:tcW w:w="920" w:type="dxa"/>
            <w:vAlign w:val="bottom"/>
            <w:tcBorders>
              <w:bottom w:val="single" w:sz="8" w:color="0C479D"/>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3,559</w:t>
            </w:r>
          </w:p>
        </w:tc>
        <w:tc>
          <w:tcPr>
            <w:tcW w:w="6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3,512</w:t>
            </w:r>
          </w:p>
        </w:tc>
      </w:tr>
      <w:tr>
        <w:trPr>
          <w:trHeight w:val="243"/>
        </w:trPr>
        <w:tc>
          <w:tcPr>
            <w:tcW w:w="20" w:type="dxa"/>
            <w:vAlign w:val="bottom"/>
            <w:tcBorders>
              <w:bottom w:val="single" w:sz="8" w:color="0C479D"/>
            </w:tcBorders>
          </w:tcPr>
          <w:p>
            <w:pPr>
              <w:spacing w:after="0"/>
              <w:rPr>
                <w:sz w:val="21"/>
                <w:szCs w:val="21"/>
                <w:color w:val="auto"/>
              </w:rPr>
            </w:pPr>
          </w:p>
        </w:tc>
        <w:tc>
          <w:tcPr>
            <w:tcW w:w="736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color w:val="auto"/>
              </w:rPr>
              <w:t>Ending balance attributed to equity companies included above</w:t>
            </w:r>
          </w:p>
        </w:tc>
        <w:tc>
          <w:tcPr>
            <w:tcW w:w="680" w:type="dxa"/>
            <w:vAlign w:val="bottom"/>
            <w:tcBorders>
              <w:bottom w:val="single" w:sz="8" w:color="0C479D"/>
            </w:tcBorders>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color w:val="auto"/>
              </w:rPr>
              <w:t>225</w:t>
            </w:r>
          </w:p>
        </w:tc>
        <w:tc>
          <w:tcPr>
            <w:tcW w:w="920" w:type="dxa"/>
            <w:vAlign w:val="bottom"/>
            <w:tcBorders>
              <w:bottom w:val="single" w:sz="8" w:color="0C479D"/>
            </w:tcBorders>
          </w:tcPr>
          <w:p>
            <w:pPr>
              <w:jc w:val="right"/>
              <w:ind w:right="132"/>
              <w:spacing w:after="0"/>
              <w:rPr>
                <w:sz w:val="20"/>
                <w:szCs w:val="20"/>
                <w:color w:val="auto"/>
              </w:rPr>
            </w:pPr>
            <w:r>
              <w:rPr>
                <w:rFonts w:ascii="Times New Roman" w:cs="Times New Roman" w:eastAsia="Times New Roman" w:hAnsi="Times New Roman"/>
                <w:sz w:val="18"/>
                <w:szCs w:val="18"/>
                <w:color w:val="auto"/>
              </w:rPr>
              <w:t>306</w:t>
            </w:r>
          </w:p>
        </w:tc>
        <w:tc>
          <w:tcPr>
            <w:tcW w:w="6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513"/>
        </w:trPr>
        <w:tc>
          <w:tcPr>
            <w:tcW w:w="2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360" w:type="dxa"/>
            <w:vAlign w:val="bottom"/>
            <w:shd w:val="clear" w:color="auto" w:fill="0C479D"/>
          </w:tcPr>
          <w:p>
            <w:pPr>
              <w:spacing w:after="0" w:line="196" w:lineRule="exact"/>
              <w:rPr>
                <w:sz w:val="20"/>
                <w:szCs w:val="20"/>
                <w:color w:val="auto"/>
              </w:rPr>
            </w:pPr>
            <w:r>
              <w:rPr>
                <w:rFonts w:ascii="Times New Roman" w:cs="Times New Roman" w:eastAsia="Times New Roman" w:hAnsi="Times New Roman"/>
                <w:sz w:val="18"/>
                <w:szCs w:val="18"/>
                <w:b w:val="1"/>
                <w:bCs w:val="1"/>
                <w:color w:val="FFFFFF"/>
              </w:rPr>
              <w:t>Period-end capitalized suspended exploratory well costs</w:t>
            </w:r>
          </w:p>
        </w:tc>
        <w:tc>
          <w:tcPr>
            <w:tcW w:w="680" w:type="dxa"/>
            <w:vAlign w:val="bottom"/>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920" w:type="dxa"/>
            <w:vAlign w:val="bottom"/>
            <w:shd w:val="clear" w:color="auto" w:fill="0C479D"/>
          </w:tcPr>
          <w:p>
            <w:pPr>
              <w:jc w:val="right"/>
              <w:ind w:right="72"/>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660" w:type="dxa"/>
            <w:vAlign w:val="bottom"/>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2022</w:t>
            </w:r>
          </w:p>
        </w:tc>
      </w:tr>
      <w:tr>
        <w:trPr>
          <w:trHeight w:val="182"/>
        </w:trPr>
        <w:tc>
          <w:tcPr>
            <w:tcW w:w="20" w:type="dxa"/>
            <w:vAlign w:val="bottom"/>
          </w:tcPr>
          <w:p>
            <w:pPr>
              <w:spacing w:after="0"/>
              <w:rPr>
                <w:sz w:val="15"/>
                <w:szCs w:val="15"/>
                <w:color w:val="auto"/>
              </w:rPr>
            </w:pPr>
          </w:p>
        </w:tc>
        <w:tc>
          <w:tcPr>
            <w:tcW w:w="7360" w:type="dxa"/>
            <w:vAlign w:val="bottom"/>
            <w:shd w:val="clear" w:color="auto" w:fill="0C479D"/>
          </w:tcPr>
          <w:p>
            <w:pPr>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680" w:type="dxa"/>
            <w:vAlign w:val="bottom"/>
            <w:shd w:val="clear" w:color="auto" w:fill="0C479D"/>
          </w:tcPr>
          <w:p>
            <w:pPr>
              <w:spacing w:after="0"/>
              <w:rPr>
                <w:sz w:val="15"/>
                <w:szCs w:val="15"/>
                <w:color w:val="auto"/>
              </w:rPr>
            </w:pPr>
          </w:p>
        </w:tc>
        <w:tc>
          <w:tcPr>
            <w:tcW w:w="920" w:type="dxa"/>
            <w:vAlign w:val="bottom"/>
            <w:shd w:val="clear" w:color="auto" w:fill="0C479D"/>
          </w:tcPr>
          <w:p>
            <w:pPr>
              <w:spacing w:after="0"/>
              <w:rPr>
                <w:sz w:val="15"/>
                <w:szCs w:val="15"/>
                <w:color w:val="auto"/>
              </w:rPr>
            </w:pPr>
          </w:p>
        </w:tc>
        <w:tc>
          <w:tcPr>
            <w:tcW w:w="660" w:type="dxa"/>
            <w:vAlign w:val="bottom"/>
            <w:shd w:val="clear" w:color="auto" w:fill="0C479D"/>
          </w:tcPr>
          <w:p>
            <w:pPr>
              <w:spacing w:after="0"/>
              <w:rPr>
                <w:sz w:val="15"/>
                <w:szCs w:val="15"/>
                <w:color w:val="auto"/>
              </w:rPr>
            </w:pPr>
          </w:p>
        </w:tc>
      </w:tr>
      <w:tr>
        <w:trPr>
          <w:trHeight w:val="500"/>
        </w:trPr>
        <w:tc>
          <w:tcPr>
            <w:tcW w:w="20" w:type="dxa"/>
            <w:vAlign w:val="bottom"/>
          </w:tcPr>
          <w:p>
            <w:pPr>
              <w:spacing w:after="0"/>
              <w:rPr>
                <w:sz w:val="24"/>
                <w:szCs w:val="24"/>
                <w:color w:val="auto"/>
              </w:rPr>
            </w:pPr>
          </w:p>
        </w:tc>
        <w:tc>
          <w:tcPr>
            <w:tcW w:w="736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b w:val="1"/>
                <w:bCs w:val="1"/>
                <w:color w:val="auto"/>
              </w:rPr>
              <w:t>Capitalized for a period of one year or less</w:t>
            </w:r>
          </w:p>
        </w:tc>
        <w:tc>
          <w:tcPr>
            <w:tcW w:w="680" w:type="dxa"/>
            <w:vAlign w:val="bottom"/>
            <w:tcBorders>
              <w:bottom w:val="single" w:sz="8" w:color="0C479D"/>
            </w:tcBorders>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453</w:t>
            </w:r>
          </w:p>
        </w:tc>
        <w:tc>
          <w:tcPr>
            <w:tcW w:w="920" w:type="dxa"/>
            <w:vAlign w:val="bottom"/>
            <w:tcBorders>
              <w:bottom w:val="single" w:sz="8" w:color="0C479D"/>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200</w:t>
            </w:r>
          </w:p>
        </w:tc>
        <w:tc>
          <w:tcPr>
            <w:tcW w:w="6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378</w:t>
            </w:r>
          </w:p>
        </w:tc>
      </w:tr>
      <w:tr>
        <w:trPr>
          <w:trHeight w:val="250"/>
        </w:trPr>
        <w:tc>
          <w:tcPr>
            <w:tcW w:w="20" w:type="dxa"/>
            <w:vAlign w:val="bottom"/>
          </w:tcPr>
          <w:p>
            <w:pPr>
              <w:spacing w:after="0"/>
              <w:rPr>
                <w:sz w:val="21"/>
                <w:szCs w:val="21"/>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Capitalized for a period of between one and five years</w:t>
            </w:r>
          </w:p>
        </w:tc>
        <w:tc>
          <w:tcPr>
            <w:tcW w:w="680" w:type="dxa"/>
            <w:vAlign w:val="bottom"/>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color w:val="auto"/>
              </w:rPr>
              <w:t>583</w:t>
            </w: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1,030</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w:t>
            </w:r>
          </w:p>
        </w:tc>
      </w:tr>
      <w:tr>
        <w:trPr>
          <w:trHeight w:val="270"/>
        </w:trPr>
        <w:tc>
          <w:tcPr>
            <w:tcW w:w="20" w:type="dxa"/>
            <w:vAlign w:val="bottom"/>
          </w:tcPr>
          <w:p>
            <w:pPr>
              <w:spacing w:after="0"/>
              <w:rPr>
                <w:sz w:val="23"/>
                <w:szCs w:val="23"/>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Capitalized for a period of between five and ten years</w:t>
            </w:r>
          </w:p>
        </w:tc>
        <w:tc>
          <w:tcPr>
            <w:tcW w:w="680" w:type="dxa"/>
            <w:vAlign w:val="bottom"/>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color w:val="auto"/>
              </w:rPr>
              <w:t>1,544</w:t>
            </w: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1,411</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r>
      <w:tr>
        <w:trPr>
          <w:trHeight w:val="270"/>
        </w:trPr>
        <w:tc>
          <w:tcPr>
            <w:tcW w:w="20" w:type="dxa"/>
            <w:vAlign w:val="bottom"/>
          </w:tcPr>
          <w:p>
            <w:pPr>
              <w:spacing w:after="0"/>
              <w:rPr>
                <w:sz w:val="23"/>
                <w:szCs w:val="23"/>
                <w:color w:val="auto"/>
              </w:rPr>
            </w:pPr>
          </w:p>
        </w:tc>
        <w:tc>
          <w:tcPr>
            <w:tcW w:w="736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color w:val="auto"/>
              </w:rPr>
              <w:t>Capitalized for a period of greater than ten years</w:t>
            </w:r>
          </w:p>
        </w:tc>
        <w:tc>
          <w:tcPr>
            <w:tcW w:w="680" w:type="dxa"/>
            <w:vAlign w:val="bottom"/>
            <w:tcBorders>
              <w:bottom w:val="single" w:sz="8" w:color="0C479D"/>
            </w:tcBorders>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color w:val="auto"/>
              </w:rPr>
              <w:t>1,020</w:t>
            </w:r>
          </w:p>
        </w:tc>
        <w:tc>
          <w:tcPr>
            <w:tcW w:w="920" w:type="dxa"/>
            <w:vAlign w:val="bottom"/>
            <w:tcBorders>
              <w:bottom w:val="single" w:sz="8" w:color="0C479D"/>
            </w:tcBorders>
          </w:tcPr>
          <w:p>
            <w:pPr>
              <w:jc w:val="right"/>
              <w:ind w:right="132"/>
              <w:spacing w:after="0"/>
              <w:rPr>
                <w:sz w:val="20"/>
                <w:szCs w:val="20"/>
                <w:color w:val="auto"/>
              </w:rPr>
            </w:pPr>
            <w:r>
              <w:rPr>
                <w:rFonts w:ascii="Times New Roman" w:cs="Times New Roman" w:eastAsia="Times New Roman" w:hAnsi="Times New Roman"/>
                <w:sz w:val="18"/>
                <w:szCs w:val="18"/>
                <w:color w:val="auto"/>
              </w:rPr>
              <w:t>918</w:t>
            </w:r>
          </w:p>
        </w:tc>
        <w:tc>
          <w:tcPr>
            <w:tcW w:w="6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755</w:t>
            </w:r>
          </w:p>
        </w:tc>
      </w:tr>
      <w:tr>
        <w:trPr>
          <w:trHeight w:val="250"/>
        </w:trPr>
        <w:tc>
          <w:tcPr>
            <w:tcW w:w="20" w:type="dxa"/>
            <w:vAlign w:val="bottom"/>
          </w:tcPr>
          <w:p>
            <w:pPr>
              <w:spacing w:after="0"/>
              <w:rPr>
                <w:sz w:val="21"/>
                <w:szCs w:val="21"/>
                <w:color w:val="auto"/>
              </w:rPr>
            </w:pPr>
          </w:p>
        </w:tc>
        <w:tc>
          <w:tcPr>
            <w:tcW w:w="736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b w:val="1"/>
                <w:bCs w:val="1"/>
                <w:color w:val="auto"/>
              </w:rPr>
              <w:t>Capitalized for a period greater than one year - subtotal</w:t>
            </w:r>
          </w:p>
        </w:tc>
        <w:tc>
          <w:tcPr>
            <w:tcW w:w="680" w:type="dxa"/>
            <w:vAlign w:val="bottom"/>
            <w:tcBorders>
              <w:bottom w:val="single" w:sz="8" w:color="0C479D"/>
            </w:tcBorders>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3,147</w:t>
            </w:r>
          </w:p>
        </w:tc>
        <w:tc>
          <w:tcPr>
            <w:tcW w:w="920" w:type="dxa"/>
            <w:vAlign w:val="bottom"/>
            <w:tcBorders>
              <w:bottom w:val="single" w:sz="8" w:color="0C479D"/>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3,359</w:t>
            </w:r>
          </w:p>
        </w:tc>
        <w:tc>
          <w:tcPr>
            <w:tcW w:w="6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3,134</w:t>
            </w:r>
          </w:p>
        </w:tc>
      </w:tr>
      <w:tr>
        <w:trPr>
          <w:trHeight w:val="243"/>
        </w:trPr>
        <w:tc>
          <w:tcPr>
            <w:tcW w:w="20" w:type="dxa"/>
            <w:vAlign w:val="bottom"/>
          </w:tcPr>
          <w:p>
            <w:pPr>
              <w:spacing w:after="0"/>
              <w:rPr>
                <w:sz w:val="21"/>
                <w:szCs w:val="21"/>
                <w:color w:val="auto"/>
              </w:rPr>
            </w:pPr>
          </w:p>
        </w:tc>
        <w:tc>
          <w:tcPr>
            <w:tcW w:w="736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80" w:type="dxa"/>
            <w:vAlign w:val="bottom"/>
            <w:tcBorders>
              <w:bottom w:val="single" w:sz="8" w:color="0C479D"/>
            </w:tcBorders>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3,600</w:t>
            </w:r>
          </w:p>
        </w:tc>
        <w:tc>
          <w:tcPr>
            <w:tcW w:w="920" w:type="dxa"/>
            <w:vAlign w:val="bottom"/>
            <w:tcBorders>
              <w:bottom w:val="single" w:sz="8" w:color="0C479D"/>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3,559</w:t>
            </w:r>
          </w:p>
        </w:tc>
        <w:tc>
          <w:tcPr>
            <w:tcW w:w="6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3,512</w:t>
            </w:r>
          </w:p>
        </w:tc>
      </w:tr>
    </w:tbl>
    <w:p>
      <w:pPr>
        <w:spacing w:after="0" w:line="200" w:lineRule="exact"/>
        <w:rPr>
          <w:sz w:val="20"/>
          <w:szCs w:val="20"/>
          <w:color w:val="auto"/>
        </w:rPr>
      </w:pPr>
    </w:p>
    <w:p>
      <w:pPr>
        <w:spacing w:after="0" w:line="2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Exploration activity often involves drilling multiple wells, over a number of years, to fully evaluate a project. The table below provides a breakdown of the number of projects with only exploratory well costs capitalized for a period of one year or less and those that have had exploratory well costs capitalized for a period greater than one year.</w:t>
      </w:r>
    </w:p>
    <w:p>
      <w:pPr>
        <w:spacing w:after="0" w:line="100" w:lineRule="exact"/>
        <w:rPr>
          <w:sz w:val="20"/>
          <w:szCs w:val="20"/>
          <w:color w:val="auto"/>
        </w:rPr>
      </w:pPr>
    </w:p>
    <w:tbl>
      <w:tblPr>
        <w:tblLayout w:type="fixed"/>
        <w:tblInd w:w="800" w:type="dxa"/>
        <w:tblCellMar>
          <w:top w:w="0" w:type="dxa"/>
          <w:left w:w="0" w:type="dxa"/>
          <w:bottom w:w="0" w:type="dxa"/>
          <w:right w:w="0" w:type="dxa"/>
        </w:tblCellMar>
      </w:tblPr>
      <w:tr>
        <w:trPr>
          <w:trHeight w:val="250"/>
        </w:trPr>
        <w:tc>
          <w:tcPr>
            <w:tcW w:w="7420" w:type="dxa"/>
            <w:vAlign w:val="bottom"/>
            <w:tcBorders>
              <w:bottom w:val="single" w:sz="8" w:color="0C479D"/>
            </w:tcBorders>
            <w:shd w:val="clear" w:color="auto" w:fill="0C479D"/>
          </w:tcPr>
          <w:p>
            <w:pPr>
              <w:spacing w:after="0"/>
              <w:rPr>
                <w:sz w:val="21"/>
                <w:szCs w:val="21"/>
                <w:color w:val="auto"/>
              </w:rPr>
            </w:pPr>
          </w:p>
        </w:tc>
        <w:tc>
          <w:tcPr>
            <w:tcW w:w="660" w:type="dxa"/>
            <w:vAlign w:val="bottom"/>
            <w:tcBorders>
              <w:bottom w:val="single" w:sz="8" w:color="0C479D"/>
            </w:tcBorders>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1020" w:type="dxa"/>
            <w:vAlign w:val="bottom"/>
            <w:tcBorders>
              <w:bottom w:val="single" w:sz="8" w:color="0C479D"/>
            </w:tcBorders>
            <w:shd w:val="clear" w:color="auto" w:fill="0C479D"/>
          </w:tcPr>
          <w:p>
            <w:pPr>
              <w:jc w:val="center"/>
              <w:ind w:left="135"/>
              <w:spacing w:after="0"/>
              <w:rPr>
                <w:sz w:val="20"/>
                <w:szCs w:val="20"/>
                <w:color w:val="auto"/>
              </w:rPr>
            </w:pPr>
            <w:r>
              <w:rPr>
                <w:rFonts w:ascii="Times New Roman" w:cs="Times New Roman" w:eastAsia="Times New Roman" w:hAnsi="Times New Roman"/>
                <w:sz w:val="14"/>
                <w:szCs w:val="14"/>
                <w:b w:val="1"/>
                <w:bCs w:val="1"/>
                <w:color w:val="FFFFFF"/>
                <w:w w:val="99"/>
              </w:rPr>
              <w:t>2023</w:t>
            </w:r>
          </w:p>
        </w:tc>
        <w:tc>
          <w:tcPr>
            <w:tcW w:w="540" w:type="dxa"/>
            <w:vAlign w:val="bottom"/>
            <w:tcBorders>
              <w:bottom w:val="single" w:sz="8" w:color="0C479D"/>
            </w:tcBorders>
            <w:shd w:val="clear" w:color="auto" w:fill="0C479D"/>
          </w:tcPr>
          <w:p>
            <w:pPr>
              <w:jc w:val="center"/>
              <w:ind w:left="135"/>
              <w:spacing w:after="0"/>
              <w:rPr>
                <w:sz w:val="20"/>
                <w:szCs w:val="20"/>
                <w:color w:val="auto"/>
              </w:rPr>
            </w:pPr>
            <w:r>
              <w:rPr>
                <w:rFonts w:ascii="Times New Roman" w:cs="Times New Roman" w:eastAsia="Times New Roman" w:hAnsi="Times New Roman"/>
                <w:sz w:val="14"/>
                <w:szCs w:val="14"/>
                <w:b w:val="1"/>
                <w:bCs w:val="1"/>
                <w:color w:val="FFFFFF"/>
                <w:w w:val="99"/>
              </w:rPr>
              <w:t>2022</w:t>
            </w:r>
          </w:p>
        </w:tc>
      </w:tr>
      <w:tr>
        <w:trPr>
          <w:trHeight w:val="365"/>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projects that only have exploratory well costs capitalized for a period of one year or less</w:t>
            </w:r>
          </w:p>
        </w:tc>
        <w:tc>
          <w:tcPr>
            <w:tcW w:w="6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20" w:type="dxa"/>
            <w:vAlign w:val="bottom"/>
          </w:tcPr>
          <w:p>
            <w:pPr>
              <w:jc w:val="center"/>
              <w:ind w:left="115"/>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Pr>
          <w:p>
            <w:pPr>
              <w:jc w:val="center"/>
              <w:ind w:left="115"/>
              <w:spacing w:after="0"/>
              <w:rPr>
                <w:sz w:val="20"/>
                <w:szCs w:val="20"/>
                <w:color w:val="auto"/>
              </w:rPr>
            </w:pPr>
            <w:r>
              <w:rPr>
                <w:rFonts w:ascii="Times New Roman" w:cs="Times New Roman" w:eastAsia="Times New Roman" w:hAnsi="Times New Roman"/>
                <w:sz w:val="18"/>
                <w:szCs w:val="18"/>
                <w:color w:val="auto"/>
                <w:w w:val="99"/>
              </w:rPr>
              <w:t>10</w:t>
            </w:r>
          </w:p>
        </w:tc>
      </w:tr>
      <w:tr>
        <w:trPr>
          <w:trHeight w:val="270"/>
        </w:trPr>
        <w:tc>
          <w:tcPr>
            <w:tcW w:w="742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Number of projects that have exploratory well costs capitalized for a period greater than one year</w:t>
            </w:r>
          </w:p>
        </w:tc>
        <w:tc>
          <w:tcPr>
            <w:tcW w:w="6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20" w:type="dxa"/>
            <w:vAlign w:val="bottom"/>
            <w:tcBorders>
              <w:bottom w:val="single" w:sz="8" w:color="0C479D"/>
            </w:tcBorders>
          </w:tcPr>
          <w:p>
            <w:pPr>
              <w:jc w:val="center"/>
              <w:ind w:left="115"/>
              <w:spacing w:after="0"/>
              <w:rPr>
                <w:sz w:val="20"/>
                <w:szCs w:val="20"/>
                <w:color w:val="auto"/>
              </w:rPr>
            </w:pPr>
            <w:r>
              <w:rPr>
                <w:rFonts w:ascii="Times New Roman" w:cs="Times New Roman" w:eastAsia="Times New Roman" w:hAnsi="Times New Roman"/>
                <w:sz w:val="18"/>
                <w:szCs w:val="18"/>
                <w:color w:val="auto"/>
                <w:w w:val="99"/>
              </w:rPr>
              <w:t>31</w:t>
            </w:r>
          </w:p>
        </w:tc>
        <w:tc>
          <w:tcPr>
            <w:tcW w:w="540" w:type="dxa"/>
            <w:vAlign w:val="bottom"/>
            <w:tcBorders>
              <w:bottom w:val="single" w:sz="8" w:color="0C479D"/>
            </w:tcBorders>
          </w:tcPr>
          <w:p>
            <w:pPr>
              <w:jc w:val="center"/>
              <w:ind w:left="115"/>
              <w:spacing w:after="0"/>
              <w:rPr>
                <w:sz w:val="20"/>
                <w:szCs w:val="20"/>
                <w:color w:val="auto"/>
              </w:rPr>
            </w:pPr>
            <w:r>
              <w:rPr>
                <w:rFonts w:ascii="Times New Roman" w:cs="Times New Roman" w:eastAsia="Times New Roman" w:hAnsi="Times New Roman"/>
                <w:sz w:val="18"/>
                <w:szCs w:val="18"/>
                <w:color w:val="auto"/>
                <w:w w:val="99"/>
              </w:rPr>
              <w:t>26</w:t>
            </w:r>
          </w:p>
        </w:tc>
      </w:tr>
      <w:tr>
        <w:trPr>
          <w:trHeight w:val="243"/>
        </w:trPr>
        <w:tc>
          <w:tcPr>
            <w:tcW w:w="742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1020" w:type="dxa"/>
            <w:vAlign w:val="bottom"/>
            <w:tcBorders>
              <w:bottom w:val="single" w:sz="8" w:color="0C479D"/>
            </w:tcBorders>
          </w:tcPr>
          <w:p>
            <w:pPr>
              <w:jc w:val="center"/>
              <w:ind w:left="115"/>
              <w:spacing w:after="0"/>
              <w:rPr>
                <w:sz w:val="20"/>
                <w:szCs w:val="20"/>
                <w:color w:val="auto"/>
              </w:rPr>
            </w:pPr>
            <w:r>
              <w:rPr>
                <w:rFonts w:ascii="Times New Roman" w:cs="Times New Roman" w:eastAsia="Times New Roman" w:hAnsi="Times New Roman"/>
                <w:sz w:val="18"/>
                <w:szCs w:val="18"/>
                <w:b w:val="1"/>
                <w:bCs w:val="1"/>
                <w:color w:val="auto"/>
                <w:w w:val="99"/>
              </w:rPr>
              <w:t>31</w:t>
            </w:r>
          </w:p>
        </w:tc>
        <w:tc>
          <w:tcPr>
            <w:tcW w:w="540" w:type="dxa"/>
            <w:vAlign w:val="bottom"/>
            <w:tcBorders>
              <w:bottom w:val="single" w:sz="8" w:color="0C479D"/>
            </w:tcBorders>
          </w:tcPr>
          <w:p>
            <w:pPr>
              <w:jc w:val="center"/>
              <w:ind w:left="115"/>
              <w:spacing w:after="0"/>
              <w:rPr>
                <w:sz w:val="20"/>
                <w:szCs w:val="20"/>
                <w:color w:val="auto"/>
              </w:rPr>
            </w:pPr>
            <w:r>
              <w:rPr>
                <w:rFonts w:ascii="Times New Roman" w:cs="Times New Roman" w:eastAsia="Times New Roman" w:hAnsi="Times New Roman"/>
                <w:sz w:val="18"/>
                <w:szCs w:val="18"/>
                <w:b w:val="1"/>
                <w:bCs w:val="1"/>
                <w:color w:val="auto"/>
                <w:w w:val="99"/>
              </w:rPr>
              <w:t>36</w:t>
            </w:r>
          </w:p>
        </w:tc>
      </w:tr>
    </w:tbl>
    <w:p>
      <w:pPr>
        <w:spacing w:after="0" w:line="200" w:lineRule="exact"/>
        <w:rPr>
          <w:sz w:val="20"/>
          <w:szCs w:val="20"/>
          <w:color w:val="auto"/>
        </w:rPr>
      </w:pPr>
    </w:p>
    <w:p>
      <w:pPr>
        <w:spacing w:after="0" w:line="2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 the 24 projects that have exploratory well costs capitalized for a period greater than one year as of December 31, 2024, 11 projects have drilling in the preceding year or exploratory activity planned in the next two years, while the remaining 13 projects are those with completed exploratory activity. These projects are currently being progressed toward development, including evaluation to tie into existing infrastructure, awaiting capacity and aligning with the respective governments for development plans.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22"/>
          <w:szCs w:val="22"/>
          <w:b w:val="1"/>
          <w:bCs w:val="1"/>
          <w:color w:val="0C479D"/>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C479D"/>
        </w:rPr>
        <w:t>Note 11. Leases</w:t>
      </w:r>
    </w:p>
    <w:p>
      <w:pPr>
        <w:spacing w:after="0" w:line="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Corporation and its consolidated affiliates generally purchase the property, plant and equipment used in operations, but there are situations where assets are leased, primarily for drilling equipment, tankers, office buildings, railcars, and other moveable equipment. Right of use assets and lease liabilities are established on the balance sheet for leases with an expected term greater than one year by discounting the amounts fixed in the lease agreement for the duration of the lease which is reasonably certain, considering the probability of exercising any early termination and extension options. The portion of the fixed payment related to service costs for drilling equipment, tankers, and finance leases is excluded from the calculation of right of use assets and lease liabilities. Generally, assets are leased only for a portion of their useful lives and are accounted for as operating leases. In limited situations, assets are leased for nearly all of their useful lives and are accounted for as finance leases.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Variable payments under these lease agreements are not significant. Residual value guarantees, restrictions, or covenants related to leases, and transactions with related parties are also not significant. In general, leases are capitalized using the incremental borrowing rate of the leasing affiliate. The Corporation’s activities as a lessor are not significant.</w:t>
      </w:r>
    </w:p>
    <w:p>
      <w:pPr>
        <w:spacing w:after="0" w:line="140" w:lineRule="exact"/>
        <w:rPr>
          <w:sz w:val="20"/>
          <w:szCs w:val="20"/>
          <w:color w:val="auto"/>
        </w:rPr>
      </w:pPr>
    </w:p>
    <w:tbl>
      <w:tblPr>
        <w:tblLayout w:type="fixed"/>
        <w:tblInd w:w="800" w:type="dxa"/>
        <w:tblCellMar>
          <w:top w:w="0" w:type="dxa"/>
          <w:left w:w="0" w:type="dxa"/>
          <w:bottom w:w="0" w:type="dxa"/>
          <w:right w:w="0" w:type="dxa"/>
        </w:tblCellMar>
      </w:tblPr>
      <w:tr>
        <w:trPr>
          <w:trHeight w:val="259"/>
        </w:trPr>
        <w:tc>
          <w:tcPr>
            <w:tcW w:w="3920" w:type="dxa"/>
            <w:vAlign w:val="bottom"/>
            <w:shd w:val="clear" w:color="auto" w:fill="0C479D"/>
          </w:tcPr>
          <w:p>
            <w:pPr>
              <w:spacing w:after="0"/>
              <w:rPr>
                <w:sz w:val="20"/>
                <w:szCs w:val="20"/>
                <w:color w:val="auto"/>
              </w:rPr>
            </w:pPr>
            <w:r>
              <w:rPr>
                <w:rFonts w:ascii="Times New Roman" w:cs="Times New Roman" w:eastAsia="Times New Roman" w:hAnsi="Times New Roman"/>
                <w:sz w:val="18"/>
                <w:szCs w:val="18"/>
                <w:b w:val="1"/>
                <w:bCs w:val="1"/>
                <w:color w:val="FFFFFF"/>
              </w:rPr>
              <w:t>Lease Cost</w:t>
            </w:r>
          </w:p>
        </w:tc>
        <w:tc>
          <w:tcPr>
            <w:tcW w:w="160" w:type="dxa"/>
            <w:vAlign w:val="bottom"/>
          </w:tcPr>
          <w:p>
            <w:pPr>
              <w:spacing w:after="0"/>
              <w:rPr>
                <w:sz w:val="22"/>
                <w:szCs w:val="22"/>
                <w:color w:val="auto"/>
              </w:rPr>
            </w:pPr>
          </w:p>
        </w:tc>
        <w:tc>
          <w:tcPr>
            <w:tcW w:w="820" w:type="dxa"/>
            <w:vAlign w:val="bottom"/>
            <w:shd w:val="clear" w:color="auto" w:fill="0C479D"/>
          </w:tcPr>
          <w:p>
            <w:pPr>
              <w:spacing w:after="0"/>
              <w:rPr>
                <w:sz w:val="22"/>
                <w:szCs w:val="22"/>
                <w:color w:val="auto"/>
              </w:rPr>
            </w:pPr>
          </w:p>
        </w:tc>
        <w:tc>
          <w:tcPr>
            <w:tcW w:w="1260" w:type="dxa"/>
            <w:vAlign w:val="bottom"/>
            <w:shd w:val="clear" w:color="auto" w:fill="0C479D"/>
          </w:tcPr>
          <w:p>
            <w:pPr>
              <w:jc w:val="right"/>
              <w:ind w:right="97"/>
              <w:spacing w:after="0"/>
              <w:rPr>
                <w:sz w:val="20"/>
                <w:szCs w:val="20"/>
                <w:color w:val="auto"/>
              </w:rPr>
            </w:pPr>
            <w:r>
              <w:rPr>
                <w:rFonts w:ascii="Times New Roman" w:cs="Times New Roman" w:eastAsia="Times New Roman" w:hAnsi="Times New Roman"/>
                <w:sz w:val="14"/>
                <w:szCs w:val="14"/>
                <w:b w:val="1"/>
                <w:bCs w:val="1"/>
                <w:color w:val="FFFFFF"/>
              </w:rPr>
              <w:t>Operating Leases</w:t>
            </w:r>
          </w:p>
        </w:tc>
        <w:tc>
          <w:tcPr>
            <w:tcW w:w="660" w:type="dxa"/>
            <w:vAlign w:val="bottom"/>
            <w:shd w:val="clear" w:color="auto" w:fill="0C479D"/>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shd w:val="clear" w:color="auto" w:fill="0C479D"/>
          </w:tcPr>
          <w:p>
            <w:pPr>
              <w:spacing w:after="0"/>
              <w:rPr>
                <w:sz w:val="22"/>
                <w:szCs w:val="22"/>
                <w:color w:val="auto"/>
              </w:rPr>
            </w:pPr>
          </w:p>
        </w:tc>
        <w:tc>
          <w:tcPr>
            <w:tcW w:w="1240" w:type="dxa"/>
            <w:vAlign w:val="bottom"/>
            <w:shd w:val="clear" w:color="auto" w:fill="0C479D"/>
          </w:tcPr>
          <w:p>
            <w:pPr>
              <w:jc w:val="right"/>
              <w:ind w:right="177"/>
              <w:spacing w:after="0"/>
              <w:rPr>
                <w:sz w:val="20"/>
                <w:szCs w:val="20"/>
                <w:color w:val="auto"/>
              </w:rPr>
            </w:pPr>
            <w:r>
              <w:rPr>
                <w:rFonts w:ascii="Times New Roman" w:cs="Times New Roman" w:eastAsia="Times New Roman" w:hAnsi="Times New Roman"/>
                <w:sz w:val="14"/>
                <w:szCs w:val="14"/>
                <w:b w:val="1"/>
                <w:bCs w:val="1"/>
                <w:color w:val="FFFFFF"/>
              </w:rPr>
              <w:t>Finance Leases</w:t>
            </w:r>
          </w:p>
        </w:tc>
        <w:tc>
          <w:tcPr>
            <w:tcW w:w="640" w:type="dxa"/>
            <w:vAlign w:val="bottom"/>
            <w:shd w:val="clear" w:color="auto" w:fill="0C479D"/>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3920" w:type="dxa"/>
            <w:vAlign w:val="bottom"/>
            <w:shd w:val="clear" w:color="auto" w:fill="0C479D"/>
          </w:tcPr>
          <w:p>
            <w:pPr>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160" w:type="dxa"/>
            <w:vAlign w:val="bottom"/>
          </w:tcPr>
          <w:p>
            <w:pPr>
              <w:spacing w:after="0"/>
              <w:rPr>
                <w:sz w:val="16"/>
                <w:szCs w:val="16"/>
                <w:color w:val="auto"/>
              </w:rPr>
            </w:pPr>
          </w:p>
        </w:tc>
        <w:tc>
          <w:tcPr>
            <w:tcW w:w="820" w:type="dxa"/>
            <w:vAlign w:val="bottom"/>
            <w:vMerge w:val="restart"/>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1260" w:type="dxa"/>
            <w:vAlign w:val="bottom"/>
            <w:vMerge w:val="restart"/>
            <w:shd w:val="clear" w:color="auto" w:fill="0C479D"/>
          </w:tcPr>
          <w:p>
            <w:pPr>
              <w:jc w:val="right"/>
              <w:ind w:right="237"/>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660" w:type="dxa"/>
            <w:vAlign w:val="bottom"/>
            <w:vMerge w:val="restart"/>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2022</w:t>
            </w:r>
          </w:p>
        </w:tc>
        <w:tc>
          <w:tcPr>
            <w:tcW w:w="160" w:type="dxa"/>
            <w:vAlign w:val="bottom"/>
          </w:tcPr>
          <w:p>
            <w:pPr>
              <w:spacing w:after="0"/>
              <w:rPr>
                <w:sz w:val="16"/>
                <w:szCs w:val="16"/>
                <w:color w:val="auto"/>
              </w:rPr>
            </w:pPr>
          </w:p>
        </w:tc>
        <w:tc>
          <w:tcPr>
            <w:tcW w:w="820" w:type="dxa"/>
            <w:vAlign w:val="bottom"/>
            <w:vMerge w:val="restart"/>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1240" w:type="dxa"/>
            <w:vAlign w:val="bottom"/>
            <w:vMerge w:val="restart"/>
            <w:shd w:val="clear" w:color="auto" w:fill="0C479D"/>
          </w:tcPr>
          <w:p>
            <w:pPr>
              <w:jc w:val="right"/>
              <w:ind w:right="257"/>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640" w:type="dxa"/>
            <w:vAlign w:val="bottom"/>
            <w:vMerge w:val="restart"/>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2022</w:t>
            </w:r>
          </w:p>
        </w:tc>
        <w:tc>
          <w:tcPr>
            <w:tcW w:w="0" w:type="dxa"/>
            <w:vAlign w:val="bottom"/>
          </w:tcPr>
          <w:p>
            <w:pPr>
              <w:spacing w:after="0"/>
              <w:rPr>
                <w:sz w:val="1"/>
                <w:szCs w:val="1"/>
                <w:color w:val="auto"/>
              </w:rPr>
            </w:pPr>
          </w:p>
        </w:tc>
      </w:tr>
      <w:tr>
        <w:trPr>
          <w:trHeight w:val="71"/>
        </w:trPr>
        <w:tc>
          <w:tcPr>
            <w:tcW w:w="3920" w:type="dxa"/>
            <w:vAlign w:val="bottom"/>
            <w:tcBorders>
              <w:bottom w:val="single" w:sz="8" w:color="0C479D"/>
            </w:tcBorders>
            <w:shd w:val="clear" w:color="auto" w:fill="0C479D"/>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Borders>
              <w:bottom w:val="single" w:sz="8" w:color="0C479D"/>
            </w:tcBorders>
            <w:vMerge w:val="continue"/>
            <w:shd w:val="clear" w:color="auto" w:fill="0C479D"/>
          </w:tcPr>
          <w:p>
            <w:pPr>
              <w:spacing w:after="0"/>
              <w:rPr>
                <w:sz w:val="6"/>
                <w:szCs w:val="6"/>
                <w:color w:val="auto"/>
              </w:rPr>
            </w:pPr>
          </w:p>
        </w:tc>
        <w:tc>
          <w:tcPr>
            <w:tcW w:w="1260" w:type="dxa"/>
            <w:vAlign w:val="bottom"/>
            <w:tcBorders>
              <w:bottom w:val="single" w:sz="8" w:color="0C479D"/>
            </w:tcBorders>
            <w:vMerge w:val="continue"/>
            <w:shd w:val="clear" w:color="auto" w:fill="0C479D"/>
          </w:tcPr>
          <w:p>
            <w:pPr>
              <w:spacing w:after="0"/>
              <w:rPr>
                <w:sz w:val="6"/>
                <w:szCs w:val="6"/>
                <w:color w:val="auto"/>
              </w:rPr>
            </w:pPr>
          </w:p>
        </w:tc>
        <w:tc>
          <w:tcPr>
            <w:tcW w:w="660" w:type="dxa"/>
            <w:vAlign w:val="bottom"/>
            <w:tcBorders>
              <w:bottom w:val="single" w:sz="8" w:color="0C479D"/>
            </w:tcBorders>
            <w:vMerge w:val="continue"/>
            <w:shd w:val="clear" w:color="auto" w:fill="0C479D"/>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Borders>
              <w:bottom w:val="single" w:sz="8" w:color="0C479D"/>
            </w:tcBorders>
            <w:vMerge w:val="continue"/>
            <w:shd w:val="clear" w:color="auto" w:fill="0C479D"/>
          </w:tcPr>
          <w:p>
            <w:pPr>
              <w:spacing w:after="0"/>
              <w:rPr>
                <w:sz w:val="6"/>
                <w:szCs w:val="6"/>
                <w:color w:val="auto"/>
              </w:rPr>
            </w:pPr>
          </w:p>
        </w:tc>
        <w:tc>
          <w:tcPr>
            <w:tcW w:w="1240" w:type="dxa"/>
            <w:vAlign w:val="bottom"/>
            <w:tcBorders>
              <w:bottom w:val="single" w:sz="8" w:color="0C479D"/>
            </w:tcBorders>
            <w:vMerge w:val="continue"/>
            <w:shd w:val="clear" w:color="auto" w:fill="0C479D"/>
          </w:tcPr>
          <w:p>
            <w:pPr>
              <w:spacing w:after="0"/>
              <w:rPr>
                <w:sz w:val="6"/>
                <w:szCs w:val="6"/>
                <w:color w:val="auto"/>
              </w:rPr>
            </w:pPr>
          </w:p>
        </w:tc>
        <w:tc>
          <w:tcPr>
            <w:tcW w:w="640" w:type="dxa"/>
            <w:vAlign w:val="bottom"/>
            <w:tcBorders>
              <w:bottom w:val="single" w:sz="8" w:color="0C479D"/>
            </w:tcBorders>
            <w:vMerge w:val="continue"/>
            <w:shd w:val="clear" w:color="auto" w:fill="0C479D"/>
          </w:tcPr>
          <w:p>
            <w:pPr>
              <w:spacing w:after="0"/>
              <w:rPr>
                <w:sz w:val="6"/>
                <w:szCs w:val="6"/>
                <w:color w:val="auto"/>
              </w:rPr>
            </w:pPr>
          </w:p>
        </w:tc>
        <w:tc>
          <w:tcPr>
            <w:tcW w:w="0" w:type="dxa"/>
            <w:vAlign w:val="bottom"/>
          </w:tcPr>
          <w:p>
            <w:pPr>
              <w:spacing w:after="0"/>
              <w:rPr>
                <w:sz w:val="1"/>
                <w:szCs w:val="1"/>
                <w:color w:val="auto"/>
              </w:rPr>
            </w:pPr>
          </w:p>
        </w:tc>
      </w:tr>
      <w:tr>
        <w:trPr>
          <w:trHeight w:val="527"/>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60" w:type="dxa"/>
            <w:vAlign w:val="bottom"/>
          </w:tcPr>
          <w:p>
            <w:pPr>
              <w:spacing w:after="0"/>
              <w:rPr>
                <w:sz w:val="24"/>
                <w:szCs w:val="24"/>
                <w:color w:val="auto"/>
              </w:rPr>
            </w:pPr>
          </w:p>
        </w:tc>
        <w:tc>
          <w:tcPr>
            <w:tcW w:w="8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1260" w:type="dxa"/>
            <w:vAlign w:val="bottom"/>
          </w:tcPr>
          <w:p>
            <w:pPr>
              <w:jc w:val="right"/>
              <w:ind w:right="297"/>
              <w:spacing w:after="0"/>
              <w:rPr>
                <w:sz w:val="20"/>
                <w:szCs w:val="20"/>
                <w:color w:val="auto"/>
              </w:rPr>
            </w:pPr>
            <w:r>
              <w:rPr>
                <w:rFonts w:ascii="Times New Roman" w:cs="Times New Roman" w:eastAsia="Times New Roman" w:hAnsi="Times New Roman"/>
                <w:sz w:val="18"/>
                <w:szCs w:val="18"/>
                <w:color w:val="auto"/>
              </w:rPr>
              <w:t>1,976</w:t>
            </w: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1,776</w:t>
            </w:r>
          </w:p>
        </w:tc>
        <w:tc>
          <w:tcPr>
            <w:tcW w:w="160" w:type="dxa"/>
            <w:vAlign w:val="bottom"/>
          </w:tcPr>
          <w:p>
            <w:pPr>
              <w:spacing w:after="0"/>
              <w:rPr>
                <w:sz w:val="24"/>
                <w:szCs w:val="24"/>
                <w:color w:val="auto"/>
              </w:rPr>
            </w:pPr>
          </w:p>
        </w:tc>
        <w:tc>
          <w:tcPr>
            <w:tcW w:w="820" w:type="dxa"/>
            <w:vAlign w:val="bottom"/>
            <w:shd w:val="clear" w:color="auto" w:fill="F0F0F0"/>
          </w:tcPr>
          <w:p>
            <w:pPr>
              <w:spacing w:after="0"/>
              <w:rPr>
                <w:sz w:val="24"/>
                <w:szCs w:val="24"/>
                <w:color w:val="auto"/>
              </w:rPr>
            </w:pP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Short-term and other (net of sublease rental income)</w:t>
            </w:r>
          </w:p>
        </w:tc>
        <w:tc>
          <w:tcPr>
            <w:tcW w:w="160" w:type="dxa"/>
            <w:vAlign w:val="bottom"/>
          </w:tcPr>
          <w:p>
            <w:pPr>
              <w:spacing w:after="0"/>
              <w:rPr>
                <w:sz w:val="23"/>
                <w:szCs w:val="23"/>
                <w:color w:val="auto"/>
              </w:rPr>
            </w:pPr>
          </w:p>
        </w:tc>
        <w:tc>
          <w:tcPr>
            <w:tcW w:w="8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1260" w:type="dxa"/>
            <w:vAlign w:val="bottom"/>
          </w:tcPr>
          <w:p>
            <w:pPr>
              <w:jc w:val="right"/>
              <w:ind w:right="297"/>
              <w:spacing w:after="0"/>
              <w:rPr>
                <w:sz w:val="20"/>
                <w:szCs w:val="20"/>
                <w:color w:val="auto"/>
              </w:rPr>
            </w:pPr>
            <w:r>
              <w:rPr>
                <w:rFonts w:ascii="Times New Roman" w:cs="Times New Roman" w:eastAsia="Times New Roman" w:hAnsi="Times New Roman"/>
                <w:sz w:val="18"/>
                <w:szCs w:val="18"/>
                <w:color w:val="auto"/>
              </w:rPr>
              <w:t>1,563</w:t>
            </w:r>
          </w:p>
        </w:tc>
        <w:tc>
          <w:tcPr>
            <w:tcW w:w="6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1,389</w:t>
            </w:r>
          </w:p>
        </w:tc>
        <w:tc>
          <w:tcPr>
            <w:tcW w:w="160" w:type="dxa"/>
            <w:vAlign w:val="bottom"/>
          </w:tcPr>
          <w:p>
            <w:pPr>
              <w:spacing w:after="0"/>
              <w:rPr>
                <w:sz w:val="23"/>
                <w:szCs w:val="23"/>
                <w:color w:val="auto"/>
              </w:rPr>
            </w:pPr>
          </w:p>
        </w:tc>
        <w:tc>
          <w:tcPr>
            <w:tcW w:w="820" w:type="dxa"/>
            <w:vAlign w:val="bottom"/>
            <w:shd w:val="clear" w:color="auto" w:fill="F0F0F0"/>
          </w:tcPr>
          <w:p>
            <w:pPr>
              <w:spacing w:after="0"/>
              <w:rPr>
                <w:sz w:val="23"/>
                <w:szCs w:val="23"/>
                <w:color w:val="auto"/>
              </w:rPr>
            </w:pPr>
          </w:p>
        </w:tc>
        <w:tc>
          <w:tcPr>
            <w:tcW w:w="12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right of use assets</w:t>
            </w:r>
          </w:p>
        </w:tc>
        <w:tc>
          <w:tcPr>
            <w:tcW w:w="160" w:type="dxa"/>
            <w:vAlign w:val="bottom"/>
          </w:tcPr>
          <w:p>
            <w:pPr>
              <w:spacing w:after="0"/>
              <w:rPr>
                <w:sz w:val="23"/>
                <w:szCs w:val="23"/>
                <w:color w:val="auto"/>
              </w:rPr>
            </w:pPr>
          </w:p>
        </w:tc>
        <w:tc>
          <w:tcPr>
            <w:tcW w:w="820" w:type="dxa"/>
            <w:vAlign w:val="bottom"/>
            <w:shd w:val="clear" w:color="auto" w:fill="F0F0F0"/>
          </w:tcPr>
          <w:p>
            <w:pPr>
              <w:spacing w:after="0"/>
              <w:rPr>
                <w:sz w:val="23"/>
                <w:szCs w:val="23"/>
                <w:color w:val="auto"/>
              </w:rPr>
            </w:pPr>
          </w:p>
        </w:tc>
        <w:tc>
          <w:tcPr>
            <w:tcW w:w="1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shd w:val="clear" w:color="auto" w:fill="F0F0F0"/>
          </w:tcPr>
          <w:p>
            <w:pPr>
              <w:jc w:val="right"/>
              <w:ind w:right="15"/>
              <w:spacing w:after="0"/>
              <w:rPr>
                <w:sz w:val="20"/>
                <w:szCs w:val="20"/>
                <w:color w:val="auto"/>
              </w:rPr>
            </w:pPr>
            <w:r>
              <w:rPr>
                <w:rFonts w:ascii="Times New Roman" w:cs="Times New Roman" w:eastAsia="Times New Roman" w:hAnsi="Times New Roman"/>
                <w:sz w:val="18"/>
                <w:szCs w:val="18"/>
                <w:color w:val="auto"/>
              </w:rPr>
              <w:t>140</w:t>
            </w:r>
          </w:p>
        </w:tc>
        <w:tc>
          <w:tcPr>
            <w:tcW w:w="1240" w:type="dxa"/>
            <w:vAlign w:val="bottom"/>
          </w:tcPr>
          <w:p>
            <w:pPr>
              <w:jc w:val="right"/>
              <w:ind w:right="317"/>
              <w:spacing w:after="0"/>
              <w:rPr>
                <w:sz w:val="20"/>
                <w:szCs w:val="20"/>
                <w:color w:val="auto"/>
              </w:rPr>
            </w:pPr>
            <w:r>
              <w:rPr>
                <w:rFonts w:ascii="Times New Roman" w:cs="Times New Roman" w:eastAsia="Times New Roman" w:hAnsi="Times New Roman"/>
                <w:sz w:val="18"/>
                <w:szCs w:val="18"/>
                <w:color w:val="auto"/>
              </w:rPr>
              <w:t>107</w:t>
            </w:r>
          </w:p>
        </w:tc>
        <w:tc>
          <w:tcPr>
            <w:tcW w:w="6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70"/>
        </w:trPr>
        <w:tc>
          <w:tcPr>
            <w:tcW w:w="392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60" w:type="dxa"/>
            <w:vAlign w:val="bottom"/>
            <w:tcBorders>
              <w:bottom w:val="single" w:sz="8" w:color="0C479D"/>
            </w:tcBorders>
          </w:tcPr>
          <w:p>
            <w:pPr>
              <w:spacing w:after="0"/>
              <w:rPr>
                <w:sz w:val="23"/>
                <w:szCs w:val="23"/>
                <w:color w:val="auto"/>
              </w:rPr>
            </w:pPr>
          </w:p>
        </w:tc>
        <w:tc>
          <w:tcPr>
            <w:tcW w:w="820" w:type="dxa"/>
            <w:vAlign w:val="bottom"/>
            <w:tcBorders>
              <w:bottom w:val="single" w:sz="8" w:color="0C479D"/>
            </w:tcBorders>
            <w:shd w:val="clear" w:color="auto" w:fill="F0F0F0"/>
          </w:tcPr>
          <w:p>
            <w:pPr>
              <w:spacing w:after="0"/>
              <w:rPr>
                <w:sz w:val="23"/>
                <w:szCs w:val="23"/>
                <w:color w:val="auto"/>
              </w:rPr>
            </w:pPr>
          </w:p>
        </w:tc>
        <w:tc>
          <w:tcPr>
            <w:tcW w:w="1260" w:type="dxa"/>
            <w:vAlign w:val="bottom"/>
            <w:tcBorders>
              <w:bottom w:val="single" w:sz="8" w:color="0C479D"/>
            </w:tcBorders>
          </w:tcPr>
          <w:p>
            <w:pPr>
              <w:spacing w:after="0"/>
              <w:rPr>
                <w:sz w:val="23"/>
                <w:szCs w:val="23"/>
                <w:color w:val="auto"/>
              </w:rPr>
            </w:pPr>
          </w:p>
        </w:tc>
        <w:tc>
          <w:tcPr>
            <w:tcW w:w="660" w:type="dxa"/>
            <w:vAlign w:val="bottom"/>
            <w:tcBorders>
              <w:bottom w:val="single" w:sz="8" w:color="0C479D"/>
            </w:tcBorders>
          </w:tcPr>
          <w:p>
            <w:pPr>
              <w:spacing w:after="0"/>
              <w:rPr>
                <w:sz w:val="23"/>
                <w:szCs w:val="23"/>
                <w:color w:val="auto"/>
              </w:rPr>
            </w:pPr>
          </w:p>
        </w:tc>
        <w:tc>
          <w:tcPr>
            <w:tcW w:w="160" w:type="dxa"/>
            <w:vAlign w:val="bottom"/>
            <w:tcBorders>
              <w:bottom w:val="single" w:sz="8" w:color="0C479D"/>
            </w:tcBorders>
          </w:tcPr>
          <w:p>
            <w:pPr>
              <w:spacing w:after="0"/>
              <w:rPr>
                <w:sz w:val="23"/>
                <w:szCs w:val="23"/>
                <w:color w:val="auto"/>
              </w:rPr>
            </w:pPr>
          </w:p>
        </w:tc>
        <w:tc>
          <w:tcPr>
            <w:tcW w:w="820" w:type="dxa"/>
            <w:vAlign w:val="bottom"/>
            <w:tcBorders>
              <w:bottom w:val="single" w:sz="8" w:color="0C479D"/>
            </w:tcBorders>
            <w:shd w:val="clear" w:color="auto" w:fill="F0F0F0"/>
          </w:tcPr>
          <w:p>
            <w:pPr>
              <w:jc w:val="right"/>
              <w:ind w:right="15"/>
              <w:spacing w:after="0"/>
              <w:rPr>
                <w:sz w:val="20"/>
                <w:szCs w:val="20"/>
                <w:color w:val="auto"/>
              </w:rPr>
            </w:pPr>
            <w:r>
              <w:rPr>
                <w:rFonts w:ascii="Times New Roman" w:cs="Times New Roman" w:eastAsia="Times New Roman" w:hAnsi="Times New Roman"/>
                <w:sz w:val="18"/>
                <w:szCs w:val="18"/>
                <w:color w:val="auto"/>
              </w:rPr>
              <w:t>149</w:t>
            </w:r>
          </w:p>
        </w:tc>
        <w:tc>
          <w:tcPr>
            <w:tcW w:w="1240" w:type="dxa"/>
            <w:vAlign w:val="bottom"/>
            <w:tcBorders>
              <w:bottom w:val="single" w:sz="8" w:color="0C479D"/>
            </w:tcBorders>
          </w:tcPr>
          <w:p>
            <w:pPr>
              <w:jc w:val="right"/>
              <w:ind w:right="317"/>
              <w:spacing w:after="0"/>
              <w:rPr>
                <w:sz w:val="20"/>
                <w:szCs w:val="20"/>
                <w:color w:val="auto"/>
              </w:rPr>
            </w:pPr>
            <w:r>
              <w:rPr>
                <w:rFonts w:ascii="Times New Roman" w:cs="Times New Roman" w:eastAsia="Times New Roman" w:hAnsi="Times New Roman"/>
                <w:sz w:val="18"/>
                <w:szCs w:val="18"/>
                <w:color w:val="auto"/>
              </w:rPr>
              <w:t>140</w:t>
            </w:r>
          </w:p>
        </w:tc>
        <w:tc>
          <w:tcPr>
            <w:tcW w:w="640" w:type="dxa"/>
            <w:vAlign w:val="bottom"/>
            <w:tcBorders>
              <w:bottom w:val="single" w:sz="8" w:color="0C479D"/>
            </w:tcBorders>
          </w:tcPr>
          <w:p>
            <w:pPr>
              <w:jc w:val="right"/>
              <w:ind w:right="15"/>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43"/>
        </w:trPr>
        <w:tc>
          <w:tcPr>
            <w:tcW w:w="392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b w:val="1"/>
                <w:bCs w:val="1"/>
                <w:color w:val="auto"/>
              </w:rPr>
              <w:t xml:space="preserve">Total </w:t>
            </w:r>
            <w:r>
              <w:rPr>
                <w:rFonts w:ascii="Times New Roman" w:cs="Times New Roman" w:eastAsia="Times New Roman" w:hAnsi="Times New Roman"/>
                <w:sz w:val="9"/>
                <w:szCs w:val="9"/>
                <w:i w:val="1"/>
                <w:iCs w:val="1"/>
                <w:color w:val="auto"/>
              </w:rPr>
              <w:t>(1)</w:t>
            </w:r>
          </w:p>
        </w:tc>
        <w:tc>
          <w:tcPr>
            <w:tcW w:w="160" w:type="dxa"/>
            <w:vAlign w:val="bottom"/>
            <w:tcBorders>
              <w:bottom w:val="single" w:sz="8" w:color="0C479D"/>
            </w:tcBorders>
          </w:tcPr>
          <w:p>
            <w:pPr>
              <w:spacing w:after="0"/>
              <w:rPr>
                <w:sz w:val="21"/>
                <w:szCs w:val="21"/>
                <w:color w:val="auto"/>
              </w:rPr>
            </w:pPr>
          </w:p>
        </w:tc>
        <w:tc>
          <w:tcPr>
            <w:tcW w:w="82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4,343</w:t>
            </w:r>
          </w:p>
        </w:tc>
        <w:tc>
          <w:tcPr>
            <w:tcW w:w="1260" w:type="dxa"/>
            <w:vAlign w:val="bottom"/>
            <w:tcBorders>
              <w:bottom w:val="single" w:sz="8" w:color="0C479D"/>
            </w:tcBorders>
          </w:tcPr>
          <w:p>
            <w:pPr>
              <w:jc w:val="right"/>
              <w:ind w:right="297"/>
              <w:spacing w:after="0"/>
              <w:rPr>
                <w:sz w:val="20"/>
                <w:szCs w:val="20"/>
                <w:color w:val="auto"/>
              </w:rPr>
            </w:pPr>
            <w:r>
              <w:rPr>
                <w:rFonts w:ascii="Times New Roman" w:cs="Times New Roman" w:eastAsia="Times New Roman" w:hAnsi="Times New Roman"/>
                <w:sz w:val="18"/>
                <w:szCs w:val="18"/>
                <w:b w:val="1"/>
                <w:bCs w:val="1"/>
                <w:color w:val="auto"/>
              </w:rPr>
              <w:t>3,539</w:t>
            </w:r>
          </w:p>
        </w:tc>
        <w:tc>
          <w:tcPr>
            <w:tcW w:w="660" w:type="dxa"/>
            <w:vAlign w:val="bottom"/>
            <w:tcBorders>
              <w:bottom w:val="single" w:sz="8" w:color="0C479D"/>
            </w:tcBorders>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3,165</w:t>
            </w:r>
          </w:p>
        </w:tc>
        <w:tc>
          <w:tcPr>
            <w:tcW w:w="160" w:type="dxa"/>
            <w:vAlign w:val="bottom"/>
            <w:tcBorders>
              <w:bottom w:val="single" w:sz="8" w:color="0C479D"/>
            </w:tcBorders>
          </w:tcPr>
          <w:p>
            <w:pPr>
              <w:spacing w:after="0"/>
              <w:rPr>
                <w:sz w:val="21"/>
                <w:szCs w:val="21"/>
                <w:color w:val="auto"/>
              </w:rPr>
            </w:pPr>
          </w:p>
        </w:tc>
        <w:tc>
          <w:tcPr>
            <w:tcW w:w="820" w:type="dxa"/>
            <w:vAlign w:val="bottom"/>
            <w:tcBorders>
              <w:bottom w:val="single" w:sz="8" w:color="0C479D"/>
            </w:tcBorders>
            <w:shd w:val="clear" w:color="auto" w:fill="F0F0F0"/>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289</w:t>
            </w:r>
          </w:p>
        </w:tc>
        <w:tc>
          <w:tcPr>
            <w:tcW w:w="1240" w:type="dxa"/>
            <w:vAlign w:val="bottom"/>
            <w:tcBorders>
              <w:bottom w:val="single" w:sz="8" w:color="0C479D"/>
            </w:tcBorders>
          </w:tcPr>
          <w:p>
            <w:pPr>
              <w:jc w:val="right"/>
              <w:ind w:right="317"/>
              <w:spacing w:after="0"/>
              <w:rPr>
                <w:sz w:val="20"/>
                <w:szCs w:val="20"/>
                <w:color w:val="auto"/>
              </w:rPr>
            </w:pPr>
            <w:r>
              <w:rPr>
                <w:rFonts w:ascii="Times New Roman" w:cs="Times New Roman" w:eastAsia="Times New Roman" w:hAnsi="Times New Roman"/>
                <w:sz w:val="18"/>
                <w:szCs w:val="18"/>
                <w:b w:val="1"/>
                <w:bCs w:val="1"/>
                <w:color w:val="auto"/>
              </w:rPr>
              <w:t>247</w:t>
            </w:r>
          </w:p>
        </w:tc>
        <w:tc>
          <w:tcPr>
            <w:tcW w:w="640" w:type="dxa"/>
            <w:vAlign w:val="bottom"/>
            <w:tcBorders>
              <w:bottom w:val="single" w:sz="8" w:color="0C479D"/>
            </w:tcBorders>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453</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940" w:hanging="138"/>
        <w:spacing w:after="0"/>
        <w:tabs>
          <w:tab w:leader="none" w:pos="940" w:val="left"/>
        </w:tabs>
        <w:numPr>
          <w:ilvl w:val="0"/>
          <w:numId w:val="49"/>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Includes $1,195 million, $999 million, and $908 million for drilling rigs and related equipment operating leases in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800" w:type="dxa"/>
        <w:tblCellMar>
          <w:top w:w="0" w:type="dxa"/>
          <w:left w:w="0" w:type="dxa"/>
          <w:bottom w:w="0" w:type="dxa"/>
          <w:right w:w="0" w:type="dxa"/>
        </w:tblCellMar>
      </w:tblPr>
      <w:tr>
        <w:trPr>
          <w:trHeight w:val="247"/>
        </w:trPr>
        <w:tc>
          <w:tcPr>
            <w:tcW w:w="4080" w:type="dxa"/>
            <w:vAlign w:val="bottom"/>
            <w:vMerge w:val="restart"/>
            <w:shd w:val="clear" w:color="auto" w:fill="0C479D"/>
          </w:tcPr>
          <w:p>
            <w:pPr>
              <w:spacing w:after="0"/>
              <w:rPr>
                <w:sz w:val="20"/>
                <w:szCs w:val="20"/>
                <w:color w:val="auto"/>
              </w:rPr>
            </w:pPr>
            <w:r>
              <w:rPr>
                <w:rFonts w:ascii="Times New Roman" w:cs="Times New Roman" w:eastAsia="Times New Roman" w:hAnsi="Times New Roman"/>
                <w:sz w:val="18"/>
                <w:szCs w:val="18"/>
                <w:b w:val="1"/>
                <w:bCs w:val="1"/>
                <w:color w:val="FFFFFF"/>
              </w:rPr>
              <w:t>Balance Sheet</w:t>
            </w:r>
          </w:p>
        </w:tc>
        <w:tc>
          <w:tcPr>
            <w:tcW w:w="160" w:type="dxa"/>
            <w:vAlign w:val="bottom"/>
          </w:tcPr>
          <w:p>
            <w:pPr>
              <w:spacing w:after="0"/>
              <w:rPr>
                <w:sz w:val="21"/>
                <w:szCs w:val="21"/>
                <w:color w:val="auto"/>
              </w:rPr>
            </w:pPr>
          </w:p>
        </w:tc>
        <w:tc>
          <w:tcPr>
            <w:tcW w:w="2640" w:type="dxa"/>
            <w:vAlign w:val="bottom"/>
            <w:gridSpan w:val="2"/>
            <w:shd w:val="clear" w:color="auto" w:fill="0C479D"/>
          </w:tcPr>
          <w:p>
            <w:pPr>
              <w:ind w:left="780"/>
              <w:spacing w:after="0"/>
              <w:rPr>
                <w:sz w:val="20"/>
                <w:szCs w:val="20"/>
                <w:color w:val="auto"/>
              </w:rPr>
            </w:pPr>
            <w:r>
              <w:rPr>
                <w:rFonts w:ascii="Times New Roman" w:cs="Times New Roman" w:eastAsia="Times New Roman" w:hAnsi="Times New Roman"/>
                <w:sz w:val="14"/>
                <w:szCs w:val="14"/>
                <w:b w:val="1"/>
                <w:bCs w:val="1"/>
                <w:color w:val="FFFFFF"/>
              </w:rPr>
              <w:t>Operating Leases</w:t>
            </w:r>
          </w:p>
        </w:tc>
        <w:tc>
          <w:tcPr>
            <w:tcW w:w="160" w:type="dxa"/>
            <w:vAlign w:val="bottom"/>
          </w:tcPr>
          <w:p>
            <w:pPr>
              <w:spacing w:after="0"/>
              <w:rPr>
                <w:sz w:val="21"/>
                <w:szCs w:val="21"/>
                <w:color w:val="auto"/>
              </w:rPr>
            </w:pPr>
          </w:p>
        </w:tc>
        <w:tc>
          <w:tcPr>
            <w:tcW w:w="2640" w:type="dxa"/>
            <w:vAlign w:val="bottom"/>
            <w:gridSpan w:val="2"/>
            <w:shd w:val="clear" w:color="auto" w:fill="0C479D"/>
          </w:tcPr>
          <w:p>
            <w:pPr>
              <w:jc w:val="right"/>
              <w:ind w:right="772"/>
              <w:spacing w:after="0"/>
              <w:rPr>
                <w:sz w:val="20"/>
                <w:szCs w:val="20"/>
                <w:color w:val="auto"/>
              </w:rPr>
            </w:pPr>
            <w:r>
              <w:rPr>
                <w:rFonts w:ascii="Times New Roman" w:cs="Times New Roman" w:eastAsia="Times New Roman" w:hAnsi="Times New Roman"/>
                <w:sz w:val="14"/>
                <w:szCs w:val="14"/>
                <w:b w:val="1"/>
                <w:bCs w:val="1"/>
                <w:color w:val="FFFFFF"/>
              </w:rPr>
              <w:t>Finance Leases</w:t>
            </w:r>
          </w:p>
        </w:tc>
        <w:tc>
          <w:tcPr>
            <w:tcW w:w="0" w:type="dxa"/>
            <w:vAlign w:val="bottom"/>
          </w:tcPr>
          <w:p>
            <w:pPr>
              <w:spacing w:after="0"/>
              <w:rPr>
                <w:sz w:val="1"/>
                <w:szCs w:val="1"/>
                <w:color w:val="auto"/>
              </w:rPr>
            </w:pPr>
          </w:p>
        </w:tc>
      </w:tr>
      <w:tr>
        <w:trPr>
          <w:trHeight w:val="53"/>
        </w:trPr>
        <w:tc>
          <w:tcPr>
            <w:tcW w:w="4080" w:type="dxa"/>
            <w:vAlign w:val="bottom"/>
            <w:vMerge w:val="continue"/>
            <w:shd w:val="clear" w:color="auto" w:fill="0C479D"/>
          </w:tcPr>
          <w:p>
            <w:pPr>
              <w:spacing w:after="0"/>
              <w:rPr>
                <w:sz w:val="4"/>
                <w:szCs w:val="4"/>
                <w:color w:val="auto"/>
              </w:rPr>
            </w:pPr>
          </w:p>
        </w:tc>
        <w:tc>
          <w:tcPr>
            <w:tcW w:w="160" w:type="dxa"/>
            <w:vAlign w:val="bottom"/>
          </w:tcPr>
          <w:p>
            <w:pPr>
              <w:spacing w:after="0"/>
              <w:rPr>
                <w:sz w:val="4"/>
                <w:szCs w:val="4"/>
                <w:color w:val="auto"/>
              </w:rPr>
            </w:pPr>
          </w:p>
        </w:tc>
        <w:tc>
          <w:tcPr>
            <w:tcW w:w="1260" w:type="dxa"/>
            <w:vAlign w:val="bottom"/>
            <w:shd w:val="clear" w:color="auto" w:fill="0C479D"/>
          </w:tcPr>
          <w:p>
            <w:pPr>
              <w:spacing w:after="0"/>
              <w:rPr>
                <w:sz w:val="4"/>
                <w:szCs w:val="4"/>
                <w:color w:val="auto"/>
              </w:rPr>
            </w:pPr>
          </w:p>
        </w:tc>
        <w:tc>
          <w:tcPr>
            <w:tcW w:w="1380" w:type="dxa"/>
            <w:vAlign w:val="bottom"/>
            <w:shd w:val="clear" w:color="auto" w:fill="0C479D"/>
          </w:tcPr>
          <w:p>
            <w:pPr>
              <w:spacing w:after="0"/>
              <w:rPr>
                <w:sz w:val="4"/>
                <w:szCs w:val="4"/>
                <w:color w:val="auto"/>
              </w:rPr>
            </w:pPr>
          </w:p>
        </w:tc>
        <w:tc>
          <w:tcPr>
            <w:tcW w:w="160" w:type="dxa"/>
            <w:vAlign w:val="bottom"/>
          </w:tcPr>
          <w:p>
            <w:pPr>
              <w:spacing w:after="0"/>
              <w:rPr>
                <w:sz w:val="4"/>
                <w:szCs w:val="4"/>
                <w:color w:val="auto"/>
              </w:rPr>
            </w:pPr>
          </w:p>
        </w:tc>
        <w:tc>
          <w:tcPr>
            <w:tcW w:w="1260" w:type="dxa"/>
            <w:vAlign w:val="bottom"/>
            <w:shd w:val="clear" w:color="auto" w:fill="0C479D"/>
          </w:tcPr>
          <w:p>
            <w:pPr>
              <w:spacing w:after="0"/>
              <w:rPr>
                <w:sz w:val="4"/>
                <w:szCs w:val="4"/>
                <w:color w:val="auto"/>
              </w:rPr>
            </w:pPr>
          </w:p>
        </w:tc>
        <w:tc>
          <w:tcPr>
            <w:tcW w:w="1380" w:type="dxa"/>
            <w:vAlign w:val="bottom"/>
            <w:shd w:val="clear" w:color="auto" w:fill="0C479D"/>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4080" w:type="dxa"/>
            <w:vAlign w:val="bottom"/>
            <w:shd w:val="clear" w:color="auto" w:fill="0C479D"/>
          </w:tcPr>
          <w:p>
            <w:pPr>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160" w:type="dxa"/>
            <w:vAlign w:val="bottom"/>
          </w:tcPr>
          <w:p>
            <w:pPr>
              <w:spacing w:after="0"/>
              <w:rPr>
                <w:sz w:val="16"/>
                <w:szCs w:val="16"/>
                <w:color w:val="auto"/>
              </w:rPr>
            </w:pPr>
          </w:p>
        </w:tc>
        <w:tc>
          <w:tcPr>
            <w:tcW w:w="1260" w:type="dxa"/>
            <w:vAlign w:val="bottom"/>
            <w:vMerge w:val="restart"/>
            <w:shd w:val="clear" w:color="auto" w:fill="0C479D"/>
          </w:tcPr>
          <w:p>
            <w:pPr>
              <w:ind w:left="40"/>
              <w:spacing w:after="0"/>
              <w:rPr>
                <w:sz w:val="20"/>
                <w:szCs w:val="20"/>
                <w:color w:val="auto"/>
              </w:rPr>
            </w:pPr>
            <w:r>
              <w:rPr>
                <w:rFonts w:ascii="Times New Roman" w:cs="Times New Roman" w:eastAsia="Times New Roman" w:hAnsi="Times New Roman"/>
                <w:sz w:val="14"/>
                <w:szCs w:val="14"/>
                <w:b w:val="1"/>
                <w:bCs w:val="1"/>
                <w:color w:val="FFFFFF"/>
              </w:rPr>
              <w:t>December 31, 2024</w:t>
            </w:r>
          </w:p>
        </w:tc>
        <w:tc>
          <w:tcPr>
            <w:tcW w:w="1380" w:type="dxa"/>
            <w:vAlign w:val="bottom"/>
            <w:vMerge w:val="restart"/>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December 31, 2023</w:t>
            </w:r>
          </w:p>
        </w:tc>
        <w:tc>
          <w:tcPr>
            <w:tcW w:w="160" w:type="dxa"/>
            <w:vAlign w:val="bottom"/>
          </w:tcPr>
          <w:p>
            <w:pPr>
              <w:spacing w:after="0"/>
              <w:rPr>
                <w:sz w:val="16"/>
                <w:szCs w:val="16"/>
                <w:color w:val="auto"/>
              </w:rPr>
            </w:pPr>
          </w:p>
        </w:tc>
        <w:tc>
          <w:tcPr>
            <w:tcW w:w="1260" w:type="dxa"/>
            <w:vAlign w:val="bottom"/>
            <w:vMerge w:val="restart"/>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December 31, 2024</w:t>
            </w:r>
          </w:p>
        </w:tc>
        <w:tc>
          <w:tcPr>
            <w:tcW w:w="1380" w:type="dxa"/>
            <w:vAlign w:val="bottom"/>
            <w:vMerge w:val="restart"/>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December 31, 2023</w:t>
            </w:r>
          </w:p>
        </w:tc>
        <w:tc>
          <w:tcPr>
            <w:tcW w:w="0" w:type="dxa"/>
            <w:vAlign w:val="bottom"/>
          </w:tcPr>
          <w:p>
            <w:pPr>
              <w:spacing w:after="0"/>
              <w:rPr>
                <w:sz w:val="1"/>
                <w:szCs w:val="1"/>
                <w:color w:val="auto"/>
              </w:rPr>
            </w:pPr>
          </w:p>
        </w:tc>
      </w:tr>
      <w:tr>
        <w:trPr>
          <w:trHeight w:val="125"/>
        </w:trPr>
        <w:tc>
          <w:tcPr>
            <w:tcW w:w="4080" w:type="dxa"/>
            <w:vAlign w:val="bottom"/>
            <w:tcBorders>
              <w:bottom w:val="single" w:sz="8" w:color="0C479D"/>
            </w:tcBorders>
            <w:shd w:val="clear" w:color="auto" w:fill="0C479D"/>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Borders>
              <w:bottom w:val="single" w:sz="8" w:color="0C479D"/>
            </w:tcBorders>
            <w:vMerge w:val="continue"/>
            <w:shd w:val="clear" w:color="auto" w:fill="0C479D"/>
          </w:tcPr>
          <w:p>
            <w:pPr>
              <w:spacing w:after="0"/>
              <w:rPr>
                <w:sz w:val="10"/>
                <w:szCs w:val="10"/>
                <w:color w:val="auto"/>
              </w:rPr>
            </w:pPr>
          </w:p>
        </w:tc>
        <w:tc>
          <w:tcPr>
            <w:tcW w:w="1380" w:type="dxa"/>
            <w:vAlign w:val="bottom"/>
            <w:tcBorders>
              <w:bottom w:val="single" w:sz="8" w:color="0C479D"/>
            </w:tcBorders>
            <w:vMerge w:val="continue"/>
            <w:shd w:val="clear" w:color="auto" w:fill="0C479D"/>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Borders>
              <w:bottom w:val="single" w:sz="8" w:color="0C479D"/>
            </w:tcBorders>
            <w:vMerge w:val="continue"/>
            <w:shd w:val="clear" w:color="auto" w:fill="0C479D"/>
          </w:tcPr>
          <w:p>
            <w:pPr>
              <w:spacing w:after="0"/>
              <w:rPr>
                <w:sz w:val="10"/>
                <w:szCs w:val="10"/>
                <w:color w:val="auto"/>
              </w:rPr>
            </w:pPr>
          </w:p>
        </w:tc>
        <w:tc>
          <w:tcPr>
            <w:tcW w:w="1380" w:type="dxa"/>
            <w:vAlign w:val="bottom"/>
            <w:tcBorders>
              <w:bottom w:val="single" w:sz="8" w:color="0C479D"/>
            </w:tcBorders>
            <w:vMerge w:val="continue"/>
            <w:shd w:val="clear" w:color="auto" w:fill="0C479D"/>
          </w:tcPr>
          <w:p>
            <w:pPr>
              <w:spacing w:after="0"/>
              <w:rPr>
                <w:sz w:val="10"/>
                <w:szCs w:val="10"/>
                <w:color w:val="auto"/>
              </w:rPr>
            </w:pPr>
          </w:p>
        </w:tc>
        <w:tc>
          <w:tcPr>
            <w:tcW w:w="0" w:type="dxa"/>
            <w:vAlign w:val="bottom"/>
          </w:tcPr>
          <w:p>
            <w:pPr>
              <w:spacing w:after="0"/>
              <w:rPr>
                <w:sz w:val="1"/>
                <w:szCs w:val="1"/>
                <w:color w:val="auto"/>
              </w:rPr>
            </w:pPr>
          </w:p>
        </w:tc>
      </w:tr>
      <w:tr>
        <w:trPr>
          <w:trHeight w:val="365"/>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0C479D"/>
              </w:rPr>
              <w:t>Right of use assets</w:t>
            </w:r>
          </w:p>
        </w:tc>
        <w:tc>
          <w:tcPr>
            <w:tcW w:w="160" w:type="dxa"/>
            <w:vAlign w:val="bottom"/>
          </w:tcPr>
          <w:p>
            <w:pPr>
              <w:spacing w:after="0"/>
              <w:rPr>
                <w:sz w:val="24"/>
                <w:szCs w:val="24"/>
                <w:color w:val="auto"/>
              </w:rPr>
            </w:pPr>
          </w:p>
        </w:tc>
        <w:tc>
          <w:tcPr>
            <w:tcW w:w="1260" w:type="dxa"/>
            <w:vAlign w:val="bottom"/>
            <w:shd w:val="clear" w:color="auto" w:fill="F0F0F0"/>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shd w:val="clear" w:color="auto" w:fill="F0F0F0"/>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Included in Other assets, including intangibles - net</w:t>
            </w:r>
          </w:p>
        </w:tc>
        <w:tc>
          <w:tcPr>
            <w:tcW w:w="160" w:type="dxa"/>
            <w:vAlign w:val="bottom"/>
          </w:tcPr>
          <w:p>
            <w:pPr>
              <w:spacing w:after="0"/>
              <w:rPr>
                <w:sz w:val="23"/>
                <w:szCs w:val="23"/>
                <w:color w:val="auto"/>
              </w:rPr>
            </w:pPr>
          </w:p>
        </w:tc>
        <w:tc>
          <w:tcPr>
            <w:tcW w:w="1260" w:type="dxa"/>
            <w:vAlign w:val="bottom"/>
            <w:shd w:val="clear" w:color="auto" w:fill="F0F0F0"/>
          </w:tcPr>
          <w:p>
            <w:pPr>
              <w:ind w:left="760"/>
              <w:spacing w:after="0"/>
              <w:rPr>
                <w:sz w:val="20"/>
                <w:szCs w:val="20"/>
                <w:color w:val="auto"/>
              </w:rPr>
            </w:pPr>
            <w:r>
              <w:rPr>
                <w:rFonts w:ascii="Times New Roman" w:cs="Times New Roman" w:eastAsia="Times New Roman" w:hAnsi="Times New Roman"/>
                <w:sz w:val="18"/>
                <w:szCs w:val="18"/>
                <w:color w:val="auto"/>
              </w:rPr>
              <w:t>7,123</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6,849</w:t>
            </w:r>
          </w:p>
        </w:tc>
        <w:tc>
          <w:tcPr>
            <w:tcW w:w="160" w:type="dxa"/>
            <w:vAlign w:val="bottom"/>
          </w:tcPr>
          <w:p>
            <w:pPr>
              <w:spacing w:after="0"/>
              <w:rPr>
                <w:sz w:val="23"/>
                <w:szCs w:val="23"/>
                <w:color w:val="auto"/>
              </w:rPr>
            </w:pPr>
          </w:p>
        </w:tc>
        <w:tc>
          <w:tcPr>
            <w:tcW w:w="1260" w:type="dxa"/>
            <w:vAlign w:val="bottom"/>
            <w:shd w:val="clear" w:color="auto" w:fill="F0F0F0"/>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color w:val="auto"/>
              </w:rPr>
              <w:t>Included in Property, plant and equipment - net</w:t>
            </w:r>
          </w:p>
        </w:tc>
        <w:tc>
          <w:tcPr>
            <w:tcW w:w="160" w:type="dxa"/>
            <w:vAlign w:val="bottom"/>
            <w:tcBorders>
              <w:bottom w:val="single" w:sz="8" w:color="0C479D"/>
            </w:tcBorders>
          </w:tcPr>
          <w:p>
            <w:pPr>
              <w:spacing w:after="0"/>
              <w:rPr>
                <w:sz w:val="23"/>
                <w:szCs w:val="23"/>
                <w:color w:val="auto"/>
              </w:rPr>
            </w:pPr>
          </w:p>
        </w:tc>
        <w:tc>
          <w:tcPr>
            <w:tcW w:w="1260" w:type="dxa"/>
            <w:vAlign w:val="bottom"/>
            <w:tcBorders>
              <w:bottom w:val="single" w:sz="8" w:color="0C479D"/>
            </w:tcBorders>
            <w:shd w:val="clear" w:color="auto" w:fill="F0F0F0"/>
          </w:tcPr>
          <w:p>
            <w:pPr>
              <w:spacing w:after="0"/>
              <w:rPr>
                <w:sz w:val="23"/>
                <w:szCs w:val="23"/>
                <w:color w:val="auto"/>
              </w:rPr>
            </w:pPr>
          </w:p>
        </w:tc>
        <w:tc>
          <w:tcPr>
            <w:tcW w:w="1380" w:type="dxa"/>
            <w:vAlign w:val="bottom"/>
            <w:tcBorders>
              <w:bottom w:val="single" w:sz="8" w:color="0C479D"/>
            </w:tcBorders>
          </w:tcPr>
          <w:p>
            <w:pPr>
              <w:spacing w:after="0"/>
              <w:rPr>
                <w:sz w:val="23"/>
                <w:szCs w:val="23"/>
                <w:color w:val="auto"/>
              </w:rPr>
            </w:pPr>
          </w:p>
        </w:tc>
        <w:tc>
          <w:tcPr>
            <w:tcW w:w="160" w:type="dxa"/>
            <w:vAlign w:val="bottom"/>
            <w:tcBorders>
              <w:bottom w:val="single" w:sz="8" w:color="0C479D"/>
            </w:tcBorders>
          </w:tcPr>
          <w:p>
            <w:pPr>
              <w:spacing w:after="0"/>
              <w:rPr>
                <w:sz w:val="23"/>
                <w:szCs w:val="23"/>
                <w:color w:val="auto"/>
              </w:rPr>
            </w:pPr>
          </w:p>
        </w:tc>
        <w:tc>
          <w:tcPr>
            <w:tcW w:w="1260" w:type="dxa"/>
            <w:vAlign w:val="bottom"/>
            <w:tcBorders>
              <w:bottom w:val="single" w:sz="8" w:color="0C479D"/>
            </w:tcBorders>
            <w:shd w:val="clear" w:color="auto" w:fill="F0F0F0"/>
          </w:tcPr>
          <w:p>
            <w:pPr>
              <w:jc w:val="right"/>
              <w:ind w:right="13"/>
              <w:spacing w:after="0"/>
              <w:rPr>
                <w:sz w:val="20"/>
                <w:szCs w:val="20"/>
                <w:color w:val="auto"/>
              </w:rPr>
            </w:pPr>
            <w:r>
              <w:rPr>
                <w:rFonts w:ascii="Times New Roman" w:cs="Times New Roman" w:eastAsia="Times New Roman" w:hAnsi="Times New Roman"/>
                <w:sz w:val="18"/>
                <w:szCs w:val="18"/>
                <w:color w:val="auto"/>
              </w:rPr>
              <w:t>2,888</w:t>
            </w:r>
          </w:p>
        </w:tc>
        <w:tc>
          <w:tcPr>
            <w:tcW w:w="1380" w:type="dxa"/>
            <w:vAlign w:val="bottom"/>
            <w:tcBorders>
              <w:bottom w:val="single" w:sz="8" w:color="0C479D"/>
            </w:tcBorders>
          </w:tcPr>
          <w:p>
            <w:pPr>
              <w:jc w:val="right"/>
              <w:ind w:right="12"/>
              <w:spacing w:after="0"/>
              <w:rPr>
                <w:sz w:val="20"/>
                <w:szCs w:val="20"/>
                <w:color w:val="auto"/>
              </w:rPr>
            </w:pPr>
            <w:r>
              <w:rPr>
                <w:rFonts w:ascii="Times New Roman" w:cs="Times New Roman" w:eastAsia="Times New Roman" w:hAnsi="Times New Roman"/>
                <w:sz w:val="18"/>
                <w:szCs w:val="18"/>
                <w:color w:val="auto"/>
              </w:rPr>
              <w:t>2,712</w:t>
            </w:r>
          </w:p>
        </w:tc>
        <w:tc>
          <w:tcPr>
            <w:tcW w:w="0" w:type="dxa"/>
            <w:vAlign w:val="bottom"/>
          </w:tcPr>
          <w:p>
            <w:pPr>
              <w:spacing w:after="0"/>
              <w:rPr>
                <w:sz w:val="1"/>
                <w:szCs w:val="1"/>
                <w:color w:val="auto"/>
              </w:rPr>
            </w:pPr>
          </w:p>
        </w:tc>
      </w:tr>
      <w:tr>
        <w:trPr>
          <w:trHeight w:val="250"/>
        </w:trPr>
        <w:tc>
          <w:tcPr>
            <w:tcW w:w="408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right of use assets</w:t>
            </w:r>
          </w:p>
        </w:tc>
        <w:tc>
          <w:tcPr>
            <w:tcW w:w="160" w:type="dxa"/>
            <w:vAlign w:val="bottom"/>
            <w:tcBorders>
              <w:bottom w:val="single" w:sz="8" w:color="0C479D"/>
            </w:tcBorders>
          </w:tcPr>
          <w:p>
            <w:pPr>
              <w:spacing w:after="0"/>
              <w:rPr>
                <w:sz w:val="21"/>
                <w:szCs w:val="21"/>
                <w:color w:val="auto"/>
              </w:rPr>
            </w:pPr>
          </w:p>
        </w:tc>
        <w:tc>
          <w:tcPr>
            <w:tcW w:w="1260" w:type="dxa"/>
            <w:vAlign w:val="bottom"/>
            <w:tcBorders>
              <w:bottom w:val="single" w:sz="8" w:color="0C479D"/>
            </w:tcBorders>
            <w:shd w:val="clear" w:color="auto" w:fill="F0F0F0"/>
          </w:tcPr>
          <w:p>
            <w:pPr>
              <w:ind w:left="760"/>
              <w:spacing w:after="0"/>
              <w:rPr>
                <w:sz w:val="20"/>
                <w:szCs w:val="20"/>
                <w:color w:val="auto"/>
              </w:rPr>
            </w:pPr>
            <w:r>
              <w:rPr>
                <w:rFonts w:ascii="Times New Roman" w:cs="Times New Roman" w:eastAsia="Times New Roman" w:hAnsi="Times New Roman"/>
                <w:sz w:val="18"/>
                <w:szCs w:val="18"/>
                <w:b w:val="1"/>
                <w:bCs w:val="1"/>
                <w:color w:val="auto"/>
              </w:rPr>
              <w:t>7,123</w:t>
            </w:r>
          </w:p>
        </w:tc>
        <w:tc>
          <w:tcPr>
            <w:tcW w:w="1380" w:type="dxa"/>
            <w:vAlign w:val="bottom"/>
            <w:tcBorders>
              <w:bottom w:val="single" w:sz="8" w:color="0C479D"/>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6,849</w:t>
            </w:r>
          </w:p>
        </w:tc>
        <w:tc>
          <w:tcPr>
            <w:tcW w:w="160" w:type="dxa"/>
            <w:vAlign w:val="bottom"/>
            <w:tcBorders>
              <w:bottom w:val="single" w:sz="8" w:color="0C479D"/>
            </w:tcBorders>
          </w:tcPr>
          <w:p>
            <w:pPr>
              <w:spacing w:after="0"/>
              <w:rPr>
                <w:sz w:val="21"/>
                <w:szCs w:val="21"/>
                <w:color w:val="auto"/>
              </w:rPr>
            </w:pPr>
          </w:p>
        </w:tc>
        <w:tc>
          <w:tcPr>
            <w:tcW w:w="1260" w:type="dxa"/>
            <w:vAlign w:val="bottom"/>
            <w:tcBorders>
              <w:bottom w:val="single" w:sz="8" w:color="0C479D"/>
            </w:tcBorders>
            <w:shd w:val="clear" w:color="auto" w:fill="F0F0F0"/>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2,888</w:t>
            </w:r>
          </w:p>
        </w:tc>
        <w:tc>
          <w:tcPr>
            <w:tcW w:w="1380" w:type="dxa"/>
            <w:vAlign w:val="bottom"/>
            <w:tcBorders>
              <w:bottom w:val="single" w:sz="8" w:color="0C479D"/>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2,712</w:t>
            </w:r>
          </w:p>
        </w:tc>
        <w:tc>
          <w:tcPr>
            <w:tcW w:w="0" w:type="dxa"/>
            <w:vAlign w:val="bottom"/>
          </w:tcPr>
          <w:p>
            <w:pPr>
              <w:spacing w:after="0"/>
              <w:rPr>
                <w:sz w:val="1"/>
                <w:szCs w:val="1"/>
                <w:color w:val="auto"/>
              </w:rPr>
            </w:pPr>
          </w:p>
        </w:tc>
      </w:tr>
      <w:tr>
        <w:trPr>
          <w:trHeight w:val="344"/>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0C479D"/>
              </w:rPr>
              <w:t>Lease liability due within one year</w:t>
            </w:r>
          </w:p>
        </w:tc>
        <w:tc>
          <w:tcPr>
            <w:tcW w:w="160" w:type="dxa"/>
            <w:vAlign w:val="bottom"/>
          </w:tcPr>
          <w:p>
            <w:pPr>
              <w:spacing w:after="0"/>
              <w:rPr>
                <w:sz w:val="24"/>
                <w:szCs w:val="24"/>
                <w:color w:val="auto"/>
              </w:rPr>
            </w:pPr>
          </w:p>
        </w:tc>
        <w:tc>
          <w:tcPr>
            <w:tcW w:w="1260" w:type="dxa"/>
            <w:vAlign w:val="bottom"/>
            <w:shd w:val="clear" w:color="auto" w:fill="F0F0F0"/>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shd w:val="clear" w:color="auto" w:fill="F0F0F0"/>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Included in Accounts payable and accrued liabilities</w:t>
            </w:r>
          </w:p>
        </w:tc>
        <w:tc>
          <w:tcPr>
            <w:tcW w:w="160" w:type="dxa"/>
            <w:vAlign w:val="bottom"/>
          </w:tcPr>
          <w:p>
            <w:pPr>
              <w:spacing w:after="0"/>
              <w:rPr>
                <w:sz w:val="23"/>
                <w:szCs w:val="23"/>
                <w:color w:val="auto"/>
              </w:rPr>
            </w:pPr>
          </w:p>
        </w:tc>
        <w:tc>
          <w:tcPr>
            <w:tcW w:w="1260" w:type="dxa"/>
            <w:vAlign w:val="bottom"/>
            <w:shd w:val="clear" w:color="auto" w:fill="F0F0F0"/>
          </w:tcPr>
          <w:p>
            <w:pPr>
              <w:ind w:left="760"/>
              <w:spacing w:after="0"/>
              <w:rPr>
                <w:sz w:val="20"/>
                <w:szCs w:val="20"/>
                <w:color w:val="auto"/>
              </w:rPr>
            </w:pPr>
            <w:r>
              <w:rPr>
                <w:rFonts w:ascii="Times New Roman" w:cs="Times New Roman" w:eastAsia="Times New Roman" w:hAnsi="Times New Roman"/>
                <w:sz w:val="18"/>
                <w:szCs w:val="18"/>
                <w:color w:val="auto"/>
              </w:rPr>
              <w:t>1,852</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1,617</w:t>
            </w:r>
          </w:p>
        </w:tc>
        <w:tc>
          <w:tcPr>
            <w:tcW w:w="160" w:type="dxa"/>
            <w:vAlign w:val="bottom"/>
          </w:tcPr>
          <w:p>
            <w:pPr>
              <w:spacing w:after="0"/>
              <w:rPr>
                <w:sz w:val="23"/>
                <w:szCs w:val="23"/>
                <w:color w:val="auto"/>
              </w:rPr>
            </w:pPr>
          </w:p>
        </w:tc>
        <w:tc>
          <w:tcPr>
            <w:tcW w:w="1260" w:type="dxa"/>
            <w:vAlign w:val="bottom"/>
            <w:shd w:val="clear" w:color="auto" w:fill="F0F0F0"/>
          </w:tcPr>
          <w:p>
            <w:pPr>
              <w:jc w:val="right"/>
              <w:ind w:right="13"/>
              <w:spacing w:after="0"/>
              <w:rPr>
                <w:sz w:val="20"/>
                <w:szCs w:val="20"/>
                <w:color w:val="auto"/>
              </w:rPr>
            </w:pPr>
            <w:r>
              <w:rPr>
                <w:rFonts w:ascii="Times New Roman" w:cs="Times New Roman" w:eastAsia="Times New Roman" w:hAnsi="Times New Roman"/>
                <w:sz w:val="18"/>
                <w:szCs w:val="18"/>
                <w:color w:val="auto"/>
              </w:rPr>
              <w:t>6</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Included in Notes and loans payable</w:t>
            </w:r>
          </w:p>
        </w:tc>
        <w:tc>
          <w:tcPr>
            <w:tcW w:w="160" w:type="dxa"/>
            <w:vAlign w:val="bottom"/>
          </w:tcPr>
          <w:p>
            <w:pPr>
              <w:spacing w:after="0"/>
              <w:rPr>
                <w:sz w:val="23"/>
                <w:szCs w:val="23"/>
                <w:color w:val="auto"/>
              </w:rPr>
            </w:pPr>
          </w:p>
        </w:tc>
        <w:tc>
          <w:tcPr>
            <w:tcW w:w="1260" w:type="dxa"/>
            <w:vAlign w:val="bottom"/>
            <w:shd w:val="clear" w:color="auto" w:fill="F0F0F0"/>
          </w:tcPr>
          <w:p>
            <w:pPr>
              <w:spacing w:after="0"/>
              <w:rPr>
                <w:sz w:val="23"/>
                <w:szCs w:val="23"/>
                <w:color w:val="auto"/>
              </w:rPr>
            </w:pPr>
          </w:p>
        </w:tc>
        <w:tc>
          <w:tcPr>
            <w:tcW w:w="1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shd w:val="clear" w:color="auto" w:fill="F0F0F0"/>
          </w:tcPr>
          <w:p>
            <w:pPr>
              <w:jc w:val="right"/>
              <w:ind w:right="13"/>
              <w:spacing w:after="0"/>
              <w:rPr>
                <w:sz w:val="20"/>
                <w:szCs w:val="20"/>
                <w:color w:val="auto"/>
              </w:rPr>
            </w:pPr>
            <w:r>
              <w:rPr>
                <w:rFonts w:ascii="Times New Roman" w:cs="Times New Roman" w:eastAsia="Times New Roman" w:hAnsi="Times New Roman"/>
                <w:sz w:val="18"/>
                <w:szCs w:val="18"/>
                <w:color w:val="auto"/>
              </w:rPr>
              <w:t>117</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0C479D"/>
              </w:rPr>
              <w:t>Long-term lease liability</w:t>
            </w:r>
          </w:p>
        </w:tc>
        <w:tc>
          <w:tcPr>
            <w:tcW w:w="160" w:type="dxa"/>
            <w:vAlign w:val="bottom"/>
          </w:tcPr>
          <w:p>
            <w:pPr>
              <w:spacing w:after="0"/>
              <w:rPr>
                <w:sz w:val="23"/>
                <w:szCs w:val="23"/>
                <w:color w:val="auto"/>
              </w:rPr>
            </w:pPr>
          </w:p>
        </w:tc>
        <w:tc>
          <w:tcPr>
            <w:tcW w:w="1260" w:type="dxa"/>
            <w:vAlign w:val="bottom"/>
            <w:shd w:val="clear" w:color="auto" w:fill="F0F0F0"/>
          </w:tcPr>
          <w:p>
            <w:pPr>
              <w:spacing w:after="0"/>
              <w:rPr>
                <w:sz w:val="23"/>
                <w:szCs w:val="23"/>
                <w:color w:val="auto"/>
              </w:rPr>
            </w:pPr>
          </w:p>
        </w:tc>
        <w:tc>
          <w:tcPr>
            <w:tcW w:w="1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shd w:val="clear" w:color="auto" w:fill="F0F0F0"/>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Included in Other long-term obligations</w:t>
            </w:r>
          </w:p>
        </w:tc>
        <w:tc>
          <w:tcPr>
            <w:tcW w:w="160" w:type="dxa"/>
            <w:vAlign w:val="bottom"/>
          </w:tcPr>
          <w:p>
            <w:pPr>
              <w:spacing w:after="0"/>
              <w:rPr>
                <w:sz w:val="23"/>
                <w:szCs w:val="23"/>
                <w:color w:val="auto"/>
              </w:rPr>
            </w:pPr>
          </w:p>
        </w:tc>
        <w:tc>
          <w:tcPr>
            <w:tcW w:w="1260" w:type="dxa"/>
            <w:vAlign w:val="bottom"/>
            <w:shd w:val="clear" w:color="auto" w:fill="F0F0F0"/>
          </w:tcPr>
          <w:p>
            <w:pPr>
              <w:ind w:left="760"/>
              <w:spacing w:after="0"/>
              <w:rPr>
                <w:sz w:val="20"/>
                <w:szCs w:val="20"/>
                <w:color w:val="auto"/>
              </w:rPr>
            </w:pPr>
            <w:r>
              <w:rPr>
                <w:rFonts w:ascii="Times New Roman" w:cs="Times New Roman" w:eastAsia="Times New Roman" w:hAnsi="Times New Roman"/>
                <w:sz w:val="18"/>
                <w:szCs w:val="18"/>
                <w:color w:val="auto"/>
              </w:rPr>
              <w:t>4,626</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4,393</w:t>
            </w:r>
          </w:p>
        </w:tc>
        <w:tc>
          <w:tcPr>
            <w:tcW w:w="160" w:type="dxa"/>
            <w:vAlign w:val="bottom"/>
          </w:tcPr>
          <w:p>
            <w:pPr>
              <w:spacing w:after="0"/>
              <w:rPr>
                <w:sz w:val="23"/>
                <w:szCs w:val="23"/>
                <w:color w:val="auto"/>
              </w:rPr>
            </w:pPr>
          </w:p>
        </w:tc>
        <w:tc>
          <w:tcPr>
            <w:tcW w:w="1260" w:type="dxa"/>
            <w:vAlign w:val="bottom"/>
            <w:shd w:val="clear" w:color="auto" w:fill="F0F0F0"/>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Included in Long-term debt</w:t>
            </w:r>
          </w:p>
        </w:tc>
        <w:tc>
          <w:tcPr>
            <w:tcW w:w="160" w:type="dxa"/>
            <w:vAlign w:val="bottom"/>
          </w:tcPr>
          <w:p>
            <w:pPr>
              <w:spacing w:after="0"/>
              <w:rPr>
                <w:sz w:val="23"/>
                <w:szCs w:val="23"/>
                <w:color w:val="auto"/>
              </w:rPr>
            </w:pPr>
          </w:p>
        </w:tc>
        <w:tc>
          <w:tcPr>
            <w:tcW w:w="1260" w:type="dxa"/>
            <w:vAlign w:val="bottom"/>
            <w:shd w:val="clear" w:color="auto" w:fill="F0F0F0"/>
          </w:tcPr>
          <w:p>
            <w:pPr>
              <w:spacing w:after="0"/>
              <w:rPr>
                <w:sz w:val="23"/>
                <w:szCs w:val="23"/>
                <w:color w:val="auto"/>
              </w:rPr>
            </w:pPr>
          </w:p>
        </w:tc>
        <w:tc>
          <w:tcPr>
            <w:tcW w:w="1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shd w:val="clear" w:color="auto" w:fill="F0F0F0"/>
          </w:tcPr>
          <w:p>
            <w:pPr>
              <w:jc w:val="right"/>
              <w:ind w:right="13"/>
              <w:spacing w:after="0"/>
              <w:rPr>
                <w:sz w:val="20"/>
                <w:szCs w:val="20"/>
                <w:color w:val="auto"/>
              </w:rPr>
            </w:pPr>
            <w:r>
              <w:rPr>
                <w:rFonts w:ascii="Times New Roman" w:cs="Times New Roman" w:eastAsia="Times New Roman" w:hAnsi="Times New Roman"/>
                <w:sz w:val="18"/>
                <w:szCs w:val="18"/>
                <w:color w:val="auto"/>
              </w:rPr>
              <w:t>2,123</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1,821</w:t>
            </w:r>
          </w:p>
        </w:tc>
        <w:tc>
          <w:tcPr>
            <w:tcW w:w="0" w:type="dxa"/>
            <w:vAlign w:val="bottom"/>
          </w:tcPr>
          <w:p>
            <w:pPr>
              <w:spacing w:after="0"/>
              <w:rPr>
                <w:sz w:val="1"/>
                <w:szCs w:val="1"/>
                <w:color w:val="auto"/>
              </w:rPr>
            </w:pPr>
          </w:p>
        </w:tc>
      </w:tr>
      <w:tr>
        <w:trPr>
          <w:trHeight w:val="270"/>
        </w:trPr>
        <w:tc>
          <w:tcPr>
            <w:tcW w:w="408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color w:val="auto"/>
              </w:rPr>
              <w:t>Included in Long-term obligations to equity companies</w:t>
            </w:r>
          </w:p>
        </w:tc>
        <w:tc>
          <w:tcPr>
            <w:tcW w:w="160" w:type="dxa"/>
            <w:vAlign w:val="bottom"/>
            <w:tcBorders>
              <w:bottom w:val="single" w:sz="8" w:color="0C479D"/>
            </w:tcBorders>
          </w:tcPr>
          <w:p>
            <w:pPr>
              <w:spacing w:after="0"/>
              <w:rPr>
                <w:sz w:val="23"/>
                <w:szCs w:val="23"/>
                <w:color w:val="auto"/>
              </w:rPr>
            </w:pPr>
          </w:p>
        </w:tc>
        <w:tc>
          <w:tcPr>
            <w:tcW w:w="1260" w:type="dxa"/>
            <w:vAlign w:val="bottom"/>
            <w:tcBorders>
              <w:bottom w:val="single" w:sz="8" w:color="0C479D"/>
            </w:tcBorders>
            <w:shd w:val="clear" w:color="auto" w:fill="F0F0F0"/>
          </w:tcPr>
          <w:p>
            <w:pPr>
              <w:spacing w:after="0"/>
              <w:rPr>
                <w:sz w:val="23"/>
                <w:szCs w:val="23"/>
                <w:color w:val="auto"/>
              </w:rPr>
            </w:pPr>
          </w:p>
        </w:tc>
        <w:tc>
          <w:tcPr>
            <w:tcW w:w="1380" w:type="dxa"/>
            <w:vAlign w:val="bottom"/>
            <w:tcBorders>
              <w:bottom w:val="single" w:sz="8" w:color="0C479D"/>
            </w:tcBorders>
          </w:tcPr>
          <w:p>
            <w:pPr>
              <w:spacing w:after="0"/>
              <w:rPr>
                <w:sz w:val="23"/>
                <w:szCs w:val="23"/>
                <w:color w:val="auto"/>
              </w:rPr>
            </w:pPr>
          </w:p>
        </w:tc>
        <w:tc>
          <w:tcPr>
            <w:tcW w:w="160" w:type="dxa"/>
            <w:vAlign w:val="bottom"/>
            <w:tcBorders>
              <w:bottom w:val="single" w:sz="8" w:color="0C479D"/>
            </w:tcBorders>
          </w:tcPr>
          <w:p>
            <w:pPr>
              <w:spacing w:after="0"/>
              <w:rPr>
                <w:sz w:val="23"/>
                <w:szCs w:val="23"/>
                <w:color w:val="auto"/>
              </w:rPr>
            </w:pPr>
          </w:p>
        </w:tc>
        <w:tc>
          <w:tcPr>
            <w:tcW w:w="1260" w:type="dxa"/>
            <w:vAlign w:val="bottom"/>
            <w:tcBorders>
              <w:bottom w:val="single" w:sz="8" w:color="0C479D"/>
            </w:tcBorders>
            <w:shd w:val="clear" w:color="auto" w:fill="F0F0F0"/>
          </w:tcPr>
          <w:p>
            <w:pPr>
              <w:jc w:val="right"/>
              <w:ind w:right="13"/>
              <w:spacing w:after="0"/>
              <w:rPr>
                <w:sz w:val="20"/>
                <w:szCs w:val="20"/>
                <w:color w:val="auto"/>
              </w:rPr>
            </w:pPr>
            <w:r>
              <w:rPr>
                <w:rFonts w:ascii="Times New Roman" w:cs="Times New Roman" w:eastAsia="Times New Roman" w:hAnsi="Times New Roman"/>
                <w:sz w:val="18"/>
                <w:szCs w:val="18"/>
                <w:color w:val="auto"/>
              </w:rPr>
              <w:t>115</w:t>
            </w:r>
          </w:p>
        </w:tc>
        <w:tc>
          <w:tcPr>
            <w:tcW w:w="1380" w:type="dxa"/>
            <w:vAlign w:val="bottom"/>
            <w:tcBorders>
              <w:bottom w:val="single" w:sz="8" w:color="0C479D"/>
            </w:tcBorders>
          </w:tcPr>
          <w:p>
            <w:pPr>
              <w:jc w:val="right"/>
              <w:ind w:right="12"/>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50"/>
        </w:trPr>
        <w:tc>
          <w:tcPr>
            <w:tcW w:w="408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Total lease liability </w:t>
            </w:r>
            <w:r>
              <w:rPr>
                <w:rFonts w:ascii="Times New Roman" w:cs="Times New Roman" w:eastAsia="Times New Roman" w:hAnsi="Times New Roman"/>
                <w:sz w:val="9"/>
                <w:szCs w:val="9"/>
                <w:i w:val="1"/>
                <w:iCs w:val="1"/>
                <w:color w:val="auto"/>
              </w:rPr>
              <w:t>(2)</w:t>
            </w:r>
          </w:p>
        </w:tc>
        <w:tc>
          <w:tcPr>
            <w:tcW w:w="160" w:type="dxa"/>
            <w:vAlign w:val="bottom"/>
            <w:tcBorders>
              <w:bottom w:val="single" w:sz="8" w:color="0C479D"/>
            </w:tcBorders>
          </w:tcPr>
          <w:p>
            <w:pPr>
              <w:spacing w:after="0"/>
              <w:rPr>
                <w:sz w:val="21"/>
                <w:szCs w:val="21"/>
                <w:color w:val="auto"/>
              </w:rPr>
            </w:pPr>
          </w:p>
        </w:tc>
        <w:tc>
          <w:tcPr>
            <w:tcW w:w="1260" w:type="dxa"/>
            <w:vAlign w:val="bottom"/>
            <w:tcBorders>
              <w:bottom w:val="single" w:sz="8" w:color="0C479D"/>
            </w:tcBorders>
            <w:shd w:val="clear" w:color="auto" w:fill="F0F0F0"/>
          </w:tcPr>
          <w:p>
            <w:pPr>
              <w:ind w:left="760"/>
              <w:spacing w:after="0"/>
              <w:rPr>
                <w:sz w:val="20"/>
                <w:szCs w:val="20"/>
                <w:color w:val="auto"/>
              </w:rPr>
            </w:pPr>
            <w:r>
              <w:rPr>
                <w:rFonts w:ascii="Times New Roman" w:cs="Times New Roman" w:eastAsia="Times New Roman" w:hAnsi="Times New Roman"/>
                <w:sz w:val="18"/>
                <w:szCs w:val="18"/>
                <w:b w:val="1"/>
                <w:bCs w:val="1"/>
                <w:color w:val="auto"/>
              </w:rPr>
              <w:t>6,478</w:t>
            </w:r>
          </w:p>
        </w:tc>
        <w:tc>
          <w:tcPr>
            <w:tcW w:w="1380" w:type="dxa"/>
            <w:vAlign w:val="bottom"/>
            <w:tcBorders>
              <w:bottom w:val="single" w:sz="8" w:color="0C479D"/>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6,010</w:t>
            </w:r>
          </w:p>
        </w:tc>
        <w:tc>
          <w:tcPr>
            <w:tcW w:w="160" w:type="dxa"/>
            <w:vAlign w:val="bottom"/>
            <w:tcBorders>
              <w:bottom w:val="single" w:sz="8" w:color="0C479D"/>
            </w:tcBorders>
          </w:tcPr>
          <w:p>
            <w:pPr>
              <w:spacing w:after="0"/>
              <w:rPr>
                <w:sz w:val="21"/>
                <w:szCs w:val="21"/>
                <w:color w:val="auto"/>
              </w:rPr>
            </w:pPr>
          </w:p>
        </w:tc>
        <w:tc>
          <w:tcPr>
            <w:tcW w:w="1260" w:type="dxa"/>
            <w:vAlign w:val="bottom"/>
            <w:tcBorders>
              <w:bottom w:val="single" w:sz="8" w:color="0C479D"/>
            </w:tcBorders>
            <w:shd w:val="clear" w:color="auto" w:fill="F0F0F0"/>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2,361</w:t>
            </w:r>
          </w:p>
        </w:tc>
        <w:tc>
          <w:tcPr>
            <w:tcW w:w="1380" w:type="dxa"/>
            <w:vAlign w:val="bottom"/>
            <w:tcBorders>
              <w:bottom w:val="single" w:sz="8" w:color="0C479D"/>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2,042</w:t>
            </w:r>
          </w:p>
        </w:tc>
        <w:tc>
          <w:tcPr>
            <w:tcW w:w="0" w:type="dxa"/>
            <w:vAlign w:val="bottom"/>
          </w:tcPr>
          <w:p>
            <w:pPr>
              <w:spacing w:after="0"/>
              <w:rPr>
                <w:sz w:val="1"/>
                <w:szCs w:val="1"/>
                <w:color w:val="auto"/>
              </w:rPr>
            </w:pPr>
          </w:p>
        </w:tc>
      </w:tr>
      <w:tr>
        <w:trPr>
          <w:trHeight w:val="345"/>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60" w:type="dxa"/>
            <w:vAlign w:val="bottom"/>
          </w:tcPr>
          <w:p>
            <w:pPr>
              <w:spacing w:after="0"/>
              <w:rPr>
                <w:sz w:val="24"/>
                <w:szCs w:val="24"/>
                <w:color w:val="auto"/>
              </w:rPr>
            </w:pPr>
          </w:p>
        </w:tc>
        <w:tc>
          <w:tcPr>
            <w:tcW w:w="1260" w:type="dxa"/>
            <w:vAlign w:val="bottom"/>
            <w:shd w:val="clear" w:color="auto" w:fill="F0F0F0"/>
          </w:tcPr>
          <w:p>
            <w:pPr>
              <w:jc w:val="right"/>
              <w:ind w:right="514"/>
              <w:spacing w:after="0"/>
              <w:rPr>
                <w:sz w:val="20"/>
                <w:szCs w:val="20"/>
                <w:color w:val="auto"/>
              </w:rPr>
            </w:pPr>
            <w:r>
              <w:rPr>
                <w:rFonts w:ascii="Times New Roman" w:cs="Times New Roman" w:eastAsia="Times New Roman" w:hAnsi="Times New Roman"/>
                <w:sz w:val="18"/>
                <w:szCs w:val="18"/>
                <w:color w:val="auto"/>
              </w:rPr>
              <w:t>7</w:t>
            </w:r>
          </w:p>
        </w:tc>
        <w:tc>
          <w:tcPr>
            <w:tcW w:w="138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24"/>
                <w:szCs w:val="24"/>
                <w:color w:val="auto"/>
              </w:rPr>
            </w:pPr>
          </w:p>
        </w:tc>
        <w:tc>
          <w:tcPr>
            <w:tcW w:w="1260" w:type="dxa"/>
            <w:vAlign w:val="bottom"/>
            <w:shd w:val="clear" w:color="auto" w:fill="F0F0F0"/>
          </w:tcPr>
          <w:p>
            <w:pPr>
              <w:jc w:val="right"/>
              <w:ind w:right="473"/>
              <w:spacing w:after="0"/>
              <w:rPr>
                <w:sz w:val="20"/>
                <w:szCs w:val="20"/>
                <w:color w:val="auto"/>
              </w:rPr>
            </w:pPr>
            <w:r>
              <w:rPr>
                <w:rFonts w:ascii="Times New Roman" w:cs="Times New Roman" w:eastAsia="Times New Roman" w:hAnsi="Times New Roman"/>
                <w:sz w:val="18"/>
                <w:szCs w:val="18"/>
                <w:color w:val="auto"/>
              </w:rPr>
              <w:t>18</w:t>
            </w:r>
          </w:p>
        </w:tc>
        <w:tc>
          <w:tcPr>
            <w:tcW w:w="138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63"/>
        </w:trPr>
        <w:tc>
          <w:tcPr>
            <w:tcW w:w="408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color w:val="auto"/>
              </w:rPr>
              <w:t>Weighted-average discount rate (percent)</w:t>
            </w:r>
          </w:p>
        </w:tc>
        <w:tc>
          <w:tcPr>
            <w:tcW w:w="160" w:type="dxa"/>
            <w:vAlign w:val="bottom"/>
            <w:tcBorders>
              <w:bottom w:val="single" w:sz="8" w:color="0C479D"/>
            </w:tcBorders>
          </w:tcPr>
          <w:p>
            <w:pPr>
              <w:spacing w:after="0"/>
              <w:rPr>
                <w:sz w:val="22"/>
                <w:szCs w:val="22"/>
                <w:color w:val="auto"/>
              </w:rPr>
            </w:pPr>
          </w:p>
        </w:tc>
        <w:tc>
          <w:tcPr>
            <w:tcW w:w="1260" w:type="dxa"/>
            <w:vAlign w:val="bottom"/>
            <w:tcBorders>
              <w:bottom w:val="single" w:sz="8" w:color="0C479D"/>
            </w:tcBorders>
            <w:shd w:val="clear" w:color="auto" w:fill="F0F0F0"/>
          </w:tcPr>
          <w:p>
            <w:pPr>
              <w:jc w:val="right"/>
              <w:ind w:right="354"/>
              <w:spacing w:after="0"/>
              <w:rPr>
                <w:sz w:val="20"/>
                <w:szCs w:val="20"/>
                <w:color w:val="auto"/>
              </w:rPr>
            </w:pPr>
            <w:r>
              <w:rPr>
                <w:rFonts w:ascii="Times New Roman" w:cs="Times New Roman" w:eastAsia="Times New Roman" w:hAnsi="Times New Roman"/>
                <w:sz w:val="18"/>
                <w:szCs w:val="18"/>
                <w:color w:val="auto"/>
              </w:rPr>
              <w:t>4.9%</w:t>
            </w:r>
          </w:p>
        </w:tc>
        <w:tc>
          <w:tcPr>
            <w:tcW w:w="1380" w:type="dxa"/>
            <w:vAlign w:val="bottom"/>
            <w:tcBorders>
              <w:bottom w:val="single" w:sz="8" w:color="0C479D"/>
            </w:tcBorders>
          </w:tcPr>
          <w:p>
            <w:pPr>
              <w:jc w:val="right"/>
              <w:ind w:right="372"/>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Borders>
              <w:bottom w:val="single" w:sz="8" w:color="0C479D"/>
            </w:tcBorders>
          </w:tcPr>
          <w:p>
            <w:pPr>
              <w:spacing w:after="0"/>
              <w:rPr>
                <w:sz w:val="22"/>
                <w:szCs w:val="22"/>
                <w:color w:val="auto"/>
              </w:rPr>
            </w:pPr>
          </w:p>
        </w:tc>
        <w:tc>
          <w:tcPr>
            <w:tcW w:w="1260" w:type="dxa"/>
            <w:vAlign w:val="bottom"/>
            <w:tcBorders>
              <w:bottom w:val="single" w:sz="8" w:color="0C479D"/>
            </w:tcBorders>
            <w:shd w:val="clear" w:color="auto" w:fill="F0F0F0"/>
          </w:tcPr>
          <w:p>
            <w:pPr>
              <w:jc w:val="right"/>
              <w:ind w:right="373"/>
              <w:spacing w:after="0"/>
              <w:rPr>
                <w:sz w:val="20"/>
                <w:szCs w:val="20"/>
                <w:color w:val="auto"/>
              </w:rPr>
            </w:pPr>
            <w:r>
              <w:rPr>
                <w:rFonts w:ascii="Times New Roman" w:cs="Times New Roman" w:eastAsia="Times New Roman" w:hAnsi="Times New Roman"/>
                <w:sz w:val="18"/>
                <w:szCs w:val="18"/>
                <w:color w:val="auto"/>
              </w:rPr>
              <w:t>6.4%</w:t>
            </w:r>
          </w:p>
        </w:tc>
        <w:tc>
          <w:tcPr>
            <w:tcW w:w="1380" w:type="dxa"/>
            <w:vAlign w:val="bottom"/>
            <w:tcBorders>
              <w:bottom w:val="single" w:sz="8" w:color="0C479D"/>
            </w:tcBorders>
          </w:tcPr>
          <w:p>
            <w:pPr>
              <w:jc w:val="right"/>
              <w:ind w:right="372"/>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940" w:hanging="138"/>
        <w:spacing w:after="0"/>
        <w:tabs>
          <w:tab w:leader="none" w:pos="940" w:val="left"/>
        </w:tabs>
        <w:numPr>
          <w:ilvl w:val="0"/>
          <w:numId w:val="50"/>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Includes $2,198 million and $2,032 million for drilling rigs and related equipment operating leases in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22"/>
          <w:szCs w:val="22"/>
          <w:b w:val="1"/>
          <w:bCs w:val="1"/>
          <w:color w:val="0C479D"/>
        </w:rPr>
        <w:t>NOTES TO CONSOLIDATED FINANCIAL STATEMENTS</w:t>
      </w:r>
    </w:p>
    <w:p>
      <w:pPr>
        <w:spacing w:after="0" w:line="200" w:lineRule="exact"/>
        <w:rPr>
          <w:sz w:val="20"/>
          <w:szCs w:val="20"/>
          <w:color w:val="auto"/>
        </w:rPr>
      </w:pPr>
    </w:p>
    <w:p>
      <w:pPr>
        <w:spacing w:after="0" w:line="321" w:lineRule="exact"/>
        <w:rPr>
          <w:sz w:val="20"/>
          <w:szCs w:val="20"/>
          <w:color w:val="auto"/>
        </w:rPr>
      </w:pPr>
    </w:p>
    <w:tbl>
      <w:tblPr>
        <w:tblLayout w:type="fixed"/>
        <w:tblInd w:w="800" w:type="dxa"/>
        <w:tblCellMar>
          <w:top w:w="0" w:type="dxa"/>
          <w:left w:w="0" w:type="dxa"/>
          <w:bottom w:w="0" w:type="dxa"/>
          <w:right w:w="0" w:type="dxa"/>
        </w:tblCellMar>
      </w:tblPr>
      <w:tr>
        <w:trPr>
          <w:trHeight w:val="259"/>
        </w:trPr>
        <w:tc>
          <w:tcPr>
            <w:tcW w:w="4900" w:type="dxa"/>
            <w:vAlign w:val="bottom"/>
            <w:shd w:val="clear" w:color="auto" w:fill="0C479D"/>
          </w:tcPr>
          <w:p>
            <w:pPr>
              <w:ind w:left="20"/>
              <w:spacing w:after="0"/>
              <w:rPr>
                <w:sz w:val="20"/>
                <w:szCs w:val="20"/>
                <w:color w:val="auto"/>
              </w:rPr>
            </w:pPr>
            <w:r>
              <w:rPr>
                <w:rFonts w:ascii="Times New Roman" w:cs="Times New Roman" w:eastAsia="Times New Roman" w:hAnsi="Times New Roman"/>
                <w:sz w:val="18"/>
                <w:szCs w:val="18"/>
                <w:b w:val="1"/>
                <w:bCs w:val="1"/>
                <w:color w:val="FFFFFF"/>
              </w:rPr>
              <w:t>Maturity Analysis of Lease Liabilities</w:t>
            </w:r>
          </w:p>
        </w:tc>
        <w:tc>
          <w:tcPr>
            <w:tcW w:w="3400" w:type="dxa"/>
            <w:vAlign w:val="bottom"/>
            <w:shd w:val="clear" w:color="auto" w:fill="0C479D"/>
          </w:tcPr>
          <w:p>
            <w:pPr>
              <w:jc w:val="right"/>
              <w:ind w:right="233"/>
              <w:spacing w:after="0"/>
              <w:rPr>
                <w:sz w:val="20"/>
                <w:szCs w:val="20"/>
                <w:color w:val="auto"/>
              </w:rPr>
            </w:pPr>
            <w:r>
              <w:rPr>
                <w:rFonts w:ascii="Times New Roman" w:cs="Times New Roman" w:eastAsia="Times New Roman" w:hAnsi="Times New Roman"/>
                <w:sz w:val="14"/>
                <w:szCs w:val="14"/>
                <w:b w:val="1"/>
                <w:bCs w:val="1"/>
                <w:color w:val="FFFFFF"/>
              </w:rPr>
              <w:t>Operating Leases</w:t>
            </w:r>
          </w:p>
        </w:tc>
        <w:tc>
          <w:tcPr>
            <w:tcW w:w="1360" w:type="dxa"/>
            <w:vAlign w:val="bottom"/>
            <w:shd w:val="clear" w:color="auto" w:fill="0C479D"/>
          </w:tcPr>
          <w:p>
            <w:pPr>
              <w:jc w:val="right"/>
              <w:ind w:right="152"/>
              <w:spacing w:after="0"/>
              <w:rPr>
                <w:sz w:val="20"/>
                <w:szCs w:val="20"/>
                <w:color w:val="auto"/>
              </w:rPr>
            </w:pPr>
            <w:r>
              <w:rPr>
                <w:rFonts w:ascii="Times New Roman" w:cs="Times New Roman" w:eastAsia="Times New Roman" w:hAnsi="Times New Roman"/>
                <w:sz w:val="14"/>
                <w:szCs w:val="14"/>
                <w:b w:val="1"/>
                <w:bCs w:val="1"/>
                <w:color w:val="FFFFFF"/>
              </w:rPr>
              <w:t>Finance Leases</w:t>
            </w:r>
          </w:p>
        </w:tc>
        <w:tc>
          <w:tcPr>
            <w:tcW w:w="0" w:type="dxa"/>
            <w:vAlign w:val="bottom"/>
          </w:tcPr>
          <w:p>
            <w:pPr>
              <w:spacing w:after="0"/>
              <w:rPr>
                <w:sz w:val="1"/>
                <w:szCs w:val="1"/>
                <w:color w:val="auto"/>
              </w:rPr>
            </w:pPr>
          </w:p>
        </w:tc>
      </w:tr>
      <w:tr>
        <w:trPr>
          <w:trHeight w:val="190"/>
        </w:trPr>
        <w:tc>
          <w:tcPr>
            <w:tcW w:w="4900" w:type="dxa"/>
            <w:vAlign w:val="bottom"/>
            <w:shd w:val="clear" w:color="auto" w:fill="0C479D"/>
          </w:tcPr>
          <w:p>
            <w:pPr>
              <w:ind w:left="20"/>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4760" w:type="dxa"/>
            <w:vAlign w:val="bottom"/>
            <w:gridSpan w:val="2"/>
            <w:vMerge w:val="restart"/>
            <w:shd w:val="clear" w:color="auto" w:fill="0C479D"/>
          </w:tcPr>
          <w:p>
            <w:pPr>
              <w:jc w:val="right"/>
              <w:ind w:right="792"/>
              <w:spacing w:after="0"/>
              <w:rPr>
                <w:sz w:val="20"/>
                <w:szCs w:val="20"/>
                <w:color w:val="auto"/>
              </w:rPr>
            </w:pPr>
            <w:r>
              <w:rPr>
                <w:rFonts w:ascii="Times New Roman" w:cs="Times New Roman" w:eastAsia="Times New Roman" w:hAnsi="Times New Roman"/>
                <w:sz w:val="14"/>
                <w:szCs w:val="14"/>
                <w:b w:val="1"/>
                <w:bCs w:val="1"/>
                <w:color w:val="FFFFFF"/>
              </w:rPr>
              <w:t>December 31, 2024</w:t>
            </w:r>
          </w:p>
        </w:tc>
        <w:tc>
          <w:tcPr>
            <w:tcW w:w="0" w:type="dxa"/>
            <w:vAlign w:val="bottom"/>
          </w:tcPr>
          <w:p>
            <w:pPr>
              <w:spacing w:after="0"/>
              <w:rPr>
                <w:sz w:val="1"/>
                <w:szCs w:val="1"/>
                <w:color w:val="auto"/>
              </w:rPr>
            </w:pPr>
          </w:p>
        </w:tc>
      </w:tr>
      <w:tr>
        <w:trPr>
          <w:trHeight w:val="71"/>
        </w:trPr>
        <w:tc>
          <w:tcPr>
            <w:tcW w:w="4900" w:type="dxa"/>
            <w:vAlign w:val="bottom"/>
            <w:tcBorders>
              <w:bottom w:val="single" w:sz="8" w:color="0C479D"/>
            </w:tcBorders>
            <w:shd w:val="clear" w:color="auto" w:fill="0C479D"/>
          </w:tcPr>
          <w:p>
            <w:pPr>
              <w:spacing w:after="0"/>
              <w:rPr>
                <w:sz w:val="6"/>
                <w:szCs w:val="6"/>
                <w:color w:val="auto"/>
              </w:rPr>
            </w:pPr>
          </w:p>
        </w:tc>
        <w:tc>
          <w:tcPr>
            <w:tcW w:w="4760" w:type="dxa"/>
            <w:vAlign w:val="bottom"/>
            <w:tcBorders>
              <w:bottom w:val="single" w:sz="8" w:color="0C479D"/>
            </w:tcBorders>
            <w:gridSpan w:val="2"/>
            <w:vMerge w:val="continue"/>
            <w:shd w:val="clear" w:color="auto" w:fill="0C479D"/>
          </w:tcPr>
          <w:p>
            <w:pPr>
              <w:spacing w:after="0"/>
              <w:rPr>
                <w:sz w:val="6"/>
                <w:szCs w:val="6"/>
                <w:color w:val="auto"/>
              </w:rPr>
            </w:pPr>
          </w:p>
        </w:tc>
        <w:tc>
          <w:tcPr>
            <w:tcW w:w="0" w:type="dxa"/>
            <w:vAlign w:val="bottom"/>
          </w:tcPr>
          <w:p>
            <w:pPr>
              <w:spacing w:after="0"/>
              <w:rPr>
                <w:sz w:val="1"/>
                <w:szCs w:val="1"/>
                <w:color w:val="auto"/>
              </w:rPr>
            </w:pPr>
          </w:p>
        </w:tc>
      </w:tr>
      <w:tr>
        <w:trPr>
          <w:trHeight w:val="364"/>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4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2,119</w:t>
            </w: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7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4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1,569</w:t>
            </w: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7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4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1,134</w:t>
            </w: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7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4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715</w:t>
            </w: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7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40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305</w:t>
            </w: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70"/>
        </w:trPr>
        <w:tc>
          <w:tcPr>
            <w:tcW w:w="490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2030 and beyond</w:t>
            </w:r>
          </w:p>
        </w:tc>
        <w:tc>
          <w:tcPr>
            <w:tcW w:w="3400" w:type="dxa"/>
            <w:vAlign w:val="bottom"/>
            <w:tcBorders>
              <w:bottom w:val="single" w:sz="8" w:color="0C479D"/>
            </w:tcBorders>
          </w:tcPr>
          <w:p>
            <w:pPr>
              <w:jc w:val="right"/>
              <w:ind w:right="153"/>
              <w:spacing w:after="0"/>
              <w:rPr>
                <w:sz w:val="20"/>
                <w:szCs w:val="20"/>
                <w:color w:val="auto"/>
              </w:rPr>
            </w:pPr>
            <w:r>
              <w:rPr>
                <w:rFonts w:ascii="Times New Roman" w:cs="Times New Roman" w:eastAsia="Times New Roman" w:hAnsi="Times New Roman"/>
                <w:sz w:val="18"/>
                <w:szCs w:val="18"/>
                <w:color w:val="auto"/>
              </w:rPr>
              <w:t>1,712</w:t>
            </w:r>
          </w:p>
        </w:tc>
        <w:tc>
          <w:tcPr>
            <w:tcW w:w="1360" w:type="dxa"/>
            <w:vAlign w:val="bottom"/>
            <w:tcBorders>
              <w:bottom w:val="single" w:sz="8" w:color="0C479D"/>
            </w:tcBorders>
          </w:tcPr>
          <w:p>
            <w:pPr>
              <w:jc w:val="right"/>
              <w:ind w:right="12"/>
              <w:spacing w:after="0"/>
              <w:rPr>
                <w:sz w:val="20"/>
                <w:szCs w:val="20"/>
                <w:color w:val="auto"/>
              </w:rPr>
            </w:pPr>
            <w:r>
              <w:rPr>
                <w:rFonts w:ascii="Times New Roman" w:cs="Times New Roman" w:eastAsia="Times New Roman" w:hAnsi="Times New Roman"/>
                <w:sz w:val="18"/>
                <w:szCs w:val="18"/>
                <w:color w:val="auto"/>
              </w:rPr>
              <w:t>2,450</w:t>
            </w:r>
          </w:p>
        </w:tc>
        <w:tc>
          <w:tcPr>
            <w:tcW w:w="0" w:type="dxa"/>
            <w:vAlign w:val="bottom"/>
          </w:tcPr>
          <w:p>
            <w:pPr>
              <w:spacing w:after="0"/>
              <w:rPr>
                <w:sz w:val="1"/>
                <w:szCs w:val="1"/>
                <w:color w:val="auto"/>
              </w:rPr>
            </w:pPr>
          </w:p>
        </w:tc>
      </w:tr>
      <w:tr>
        <w:trPr>
          <w:trHeight w:val="250"/>
        </w:trPr>
        <w:tc>
          <w:tcPr>
            <w:tcW w:w="490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payments</w:t>
            </w:r>
          </w:p>
        </w:tc>
        <w:tc>
          <w:tcPr>
            <w:tcW w:w="3400" w:type="dxa"/>
            <w:vAlign w:val="bottom"/>
            <w:tcBorders>
              <w:bottom w:val="single" w:sz="8" w:color="0C479D"/>
            </w:tcBorders>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7,554</w:t>
            </w:r>
          </w:p>
        </w:tc>
        <w:tc>
          <w:tcPr>
            <w:tcW w:w="1360" w:type="dxa"/>
            <w:vAlign w:val="bottom"/>
            <w:tcBorders>
              <w:bottom w:val="single" w:sz="8" w:color="0C479D"/>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3,783</w:t>
            </w:r>
          </w:p>
        </w:tc>
        <w:tc>
          <w:tcPr>
            <w:tcW w:w="0" w:type="dxa"/>
            <w:vAlign w:val="bottom"/>
          </w:tcPr>
          <w:p>
            <w:pPr>
              <w:spacing w:after="0"/>
              <w:rPr>
                <w:sz w:val="1"/>
                <w:szCs w:val="1"/>
                <w:color w:val="auto"/>
              </w:rPr>
            </w:pPr>
          </w:p>
        </w:tc>
      </w:tr>
      <w:tr>
        <w:trPr>
          <w:trHeight w:val="250"/>
        </w:trPr>
        <w:tc>
          <w:tcPr>
            <w:tcW w:w="490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Discount to present value</w:t>
            </w:r>
          </w:p>
        </w:tc>
        <w:tc>
          <w:tcPr>
            <w:tcW w:w="3400" w:type="dxa"/>
            <w:vAlign w:val="bottom"/>
            <w:tcBorders>
              <w:bottom w:val="single" w:sz="8" w:color="0C479D"/>
            </w:tcBorders>
          </w:tcPr>
          <w:p>
            <w:pPr>
              <w:jc w:val="right"/>
              <w:ind w:right="113"/>
              <w:spacing w:after="0"/>
              <w:rPr>
                <w:sz w:val="20"/>
                <w:szCs w:val="20"/>
                <w:color w:val="auto"/>
              </w:rPr>
            </w:pPr>
            <w:r>
              <w:rPr>
                <w:rFonts w:ascii="Times New Roman" w:cs="Times New Roman" w:eastAsia="Times New Roman" w:hAnsi="Times New Roman"/>
                <w:sz w:val="18"/>
                <w:szCs w:val="18"/>
                <w:color w:val="auto"/>
              </w:rPr>
              <w:t>(1,076)</w:t>
            </w:r>
          </w:p>
        </w:tc>
        <w:tc>
          <w:tcPr>
            <w:tcW w:w="13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0" w:type="dxa"/>
            <w:vAlign w:val="bottom"/>
          </w:tcPr>
          <w:p>
            <w:pPr>
              <w:spacing w:after="0"/>
              <w:rPr>
                <w:sz w:val="1"/>
                <w:szCs w:val="1"/>
                <w:color w:val="auto"/>
              </w:rPr>
            </w:pPr>
          </w:p>
        </w:tc>
      </w:tr>
      <w:tr>
        <w:trPr>
          <w:trHeight w:val="243"/>
        </w:trPr>
        <w:tc>
          <w:tcPr>
            <w:tcW w:w="490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liability</w:t>
            </w:r>
          </w:p>
        </w:tc>
        <w:tc>
          <w:tcPr>
            <w:tcW w:w="3400" w:type="dxa"/>
            <w:vAlign w:val="bottom"/>
            <w:tcBorders>
              <w:bottom w:val="single" w:sz="8" w:color="0C479D"/>
            </w:tcBorders>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6,478</w:t>
            </w:r>
          </w:p>
        </w:tc>
        <w:tc>
          <w:tcPr>
            <w:tcW w:w="1360" w:type="dxa"/>
            <w:vAlign w:val="bottom"/>
            <w:tcBorders>
              <w:bottom w:val="single" w:sz="8" w:color="0C479D"/>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2,361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lease liabilities in the table immediately above, at December 31, 2024, undiscounted commitments for leases not yet commenced totaled $3,938 million for operating leases and $1,957 million for finance leases. Estimated cash payments for operating and finance leases not yet commenced are $248 million and $341 million for 2025 and 2026, respectively. Operating leases not yet commenced primarily relate to LNG transportation vessels. Finance leases not yet commenced primarily relate to a long-term processing agreement to upgrade residue to hydrogen. The underlying assets are primarily designed by, and are being constructed by, the lessors.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316865</wp:posOffset>
            </wp:positionV>
            <wp:extent cx="2511425" cy="3429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511425" cy="342900"/>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FFFFFF"/>
        </w:rPr>
        <w:t>Other Information</w:t>
      </w:r>
    </w:p>
    <w:p>
      <w:pPr>
        <w:ind w:left="800"/>
        <w:spacing w:after="0"/>
        <w:rPr>
          <w:sz w:val="20"/>
          <w:szCs w:val="20"/>
          <w:color w:val="auto"/>
        </w:rPr>
      </w:pPr>
      <w:r>
        <w:rPr>
          <w:rFonts w:ascii="Times New Roman" w:cs="Times New Roman" w:eastAsia="Times New Roman" w:hAnsi="Times New Roman"/>
          <w:sz w:val="14"/>
          <w:szCs w:val="14"/>
          <w:i w:val="1"/>
          <w:iCs w:val="1"/>
          <w:color w:val="FFFFFF"/>
        </w:rPr>
        <w:t>(millions of dollars)</w:t>
      </w:r>
    </w:p>
    <w:p>
      <w:pPr>
        <w:spacing w:after="0" w:line="201" w:lineRule="exact"/>
        <w:rPr>
          <w:sz w:val="20"/>
          <w:szCs w:val="20"/>
          <w:color w:val="auto"/>
        </w:rPr>
      </w:pPr>
    </w:p>
    <w:p>
      <w:pPr>
        <w:ind w:left="800" w:right="580"/>
        <w:spacing w:after="0" w:line="239" w:lineRule="auto"/>
        <w:rPr>
          <w:sz w:val="20"/>
          <w:szCs w:val="20"/>
          <w:color w:val="auto"/>
        </w:rPr>
      </w:pPr>
      <w:r>
        <w:rPr>
          <w:rFonts w:ascii="Times New Roman" w:cs="Times New Roman" w:eastAsia="Times New Roman" w:hAnsi="Times New Roman"/>
          <w:sz w:val="18"/>
          <w:szCs w:val="18"/>
          <w:b w:val="1"/>
          <w:bCs w:val="1"/>
          <w:color w:val="0C479D"/>
        </w:rPr>
        <w:t>Cash paid for amounts included in the measurement of lease liabilities</w:t>
      </w:r>
    </w:p>
    <w:p>
      <w:pPr>
        <w:spacing w:after="0" w:line="5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Cash flows from operating activities</w:t>
      </w:r>
    </w:p>
    <w:p>
      <w:pPr>
        <w:spacing w:after="0" w:line="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Cash flows from investing activities</w:t>
      </w:r>
    </w:p>
    <w:p>
      <w:pPr>
        <w:spacing w:after="0" w:line="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Cash flows from financing activities</w:t>
      </w:r>
    </w:p>
    <w:p>
      <w:pPr>
        <w:spacing w:after="0" w:line="113" w:lineRule="exact"/>
        <w:rPr>
          <w:sz w:val="20"/>
          <w:szCs w:val="20"/>
          <w:color w:val="auto"/>
        </w:rPr>
      </w:pPr>
    </w:p>
    <w:p>
      <w:pPr>
        <w:ind w:left="800" w:right="40"/>
        <w:spacing w:after="0" w:line="239" w:lineRule="auto"/>
        <w:rPr>
          <w:sz w:val="20"/>
          <w:szCs w:val="20"/>
          <w:color w:val="auto"/>
        </w:rPr>
      </w:pPr>
      <w:r>
        <w:rPr>
          <w:rFonts w:ascii="Times New Roman" w:cs="Times New Roman" w:eastAsia="Times New Roman" w:hAnsi="Times New Roman"/>
          <w:sz w:val="18"/>
          <w:szCs w:val="18"/>
          <w:b w:val="1"/>
          <w:bCs w:val="1"/>
          <w:color w:val="0C479D"/>
        </w:rPr>
        <w:t>Noncash right of use assets recorded for lease liabilities</w:t>
      </w:r>
    </w:p>
    <w:p>
      <w:pPr>
        <w:spacing w:after="0" w:line="3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auto"/>
        </w:rPr>
        <w:t>In exchange for lease liabilities during the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820" w:type="dxa"/>
            <w:vAlign w:val="bottom"/>
            <w:shd w:val="clear" w:color="auto" w:fill="0C479D"/>
          </w:tcPr>
          <w:p>
            <w:pPr>
              <w:spacing w:after="0"/>
              <w:rPr>
                <w:sz w:val="21"/>
                <w:szCs w:val="21"/>
                <w:color w:val="auto"/>
              </w:rPr>
            </w:pPr>
          </w:p>
        </w:tc>
        <w:tc>
          <w:tcPr>
            <w:tcW w:w="1360" w:type="dxa"/>
            <w:vAlign w:val="bottom"/>
            <w:shd w:val="clear" w:color="auto" w:fill="0C479D"/>
          </w:tcPr>
          <w:p>
            <w:pPr>
              <w:jc w:val="right"/>
              <w:ind w:right="208"/>
              <w:spacing w:after="0"/>
              <w:rPr>
                <w:sz w:val="20"/>
                <w:szCs w:val="20"/>
                <w:color w:val="auto"/>
              </w:rPr>
            </w:pPr>
            <w:r>
              <w:rPr>
                <w:rFonts w:ascii="Times New Roman" w:cs="Times New Roman" w:eastAsia="Times New Roman" w:hAnsi="Times New Roman"/>
                <w:sz w:val="14"/>
                <w:szCs w:val="14"/>
                <w:b w:val="1"/>
                <w:bCs w:val="1"/>
                <w:color w:val="FFFFFF"/>
              </w:rPr>
              <w:t>Operating Leases</w:t>
            </w:r>
          </w:p>
        </w:tc>
        <w:tc>
          <w:tcPr>
            <w:tcW w:w="560" w:type="dxa"/>
            <w:vAlign w:val="bottom"/>
            <w:shd w:val="clear" w:color="auto" w:fill="0C479D"/>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shd w:val="clear" w:color="auto" w:fill="0C479D"/>
          </w:tcPr>
          <w:p>
            <w:pPr>
              <w:spacing w:after="0"/>
              <w:rPr>
                <w:sz w:val="21"/>
                <w:szCs w:val="21"/>
                <w:color w:val="auto"/>
              </w:rPr>
            </w:pPr>
          </w:p>
        </w:tc>
        <w:tc>
          <w:tcPr>
            <w:tcW w:w="1260" w:type="dxa"/>
            <w:vAlign w:val="bottom"/>
            <w:shd w:val="clear" w:color="auto" w:fill="0C479D"/>
          </w:tcPr>
          <w:p>
            <w:pPr>
              <w:jc w:val="right"/>
              <w:ind w:right="208"/>
              <w:spacing w:after="0"/>
              <w:rPr>
                <w:sz w:val="20"/>
                <w:szCs w:val="20"/>
                <w:color w:val="auto"/>
              </w:rPr>
            </w:pPr>
            <w:r>
              <w:rPr>
                <w:rFonts w:ascii="Times New Roman" w:cs="Times New Roman" w:eastAsia="Times New Roman" w:hAnsi="Times New Roman"/>
                <w:sz w:val="14"/>
                <w:szCs w:val="14"/>
                <w:b w:val="1"/>
                <w:bCs w:val="1"/>
                <w:color w:val="FFFFFF"/>
              </w:rPr>
              <w:t>Finance Leases</w:t>
            </w:r>
          </w:p>
        </w:tc>
        <w:tc>
          <w:tcPr>
            <w:tcW w:w="600" w:type="dxa"/>
            <w:vAlign w:val="bottom"/>
            <w:shd w:val="clear" w:color="auto" w:fill="0C479D"/>
          </w:tcPr>
          <w:p>
            <w:pPr>
              <w:spacing w:after="0"/>
              <w:rPr>
                <w:sz w:val="21"/>
                <w:szCs w:val="21"/>
                <w:color w:val="auto"/>
              </w:rPr>
            </w:pPr>
          </w:p>
        </w:tc>
      </w:tr>
      <w:tr>
        <w:trPr>
          <w:trHeight w:val="270"/>
        </w:trPr>
        <w:tc>
          <w:tcPr>
            <w:tcW w:w="820" w:type="dxa"/>
            <w:vAlign w:val="bottom"/>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1360" w:type="dxa"/>
            <w:vAlign w:val="bottom"/>
            <w:shd w:val="clear" w:color="auto" w:fill="0C479D"/>
          </w:tcPr>
          <w:p>
            <w:pPr>
              <w:jc w:val="right"/>
              <w:ind w:right="348"/>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560" w:type="dxa"/>
            <w:vAlign w:val="bottom"/>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2022</w:t>
            </w:r>
          </w:p>
        </w:tc>
        <w:tc>
          <w:tcPr>
            <w:tcW w:w="160" w:type="dxa"/>
            <w:vAlign w:val="bottom"/>
          </w:tcPr>
          <w:p>
            <w:pPr>
              <w:spacing w:after="0"/>
              <w:rPr>
                <w:sz w:val="23"/>
                <w:szCs w:val="23"/>
                <w:color w:val="auto"/>
              </w:rPr>
            </w:pPr>
          </w:p>
        </w:tc>
        <w:tc>
          <w:tcPr>
            <w:tcW w:w="840" w:type="dxa"/>
            <w:vAlign w:val="bottom"/>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1260" w:type="dxa"/>
            <w:vAlign w:val="bottom"/>
            <w:shd w:val="clear" w:color="auto" w:fill="0C479D"/>
          </w:tcPr>
          <w:p>
            <w:pPr>
              <w:jc w:val="right"/>
              <w:ind w:right="308"/>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600" w:type="dxa"/>
            <w:vAlign w:val="bottom"/>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2022</w:t>
            </w:r>
          </w:p>
        </w:tc>
      </w:tr>
      <w:tr>
        <w:trPr>
          <w:trHeight w:val="23"/>
        </w:trPr>
        <w:tc>
          <w:tcPr>
            <w:tcW w:w="820" w:type="dxa"/>
            <w:vAlign w:val="bottom"/>
            <w:shd w:val="clear" w:color="auto" w:fill="0C479D"/>
          </w:tcPr>
          <w:p>
            <w:pPr>
              <w:spacing w:after="0"/>
              <w:rPr>
                <w:sz w:val="2"/>
                <w:szCs w:val="2"/>
                <w:color w:val="auto"/>
              </w:rPr>
            </w:pPr>
          </w:p>
        </w:tc>
        <w:tc>
          <w:tcPr>
            <w:tcW w:w="1360" w:type="dxa"/>
            <w:vAlign w:val="bottom"/>
            <w:shd w:val="clear" w:color="auto" w:fill="0C479D"/>
          </w:tcPr>
          <w:p>
            <w:pPr>
              <w:spacing w:after="0"/>
              <w:rPr>
                <w:sz w:val="2"/>
                <w:szCs w:val="2"/>
                <w:color w:val="auto"/>
              </w:rPr>
            </w:pPr>
          </w:p>
        </w:tc>
        <w:tc>
          <w:tcPr>
            <w:tcW w:w="560" w:type="dxa"/>
            <w:vAlign w:val="bottom"/>
            <w:shd w:val="clear" w:color="auto" w:fill="0C479D"/>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C479D"/>
          </w:tcPr>
          <w:p>
            <w:pPr>
              <w:spacing w:after="0"/>
              <w:rPr>
                <w:sz w:val="2"/>
                <w:szCs w:val="2"/>
                <w:color w:val="auto"/>
              </w:rPr>
            </w:pPr>
          </w:p>
        </w:tc>
        <w:tc>
          <w:tcPr>
            <w:tcW w:w="1260" w:type="dxa"/>
            <w:vAlign w:val="bottom"/>
            <w:shd w:val="clear" w:color="auto" w:fill="0C479D"/>
          </w:tcPr>
          <w:p>
            <w:pPr>
              <w:spacing w:after="0"/>
              <w:rPr>
                <w:sz w:val="2"/>
                <w:szCs w:val="2"/>
                <w:color w:val="auto"/>
              </w:rPr>
            </w:pPr>
          </w:p>
        </w:tc>
        <w:tc>
          <w:tcPr>
            <w:tcW w:w="600" w:type="dxa"/>
            <w:vAlign w:val="bottom"/>
            <w:shd w:val="clear" w:color="auto" w:fill="0C479D"/>
          </w:tcPr>
          <w:p>
            <w:pPr>
              <w:spacing w:after="0"/>
              <w:rPr>
                <w:sz w:val="2"/>
                <w:szCs w:val="2"/>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763"/>
        </w:trPr>
        <w:tc>
          <w:tcPr>
            <w:tcW w:w="8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1,135</w:t>
            </w:r>
          </w:p>
        </w:tc>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1,119</w:t>
            </w:r>
          </w:p>
        </w:tc>
        <w:tc>
          <w:tcPr>
            <w:tcW w:w="820" w:type="dxa"/>
            <w:vAlign w:val="bottom"/>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11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0"/>
        </w:trPr>
        <w:tc>
          <w:tcPr>
            <w:tcW w:w="8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758</w:t>
            </w:r>
          </w:p>
        </w:tc>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500</w:t>
            </w:r>
          </w:p>
        </w:tc>
        <w:tc>
          <w:tcPr>
            <w:tcW w:w="820" w:type="dxa"/>
            <w:vAlign w:val="bottom"/>
            <w:shd w:val="clear" w:color="auto" w:fill="F0F0F0"/>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270"/>
        </w:trPr>
        <w:tc>
          <w:tcPr>
            <w:tcW w:w="820" w:type="dxa"/>
            <w:vAlign w:val="bottom"/>
            <w:shd w:val="clear" w:color="auto" w:fill="F0F0F0"/>
          </w:tcPr>
          <w:p>
            <w:pPr>
              <w:spacing w:after="0"/>
              <w:rPr>
                <w:sz w:val="23"/>
                <w:szCs w:val="23"/>
                <w:color w:val="auto"/>
              </w:rPr>
            </w:pPr>
          </w:p>
        </w:tc>
        <w:tc>
          <w:tcPr>
            <w:tcW w:w="1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20" w:type="dxa"/>
            <w:vAlign w:val="bottom"/>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121</w:t>
            </w:r>
          </w:p>
        </w:tc>
        <w:tc>
          <w:tcPr>
            <w:tcW w:w="11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783"/>
        </w:trPr>
        <w:tc>
          <w:tcPr>
            <w:tcW w:w="8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2,161</w:t>
            </w:r>
          </w:p>
        </w:tc>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1,997</w:t>
            </w:r>
          </w:p>
        </w:tc>
        <w:tc>
          <w:tcPr>
            <w:tcW w:w="820" w:type="dxa"/>
            <w:vAlign w:val="bottom"/>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109</w:t>
            </w:r>
          </w:p>
        </w:tc>
        <w:tc>
          <w:tcPr>
            <w:tcW w:w="11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529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-2604770</wp:posOffset>
            </wp:positionH>
            <wp:positionV relativeFrom="paragraph">
              <wp:posOffset>-7620</wp:posOffset>
            </wp:positionV>
            <wp:extent cx="615505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15505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20" w:space="560"/>
            <w:col w:w="6360"/>
          </w:cols>
          <w:pgMar w:left="320" w:top="216" w:right="339" w:bottom="1440" w:gutter="0" w:footer="0" w:header="0"/>
          <w:type w:val="continuous"/>
        </w:sect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C479D"/>
        </w:rPr>
        <w:t>Note 12. Earnings Per Share</w:t>
      </w:r>
    </w:p>
    <w:p>
      <w:pPr>
        <w:spacing w:after="0" w:line="183" w:lineRule="exact"/>
        <w:rPr>
          <w:sz w:val="20"/>
          <w:szCs w:val="20"/>
          <w:color w:val="auto"/>
        </w:rPr>
      </w:pPr>
    </w:p>
    <w:tbl>
      <w:tblPr>
        <w:tblLayout w:type="fixed"/>
        <w:tblInd w:w="780" w:type="dxa"/>
        <w:tblCellMar>
          <w:top w:w="0" w:type="dxa"/>
          <w:left w:w="0" w:type="dxa"/>
          <w:bottom w:w="0" w:type="dxa"/>
          <w:right w:w="0" w:type="dxa"/>
        </w:tblCellMar>
      </w:tblPr>
      <w:tr>
        <w:trPr>
          <w:trHeight w:val="270"/>
        </w:trPr>
        <w:tc>
          <w:tcPr>
            <w:tcW w:w="6360" w:type="dxa"/>
            <w:vAlign w:val="bottom"/>
            <w:shd w:val="clear" w:color="auto" w:fill="0C479D"/>
          </w:tcPr>
          <w:p>
            <w:pPr>
              <w:ind w:left="20"/>
              <w:spacing w:after="0"/>
              <w:rPr>
                <w:sz w:val="20"/>
                <w:szCs w:val="20"/>
                <w:color w:val="auto"/>
              </w:rPr>
            </w:pPr>
            <w:r>
              <w:rPr>
                <w:rFonts w:ascii="Times New Roman" w:cs="Times New Roman" w:eastAsia="Times New Roman" w:hAnsi="Times New Roman"/>
                <w:sz w:val="18"/>
                <w:szCs w:val="18"/>
                <w:b w:val="1"/>
                <w:bCs w:val="1"/>
                <w:color w:val="FFFFFF"/>
              </w:rPr>
              <w:t>Earnings per common share</w:t>
            </w:r>
          </w:p>
        </w:tc>
        <w:tc>
          <w:tcPr>
            <w:tcW w:w="1420" w:type="dxa"/>
            <w:vAlign w:val="bottom"/>
            <w:shd w:val="clear" w:color="auto" w:fill="0C479D"/>
          </w:tcPr>
          <w:p>
            <w:pPr>
              <w:jc w:val="right"/>
              <w:ind w:right="174"/>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1080" w:type="dxa"/>
            <w:vAlign w:val="bottom"/>
            <w:shd w:val="clear" w:color="auto" w:fill="0C479D"/>
          </w:tcPr>
          <w:p>
            <w:pPr>
              <w:jc w:val="right"/>
              <w:ind w:right="174"/>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840" w:type="dxa"/>
            <w:vAlign w:val="bottom"/>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2022</w:t>
            </w:r>
          </w:p>
        </w:tc>
      </w:tr>
      <w:tr>
        <w:trPr>
          <w:trHeight w:val="27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Net income (loss) attributable to ExxonMobil </w:t>
            </w:r>
            <w:r>
              <w:rPr>
                <w:rFonts w:ascii="Times New Roman" w:cs="Times New Roman" w:eastAsia="Times New Roman" w:hAnsi="Times New Roman"/>
                <w:sz w:val="18"/>
                <w:szCs w:val="18"/>
                <w:i w:val="1"/>
                <w:iCs w:val="1"/>
                <w:color w:val="auto"/>
              </w:rPr>
              <w:t>(millions of dollars)</w:t>
            </w:r>
          </w:p>
        </w:tc>
        <w:tc>
          <w:tcPr>
            <w:tcW w:w="142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33,680</w:t>
            </w:r>
          </w:p>
        </w:tc>
        <w:tc>
          <w:tcPr>
            <w:tcW w:w="108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36,010</w:t>
            </w: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55,740</w:t>
            </w:r>
          </w:p>
        </w:tc>
      </w:tr>
      <w:tr>
        <w:trPr>
          <w:trHeight w:val="27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Weighted-average number of common shares outstanding </w:t>
            </w:r>
            <w:r>
              <w:rPr>
                <w:rFonts w:ascii="Times New Roman" w:cs="Times New Roman" w:eastAsia="Times New Roman" w:hAnsi="Times New Roman"/>
                <w:sz w:val="18"/>
                <w:szCs w:val="18"/>
                <w:i w:val="1"/>
                <w:iCs w:val="1"/>
                <w:color w:val="auto"/>
              </w:rPr>
              <w:t>(millions of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9"/>
                <w:szCs w:val="9"/>
                <w:i w:val="1"/>
                <w:iCs w:val="1"/>
                <w:color w:val="auto"/>
              </w:rPr>
              <w:t>(1)</w:t>
            </w:r>
          </w:p>
        </w:tc>
        <w:tc>
          <w:tcPr>
            <w:tcW w:w="142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4,298</w:t>
            </w:r>
          </w:p>
        </w:tc>
        <w:tc>
          <w:tcPr>
            <w:tcW w:w="108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4,052</w:t>
            </w: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4,205</w:t>
            </w:r>
          </w:p>
        </w:tc>
      </w:tr>
      <w:tr>
        <w:trPr>
          <w:trHeight w:val="27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Earnings (loss) per common share </w:t>
            </w:r>
            <w:r>
              <w:rPr>
                <w:rFonts w:ascii="Times New Roman" w:cs="Times New Roman" w:eastAsia="Times New Roman" w:hAnsi="Times New Roman"/>
                <w:sz w:val="18"/>
                <w:szCs w:val="18"/>
                <w:i w:val="1"/>
                <w:iCs w:val="1"/>
                <w:color w:val="auto"/>
              </w:rPr>
              <w:t>(dollars)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9"/>
                <w:szCs w:val="9"/>
                <w:i w:val="1"/>
                <w:iCs w:val="1"/>
                <w:color w:val="auto"/>
              </w:rPr>
              <w:t>(2)</w:t>
            </w:r>
          </w:p>
        </w:tc>
        <w:tc>
          <w:tcPr>
            <w:tcW w:w="142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7.84</w:t>
            </w:r>
          </w:p>
        </w:tc>
        <w:tc>
          <w:tcPr>
            <w:tcW w:w="108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rPr>
              <w:t>8.89</w:t>
            </w: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13.26</w:t>
            </w:r>
          </w:p>
        </w:tc>
      </w:tr>
      <w:tr>
        <w:trPr>
          <w:trHeight w:val="263"/>
        </w:trPr>
        <w:tc>
          <w:tcPr>
            <w:tcW w:w="636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 xml:space="preserve">Dividends paid per common share </w:t>
            </w:r>
            <w:r>
              <w:rPr>
                <w:rFonts w:ascii="Times New Roman" w:cs="Times New Roman" w:eastAsia="Times New Roman" w:hAnsi="Times New Roman"/>
                <w:sz w:val="18"/>
                <w:szCs w:val="18"/>
                <w:i w:val="1"/>
                <w:iCs w:val="1"/>
                <w:color w:val="auto"/>
              </w:rPr>
              <w:t>(dollars)</w:t>
            </w:r>
          </w:p>
        </w:tc>
        <w:tc>
          <w:tcPr>
            <w:tcW w:w="1420" w:type="dxa"/>
            <w:vAlign w:val="bottom"/>
            <w:tcBorders>
              <w:bottom w:val="single" w:sz="8" w:color="0C479D"/>
            </w:tcBorders>
          </w:tcPr>
          <w:p>
            <w:pPr>
              <w:jc w:val="right"/>
              <w:ind w:right="254"/>
              <w:spacing w:after="0"/>
              <w:rPr>
                <w:sz w:val="20"/>
                <w:szCs w:val="20"/>
                <w:color w:val="auto"/>
              </w:rPr>
            </w:pPr>
            <w:r>
              <w:rPr>
                <w:rFonts w:ascii="Times New Roman" w:cs="Times New Roman" w:eastAsia="Times New Roman" w:hAnsi="Times New Roman"/>
                <w:sz w:val="18"/>
                <w:szCs w:val="18"/>
                <w:color w:val="auto"/>
              </w:rPr>
              <w:t>3.84</w:t>
            </w:r>
          </w:p>
        </w:tc>
        <w:tc>
          <w:tcPr>
            <w:tcW w:w="1080" w:type="dxa"/>
            <w:vAlign w:val="bottom"/>
            <w:tcBorders>
              <w:bottom w:val="single" w:sz="8" w:color="0C479D"/>
            </w:tcBorders>
          </w:tcPr>
          <w:p>
            <w:pPr>
              <w:jc w:val="right"/>
              <w:ind w:right="254"/>
              <w:spacing w:after="0"/>
              <w:rPr>
                <w:sz w:val="20"/>
                <w:szCs w:val="20"/>
                <w:color w:val="auto"/>
              </w:rPr>
            </w:pPr>
            <w:r>
              <w:rPr>
                <w:rFonts w:ascii="Times New Roman" w:cs="Times New Roman" w:eastAsia="Times New Roman" w:hAnsi="Times New Roman"/>
                <w:sz w:val="18"/>
                <w:szCs w:val="18"/>
                <w:color w:val="auto"/>
              </w:rPr>
              <w:t>3.68</w:t>
            </w:r>
          </w:p>
        </w:tc>
        <w:tc>
          <w:tcPr>
            <w:tcW w:w="840" w:type="dxa"/>
            <w:vAlign w:val="bottom"/>
            <w:tcBorders>
              <w:bottom w:val="single" w:sz="8" w:color="0C479D"/>
            </w:tcBorders>
          </w:tcPr>
          <w:p>
            <w:pPr>
              <w:jc w:val="right"/>
              <w:ind w:right="14"/>
              <w:spacing w:after="0"/>
              <w:rPr>
                <w:sz w:val="20"/>
                <w:szCs w:val="20"/>
                <w:color w:val="auto"/>
              </w:rPr>
            </w:pPr>
            <w:r>
              <w:rPr>
                <w:rFonts w:ascii="Times New Roman" w:cs="Times New Roman" w:eastAsia="Times New Roman" w:hAnsi="Times New Roman"/>
                <w:sz w:val="18"/>
                <w:szCs w:val="18"/>
                <w:color w:val="auto"/>
              </w:rPr>
              <w:t>3.55</w:t>
            </w:r>
          </w:p>
        </w:tc>
      </w:tr>
    </w:tbl>
    <w:p>
      <w:pPr>
        <w:spacing w:after="0" w:line="83" w:lineRule="exact"/>
        <w:rPr>
          <w:sz w:val="20"/>
          <w:szCs w:val="20"/>
          <w:color w:val="auto"/>
        </w:rPr>
      </w:pPr>
    </w:p>
    <w:p>
      <w:pPr>
        <w:ind w:left="920" w:hanging="125"/>
        <w:spacing w:after="0"/>
        <w:tabs>
          <w:tab w:leader="none" w:pos="920" w:val="left"/>
        </w:tabs>
        <w:numPr>
          <w:ilvl w:val="0"/>
          <w:numId w:val="51"/>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Includes restricted shares not vested as well as 545 million shares issued for the Pioneer acquisition on May 3, 2024.</w:t>
      </w:r>
    </w:p>
    <w:p>
      <w:pPr>
        <w:spacing w:after="0" w:line="68" w:lineRule="exact"/>
        <w:rPr>
          <w:rFonts w:ascii="Times New Roman" w:cs="Times New Roman" w:eastAsia="Times New Roman" w:hAnsi="Times New Roman"/>
          <w:sz w:val="9"/>
          <w:szCs w:val="9"/>
          <w:i w:val="1"/>
          <w:iCs w:val="1"/>
          <w:color w:val="auto"/>
        </w:rPr>
      </w:pPr>
    </w:p>
    <w:p>
      <w:pPr>
        <w:ind w:left="940" w:hanging="145"/>
        <w:spacing w:after="0"/>
        <w:tabs>
          <w:tab w:leader="none" w:pos="940" w:val="left"/>
        </w:tabs>
        <w:numPr>
          <w:ilvl w:val="0"/>
          <w:numId w:val="51"/>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The earnings (loss) per common share and earnings (loss) per common share - assuming dilution are the same in each period shown.</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22"/>
          <w:szCs w:val="22"/>
          <w:b w:val="1"/>
          <w:bCs w:val="1"/>
          <w:color w:val="0C479D"/>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C479D"/>
        </w:rPr>
        <w:t>Note 13. Financial Instruments and Derivatives</w:t>
      </w:r>
    </w:p>
    <w:p>
      <w:pPr>
        <w:spacing w:after="0" w:line="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estimated fair value of financial instruments and derivatives at December 31, 2024, and December 31, 2023, and the related hierarchy level for the fair value measurement was as follows:</w:t>
      </w:r>
    </w:p>
    <w:p>
      <w:pPr>
        <w:spacing w:after="0" w:line="101" w:lineRule="exact"/>
        <w:rPr>
          <w:sz w:val="20"/>
          <w:szCs w:val="20"/>
          <w:color w:val="auto"/>
        </w:rPr>
      </w:pPr>
    </w:p>
    <w:tbl>
      <w:tblPr>
        <w:tblLayout w:type="fixed"/>
        <w:tblInd w:w="780" w:type="dxa"/>
        <w:tblCellMar>
          <w:top w:w="0" w:type="dxa"/>
          <w:left w:w="0" w:type="dxa"/>
          <w:bottom w:w="0" w:type="dxa"/>
          <w:right w:w="0" w:type="dxa"/>
        </w:tblCellMar>
      </w:tblPr>
      <w:tr>
        <w:trPr>
          <w:trHeight w:val="190"/>
        </w:trPr>
        <w:tc>
          <w:tcPr>
            <w:tcW w:w="2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16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b w:val="1"/>
                <w:bCs w:val="1"/>
                <w:color w:val="0C479D"/>
              </w:rPr>
              <w:t>December 31, 2024</w:t>
            </w:r>
          </w:p>
        </w:tc>
        <w:tc>
          <w:tcPr>
            <w:tcW w:w="9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360" w:type="dxa"/>
            <w:vAlign w:val="bottom"/>
          </w:tcPr>
          <w:p>
            <w:pPr>
              <w:spacing w:after="0"/>
              <w:rPr>
                <w:sz w:val="5"/>
                <w:szCs w:val="5"/>
                <w:color w:val="auto"/>
              </w:rPr>
            </w:pPr>
          </w:p>
        </w:tc>
        <w:tc>
          <w:tcPr>
            <w:tcW w:w="800" w:type="dxa"/>
            <w:vAlign w:val="bottom"/>
            <w:tcBorders>
              <w:bottom w:val="single" w:sz="8" w:color="0C479D"/>
            </w:tcBorders>
          </w:tcPr>
          <w:p>
            <w:pPr>
              <w:spacing w:after="0"/>
              <w:rPr>
                <w:sz w:val="5"/>
                <w:szCs w:val="5"/>
                <w:color w:val="auto"/>
              </w:rPr>
            </w:pPr>
          </w:p>
        </w:tc>
        <w:tc>
          <w:tcPr>
            <w:tcW w:w="1620" w:type="dxa"/>
            <w:vAlign w:val="bottom"/>
            <w:tcBorders>
              <w:bottom w:val="single" w:sz="8" w:color="0C479D"/>
            </w:tcBorders>
            <w:gridSpan w:val="2"/>
          </w:tcPr>
          <w:p>
            <w:pPr>
              <w:spacing w:after="0"/>
              <w:rPr>
                <w:sz w:val="5"/>
                <w:szCs w:val="5"/>
                <w:color w:val="auto"/>
              </w:rPr>
            </w:pPr>
          </w:p>
        </w:tc>
        <w:tc>
          <w:tcPr>
            <w:tcW w:w="1000" w:type="dxa"/>
            <w:vAlign w:val="bottom"/>
            <w:tcBorders>
              <w:bottom w:val="single" w:sz="8" w:color="0C479D"/>
            </w:tcBorders>
          </w:tcPr>
          <w:p>
            <w:pPr>
              <w:spacing w:after="0"/>
              <w:rPr>
                <w:sz w:val="5"/>
                <w:szCs w:val="5"/>
                <w:color w:val="auto"/>
              </w:rPr>
            </w:pPr>
          </w:p>
        </w:tc>
        <w:tc>
          <w:tcPr>
            <w:tcW w:w="1160" w:type="dxa"/>
            <w:vAlign w:val="bottom"/>
            <w:tcBorders>
              <w:bottom w:val="single" w:sz="8" w:color="0C479D"/>
            </w:tcBorders>
          </w:tcPr>
          <w:p>
            <w:pPr>
              <w:spacing w:after="0"/>
              <w:rPr>
                <w:sz w:val="5"/>
                <w:szCs w:val="5"/>
                <w:color w:val="auto"/>
              </w:rPr>
            </w:pPr>
          </w:p>
        </w:tc>
        <w:tc>
          <w:tcPr>
            <w:tcW w:w="920" w:type="dxa"/>
            <w:vAlign w:val="bottom"/>
            <w:tcBorders>
              <w:bottom w:val="single" w:sz="8" w:color="0C479D"/>
            </w:tcBorders>
          </w:tcPr>
          <w:p>
            <w:pPr>
              <w:spacing w:after="0"/>
              <w:rPr>
                <w:sz w:val="5"/>
                <w:szCs w:val="5"/>
                <w:color w:val="auto"/>
              </w:rPr>
            </w:pPr>
          </w:p>
        </w:tc>
        <w:tc>
          <w:tcPr>
            <w:tcW w:w="1040" w:type="dxa"/>
            <w:vAlign w:val="bottom"/>
            <w:tcBorders>
              <w:bottom w:val="single" w:sz="8" w:color="0C479D"/>
            </w:tcBorders>
          </w:tcPr>
          <w:p>
            <w:pPr>
              <w:spacing w:after="0"/>
              <w:rPr>
                <w:sz w:val="5"/>
                <w:szCs w:val="5"/>
                <w:color w:val="auto"/>
              </w:rPr>
            </w:pPr>
          </w:p>
        </w:tc>
        <w:tc>
          <w:tcPr>
            <w:tcW w:w="800" w:type="dxa"/>
            <w:vAlign w:val="bottom"/>
            <w:tcBorders>
              <w:bottom w:val="single" w:sz="8" w:color="0C479D"/>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2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360" w:type="dxa"/>
            <w:vAlign w:val="bottom"/>
            <w:shd w:val="clear" w:color="auto" w:fill="0C479D"/>
          </w:tcPr>
          <w:p>
            <w:pPr>
              <w:spacing w:after="0"/>
              <w:rPr>
                <w:sz w:val="16"/>
                <w:szCs w:val="16"/>
                <w:color w:val="auto"/>
              </w:rPr>
            </w:pPr>
          </w:p>
        </w:tc>
        <w:tc>
          <w:tcPr>
            <w:tcW w:w="800" w:type="dxa"/>
            <w:vAlign w:val="bottom"/>
            <w:shd w:val="clear" w:color="auto" w:fill="0C479D"/>
          </w:tcPr>
          <w:p>
            <w:pPr>
              <w:spacing w:after="0"/>
              <w:rPr>
                <w:sz w:val="16"/>
                <w:szCs w:val="16"/>
                <w:color w:val="auto"/>
              </w:rPr>
            </w:pPr>
          </w:p>
        </w:tc>
        <w:tc>
          <w:tcPr>
            <w:tcW w:w="1620" w:type="dxa"/>
            <w:vAlign w:val="bottom"/>
            <w:gridSpan w:val="2"/>
            <w:shd w:val="clear" w:color="auto" w:fill="0C479D"/>
          </w:tcPr>
          <w:p>
            <w:pPr>
              <w:jc w:val="right"/>
              <w:ind w:right="348"/>
              <w:spacing w:after="0"/>
              <w:rPr>
                <w:sz w:val="20"/>
                <w:szCs w:val="20"/>
                <w:color w:val="auto"/>
              </w:rPr>
            </w:pPr>
            <w:r>
              <w:rPr>
                <w:rFonts w:ascii="Times New Roman" w:cs="Times New Roman" w:eastAsia="Times New Roman" w:hAnsi="Times New Roman"/>
                <w:sz w:val="14"/>
                <w:szCs w:val="14"/>
                <w:b w:val="1"/>
                <w:bCs w:val="1"/>
                <w:color w:val="FFFFFF"/>
              </w:rPr>
              <w:t>Fair Value</w:t>
            </w:r>
          </w:p>
        </w:tc>
        <w:tc>
          <w:tcPr>
            <w:tcW w:w="1000" w:type="dxa"/>
            <w:vAlign w:val="bottom"/>
            <w:shd w:val="clear" w:color="auto" w:fill="0C479D"/>
          </w:tcPr>
          <w:p>
            <w:pPr>
              <w:spacing w:after="0"/>
              <w:rPr>
                <w:sz w:val="16"/>
                <w:szCs w:val="16"/>
                <w:color w:val="auto"/>
              </w:rPr>
            </w:pPr>
          </w:p>
        </w:tc>
        <w:tc>
          <w:tcPr>
            <w:tcW w:w="1160" w:type="dxa"/>
            <w:vAlign w:val="bottom"/>
            <w:shd w:val="clear" w:color="auto" w:fill="0C479D"/>
          </w:tcPr>
          <w:p>
            <w:pPr>
              <w:spacing w:after="0"/>
              <w:rPr>
                <w:sz w:val="16"/>
                <w:szCs w:val="16"/>
                <w:color w:val="auto"/>
              </w:rPr>
            </w:pPr>
          </w:p>
        </w:tc>
        <w:tc>
          <w:tcPr>
            <w:tcW w:w="920" w:type="dxa"/>
            <w:vAlign w:val="bottom"/>
            <w:shd w:val="clear" w:color="auto" w:fill="0C479D"/>
          </w:tcPr>
          <w:p>
            <w:pPr>
              <w:spacing w:after="0"/>
              <w:rPr>
                <w:sz w:val="16"/>
                <w:szCs w:val="16"/>
                <w:color w:val="auto"/>
              </w:rPr>
            </w:pPr>
          </w:p>
        </w:tc>
        <w:tc>
          <w:tcPr>
            <w:tcW w:w="1040" w:type="dxa"/>
            <w:vAlign w:val="bottom"/>
            <w:shd w:val="clear" w:color="auto" w:fill="0C479D"/>
          </w:tcPr>
          <w:p>
            <w:pPr>
              <w:spacing w:after="0"/>
              <w:rPr>
                <w:sz w:val="16"/>
                <w:szCs w:val="16"/>
                <w:color w:val="auto"/>
              </w:rPr>
            </w:pPr>
          </w:p>
        </w:tc>
        <w:tc>
          <w:tcPr>
            <w:tcW w:w="800" w:type="dxa"/>
            <w:vAlign w:val="bottom"/>
            <w:shd w:val="clear" w:color="auto" w:fill="0C479D"/>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360" w:type="dxa"/>
            <w:vAlign w:val="bottom"/>
            <w:shd w:val="clear" w:color="auto" w:fill="0C479D"/>
          </w:tcPr>
          <w:p>
            <w:pPr>
              <w:spacing w:after="0"/>
              <w:rPr>
                <w:sz w:val="15"/>
                <w:szCs w:val="15"/>
                <w:color w:val="auto"/>
              </w:rPr>
            </w:pPr>
          </w:p>
        </w:tc>
        <w:tc>
          <w:tcPr>
            <w:tcW w:w="800" w:type="dxa"/>
            <w:vAlign w:val="bottom"/>
            <w:shd w:val="clear" w:color="auto" w:fill="0C479D"/>
          </w:tcPr>
          <w:p>
            <w:pPr>
              <w:spacing w:after="0"/>
              <w:rPr>
                <w:sz w:val="15"/>
                <w:szCs w:val="15"/>
                <w:color w:val="auto"/>
              </w:rPr>
            </w:pPr>
          </w:p>
        </w:tc>
        <w:tc>
          <w:tcPr>
            <w:tcW w:w="800" w:type="dxa"/>
            <w:vAlign w:val="bottom"/>
            <w:shd w:val="clear" w:color="auto" w:fill="0C479D"/>
          </w:tcPr>
          <w:p>
            <w:pPr>
              <w:spacing w:after="0"/>
              <w:rPr>
                <w:sz w:val="15"/>
                <w:szCs w:val="15"/>
                <w:color w:val="auto"/>
              </w:rPr>
            </w:pPr>
          </w:p>
        </w:tc>
        <w:tc>
          <w:tcPr>
            <w:tcW w:w="820" w:type="dxa"/>
            <w:vAlign w:val="bottom"/>
            <w:shd w:val="clear" w:color="auto" w:fill="0C479D"/>
          </w:tcPr>
          <w:p>
            <w:pPr>
              <w:spacing w:after="0"/>
              <w:rPr>
                <w:sz w:val="15"/>
                <w:szCs w:val="15"/>
                <w:color w:val="auto"/>
              </w:rPr>
            </w:pPr>
          </w:p>
        </w:tc>
        <w:tc>
          <w:tcPr>
            <w:tcW w:w="1000" w:type="dxa"/>
            <w:vAlign w:val="bottom"/>
            <w:vMerge w:val="restart"/>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w w:val="99"/>
              </w:rPr>
              <w:t>Total Gross</w:t>
            </w:r>
          </w:p>
        </w:tc>
        <w:tc>
          <w:tcPr>
            <w:tcW w:w="1160" w:type="dxa"/>
            <w:vAlign w:val="bottom"/>
            <w:vMerge w:val="restart"/>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Effect of</w:t>
            </w:r>
          </w:p>
        </w:tc>
        <w:tc>
          <w:tcPr>
            <w:tcW w:w="920" w:type="dxa"/>
            <w:vAlign w:val="bottom"/>
            <w:vMerge w:val="restart"/>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Effect of</w:t>
            </w:r>
          </w:p>
        </w:tc>
        <w:tc>
          <w:tcPr>
            <w:tcW w:w="104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Difference in</w:t>
            </w:r>
          </w:p>
        </w:tc>
        <w:tc>
          <w:tcPr>
            <w:tcW w:w="800" w:type="dxa"/>
            <w:vAlign w:val="bottom"/>
            <w:vMerge w:val="restart"/>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w w:val="95"/>
              </w:rPr>
              <w:t>Net</w:t>
            </w:r>
          </w:p>
        </w:tc>
        <w:tc>
          <w:tcPr>
            <w:tcW w:w="0" w:type="dxa"/>
            <w:vAlign w:val="bottom"/>
          </w:tcPr>
          <w:p>
            <w:pPr>
              <w:spacing w:after="0"/>
              <w:rPr>
                <w:sz w:val="1"/>
                <w:szCs w:val="1"/>
                <w:color w:val="auto"/>
              </w:rPr>
            </w:pPr>
          </w:p>
        </w:tc>
      </w:tr>
      <w:tr>
        <w:trPr>
          <w:trHeight w:val="148"/>
        </w:trPr>
        <w:tc>
          <w:tcPr>
            <w:tcW w:w="2360" w:type="dxa"/>
            <w:vAlign w:val="bottom"/>
            <w:shd w:val="clear" w:color="auto" w:fill="0C479D"/>
          </w:tcPr>
          <w:p>
            <w:pPr>
              <w:spacing w:after="0"/>
              <w:rPr>
                <w:sz w:val="12"/>
                <w:szCs w:val="12"/>
                <w:color w:val="auto"/>
              </w:rPr>
            </w:pPr>
          </w:p>
        </w:tc>
        <w:tc>
          <w:tcPr>
            <w:tcW w:w="800" w:type="dxa"/>
            <w:vAlign w:val="bottom"/>
            <w:shd w:val="clear" w:color="auto" w:fill="0C479D"/>
          </w:tcPr>
          <w:p>
            <w:pPr>
              <w:spacing w:after="0"/>
              <w:rPr>
                <w:sz w:val="12"/>
                <w:szCs w:val="12"/>
                <w:color w:val="auto"/>
              </w:rPr>
            </w:pPr>
          </w:p>
        </w:tc>
        <w:tc>
          <w:tcPr>
            <w:tcW w:w="800" w:type="dxa"/>
            <w:vAlign w:val="bottom"/>
            <w:shd w:val="clear" w:color="auto" w:fill="0C479D"/>
          </w:tcPr>
          <w:p>
            <w:pPr>
              <w:spacing w:after="0"/>
              <w:rPr>
                <w:sz w:val="12"/>
                <w:szCs w:val="12"/>
                <w:color w:val="auto"/>
              </w:rPr>
            </w:pPr>
          </w:p>
        </w:tc>
        <w:tc>
          <w:tcPr>
            <w:tcW w:w="820" w:type="dxa"/>
            <w:vAlign w:val="bottom"/>
            <w:shd w:val="clear" w:color="auto" w:fill="0C479D"/>
          </w:tcPr>
          <w:p>
            <w:pPr>
              <w:spacing w:after="0"/>
              <w:rPr>
                <w:sz w:val="12"/>
                <w:szCs w:val="12"/>
                <w:color w:val="auto"/>
              </w:rPr>
            </w:pPr>
          </w:p>
        </w:tc>
        <w:tc>
          <w:tcPr>
            <w:tcW w:w="1000" w:type="dxa"/>
            <w:vAlign w:val="bottom"/>
            <w:vMerge w:val="continue"/>
            <w:shd w:val="clear" w:color="auto" w:fill="0C479D"/>
          </w:tcPr>
          <w:p>
            <w:pPr>
              <w:spacing w:after="0"/>
              <w:rPr>
                <w:sz w:val="12"/>
                <w:szCs w:val="12"/>
                <w:color w:val="auto"/>
              </w:rPr>
            </w:pPr>
          </w:p>
        </w:tc>
        <w:tc>
          <w:tcPr>
            <w:tcW w:w="1160" w:type="dxa"/>
            <w:vAlign w:val="bottom"/>
            <w:vMerge w:val="continue"/>
            <w:shd w:val="clear" w:color="auto" w:fill="0C479D"/>
          </w:tcPr>
          <w:p>
            <w:pPr>
              <w:spacing w:after="0"/>
              <w:rPr>
                <w:sz w:val="12"/>
                <w:szCs w:val="12"/>
                <w:color w:val="auto"/>
              </w:rPr>
            </w:pPr>
          </w:p>
        </w:tc>
        <w:tc>
          <w:tcPr>
            <w:tcW w:w="920" w:type="dxa"/>
            <w:vAlign w:val="bottom"/>
            <w:vMerge w:val="continue"/>
            <w:shd w:val="clear" w:color="auto" w:fill="0C479D"/>
          </w:tcPr>
          <w:p>
            <w:pPr>
              <w:spacing w:after="0"/>
              <w:rPr>
                <w:sz w:val="12"/>
                <w:szCs w:val="12"/>
                <w:color w:val="auto"/>
              </w:rPr>
            </w:pPr>
          </w:p>
        </w:tc>
        <w:tc>
          <w:tcPr>
            <w:tcW w:w="1040" w:type="dxa"/>
            <w:vAlign w:val="bottom"/>
            <w:shd w:val="clear" w:color="auto" w:fill="0C479D"/>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FFFFFF"/>
              </w:rPr>
              <w:t>Carrying</w:t>
            </w:r>
          </w:p>
        </w:tc>
        <w:tc>
          <w:tcPr>
            <w:tcW w:w="800" w:type="dxa"/>
            <w:vAlign w:val="bottom"/>
            <w:vMerge w:val="continue"/>
            <w:shd w:val="clear" w:color="auto" w:fill="0C479D"/>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360" w:type="dxa"/>
            <w:vAlign w:val="bottom"/>
            <w:vMerge w:val="restart"/>
            <w:shd w:val="clear" w:color="auto" w:fill="0C479D"/>
          </w:tcPr>
          <w:p>
            <w:pPr>
              <w:spacing w:after="0"/>
              <w:rPr>
                <w:sz w:val="20"/>
                <w:szCs w:val="20"/>
                <w:color w:val="auto"/>
              </w:rPr>
            </w:pPr>
            <w:r>
              <w:rPr>
                <w:rFonts w:ascii="Times New Roman" w:cs="Times New Roman" w:eastAsia="Times New Roman" w:hAnsi="Times New Roman"/>
                <w:sz w:val="14"/>
                <w:szCs w:val="14"/>
                <w:b w:val="1"/>
                <w:bCs w:val="1"/>
                <w:i w:val="1"/>
                <w:iCs w:val="1"/>
                <w:color w:val="FFFFFF"/>
              </w:rPr>
              <w:t>(millions of dollars)</w:t>
            </w:r>
          </w:p>
        </w:tc>
        <w:tc>
          <w:tcPr>
            <w:tcW w:w="800" w:type="dxa"/>
            <w:vAlign w:val="bottom"/>
            <w:vMerge w:val="restart"/>
            <w:shd w:val="clear" w:color="auto" w:fill="0C479D"/>
          </w:tcPr>
          <w:p>
            <w:pPr>
              <w:jc w:val="right"/>
              <w:ind w:right="148"/>
              <w:spacing w:after="0"/>
              <w:rPr>
                <w:sz w:val="20"/>
                <w:szCs w:val="20"/>
                <w:color w:val="auto"/>
              </w:rPr>
            </w:pPr>
            <w:r>
              <w:rPr>
                <w:rFonts w:ascii="Times New Roman" w:cs="Times New Roman" w:eastAsia="Times New Roman" w:hAnsi="Times New Roman"/>
                <w:sz w:val="14"/>
                <w:szCs w:val="14"/>
                <w:b w:val="1"/>
                <w:bCs w:val="1"/>
                <w:color w:val="FFFFFF"/>
              </w:rPr>
              <w:t>Level 1</w:t>
            </w:r>
          </w:p>
        </w:tc>
        <w:tc>
          <w:tcPr>
            <w:tcW w:w="800" w:type="dxa"/>
            <w:vAlign w:val="bottom"/>
            <w:vMerge w:val="restart"/>
            <w:shd w:val="clear" w:color="auto" w:fill="0C479D"/>
          </w:tcPr>
          <w:p>
            <w:pPr>
              <w:jc w:val="right"/>
              <w:ind w:right="128"/>
              <w:spacing w:after="0"/>
              <w:rPr>
                <w:sz w:val="20"/>
                <w:szCs w:val="20"/>
                <w:color w:val="auto"/>
              </w:rPr>
            </w:pPr>
            <w:r>
              <w:rPr>
                <w:rFonts w:ascii="Times New Roman" w:cs="Times New Roman" w:eastAsia="Times New Roman" w:hAnsi="Times New Roman"/>
                <w:sz w:val="14"/>
                <w:szCs w:val="14"/>
                <w:b w:val="1"/>
                <w:bCs w:val="1"/>
                <w:color w:val="FFFFFF"/>
              </w:rPr>
              <w:t>Level 2</w:t>
            </w:r>
          </w:p>
        </w:tc>
        <w:tc>
          <w:tcPr>
            <w:tcW w:w="820" w:type="dxa"/>
            <w:vAlign w:val="bottom"/>
            <w:vMerge w:val="restart"/>
            <w:shd w:val="clear" w:color="auto" w:fill="0C479D"/>
          </w:tcPr>
          <w:p>
            <w:pPr>
              <w:jc w:val="right"/>
              <w:ind w:right="128"/>
              <w:spacing w:after="0"/>
              <w:rPr>
                <w:sz w:val="20"/>
                <w:szCs w:val="20"/>
                <w:color w:val="auto"/>
              </w:rPr>
            </w:pPr>
            <w:r>
              <w:rPr>
                <w:rFonts w:ascii="Times New Roman" w:cs="Times New Roman" w:eastAsia="Times New Roman" w:hAnsi="Times New Roman"/>
                <w:sz w:val="14"/>
                <w:szCs w:val="14"/>
                <w:b w:val="1"/>
                <w:bCs w:val="1"/>
                <w:color w:val="FFFFFF"/>
              </w:rPr>
              <w:t>Level 3</w:t>
            </w:r>
          </w:p>
        </w:tc>
        <w:tc>
          <w:tcPr>
            <w:tcW w:w="1000" w:type="dxa"/>
            <w:vAlign w:val="bottom"/>
            <w:shd w:val="clear" w:color="auto" w:fill="0C479D"/>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FFFFFF"/>
              </w:rPr>
              <w:t>Assets &amp;</w:t>
            </w:r>
          </w:p>
        </w:tc>
        <w:tc>
          <w:tcPr>
            <w:tcW w:w="1160" w:type="dxa"/>
            <w:vAlign w:val="bottom"/>
            <w:shd w:val="clear" w:color="auto" w:fill="0C479D"/>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FFFFFF"/>
              </w:rPr>
              <w:t>Counterparty</w:t>
            </w:r>
          </w:p>
        </w:tc>
        <w:tc>
          <w:tcPr>
            <w:tcW w:w="920" w:type="dxa"/>
            <w:vAlign w:val="bottom"/>
            <w:shd w:val="clear" w:color="auto" w:fill="0C479D"/>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FFFFFF"/>
              </w:rPr>
              <w:t>Collateral</w:t>
            </w:r>
          </w:p>
        </w:tc>
        <w:tc>
          <w:tcPr>
            <w:tcW w:w="1040" w:type="dxa"/>
            <w:vAlign w:val="bottom"/>
            <w:shd w:val="clear" w:color="auto" w:fill="0C479D"/>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FFFFFF"/>
              </w:rPr>
              <w:t>Value and</w:t>
            </w:r>
          </w:p>
        </w:tc>
        <w:tc>
          <w:tcPr>
            <w:tcW w:w="800" w:type="dxa"/>
            <w:vAlign w:val="bottom"/>
            <w:shd w:val="clear" w:color="auto" w:fill="0C479D"/>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FFFFFF"/>
              </w:rPr>
              <w:t>Carrying</w:t>
            </w:r>
          </w:p>
        </w:tc>
        <w:tc>
          <w:tcPr>
            <w:tcW w:w="0" w:type="dxa"/>
            <w:vAlign w:val="bottom"/>
          </w:tcPr>
          <w:p>
            <w:pPr>
              <w:spacing w:after="0"/>
              <w:rPr>
                <w:sz w:val="1"/>
                <w:szCs w:val="1"/>
                <w:color w:val="auto"/>
              </w:rPr>
            </w:pPr>
          </w:p>
        </w:tc>
      </w:tr>
      <w:tr>
        <w:trPr>
          <w:trHeight w:val="194"/>
        </w:trPr>
        <w:tc>
          <w:tcPr>
            <w:tcW w:w="2360" w:type="dxa"/>
            <w:vAlign w:val="bottom"/>
            <w:tcBorders>
              <w:bottom w:val="single" w:sz="8" w:color="0C479D"/>
            </w:tcBorders>
            <w:vMerge w:val="continue"/>
            <w:shd w:val="clear" w:color="auto" w:fill="0C479D"/>
          </w:tcPr>
          <w:p>
            <w:pPr>
              <w:spacing w:after="0"/>
              <w:rPr>
                <w:sz w:val="16"/>
                <w:szCs w:val="16"/>
                <w:color w:val="auto"/>
              </w:rPr>
            </w:pPr>
          </w:p>
        </w:tc>
        <w:tc>
          <w:tcPr>
            <w:tcW w:w="800" w:type="dxa"/>
            <w:vAlign w:val="bottom"/>
            <w:tcBorders>
              <w:bottom w:val="single" w:sz="8" w:color="0C479D"/>
            </w:tcBorders>
            <w:vMerge w:val="continue"/>
            <w:shd w:val="clear" w:color="auto" w:fill="0C479D"/>
          </w:tcPr>
          <w:p>
            <w:pPr>
              <w:spacing w:after="0"/>
              <w:rPr>
                <w:sz w:val="16"/>
                <w:szCs w:val="16"/>
                <w:color w:val="auto"/>
              </w:rPr>
            </w:pPr>
          </w:p>
        </w:tc>
        <w:tc>
          <w:tcPr>
            <w:tcW w:w="800" w:type="dxa"/>
            <w:vAlign w:val="bottom"/>
            <w:tcBorders>
              <w:bottom w:val="single" w:sz="8" w:color="0C479D"/>
            </w:tcBorders>
            <w:vMerge w:val="continue"/>
            <w:shd w:val="clear" w:color="auto" w:fill="0C479D"/>
          </w:tcPr>
          <w:p>
            <w:pPr>
              <w:spacing w:after="0"/>
              <w:rPr>
                <w:sz w:val="16"/>
                <w:szCs w:val="16"/>
                <w:color w:val="auto"/>
              </w:rPr>
            </w:pPr>
          </w:p>
        </w:tc>
        <w:tc>
          <w:tcPr>
            <w:tcW w:w="820" w:type="dxa"/>
            <w:vAlign w:val="bottom"/>
            <w:tcBorders>
              <w:bottom w:val="single" w:sz="8" w:color="0C479D"/>
            </w:tcBorders>
            <w:vMerge w:val="continue"/>
            <w:shd w:val="clear" w:color="auto" w:fill="0C479D"/>
          </w:tcPr>
          <w:p>
            <w:pPr>
              <w:spacing w:after="0"/>
              <w:rPr>
                <w:sz w:val="16"/>
                <w:szCs w:val="16"/>
                <w:color w:val="auto"/>
              </w:rPr>
            </w:pPr>
          </w:p>
        </w:tc>
        <w:tc>
          <w:tcPr>
            <w:tcW w:w="1000" w:type="dxa"/>
            <w:vAlign w:val="bottom"/>
            <w:tcBorders>
              <w:bottom w:val="single" w:sz="8" w:color="0C479D"/>
            </w:tcBorders>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Liabilities</w:t>
            </w:r>
          </w:p>
        </w:tc>
        <w:tc>
          <w:tcPr>
            <w:tcW w:w="1160" w:type="dxa"/>
            <w:vAlign w:val="bottom"/>
            <w:tcBorders>
              <w:bottom w:val="single" w:sz="8" w:color="0C479D"/>
            </w:tcBorders>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Netting</w:t>
            </w:r>
          </w:p>
        </w:tc>
        <w:tc>
          <w:tcPr>
            <w:tcW w:w="920" w:type="dxa"/>
            <w:vAlign w:val="bottom"/>
            <w:tcBorders>
              <w:bottom w:val="single" w:sz="8" w:color="0C479D"/>
            </w:tcBorders>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Netting</w:t>
            </w:r>
          </w:p>
        </w:tc>
        <w:tc>
          <w:tcPr>
            <w:tcW w:w="1040" w:type="dxa"/>
            <w:vAlign w:val="bottom"/>
            <w:tcBorders>
              <w:bottom w:val="single" w:sz="8" w:color="0C479D"/>
            </w:tcBorders>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Fair Value</w:t>
            </w:r>
          </w:p>
        </w:tc>
        <w:tc>
          <w:tcPr>
            <w:tcW w:w="800" w:type="dxa"/>
            <w:vAlign w:val="bottom"/>
            <w:tcBorders>
              <w:bottom w:val="single" w:sz="8" w:color="0C479D"/>
            </w:tcBorders>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Value</w:t>
            </w:r>
          </w:p>
        </w:tc>
        <w:tc>
          <w:tcPr>
            <w:tcW w:w="0" w:type="dxa"/>
            <w:vAlign w:val="bottom"/>
          </w:tcPr>
          <w:p>
            <w:pPr>
              <w:spacing w:after="0"/>
              <w:rPr>
                <w:sz w:val="1"/>
                <w:szCs w:val="1"/>
                <w:color w:val="auto"/>
              </w:rPr>
            </w:pPr>
          </w:p>
        </w:tc>
      </w:tr>
      <w:tr>
        <w:trPr>
          <w:trHeight w:val="243"/>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0C479D"/>
              </w:rPr>
              <w:t>Assets</w:t>
            </w: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Derivative assets </w:t>
            </w:r>
            <w:r>
              <w:rPr>
                <w:rFonts w:ascii="Times New Roman" w:cs="Times New Roman" w:eastAsia="Times New Roman" w:hAnsi="Times New Roman"/>
                <w:sz w:val="18"/>
                <w:szCs w:val="18"/>
                <w:i w:val="1"/>
                <w:iCs w:val="1"/>
                <w:color w:val="auto"/>
                <w:vertAlign w:val="superscript"/>
              </w:rPr>
              <w:t>(1)</w:t>
            </w: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3,223</w:t>
            </w: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1,206</w:t>
            </w:r>
          </w:p>
        </w:tc>
        <w:tc>
          <w:tcPr>
            <w:tcW w:w="8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4,429</w:t>
            </w: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(3,913)</w:t>
            </w: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c>
          <w:tcPr>
            <w:tcW w:w="10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513</w:t>
            </w:r>
          </w:p>
        </w:tc>
        <w:tc>
          <w:tcPr>
            <w:tcW w:w="0" w:type="dxa"/>
            <w:vAlign w:val="bottom"/>
          </w:tcPr>
          <w:p>
            <w:pPr>
              <w:spacing w:after="0"/>
              <w:rPr>
                <w:sz w:val="1"/>
                <w:szCs w:val="1"/>
                <w:color w:val="auto"/>
              </w:rPr>
            </w:pPr>
          </w:p>
        </w:tc>
      </w:tr>
      <w:tr>
        <w:trPr>
          <w:trHeight w:val="175"/>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Advances to/receivables from equity</w:t>
            </w: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companies </w:t>
            </w:r>
            <w:r>
              <w:rPr>
                <w:rFonts w:ascii="Times New Roman" w:cs="Times New Roman" w:eastAsia="Times New Roman" w:hAnsi="Times New Roman"/>
                <w:sz w:val="9"/>
                <w:szCs w:val="9"/>
                <w:i w:val="1"/>
                <w:iCs w:val="1"/>
                <w:color w:val="auto"/>
              </w:rPr>
              <w:t>(2)(6)</w:t>
            </w: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2,466</w:t>
            </w:r>
          </w:p>
        </w:tc>
        <w:tc>
          <w:tcPr>
            <w:tcW w:w="8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4,167</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6,633</w:t>
            </w:r>
          </w:p>
        </w:tc>
        <w:tc>
          <w:tcPr>
            <w:tcW w:w="11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451</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7,084</w:t>
            </w:r>
          </w:p>
        </w:tc>
        <w:tc>
          <w:tcPr>
            <w:tcW w:w="0" w:type="dxa"/>
            <w:vAlign w:val="bottom"/>
          </w:tcPr>
          <w:p>
            <w:pPr>
              <w:spacing w:after="0"/>
              <w:rPr>
                <w:sz w:val="1"/>
                <w:szCs w:val="1"/>
                <w:color w:val="auto"/>
              </w:rPr>
            </w:pPr>
          </w:p>
        </w:tc>
      </w:tr>
      <w:tr>
        <w:trPr>
          <w:trHeight w:val="312"/>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Other long-term financial assets </w:t>
            </w:r>
            <w:r>
              <w:rPr>
                <w:rFonts w:ascii="Times New Roman" w:cs="Times New Roman" w:eastAsia="Times New Roman" w:hAnsi="Times New Roman"/>
                <w:sz w:val="18"/>
                <w:szCs w:val="18"/>
                <w:i w:val="1"/>
                <w:iCs w:val="1"/>
                <w:color w:val="auto"/>
                <w:vertAlign w:val="superscript"/>
              </w:rPr>
              <w:t>(3)</w:t>
            </w: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1,468</w:t>
            </w: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1,504</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2,972</w:t>
            </w:r>
          </w:p>
        </w:tc>
        <w:tc>
          <w:tcPr>
            <w:tcW w:w="11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247</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3,219</w:t>
            </w:r>
          </w:p>
        </w:tc>
        <w:tc>
          <w:tcPr>
            <w:tcW w:w="0" w:type="dxa"/>
            <w:vAlign w:val="bottom"/>
          </w:tcPr>
          <w:p>
            <w:pPr>
              <w:spacing w:after="0"/>
              <w:rPr>
                <w:sz w:val="1"/>
                <w:szCs w:val="1"/>
                <w:color w:val="auto"/>
              </w:rPr>
            </w:pPr>
          </w:p>
        </w:tc>
      </w:tr>
      <w:tr>
        <w:trPr>
          <w:trHeight w:val="306"/>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0C479D"/>
              </w:rPr>
              <w:t>Liabilities</w:t>
            </w: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Derivative liabilities </w:t>
            </w:r>
            <w:r>
              <w:rPr>
                <w:rFonts w:ascii="Times New Roman" w:cs="Times New Roman" w:eastAsia="Times New Roman" w:hAnsi="Times New Roman"/>
                <w:sz w:val="18"/>
                <w:szCs w:val="18"/>
                <w:i w:val="1"/>
                <w:iCs w:val="1"/>
                <w:color w:val="auto"/>
                <w:vertAlign w:val="superscript"/>
              </w:rPr>
              <w:t>(4)</w:t>
            </w: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3,561</w:t>
            </w: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1,416</w:t>
            </w:r>
          </w:p>
        </w:tc>
        <w:tc>
          <w:tcPr>
            <w:tcW w:w="8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4,977</w:t>
            </w: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(3,913)</w:t>
            </w: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(341)</w:t>
            </w:r>
          </w:p>
        </w:tc>
        <w:tc>
          <w:tcPr>
            <w:tcW w:w="10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723</w:t>
            </w: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Long-term debt </w:t>
            </w:r>
            <w:r>
              <w:rPr>
                <w:rFonts w:ascii="Times New Roman" w:cs="Times New Roman" w:eastAsia="Times New Roman" w:hAnsi="Times New Roman"/>
                <w:sz w:val="18"/>
                <w:szCs w:val="18"/>
                <w:i w:val="1"/>
                <w:iCs w:val="1"/>
                <w:color w:val="auto"/>
                <w:vertAlign w:val="superscript"/>
              </w:rPr>
              <w:t>(5)</w:t>
            </w: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28,884</w:t>
            </w: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1,813</w:t>
            </w:r>
          </w:p>
        </w:tc>
        <w:tc>
          <w:tcPr>
            <w:tcW w:w="8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30,697</w:t>
            </w:r>
          </w:p>
        </w:tc>
        <w:tc>
          <w:tcPr>
            <w:tcW w:w="11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3,935</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34,632</w:t>
            </w:r>
          </w:p>
        </w:tc>
        <w:tc>
          <w:tcPr>
            <w:tcW w:w="0" w:type="dxa"/>
            <w:vAlign w:val="bottom"/>
          </w:tcPr>
          <w:p>
            <w:pPr>
              <w:spacing w:after="0"/>
              <w:rPr>
                <w:sz w:val="1"/>
                <w:szCs w:val="1"/>
                <w:color w:val="auto"/>
              </w:rPr>
            </w:pPr>
          </w:p>
        </w:tc>
      </w:tr>
      <w:tr>
        <w:trPr>
          <w:trHeight w:val="175"/>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Long-term obligations to equity</w:t>
            </w: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companies </w:t>
            </w:r>
            <w:r>
              <w:rPr>
                <w:rFonts w:ascii="Times New Roman" w:cs="Times New Roman" w:eastAsia="Times New Roman" w:hAnsi="Times New Roman"/>
                <w:sz w:val="9"/>
                <w:szCs w:val="9"/>
                <w:i w:val="1"/>
                <w:iCs w:val="1"/>
                <w:color w:val="auto"/>
              </w:rPr>
              <w:t>(6)</w:t>
            </w: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1,393</w:t>
            </w:r>
          </w:p>
        </w:tc>
        <w:tc>
          <w:tcPr>
            <w:tcW w:w="10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1,393</w:t>
            </w:r>
          </w:p>
        </w:tc>
        <w:tc>
          <w:tcPr>
            <w:tcW w:w="11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(47)</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1,346</w:t>
            </w:r>
          </w:p>
        </w:tc>
        <w:tc>
          <w:tcPr>
            <w:tcW w:w="0" w:type="dxa"/>
            <w:vAlign w:val="bottom"/>
          </w:tcPr>
          <w:p>
            <w:pPr>
              <w:spacing w:after="0"/>
              <w:rPr>
                <w:sz w:val="1"/>
                <w:szCs w:val="1"/>
                <w:color w:val="auto"/>
              </w:rPr>
            </w:pPr>
          </w:p>
        </w:tc>
      </w:tr>
      <w:tr>
        <w:trPr>
          <w:trHeight w:val="273"/>
        </w:trPr>
        <w:tc>
          <w:tcPr>
            <w:tcW w:w="236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4"/>
                <w:szCs w:val="14"/>
                <w:color w:val="auto"/>
              </w:rPr>
              <w:t xml:space="preserve">Other long-term financial liabilities </w:t>
            </w:r>
            <w:r>
              <w:rPr>
                <w:rFonts w:ascii="Times New Roman" w:cs="Times New Roman" w:eastAsia="Times New Roman" w:hAnsi="Times New Roman"/>
                <w:sz w:val="18"/>
                <w:szCs w:val="18"/>
                <w:i w:val="1"/>
                <w:iCs w:val="1"/>
                <w:color w:val="auto"/>
                <w:vertAlign w:val="superscript"/>
              </w:rPr>
              <w:t>(7)</w:t>
            </w:r>
          </w:p>
        </w:tc>
        <w:tc>
          <w:tcPr>
            <w:tcW w:w="800" w:type="dxa"/>
            <w:vAlign w:val="bottom"/>
            <w:tcBorders>
              <w:bottom w:val="single" w:sz="8" w:color="0C479D"/>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0C479D"/>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0C479D"/>
            </w:tcBorders>
          </w:tcPr>
          <w:p>
            <w:pPr>
              <w:jc w:val="right"/>
              <w:ind w:right="88"/>
              <w:spacing w:after="0"/>
              <w:rPr>
                <w:sz w:val="20"/>
                <w:szCs w:val="20"/>
                <w:color w:val="auto"/>
              </w:rPr>
            </w:pPr>
            <w:r>
              <w:rPr>
                <w:rFonts w:ascii="Times New Roman" w:cs="Times New Roman" w:eastAsia="Times New Roman" w:hAnsi="Times New Roman"/>
                <w:sz w:val="14"/>
                <w:szCs w:val="14"/>
                <w:color w:val="auto"/>
              </w:rPr>
              <w:t>583</w:t>
            </w:r>
          </w:p>
        </w:tc>
        <w:tc>
          <w:tcPr>
            <w:tcW w:w="1000" w:type="dxa"/>
            <w:vAlign w:val="bottom"/>
            <w:tcBorders>
              <w:bottom w:val="single" w:sz="8" w:color="0C479D"/>
            </w:tcBorders>
          </w:tcPr>
          <w:p>
            <w:pPr>
              <w:jc w:val="right"/>
              <w:ind w:right="48"/>
              <w:spacing w:after="0"/>
              <w:rPr>
                <w:sz w:val="20"/>
                <w:szCs w:val="20"/>
                <w:color w:val="auto"/>
              </w:rPr>
            </w:pPr>
            <w:r>
              <w:rPr>
                <w:rFonts w:ascii="Times New Roman" w:cs="Times New Roman" w:eastAsia="Times New Roman" w:hAnsi="Times New Roman"/>
                <w:sz w:val="14"/>
                <w:szCs w:val="14"/>
                <w:color w:val="auto"/>
              </w:rPr>
              <w:t>583</w:t>
            </w:r>
          </w:p>
        </w:tc>
        <w:tc>
          <w:tcPr>
            <w:tcW w:w="1160" w:type="dxa"/>
            <w:vAlign w:val="bottom"/>
            <w:tcBorders>
              <w:bottom w:val="single" w:sz="8" w:color="0C479D"/>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0C479D"/>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0C479D"/>
            </w:tcBorders>
          </w:tcPr>
          <w:p>
            <w:pPr>
              <w:jc w:val="right"/>
              <w:ind w:right="88"/>
              <w:spacing w:after="0"/>
              <w:rPr>
                <w:sz w:val="20"/>
                <w:szCs w:val="20"/>
                <w:color w:val="auto"/>
              </w:rPr>
            </w:pPr>
            <w:r>
              <w:rPr>
                <w:rFonts w:ascii="Times New Roman" w:cs="Times New Roman" w:eastAsia="Times New Roman" w:hAnsi="Times New Roman"/>
                <w:sz w:val="14"/>
                <w:szCs w:val="14"/>
                <w:color w:val="auto"/>
              </w:rPr>
              <w:t>57</w:t>
            </w:r>
          </w:p>
        </w:tc>
        <w:tc>
          <w:tcPr>
            <w:tcW w:w="800" w:type="dxa"/>
            <w:vAlign w:val="bottom"/>
            <w:tcBorders>
              <w:bottom w:val="single" w:sz="8" w:color="0C479D"/>
            </w:tcBorders>
          </w:tcPr>
          <w:p>
            <w:pPr>
              <w:jc w:val="right"/>
              <w:ind w:right="8"/>
              <w:spacing w:after="0"/>
              <w:rPr>
                <w:sz w:val="20"/>
                <w:szCs w:val="20"/>
                <w:color w:val="auto"/>
              </w:rPr>
            </w:pPr>
            <w:r>
              <w:rPr>
                <w:rFonts w:ascii="Times New Roman" w:cs="Times New Roman" w:eastAsia="Times New Roman" w:hAnsi="Times New Roman"/>
                <w:sz w:val="14"/>
                <w:szCs w:val="14"/>
                <w:color w:val="auto"/>
              </w:rPr>
              <w:t>640</w:t>
            </w:r>
          </w:p>
        </w:tc>
        <w:tc>
          <w:tcPr>
            <w:tcW w:w="0" w:type="dxa"/>
            <w:vAlign w:val="bottom"/>
          </w:tcPr>
          <w:p>
            <w:pPr>
              <w:spacing w:after="0"/>
              <w:rPr>
                <w:sz w:val="1"/>
                <w:szCs w:val="1"/>
                <w:color w:val="auto"/>
              </w:rPr>
            </w:pPr>
          </w:p>
        </w:tc>
      </w:tr>
      <w:tr>
        <w:trPr>
          <w:trHeight w:val="409"/>
        </w:trPr>
        <w:tc>
          <w:tcPr>
            <w:tcW w:w="2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160" w:type="dxa"/>
            <w:vAlign w:val="bottom"/>
            <w:gridSpan w:val="2"/>
          </w:tcPr>
          <w:p>
            <w:pPr>
              <w:jc w:val="right"/>
              <w:ind w:right="268"/>
              <w:spacing w:after="0"/>
              <w:rPr>
                <w:sz w:val="20"/>
                <w:szCs w:val="20"/>
                <w:color w:val="auto"/>
              </w:rPr>
            </w:pPr>
            <w:r>
              <w:rPr>
                <w:rFonts w:ascii="Times New Roman" w:cs="Times New Roman" w:eastAsia="Times New Roman" w:hAnsi="Times New Roman"/>
                <w:sz w:val="14"/>
                <w:szCs w:val="14"/>
                <w:b w:val="1"/>
                <w:bCs w:val="1"/>
                <w:color w:val="0C479D"/>
              </w:rPr>
              <w:t>December 31, 2023</w:t>
            </w: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2360" w:type="dxa"/>
            <w:vAlign w:val="bottom"/>
          </w:tcPr>
          <w:p>
            <w:pPr>
              <w:spacing w:after="0"/>
              <w:rPr>
                <w:sz w:val="5"/>
                <w:szCs w:val="5"/>
                <w:color w:val="auto"/>
              </w:rPr>
            </w:pPr>
          </w:p>
        </w:tc>
        <w:tc>
          <w:tcPr>
            <w:tcW w:w="800" w:type="dxa"/>
            <w:vAlign w:val="bottom"/>
            <w:tcBorders>
              <w:bottom w:val="single" w:sz="8" w:color="0C479D"/>
            </w:tcBorders>
          </w:tcPr>
          <w:p>
            <w:pPr>
              <w:spacing w:after="0"/>
              <w:rPr>
                <w:sz w:val="5"/>
                <w:szCs w:val="5"/>
                <w:color w:val="auto"/>
              </w:rPr>
            </w:pPr>
          </w:p>
        </w:tc>
        <w:tc>
          <w:tcPr>
            <w:tcW w:w="1620" w:type="dxa"/>
            <w:vAlign w:val="bottom"/>
            <w:tcBorders>
              <w:bottom w:val="single" w:sz="8" w:color="0C479D"/>
            </w:tcBorders>
            <w:gridSpan w:val="2"/>
          </w:tcPr>
          <w:p>
            <w:pPr>
              <w:spacing w:after="0"/>
              <w:rPr>
                <w:sz w:val="5"/>
                <w:szCs w:val="5"/>
                <w:color w:val="auto"/>
              </w:rPr>
            </w:pPr>
          </w:p>
        </w:tc>
        <w:tc>
          <w:tcPr>
            <w:tcW w:w="1000" w:type="dxa"/>
            <w:vAlign w:val="bottom"/>
            <w:tcBorders>
              <w:bottom w:val="single" w:sz="8" w:color="0C479D"/>
            </w:tcBorders>
          </w:tcPr>
          <w:p>
            <w:pPr>
              <w:spacing w:after="0"/>
              <w:rPr>
                <w:sz w:val="5"/>
                <w:szCs w:val="5"/>
                <w:color w:val="auto"/>
              </w:rPr>
            </w:pPr>
          </w:p>
        </w:tc>
        <w:tc>
          <w:tcPr>
            <w:tcW w:w="1160" w:type="dxa"/>
            <w:vAlign w:val="bottom"/>
            <w:tcBorders>
              <w:bottom w:val="single" w:sz="8" w:color="0C479D"/>
            </w:tcBorders>
          </w:tcPr>
          <w:p>
            <w:pPr>
              <w:spacing w:after="0"/>
              <w:rPr>
                <w:sz w:val="5"/>
                <w:szCs w:val="5"/>
                <w:color w:val="auto"/>
              </w:rPr>
            </w:pPr>
          </w:p>
        </w:tc>
        <w:tc>
          <w:tcPr>
            <w:tcW w:w="920" w:type="dxa"/>
            <w:vAlign w:val="bottom"/>
            <w:tcBorders>
              <w:bottom w:val="single" w:sz="8" w:color="0C479D"/>
            </w:tcBorders>
          </w:tcPr>
          <w:p>
            <w:pPr>
              <w:spacing w:after="0"/>
              <w:rPr>
                <w:sz w:val="5"/>
                <w:szCs w:val="5"/>
                <w:color w:val="auto"/>
              </w:rPr>
            </w:pPr>
          </w:p>
        </w:tc>
        <w:tc>
          <w:tcPr>
            <w:tcW w:w="1040" w:type="dxa"/>
            <w:vAlign w:val="bottom"/>
            <w:tcBorders>
              <w:bottom w:val="single" w:sz="8" w:color="0C479D"/>
            </w:tcBorders>
          </w:tcPr>
          <w:p>
            <w:pPr>
              <w:spacing w:after="0"/>
              <w:rPr>
                <w:sz w:val="5"/>
                <w:szCs w:val="5"/>
                <w:color w:val="auto"/>
              </w:rPr>
            </w:pPr>
          </w:p>
        </w:tc>
        <w:tc>
          <w:tcPr>
            <w:tcW w:w="800" w:type="dxa"/>
            <w:vAlign w:val="bottom"/>
            <w:tcBorders>
              <w:bottom w:val="single" w:sz="8" w:color="0C479D"/>
            </w:tcBorders>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360" w:type="dxa"/>
            <w:vAlign w:val="bottom"/>
            <w:shd w:val="clear" w:color="auto" w:fill="0C479D"/>
          </w:tcPr>
          <w:p>
            <w:pPr>
              <w:spacing w:after="0"/>
              <w:rPr>
                <w:sz w:val="16"/>
                <w:szCs w:val="16"/>
                <w:color w:val="auto"/>
              </w:rPr>
            </w:pPr>
          </w:p>
        </w:tc>
        <w:tc>
          <w:tcPr>
            <w:tcW w:w="800" w:type="dxa"/>
            <w:vAlign w:val="bottom"/>
            <w:shd w:val="clear" w:color="auto" w:fill="0C479D"/>
          </w:tcPr>
          <w:p>
            <w:pPr>
              <w:spacing w:after="0"/>
              <w:rPr>
                <w:sz w:val="16"/>
                <w:szCs w:val="16"/>
                <w:color w:val="auto"/>
              </w:rPr>
            </w:pPr>
          </w:p>
        </w:tc>
        <w:tc>
          <w:tcPr>
            <w:tcW w:w="1620" w:type="dxa"/>
            <w:vAlign w:val="bottom"/>
            <w:gridSpan w:val="2"/>
            <w:shd w:val="clear" w:color="auto" w:fill="0C479D"/>
          </w:tcPr>
          <w:p>
            <w:pPr>
              <w:jc w:val="right"/>
              <w:ind w:right="348"/>
              <w:spacing w:after="0"/>
              <w:rPr>
                <w:sz w:val="20"/>
                <w:szCs w:val="20"/>
                <w:color w:val="auto"/>
              </w:rPr>
            </w:pPr>
            <w:r>
              <w:rPr>
                <w:rFonts w:ascii="Times New Roman" w:cs="Times New Roman" w:eastAsia="Times New Roman" w:hAnsi="Times New Roman"/>
                <w:sz w:val="14"/>
                <w:szCs w:val="14"/>
                <w:b w:val="1"/>
                <w:bCs w:val="1"/>
                <w:color w:val="FFFFFF"/>
              </w:rPr>
              <w:t>Fair Value</w:t>
            </w:r>
          </w:p>
        </w:tc>
        <w:tc>
          <w:tcPr>
            <w:tcW w:w="1000" w:type="dxa"/>
            <w:vAlign w:val="bottom"/>
            <w:shd w:val="clear" w:color="auto" w:fill="0C479D"/>
          </w:tcPr>
          <w:p>
            <w:pPr>
              <w:spacing w:after="0"/>
              <w:rPr>
                <w:sz w:val="16"/>
                <w:szCs w:val="16"/>
                <w:color w:val="auto"/>
              </w:rPr>
            </w:pPr>
          </w:p>
        </w:tc>
        <w:tc>
          <w:tcPr>
            <w:tcW w:w="1160" w:type="dxa"/>
            <w:vAlign w:val="bottom"/>
            <w:shd w:val="clear" w:color="auto" w:fill="0C479D"/>
          </w:tcPr>
          <w:p>
            <w:pPr>
              <w:spacing w:after="0"/>
              <w:rPr>
                <w:sz w:val="16"/>
                <w:szCs w:val="16"/>
                <w:color w:val="auto"/>
              </w:rPr>
            </w:pPr>
          </w:p>
        </w:tc>
        <w:tc>
          <w:tcPr>
            <w:tcW w:w="920" w:type="dxa"/>
            <w:vAlign w:val="bottom"/>
            <w:shd w:val="clear" w:color="auto" w:fill="0C479D"/>
          </w:tcPr>
          <w:p>
            <w:pPr>
              <w:spacing w:after="0"/>
              <w:rPr>
                <w:sz w:val="16"/>
                <w:szCs w:val="16"/>
                <w:color w:val="auto"/>
              </w:rPr>
            </w:pPr>
          </w:p>
        </w:tc>
        <w:tc>
          <w:tcPr>
            <w:tcW w:w="1040" w:type="dxa"/>
            <w:vAlign w:val="bottom"/>
            <w:shd w:val="clear" w:color="auto" w:fill="0C479D"/>
          </w:tcPr>
          <w:p>
            <w:pPr>
              <w:spacing w:after="0"/>
              <w:rPr>
                <w:sz w:val="16"/>
                <w:szCs w:val="16"/>
                <w:color w:val="auto"/>
              </w:rPr>
            </w:pPr>
          </w:p>
        </w:tc>
        <w:tc>
          <w:tcPr>
            <w:tcW w:w="800" w:type="dxa"/>
            <w:vAlign w:val="bottom"/>
            <w:shd w:val="clear" w:color="auto" w:fill="0C479D"/>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360" w:type="dxa"/>
            <w:vAlign w:val="bottom"/>
            <w:shd w:val="clear" w:color="auto" w:fill="0C479D"/>
          </w:tcPr>
          <w:p>
            <w:pPr>
              <w:spacing w:after="0"/>
              <w:rPr>
                <w:sz w:val="15"/>
                <w:szCs w:val="15"/>
                <w:color w:val="auto"/>
              </w:rPr>
            </w:pPr>
          </w:p>
        </w:tc>
        <w:tc>
          <w:tcPr>
            <w:tcW w:w="800" w:type="dxa"/>
            <w:vAlign w:val="bottom"/>
            <w:shd w:val="clear" w:color="auto" w:fill="0C479D"/>
          </w:tcPr>
          <w:p>
            <w:pPr>
              <w:spacing w:after="0"/>
              <w:rPr>
                <w:sz w:val="15"/>
                <w:szCs w:val="15"/>
                <w:color w:val="auto"/>
              </w:rPr>
            </w:pPr>
          </w:p>
        </w:tc>
        <w:tc>
          <w:tcPr>
            <w:tcW w:w="800" w:type="dxa"/>
            <w:vAlign w:val="bottom"/>
            <w:shd w:val="clear" w:color="auto" w:fill="0C479D"/>
          </w:tcPr>
          <w:p>
            <w:pPr>
              <w:spacing w:after="0"/>
              <w:rPr>
                <w:sz w:val="15"/>
                <w:szCs w:val="15"/>
                <w:color w:val="auto"/>
              </w:rPr>
            </w:pPr>
          </w:p>
        </w:tc>
        <w:tc>
          <w:tcPr>
            <w:tcW w:w="820" w:type="dxa"/>
            <w:vAlign w:val="bottom"/>
            <w:shd w:val="clear" w:color="auto" w:fill="0C479D"/>
          </w:tcPr>
          <w:p>
            <w:pPr>
              <w:spacing w:after="0"/>
              <w:rPr>
                <w:sz w:val="15"/>
                <w:szCs w:val="15"/>
                <w:color w:val="auto"/>
              </w:rPr>
            </w:pPr>
          </w:p>
        </w:tc>
        <w:tc>
          <w:tcPr>
            <w:tcW w:w="1000" w:type="dxa"/>
            <w:vAlign w:val="bottom"/>
            <w:vMerge w:val="restart"/>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w w:val="99"/>
              </w:rPr>
              <w:t>Total Gross</w:t>
            </w:r>
          </w:p>
        </w:tc>
        <w:tc>
          <w:tcPr>
            <w:tcW w:w="1160" w:type="dxa"/>
            <w:vAlign w:val="bottom"/>
            <w:vMerge w:val="restart"/>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Effect of</w:t>
            </w:r>
          </w:p>
        </w:tc>
        <w:tc>
          <w:tcPr>
            <w:tcW w:w="920" w:type="dxa"/>
            <w:vAlign w:val="bottom"/>
            <w:vMerge w:val="restart"/>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Effect of</w:t>
            </w:r>
          </w:p>
        </w:tc>
        <w:tc>
          <w:tcPr>
            <w:tcW w:w="104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Difference in</w:t>
            </w:r>
          </w:p>
        </w:tc>
        <w:tc>
          <w:tcPr>
            <w:tcW w:w="800" w:type="dxa"/>
            <w:vAlign w:val="bottom"/>
            <w:vMerge w:val="restart"/>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Net</w:t>
            </w:r>
          </w:p>
        </w:tc>
        <w:tc>
          <w:tcPr>
            <w:tcW w:w="0" w:type="dxa"/>
            <w:vAlign w:val="bottom"/>
          </w:tcPr>
          <w:p>
            <w:pPr>
              <w:spacing w:after="0"/>
              <w:rPr>
                <w:sz w:val="1"/>
                <w:szCs w:val="1"/>
                <w:color w:val="auto"/>
              </w:rPr>
            </w:pPr>
          </w:p>
        </w:tc>
      </w:tr>
      <w:tr>
        <w:trPr>
          <w:trHeight w:val="146"/>
        </w:trPr>
        <w:tc>
          <w:tcPr>
            <w:tcW w:w="2360" w:type="dxa"/>
            <w:vAlign w:val="bottom"/>
            <w:shd w:val="clear" w:color="auto" w:fill="0C479D"/>
          </w:tcPr>
          <w:p>
            <w:pPr>
              <w:spacing w:after="0"/>
              <w:rPr>
                <w:sz w:val="12"/>
                <w:szCs w:val="12"/>
                <w:color w:val="auto"/>
              </w:rPr>
            </w:pPr>
          </w:p>
        </w:tc>
        <w:tc>
          <w:tcPr>
            <w:tcW w:w="800" w:type="dxa"/>
            <w:vAlign w:val="bottom"/>
            <w:shd w:val="clear" w:color="auto" w:fill="0C479D"/>
          </w:tcPr>
          <w:p>
            <w:pPr>
              <w:spacing w:after="0"/>
              <w:rPr>
                <w:sz w:val="12"/>
                <w:szCs w:val="12"/>
                <w:color w:val="auto"/>
              </w:rPr>
            </w:pPr>
          </w:p>
        </w:tc>
        <w:tc>
          <w:tcPr>
            <w:tcW w:w="800" w:type="dxa"/>
            <w:vAlign w:val="bottom"/>
            <w:shd w:val="clear" w:color="auto" w:fill="0C479D"/>
          </w:tcPr>
          <w:p>
            <w:pPr>
              <w:spacing w:after="0"/>
              <w:rPr>
                <w:sz w:val="12"/>
                <w:szCs w:val="12"/>
                <w:color w:val="auto"/>
              </w:rPr>
            </w:pPr>
          </w:p>
        </w:tc>
        <w:tc>
          <w:tcPr>
            <w:tcW w:w="820" w:type="dxa"/>
            <w:vAlign w:val="bottom"/>
            <w:shd w:val="clear" w:color="auto" w:fill="0C479D"/>
          </w:tcPr>
          <w:p>
            <w:pPr>
              <w:spacing w:after="0"/>
              <w:rPr>
                <w:sz w:val="12"/>
                <w:szCs w:val="12"/>
                <w:color w:val="auto"/>
              </w:rPr>
            </w:pPr>
          </w:p>
        </w:tc>
        <w:tc>
          <w:tcPr>
            <w:tcW w:w="1000" w:type="dxa"/>
            <w:vAlign w:val="bottom"/>
            <w:vMerge w:val="continue"/>
            <w:shd w:val="clear" w:color="auto" w:fill="0C479D"/>
          </w:tcPr>
          <w:p>
            <w:pPr>
              <w:spacing w:after="0"/>
              <w:rPr>
                <w:sz w:val="12"/>
                <w:szCs w:val="12"/>
                <w:color w:val="auto"/>
              </w:rPr>
            </w:pPr>
          </w:p>
        </w:tc>
        <w:tc>
          <w:tcPr>
            <w:tcW w:w="1160" w:type="dxa"/>
            <w:vAlign w:val="bottom"/>
            <w:vMerge w:val="continue"/>
            <w:shd w:val="clear" w:color="auto" w:fill="0C479D"/>
          </w:tcPr>
          <w:p>
            <w:pPr>
              <w:spacing w:after="0"/>
              <w:rPr>
                <w:sz w:val="12"/>
                <w:szCs w:val="12"/>
                <w:color w:val="auto"/>
              </w:rPr>
            </w:pPr>
          </w:p>
        </w:tc>
        <w:tc>
          <w:tcPr>
            <w:tcW w:w="920" w:type="dxa"/>
            <w:vAlign w:val="bottom"/>
            <w:vMerge w:val="continue"/>
            <w:shd w:val="clear" w:color="auto" w:fill="0C479D"/>
          </w:tcPr>
          <w:p>
            <w:pPr>
              <w:spacing w:after="0"/>
              <w:rPr>
                <w:sz w:val="12"/>
                <w:szCs w:val="12"/>
                <w:color w:val="auto"/>
              </w:rPr>
            </w:pPr>
          </w:p>
        </w:tc>
        <w:tc>
          <w:tcPr>
            <w:tcW w:w="1040" w:type="dxa"/>
            <w:vAlign w:val="bottom"/>
            <w:shd w:val="clear" w:color="auto" w:fill="0C479D"/>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FFFFFF"/>
              </w:rPr>
              <w:t>Carrying</w:t>
            </w:r>
          </w:p>
        </w:tc>
        <w:tc>
          <w:tcPr>
            <w:tcW w:w="800" w:type="dxa"/>
            <w:vAlign w:val="bottom"/>
            <w:vMerge w:val="continue"/>
            <w:shd w:val="clear" w:color="auto" w:fill="0C479D"/>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60" w:type="dxa"/>
            <w:vAlign w:val="bottom"/>
            <w:vMerge w:val="restart"/>
            <w:shd w:val="clear" w:color="auto" w:fill="0C479D"/>
          </w:tcPr>
          <w:p>
            <w:pPr>
              <w:ind w:left="20"/>
              <w:spacing w:after="0"/>
              <w:rPr>
                <w:sz w:val="20"/>
                <w:szCs w:val="20"/>
                <w:color w:val="auto"/>
              </w:rPr>
            </w:pPr>
            <w:r>
              <w:rPr>
                <w:rFonts w:ascii="Times New Roman" w:cs="Times New Roman" w:eastAsia="Times New Roman" w:hAnsi="Times New Roman"/>
                <w:sz w:val="14"/>
                <w:szCs w:val="14"/>
                <w:b w:val="1"/>
                <w:bCs w:val="1"/>
                <w:i w:val="1"/>
                <w:iCs w:val="1"/>
                <w:color w:val="FFFFFF"/>
              </w:rPr>
              <w:t>(millions of dollars)</w:t>
            </w:r>
          </w:p>
        </w:tc>
        <w:tc>
          <w:tcPr>
            <w:tcW w:w="800" w:type="dxa"/>
            <w:vAlign w:val="bottom"/>
            <w:vMerge w:val="restart"/>
            <w:shd w:val="clear" w:color="auto" w:fill="0C479D"/>
          </w:tcPr>
          <w:p>
            <w:pPr>
              <w:jc w:val="right"/>
              <w:ind w:right="148"/>
              <w:spacing w:after="0"/>
              <w:rPr>
                <w:sz w:val="20"/>
                <w:szCs w:val="20"/>
                <w:color w:val="auto"/>
              </w:rPr>
            </w:pPr>
            <w:r>
              <w:rPr>
                <w:rFonts w:ascii="Times New Roman" w:cs="Times New Roman" w:eastAsia="Times New Roman" w:hAnsi="Times New Roman"/>
                <w:sz w:val="14"/>
                <w:szCs w:val="14"/>
                <w:b w:val="1"/>
                <w:bCs w:val="1"/>
                <w:color w:val="FFFFFF"/>
              </w:rPr>
              <w:t>Level 1</w:t>
            </w:r>
          </w:p>
        </w:tc>
        <w:tc>
          <w:tcPr>
            <w:tcW w:w="800" w:type="dxa"/>
            <w:vAlign w:val="bottom"/>
            <w:vMerge w:val="restart"/>
            <w:shd w:val="clear" w:color="auto" w:fill="0C479D"/>
          </w:tcPr>
          <w:p>
            <w:pPr>
              <w:jc w:val="right"/>
              <w:ind w:right="128"/>
              <w:spacing w:after="0"/>
              <w:rPr>
                <w:sz w:val="20"/>
                <w:szCs w:val="20"/>
                <w:color w:val="auto"/>
              </w:rPr>
            </w:pPr>
            <w:r>
              <w:rPr>
                <w:rFonts w:ascii="Times New Roman" w:cs="Times New Roman" w:eastAsia="Times New Roman" w:hAnsi="Times New Roman"/>
                <w:sz w:val="14"/>
                <w:szCs w:val="14"/>
                <w:b w:val="1"/>
                <w:bCs w:val="1"/>
                <w:color w:val="FFFFFF"/>
              </w:rPr>
              <w:t>Level 2</w:t>
            </w:r>
          </w:p>
        </w:tc>
        <w:tc>
          <w:tcPr>
            <w:tcW w:w="820" w:type="dxa"/>
            <w:vAlign w:val="bottom"/>
            <w:vMerge w:val="restart"/>
            <w:shd w:val="clear" w:color="auto" w:fill="0C479D"/>
          </w:tcPr>
          <w:p>
            <w:pPr>
              <w:jc w:val="right"/>
              <w:ind w:right="128"/>
              <w:spacing w:after="0"/>
              <w:rPr>
                <w:sz w:val="20"/>
                <w:szCs w:val="20"/>
                <w:color w:val="auto"/>
              </w:rPr>
            </w:pPr>
            <w:r>
              <w:rPr>
                <w:rFonts w:ascii="Times New Roman" w:cs="Times New Roman" w:eastAsia="Times New Roman" w:hAnsi="Times New Roman"/>
                <w:sz w:val="14"/>
                <w:szCs w:val="14"/>
                <w:b w:val="1"/>
                <w:bCs w:val="1"/>
                <w:color w:val="FFFFFF"/>
              </w:rPr>
              <w:t>Level 3</w:t>
            </w:r>
          </w:p>
        </w:tc>
        <w:tc>
          <w:tcPr>
            <w:tcW w:w="1000" w:type="dxa"/>
            <w:vAlign w:val="bottom"/>
            <w:shd w:val="clear" w:color="auto" w:fill="0C479D"/>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FFFFFF"/>
              </w:rPr>
              <w:t>Assets &amp;</w:t>
            </w:r>
          </w:p>
        </w:tc>
        <w:tc>
          <w:tcPr>
            <w:tcW w:w="1160" w:type="dxa"/>
            <w:vAlign w:val="bottom"/>
            <w:shd w:val="clear" w:color="auto" w:fill="0C479D"/>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FFFFFF"/>
              </w:rPr>
              <w:t>Counterparty</w:t>
            </w:r>
          </w:p>
        </w:tc>
        <w:tc>
          <w:tcPr>
            <w:tcW w:w="920" w:type="dxa"/>
            <w:vAlign w:val="bottom"/>
            <w:shd w:val="clear" w:color="auto" w:fill="0C479D"/>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FFFFFF"/>
              </w:rPr>
              <w:t>Collateral</w:t>
            </w:r>
          </w:p>
        </w:tc>
        <w:tc>
          <w:tcPr>
            <w:tcW w:w="1040" w:type="dxa"/>
            <w:vAlign w:val="bottom"/>
            <w:shd w:val="clear" w:color="auto" w:fill="0C479D"/>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FFFFFF"/>
                <w:w w:val="98"/>
              </w:rPr>
              <w:t>Value and</w:t>
            </w:r>
          </w:p>
        </w:tc>
        <w:tc>
          <w:tcPr>
            <w:tcW w:w="800" w:type="dxa"/>
            <w:vAlign w:val="bottom"/>
            <w:shd w:val="clear" w:color="auto" w:fill="0C479D"/>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FFFFFF"/>
              </w:rPr>
              <w:t>Carrying</w:t>
            </w:r>
          </w:p>
        </w:tc>
        <w:tc>
          <w:tcPr>
            <w:tcW w:w="0" w:type="dxa"/>
            <w:vAlign w:val="bottom"/>
          </w:tcPr>
          <w:p>
            <w:pPr>
              <w:spacing w:after="0"/>
              <w:rPr>
                <w:sz w:val="1"/>
                <w:szCs w:val="1"/>
                <w:color w:val="auto"/>
              </w:rPr>
            </w:pPr>
          </w:p>
        </w:tc>
      </w:tr>
      <w:tr>
        <w:trPr>
          <w:trHeight w:val="203"/>
        </w:trPr>
        <w:tc>
          <w:tcPr>
            <w:tcW w:w="2360" w:type="dxa"/>
            <w:vAlign w:val="bottom"/>
            <w:vMerge w:val="continue"/>
            <w:shd w:val="clear" w:color="auto" w:fill="0C479D"/>
          </w:tcPr>
          <w:p>
            <w:pPr>
              <w:spacing w:after="0"/>
              <w:rPr>
                <w:sz w:val="17"/>
                <w:szCs w:val="17"/>
                <w:color w:val="auto"/>
              </w:rPr>
            </w:pPr>
          </w:p>
        </w:tc>
        <w:tc>
          <w:tcPr>
            <w:tcW w:w="800" w:type="dxa"/>
            <w:vAlign w:val="bottom"/>
            <w:vMerge w:val="continue"/>
            <w:shd w:val="clear" w:color="auto" w:fill="0C479D"/>
          </w:tcPr>
          <w:p>
            <w:pPr>
              <w:spacing w:after="0"/>
              <w:rPr>
                <w:sz w:val="17"/>
                <w:szCs w:val="17"/>
                <w:color w:val="auto"/>
              </w:rPr>
            </w:pPr>
          </w:p>
        </w:tc>
        <w:tc>
          <w:tcPr>
            <w:tcW w:w="800" w:type="dxa"/>
            <w:vAlign w:val="bottom"/>
            <w:vMerge w:val="continue"/>
            <w:shd w:val="clear" w:color="auto" w:fill="0C479D"/>
          </w:tcPr>
          <w:p>
            <w:pPr>
              <w:spacing w:after="0"/>
              <w:rPr>
                <w:sz w:val="17"/>
                <w:szCs w:val="17"/>
                <w:color w:val="auto"/>
              </w:rPr>
            </w:pPr>
          </w:p>
        </w:tc>
        <w:tc>
          <w:tcPr>
            <w:tcW w:w="820" w:type="dxa"/>
            <w:vAlign w:val="bottom"/>
            <w:vMerge w:val="continue"/>
            <w:shd w:val="clear" w:color="auto" w:fill="0C479D"/>
          </w:tcPr>
          <w:p>
            <w:pPr>
              <w:spacing w:after="0"/>
              <w:rPr>
                <w:sz w:val="17"/>
                <w:szCs w:val="17"/>
                <w:color w:val="auto"/>
              </w:rPr>
            </w:pPr>
          </w:p>
        </w:tc>
        <w:tc>
          <w:tcPr>
            <w:tcW w:w="100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Liabilities</w:t>
            </w:r>
          </w:p>
        </w:tc>
        <w:tc>
          <w:tcPr>
            <w:tcW w:w="116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Netting</w:t>
            </w:r>
          </w:p>
        </w:tc>
        <w:tc>
          <w:tcPr>
            <w:tcW w:w="92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w w:val="99"/>
              </w:rPr>
              <w:t>Netting</w:t>
            </w:r>
          </w:p>
        </w:tc>
        <w:tc>
          <w:tcPr>
            <w:tcW w:w="104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w w:val="99"/>
              </w:rPr>
              <w:t>Fair Value</w:t>
            </w:r>
          </w:p>
        </w:tc>
        <w:tc>
          <w:tcPr>
            <w:tcW w:w="80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w w:val="97"/>
              </w:rPr>
              <w:t>Value</w:t>
            </w:r>
          </w:p>
        </w:tc>
        <w:tc>
          <w:tcPr>
            <w:tcW w:w="0" w:type="dxa"/>
            <w:vAlign w:val="bottom"/>
          </w:tcPr>
          <w:p>
            <w:pPr>
              <w:spacing w:after="0"/>
              <w:rPr>
                <w:sz w:val="1"/>
                <w:szCs w:val="1"/>
                <w:color w:val="auto"/>
              </w:rPr>
            </w:pPr>
          </w:p>
        </w:tc>
      </w:tr>
      <w:tr>
        <w:trPr>
          <w:trHeight w:val="243"/>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C479D"/>
              </w:rPr>
              <w:t>Assets</w:t>
            </w: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Derivative assets </w:t>
            </w:r>
            <w:r>
              <w:rPr>
                <w:rFonts w:ascii="Times New Roman" w:cs="Times New Roman" w:eastAsia="Times New Roman" w:hAnsi="Times New Roman"/>
                <w:sz w:val="18"/>
                <w:szCs w:val="18"/>
                <w:i w:val="1"/>
                <w:iCs w:val="1"/>
                <w:color w:val="auto"/>
                <w:vertAlign w:val="superscript"/>
              </w:rPr>
              <w:t>(1)</w:t>
            </w: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4,544</w:t>
            </w: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1,731</w:t>
            </w:r>
          </w:p>
        </w:tc>
        <w:tc>
          <w:tcPr>
            <w:tcW w:w="8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6,275</w:t>
            </w: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(5,177)</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(528)</w:t>
            </w:r>
          </w:p>
        </w:tc>
        <w:tc>
          <w:tcPr>
            <w:tcW w:w="10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570</w:t>
            </w:r>
          </w:p>
        </w:tc>
        <w:tc>
          <w:tcPr>
            <w:tcW w:w="0" w:type="dxa"/>
            <w:vAlign w:val="bottom"/>
          </w:tcPr>
          <w:p>
            <w:pPr>
              <w:spacing w:after="0"/>
              <w:rPr>
                <w:sz w:val="1"/>
                <w:szCs w:val="1"/>
                <w:color w:val="auto"/>
              </w:rPr>
            </w:pPr>
          </w:p>
        </w:tc>
      </w:tr>
      <w:tr>
        <w:trPr>
          <w:trHeight w:val="184"/>
        </w:trPr>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Advances to/receivables from equity</w:t>
            </w:r>
          </w:p>
        </w:tc>
        <w:tc>
          <w:tcPr>
            <w:tcW w:w="8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2,517</w:t>
            </w:r>
          </w:p>
        </w:tc>
        <w:tc>
          <w:tcPr>
            <w:tcW w:w="8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4,491</w:t>
            </w:r>
          </w:p>
        </w:tc>
        <w:tc>
          <w:tcPr>
            <w:tcW w:w="10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7,008</w:t>
            </w:r>
          </w:p>
        </w:tc>
        <w:tc>
          <w:tcPr>
            <w:tcW w:w="11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519</w:t>
            </w:r>
          </w:p>
        </w:tc>
        <w:tc>
          <w:tcPr>
            <w:tcW w:w="8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7,527</w:t>
            </w:r>
          </w:p>
        </w:tc>
        <w:tc>
          <w:tcPr>
            <w:tcW w:w="0" w:type="dxa"/>
            <w:vAlign w:val="bottom"/>
          </w:tcPr>
          <w:p>
            <w:pPr>
              <w:spacing w:after="0"/>
              <w:rPr>
                <w:sz w:val="1"/>
                <w:szCs w:val="1"/>
                <w:color w:val="auto"/>
              </w:rPr>
            </w:pPr>
          </w:p>
        </w:tc>
      </w:tr>
      <w:tr>
        <w:trPr>
          <w:trHeight w:val="243"/>
        </w:trPr>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companies </w:t>
            </w:r>
            <w:r>
              <w:rPr>
                <w:rFonts w:ascii="Times New Roman" w:cs="Times New Roman" w:eastAsia="Times New Roman" w:hAnsi="Times New Roman"/>
                <w:sz w:val="18"/>
                <w:szCs w:val="18"/>
                <w:i w:val="1"/>
                <w:iCs w:val="1"/>
                <w:color w:val="auto"/>
                <w:vertAlign w:val="superscript"/>
              </w:rPr>
              <w:t>(2)(6)</w:t>
            </w:r>
          </w:p>
        </w:tc>
        <w:tc>
          <w:tcPr>
            <w:tcW w:w="800" w:type="dxa"/>
            <w:vAlign w:val="bottom"/>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Other long-term financial assets </w:t>
            </w:r>
            <w:r>
              <w:rPr>
                <w:rFonts w:ascii="Times New Roman" w:cs="Times New Roman" w:eastAsia="Times New Roman" w:hAnsi="Times New Roman"/>
                <w:sz w:val="18"/>
                <w:szCs w:val="18"/>
                <w:i w:val="1"/>
                <w:iCs w:val="1"/>
                <w:color w:val="auto"/>
                <w:vertAlign w:val="superscript"/>
              </w:rPr>
              <w:t>(3)</w:t>
            </w: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1,389</w:t>
            </w: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944</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2,333</w:t>
            </w:r>
          </w:p>
        </w:tc>
        <w:tc>
          <w:tcPr>
            <w:tcW w:w="11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202</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2,535</w:t>
            </w:r>
          </w:p>
        </w:tc>
        <w:tc>
          <w:tcPr>
            <w:tcW w:w="0" w:type="dxa"/>
            <w:vAlign w:val="bottom"/>
          </w:tcPr>
          <w:p>
            <w:pPr>
              <w:spacing w:after="0"/>
              <w:rPr>
                <w:sz w:val="1"/>
                <w:szCs w:val="1"/>
                <w:color w:val="auto"/>
              </w:rPr>
            </w:pPr>
          </w:p>
        </w:tc>
      </w:tr>
      <w:tr>
        <w:trPr>
          <w:trHeight w:val="306"/>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C479D"/>
              </w:rPr>
              <w:t>Liabilities</w:t>
            </w: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Derivative liabilities </w:t>
            </w:r>
            <w:r>
              <w:rPr>
                <w:rFonts w:ascii="Times New Roman" w:cs="Times New Roman" w:eastAsia="Times New Roman" w:hAnsi="Times New Roman"/>
                <w:sz w:val="18"/>
                <w:szCs w:val="18"/>
                <w:i w:val="1"/>
                <w:iCs w:val="1"/>
                <w:color w:val="auto"/>
                <w:vertAlign w:val="superscript"/>
              </w:rPr>
              <w:t>(4)</w:t>
            </w: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4,056</w:t>
            </w: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1,608</w:t>
            </w:r>
          </w:p>
        </w:tc>
        <w:tc>
          <w:tcPr>
            <w:tcW w:w="8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5,664</w:t>
            </w: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(5,177)</w:t>
            </w: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w:t>
            </w:r>
          </w:p>
        </w:tc>
        <w:tc>
          <w:tcPr>
            <w:tcW w:w="10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447</w:t>
            </w:r>
          </w:p>
        </w:tc>
        <w:tc>
          <w:tcPr>
            <w:tcW w:w="0" w:type="dxa"/>
            <w:vAlign w:val="bottom"/>
          </w:tcPr>
          <w:p>
            <w:pPr>
              <w:spacing w:after="0"/>
              <w:rPr>
                <w:sz w:val="1"/>
                <w:szCs w:val="1"/>
                <w:color w:val="auto"/>
              </w:rPr>
            </w:pPr>
          </w:p>
        </w:tc>
      </w:tr>
      <w:tr>
        <w:trPr>
          <w:trHeight w:val="216"/>
        </w:trPr>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Long-term debt </w:t>
            </w:r>
            <w:r>
              <w:rPr>
                <w:rFonts w:ascii="Times New Roman" w:cs="Times New Roman" w:eastAsia="Times New Roman" w:hAnsi="Times New Roman"/>
                <w:sz w:val="18"/>
                <w:szCs w:val="18"/>
                <w:i w:val="1"/>
                <w:iCs w:val="1"/>
                <w:color w:val="auto"/>
                <w:vertAlign w:val="superscript"/>
              </w:rPr>
              <w:t>(5)</w:t>
            </w: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30,556</w:t>
            </w:r>
          </w:p>
        </w:tc>
        <w:tc>
          <w:tcPr>
            <w:tcW w:w="8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2,004</w:t>
            </w:r>
          </w:p>
        </w:tc>
        <w:tc>
          <w:tcPr>
            <w:tcW w:w="82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32,560</w:t>
            </w:r>
          </w:p>
        </w:tc>
        <w:tc>
          <w:tcPr>
            <w:tcW w:w="11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3,102</w:t>
            </w: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35,662</w:t>
            </w:r>
          </w:p>
        </w:tc>
        <w:tc>
          <w:tcPr>
            <w:tcW w:w="0" w:type="dxa"/>
            <w:vAlign w:val="bottom"/>
          </w:tcPr>
          <w:p>
            <w:pPr>
              <w:spacing w:after="0"/>
              <w:rPr>
                <w:sz w:val="1"/>
                <w:szCs w:val="1"/>
                <w:color w:val="auto"/>
              </w:rPr>
            </w:pPr>
          </w:p>
        </w:tc>
      </w:tr>
      <w:tr>
        <w:trPr>
          <w:trHeight w:val="144"/>
        </w:trPr>
        <w:tc>
          <w:tcPr>
            <w:tcW w:w="236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color w:val="auto"/>
              </w:rPr>
              <w:t>Long-term obligations to equity</w:t>
            </w:r>
          </w:p>
        </w:tc>
        <w:tc>
          <w:tcPr>
            <w:tcW w:w="8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1,896</w:t>
            </w:r>
          </w:p>
        </w:tc>
        <w:tc>
          <w:tcPr>
            <w:tcW w:w="10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1,896</w:t>
            </w:r>
          </w:p>
        </w:tc>
        <w:tc>
          <w:tcPr>
            <w:tcW w:w="11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(92)</w:t>
            </w:r>
          </w:p>
        </w:tc>
        <w:tc>
          <w:tcPr>
            <w:tcW w:w="8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1,804</w:t>
            </w:r>
          </w:p>
        </w:tc>
        <w:tc>
          <w:tcPr>
            <w:tcW w:w="0" w:type="dxa"/>
            <w:vAlign w:val="bottom"/>
          </w:tcPr>
          <w:p>
            <w:pPr>
              <w:spacing w:after="0"/>
              <w:rPr>
                <w:sz w:val="1"/>
                <w:szCs w:val="1"/>
                <w:color w:val="auto"/>
              </w:rPr>
            </w:pPr>
          </w:p>
        </w:tc>
      </w:tr>
      <w:tr>
        <w:trPr>
          <w:trHeight w:val="229"/>
        </w:trPr>
        <w:tc>
          <w:tcPr>
            <w:tcW w:w="2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companies </w:t>
            </w:r>
            <w:r>
              <w:rPr>
                <w:rFonts w:ascii="Times New Roman" w:cs="Times New Roman" w:eastAsia="Times New Roman" w:hAnsi="Times New Roman"/>
                <w:sz w:val="18"/>
                <w:szCs w:val="18"/>
                <w:i w:val="1"/>
                <w:iCs w:val="1"/>
                <w:color w:val="auto"/>
                <w:vertAlign w:val="superscript"/>
              </w:rPr>
              <w:t>(6)</w:t>
            </w:r>
          </w:p>
        </w:tc>
        <w:tc>
          <w:tcPr>
            <w:tcW w:w="80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36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4"/>
                <w:szCs w:val="14"/>
                <w:color w:val="auto"/>
              </w:rPr>
              <w:t xml:space="preserve">Other long-term financial liabilities </w:t>
            </w:r>
            <w:r>
              <w:rPr>
                <w:rFonts w:ascii="Times New Roman" w:cs="Times New Roman" w:eastAsia="Times New Roman" w:hAnsi="Times New Roman"/>
                <w:sz w:val="18"/>
                <w:szCs w:val="18"/>
                <w:i w:val="1"/>
                <w:iCs w:val="1"/>
                <w:color w:val="auto"/>
                <w:vertAlign w:val="superscript"/>
              </w:rPr>
              <w:t>(7)</w:t>
            </w:r>
          </w:p>
        </w:tc>
        <w:tc>
          <w:tcPr>
            <w:tcW w:w="800" w:type="dxa"/>
            <w:vAlign w:val="bottom"/>
            <w:tcBorders>
              <w:bottom w:val="single" w:sz="8" w:color="0C479D"/>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0C479D"/>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0C479D"/>
            </w:tcBorders>
          </w:tcPr>
          <w:p>
            <w:pPr>
              <w:jc w:val="right"/>
              <w:ind w:right="88"/>
              <w:spacing w:after="0"/>
              <w:rPr>
                <w:sz w:val="20"/>
                <w:szCs w:val="20"/>
                <w:color w:val="auto"/>
              </w:rPr>
            </w:pPr>
            <w:r>
              <w:rPr>
                <w:rFonts w:ascii="Times New Roman" w:cs="Times New Roman" w:eastAsia="Times New Roman" w:hAnsi="Times New Roman"/>
                <w:sz w:val="14"/>
                <w:szCs w:val="14"/>
                <w:color w:val="auto"/>
              </w:rPr>
              <w:t>697</w:t>
            </w:r>
          </w:p>
        </w:tc>
        <w:tc>
          <w:tcPr>
            <w:tcW w:w="1000" w:type="dxa"/>
            <w:vAlign w:val="bottom"/>
            <w:tcBorders>
              <w:bottom w:val="single" w:sz="8" w:color="0C479D"/>
            </w:tcBorders>
          </w:tcPr>
          <w:p>
            <w:pPr>
              <w:jc w:val="right"/>
              <w:ind w:right="68"/>
              <w:spacing w:after="0"/>
              <w:rPr>
                <w:sz w:val="20"/>
                <w:szCs w:val="20"/>
                <w:color w:val="auto"/>
              </w:rPr>
            </w:pPr>
            <w:r>
              <w:rPr>
                <w:rFonts w:ascii="Times New Roman" w:cs="Times New Roman" w:eastAsia="Times New Roman" w:hAnsi="Times New Roman"/>
                <w:sz w:val="14"/>
                <w:szCs w:val="14"/>
                <w:color w:val="auto"/>
              </w:rPr>
              <w:t>697</w:t>
            </w:r>
          </w:p>
        </w:tc>
        <w:tc>
          <w:tcPr>
            <w:tcW w:w="1160" w:type="dxa"/>
            <w:vAlign w:val="bottom"/>
            <w:tcBorders>
              <w:bottom w:val="single" w:sz="8" w:color="0C479D"/>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0C479D"/>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0C479D"/>
            </w:tcBorders>
          </w:tcPr>
          <w:p>
            <w:pPr>
              <w:jc w:val="right"/>
              <w:ind w:right="88"/>
              <w:spacing w:after="0"/>
              <w:rPr>
                <w:sz w:val="20"/>
                <w:szCs w:val="20"/>
                <w:color w:val="auto"/>
              </w:rPr>
            </w:pPr>
            <w:r>
              <w:rPr>
                <w:rFonts w:ascii="Times New Roman" w:cs="Times New Roman" w:eastAsia="Times New Roman" w:hAnsi="Times New Roman"/>
                <w:sz w:val="14"/>
                <w:szCs w:val="14"/>
                <w:color w:val="auto"/>
              </w:rPr>
              <w:t>45</w:t>
            </w:r>
          </w:p>
        </w:tc>
        <w:tc>
          <w:tcPr>
            <w:tcW w:w="800" w:type="dxa"/>
            <w:vAlign w:val="bottom"/>
            <w:tcBorders>
              <w:bottom w:val="single" w:sz="8" w:color="0C479D"/>
            </w:tcBorders>
          </w:tcPr>
          <w:p>
            <w:pPr>
              <w:jc w:val="right"/>
              <w:ind w:right="8"/>
              <w:spacing w:after="0"/>
              <w:rPr>
                <w:sz w:val="20"/>
                <w:szCs w:val="20"/>
                <w:color w:val="auto"/>
              </w:rPr>
            </w:pPr>
            <w:r>
              <w:rPr>
                <w:rFonts w:ascii="Times New Roman" w:cs="Times New Roman" w:eastAsia="Times New Roman" w:hAnsi="Times New Roman"/>
                <w:sz w:val="14"/>
                <w:szCs w:val="14"/>
                <w:color w:val="auto"/>
              </w:rPr>
              <w:t>742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-4645660</wp:posOffset>
            </wp:positionV>
            <wp:extent cx="21431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143125"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-2073910</wp:posOffset>
            </wp:positionV>
            <wp:extent cx="213423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47" w:lineRule="exact"/>
        <w:rPr>
          <w:sz w:val="20"/>
          <w:szCs w:val="20"/>
          <w:color w:val="auto"/>
        </w:rPr>
      </w:pPr>
    </w:p>
    <w:p>
      <w:pPr>
        <w:ind w:left="940" w:hanging="145"/>
        <w:spacing w:after="0"/>
        <w:tabs>
          <w:tab w:leader="none" w:pos="940" w:val="left"/>
        </w:tabs>
        <w:numPr>
          <w:ilvl w:val="0"/>
          <w:numId w:val="52"/>
        </w:numPr>
        <w:rPr>
          <w:rFonts w:ascii="Times New Roman" w:cs="Times New Roman" w:eastAsia="Times New Roman" w:hAnsi="Times New Roman"/>
          <w:sz w:val="18"/>
          <w:szCs w:val="18"/>
          <w:i w:val="1"/>
          <w:iCs w:val="1"/>
          <w:color w:val="auto"/>
          <w:vertAlign w:val="superscript"/>
        </w:rPr>
      </w:pPr>
      <w:r>
        <w:rPr>
          <w:rFonts w:ascii="Times New Roman" w:cs="Times New Roman" w:eastAsia="Times New Roman" w:hAnsi="Times New Roman"/>
          <w:sz w:val="14"/>
          <w:szCs w:val="14"/>
          <w:i w:val="1"/>
          <w:iCs w:val="1"/>
          <w:color w:val="auto"/>
        </w:rPr>
        <w:t>Included in the Balance Sheet lines: Notes and accounts receivable - net and Other assets, including intangibles - net.</w:t>
      </w:r>
    </w:p>
    <w:p>
      <w:pPr>
        <w:spacing w:after="0" w:line="55" w:lineRule="exact"/>
        <w:rPr>
          <w:rFonts w:ascii="Times New Roman" w:cs="Times New Roman" w:eastAsia="Times New Roman" w:hAnsi="Times New Roman"/>
          <w:sz w:val="18"/>
          <w:szCs w:val="18"/>
          <w:i w:val="1"/>
          <w:iCs w:val="1"/>
          <w:color w:val="auto"/>
          <w:vertAlign w:val="superscript"/>
        </w:rPr>
      </w:pPr>
    </w:p>
    <w:p>
      <w:pPr>
        <w:ind w:left="920" w:hanging="125"/>
        <w:spacing w:after="0" w:line="227" w:lineRule="auto"/>
        <w:tabs>
          <w:tab w:leader="none" w:pos="920" w:val="left"/>
        </w:tabs>
        <w:numPr>
          <w:ilvl w:val="0"/>
          <w:numId w:val="52"/>
        </w:numPr>
        <w:rPr>
          <w:rFonts w:ascii="Times New Roman" w:cs="Times New Roman" w:eastAsia="Times New Roman" w:hAnsi="Times New Roman"/>
          <w:sz w:val="16"/>
          <w:szCs w:val="16"/>
          <w:i w:val="1"/>
          <w:iCs w:val="1"/>
          <w:color w:val="auto"/>
          <w:vertAlign w:val="superscript"/>
        </w:rPr>
      </w:pPr>
      <w:r>
        <w:rPr>
          <w:rFonts w:ascii="Times New Roman" w:cs="Times New Roman" w:eastAsia="Times New Roman" w:hAnsi="Times New Roman"/>
          <w:sz w:val="12"/>
          <w:szCs w:val="12"/>
          <w:i w:val="1"/>
          <w:iCs w:val="1"/>
          <w:color w:val="auto"/>
        </w:rPr>
        <w:t>Included in the Balance Sheet line: Investments, advances and long-term receivables.</w:t>
      </w:r>
    </w:p>
    <w:p>
      <w:pPr>
        <w:spacing w:after="0" w:line="55" w:lineRule="exact"/>
        <w:rPr>
          <w:rFonts w:ascii="Times New Roman" w:cs="Times New Roman" w:eastAsia="Times New Roman" w:hAnsi="Times New Roman"/>
          <w:sz w:val="16"/>
          <w:szCs w:val="16"/>
          <w:i w:val="1"/>
          <w:iCs w:val="1"/>
          <w:color w:val="auto"/>
          <w:vertAlign w:val="superscript"/>
        </w:rPr>
      </w:pPr>
    </w:p>
    <w:p>
      <w:pPr>
        <w:ind w:left="940" w:hanging="145"/>
        <w:spacing w:after="0" w:line="202" w:lineRule="auto"/>
        <w:tabs>
          <w:tab w:leader="none" w:pos="940" w:val="left"/>
        </w:tabs>
        <w:numPr>
          <w:ilvl w:val="0"/>
          <w:numId w:val="52"/>
        </w:numPr>
        <w:rPr>
          <w:rFonts w:ascii="Times New Roman" w:cs="Times New Roman" w:eastAsia="Times New Roman" w:hAnsi="Times New Roman"/>
          <w:sz w:val="18"/>
          <w:szCs w:val="18"/>
          <w:i w:val="1"/>
          <w:iCs w:val="1"/>
          <w:color w:val="auto"/>
          <w:vertAlign w:val="superscript"/>
        </w:rPr>
      </w:pPr>
      <w:r>
        <w:rPr>
          <w:rFonts w:ascii="Times New Roman" w:cs="Times New Roman" w:eastAsia="Times New Roman" w:hAnsi="Times New Roman"/>
          <w:sz w:val="14"/>
          <w:szCs w:val="14"/>
          <w:i w:val="1"/>
          <w:iCs w:val="1"/>
          <w:color w:val="auto"/>
        </w:rPr>
        <w:t>Included in the Balance Sheet lines: Investments, advances and long-term receivables and Other assets, including intangibles - net.</w:t>
      </w:r>
    </w:p>
    <w:p>
      <w:pPr>
        <w:spacing w:after="0" w:line="55" w:lineRule="exact"/>
        <w:rPr>
          <w:rFonts w:ascii="Times New Roman" w:cs="Times New Roman" w:eastAsia="Times New Roman" w:hAnsi="Times New Roman"/>
          <w:sz w:val="18"/>
          <w:szCs w:val="18"/>
          <w:i w:val="1"/>
          <w:iCs w:val="1"/>
          <w:color w:val="auto"/>
          <w:vertAlign w:val="superscript"/>
        </w:rPr>
      </w:pPr>
    </w:p>
    <w:p>
      <w:pPr>
        <w:ind w:left="940" w:hanging="145"/>
        <w:spacing w:after="0" w:line="202" w:lineRule="auto"/>
        <w:tabs>
          <w:tab w:leader="none" w:pos="940" w:val="left"/>
        </w:tabs>
        <w:numPr>
          <w:ilvl w:val="0"/>
          <w:numId w:val="52"/>
        </w:numPr>
        <w:rPr>
          <w:rFonts w:ascii="Times New Roman" w:cs="Times New Roman" w:eastAsia="Times New Roman" w:hAnsi="Times New Roman"/>
          <w:sz w:val="18"/>
          <w:szCs w:val="18"/>
          <w:i w:val="1"/>
          <w:iCs w:val="1"/>
          <w:color w:val="auto"/>
          <w:vertAlign w:val="superscript"/>
        </w:rPr>
      </w:pPr>
      <w:r>
        <w:rPr>
          <w:rFonts w:ascii="Times New Roman" w:cs="Times New Roman" w:eastAsia="Times New Roman" w:hAnsi="Times New Roman"/>
          <w:sz w:val="14"/>
          <w:szCs w:val="14"/>
          <w:i w:val="1"/>
          <w:iCs w:val="1"/>
          <w:color w:val="auto"/>
        </w:rPr>
        <w:t>Included in the Balance Sheet lines: Accounts payable and accrued liabilities and Other long-term obligations.</w:t>
      </w:r>
    </w:p>
    <w:p>
      <w:pPr>
        <w:spacing w:after="0" w:line="55" w:lineRule="exact"/>
        <w:rPr>
          <w:rFonts w:ascii="Times New Roman" w:cs="Times New Roman" w:eastAsia="Times New Roman" w:hAnsi="Times New Roman"/>
          <w:sz w:val="18"/>
          <w:szCs w:val="18"/>
          <w:i w:val="1"/>
          <w:iCs w:val="1"/>
          <w:color w:val="auto"/>
          <w:vertAlign w:val="superscript"/>
        </w:rPr>
      </w:pPr>
    </w:p>
    <w:p>
      <w:pPr>
        <w:ind w:left="940" w:hanging="145"/>
        <w:spacing w:after="0" w:line="202" w:lineRule="auto"/>
        <w:tabs>
          <w:tab w:leader="none" w:pos="940" w:val="left"/>
        </w:tabs>
        <w:numPr>
          <w:ilvl w:val="0"/>
          <w:numId w:val="52"/>
        </w:numPr>
        <w:rPr>
          <w:rFonts w:ascii="Times New Roman" w:cs="Times New Roman" w:eastAsia="Times New Roman" w:hAnsi="Times New Roman"/>
          <w:sz w:val="18"/>
          <w:szCs w:val="18"/>
          <w:i w:val="1"/>
          <w:iCs w:val="1"/>
          <w:color w:val="auto"/>
          <w:vertAlign w:val="superscript"/>
        </w:rPr>
      </w:pPr>
      <w:r>
        <w:rPr>
          <w:rFonts w:ascii="Times New Roman" w:cs="Times New Roman" w:eastAsia="Times New Roman" w:hAnsi="Times New Roman"/>
          <w:sz w:val="14"/>
          <w:szCs w:val="14"/>
          <w:i w:val="1"/>
          <w:iCs w:val="1"/>
          <w:color w:val="auto"/>
        </w:rPr>
        <w:t>Excluding finance lease obligations.</w:t>
      </w:r>
    </w:p>
    <w:p>
      <w:pPr>
        <w:spacing w:after="0" w:line="55" w:lineRule="exact"/>
        <w:rPr>
          <w:rFonts w:ascii="Times New Roman" w:cs="Times New Roman" w:eastAsia="Times New Roman" w:hAnsi="Times New Roman"/>
          <w:sz w:val="18"/>
          <w:szCs w:val="18"/>
          <w:i w:val="1"/>
          <w:iCs w:val="1"/>
          <w:color w:val="auto"/>
          <w:vertAlign w:val="superscript"/>
        </w:rPr>
      </w:pPr>
    </w:p>
    <w:p>
      <w:pPr>
        <w:ind w:left="800" w:right="800" w:hanging="5"/>
        <w:spacing w:after="0" w:line="248" w:lineRule="auto"/>
        <w:tabs>
          <w:tab w:leader="none" w:pos="932" w:val="left"/>
        </w:tabs>
        <w:numPr>
          <w:ilvl w:val="0"/>
          <w:numId w:val="52"/>
        </w:numPr>
        <w:rPr>
          <w:rFonts w:ascii="Times New Roman" w:cs="Times New Roman" w:eastAsia="Times New Roman" w:hAnsi="Times New Roman"/>
          <w:sz w:val="17"/>
          <w:szCs w:val="17"/>
          <w:i w:val="1"/>
          <w:iCs w:val="1"/>
          <w:color w:val="auto"/>
          <w:vertAlign w:val="superscript"/>
        </w:rPr>
      </w:pPr>
      <w:r>
        <w:rPr>
          <w:rFonts w:ascii="Times New Roman" w:cs="Times New Roman" w:eastAsia="Times New Roman" w:hAnsi="Times New Roman"/>
          <w:sz w:val="13"/>
          <w:szCs w:val="13"/>
          <w:i w:val="1"/>
          <w:iCs w:val="1"/>
          <w:color w:val="auto"/>
        </w:rPr>
        <w:t>Advances to/receivables from equity companies and long-term obligations to equity companies are mainly designated as hierarchy level 3 inputs. The fair value is calculated by discounting the remaining obligations by a rate consistent with the credit quality and industry of the equity company.</w:t>
      </w:r>
    </w:p>
    <w:p>
      <w:pPr>
        <w:spacing w:after="0" w:line="32" w:lineRule="exact"/>
        <w:rPr>
          <w:rFonts w:ascii="Times New Roman" w:cs="Times New Roman" w:eastAsia="Times New Roman" w:hAnsi="Times New Roman"/>
          <w:sz w:val="17"/>
          <w:szCs w:val="17"/>
          <w:i w:val="1"/>
          <w:iCs w:val="1"/>
          <w:color w:val="auto"/>
          <w:vertAlign w:val="superscript"/>
        </w:rPr>
      </w:pPr>
    </w:p>
    <w:p>
      <w:pPr>
        <w:ind w:left="800" w:right="800" w:hanging="5"/>
        <w:spacing w:after="0" w:line="231" w:lineRule="auto"/>
        <w:tabs>
          <w:tab w:leader="none" w:pos="951" w:val="left"/>
        </w:tabs>
        <w:numPr>
          <w:ilvl w:val="0"/>
          <w:numId w:val="52"/>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Included in the Balance Sheet line: Other long-term obligations. Includes contingent consideration related to a prior year acquisition where fair value is based on expected drilling activities and discount rates.</w:t>
      </w:r>
    </w:p>
    <w:p>
      <w:pPr>
        <w:spacing w:after="0" w:line="200" w:lineRule="exact"/>
        <w:rPr>
          <w:sz w:val="20"/>
          <w:szCs w:val="20"/>
          <w:color w:val="auto"/>
        </w:rPr>
      </w:pPr>
    </w:p>
    <w:p>
      <w:pPr>
        <w:spacing w:after="0" w:line="23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December 31, 2024, and December 31, 2023, respectively, the Corporation had $491 million and $800 million of collateral under master netting arrangements not offset against the derivatives on the Consolidated Balance Sheet, primarily related to initial margin requirements.</w:t>
      </w:r>
    </w:p>
    <w:p>
      <w:pPr>
        <w:sectPr>
          <w:pgSz w:w="11900" w:h="16838" w:orient="portrait"/>
          <w:cols w:equalWidth="0" w:num="1">
            <w:col w:w="11240"/>
          </w:cols>
          <w:pgMar w:left="320" w:top="216" w:right="339"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22"/>
          <w:szCs w:val="22"/>
          <w:b w:val="1"/>
          <w:bCs w:val="1"/>
          <w:color w:val="0C479D"/>
        </w:rPr>
        <w:t>NOTES TO CONSOLIDATED FINANCIAL STATEMENTS</w:t>
      </w:r>
    </w:p>
    <w:p>
      <w:pPr>
        <w:spacing w:after="0" w:line="200" w:lineRule="exact"/>
        <w:rPr>
          <w:sz w:val="20"/>
          <w:szCs w:val="20"/>
          <w:color w:val="auto"/>
        </w:rPr>
      </w:pPr>
    </w:p>
    <w:p>
      <w:pPr>
        <w:spacing w:after="0" w:line="2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Derivative Instruments. </w:t>
      </w:r>
      <w:r>
        <w:rPr>
          <w:rFonts w:ascii="Times New Roman" w:cs="Times New Roman" w:eastAsia="Times New Roman" w:hAnsi="Times New Roman"/>
          <w:sz w:val="18"/>
          <w:szCs w:val="18"/>
          <w:color w:val="auto"/>
        </w:rPr>
        <w:t>The Corporation’s size, strong capital structure, geographic diversity, and the complementary nature of its business segments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reduce the Corporation’s enterprise-wide risk from changes in commodity prices, currency rates, and interest rates. In addition, the Corporation uses commodity-based contracts, including derivatives, to manage commodity price risk and to generate returns from trading. Commodity contracts held for trading purposes are presented in the Consolidated Statement of Income on a net basis in the line “Sales and other operating revenue” and in the Consolidated Statement of Cash Flows in “Cash Flows from Operating Activities”. The Corporation’s commodity derivatives are not accounted for under hedge accounting. At times, the Corporation also enters into currency and interest rate derivatives, none of which are material to the Corporation’s financial position as of December 31, 2024 and 2023, or results of operations for 2024, 2023, and 2022.</w:t>
      </w:r>
    </w:p>
    <w:p>
      <w:pPr>
        <w:spacing w:after="0" w:line="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fourth quarter of 2024, the Corporation initiated a program to hedge certain of its fixed-rate debt instruments against changes in fair value due to changes in the designated benchmark interest rate. This program utilizes fair value hedge accounting. The derivative (hedging) instruments are fixed-for-floating interest rate swaps, with settlement dates that correspond to the interest payments associated with the fixed-rate debt (hedged item). Changes in the fair values of the hedging instruments are perfectly offset by changes in the fair values of the hedged items; the effects of these changes in fair values are recorded in "Interest expense" in the Consolidated Statement of Income. This program was not material to the Consolidated Financial Statements. The Corporation intends to expand the use of this program in future periods.</w:t>
      </w:r>
    </w:p>
    <w:p>
      <w:pPr>
        <w:spacing w:after="0" w:line="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Credit risk associated with the Corporation’s derivative position is mitigated by several factors, including the use of derivative clearing exchanges and the quality of and financial limits placed on derivative counterparties. The Corporation maintains a system of controls that includes the authorization, reporting, and monitoring of derivative activity.</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notional long/(short) position of derivative instruments at December 31, 2024, and December 31, 2023, was as follows:</w:t>
      </w:r>
    </w:p>
    <w:p>
      <w:pPr>
        <w:spacing w:after="0" w:line="149" w:lineRule="exact"/>
        <w:rPr>
          <w:sz w:val="20"/>
          <w:szCs w:val="20"/>
          <w:color w:val="auto"/>
        </w:rPr>
      </w:pPr>
    </w:p>
    <w:tbl>
      <w:tblPr>
        <w:tblLayout w:type="fixed"/>
        <w:tblInd w:w="780" w:type="dxa"/>
        <w:tblCellMar>
          <w:top w:w="0" w:type="dxa"/>
          <w:left w:w="0" w:type="dxa"/>
          <w:bottom w:w="0" w:type="dxa"/>
          <w:right w:w="0" w:type="dxa"/>
        </w:tblCellMar>
      </w:tblPr>
      <w:tr>
        <w:trPr>
          <w:trHeight w:val="210"/>
        </w:trPr>
        <w:tc>
          <w:tcPr>
            <w:tcW w:w="7120" w:type="dxa"/>
            <w:vAlign w:val="bottom"/>
            <w:vMerge w:val="restart"/>
            <w:shd w:val="clear" w:color="auto" w:fill="0C479D"/>
          </w:tcPr>
          <w:p>
            <w:pPr>
              <w:spacing w:after="0"/>
              <w:rPr>
                <w:sz w:val="20"/>
                <w:szCs w:val="20"/>
                <w:color w:val="auto"/>
              </w:rPr>
            </w:pPr>
            <w:r>
              <w:rPr>
                <w:rFonts w:ascii="Times New Roman" w:cs="Times New Roman" w:eastAsia="Times New Roman" w:hAnsi="Times New Roman"/>
                <w:sz w:val="14"/>
                <w:szCs w:val="14"/>
                <w:i w:val="1"/>
                <w:iCs w:val="1"/>
                <w:color w:val="FFFFFF"/>
              </w:rPr>
              <w:t>(millions)</w:t>
            </w:r>
          </w:p>
        </w:tc>
        <w:tc>
          <w:tcPr>
            <w:tcW w:w="1240" w:type="dxa"/>
            <w:vAlign w:val="bottom"/>
            <w:tcBorders>
              <w:right w:val="single" w:sz="8" w:color="0C479D"/>
            </w:tcBorders>
            <w:shd w:val="clear" w:color="auto" w:fill="0C479D"/>
          </w:tcPr>
          <w:p>
            <w:pPr>
              <w:jc w:val="right"/>
              <w:ind w:right="117"/>
              <w:spacing w:after="0"/>
              <w:rPr>
                <w:sz w:val="20"/>
                <w:szCs w:val="20"/>
                <w:color w:val="auto"/>
              </w:rPr>
            </w:pPr>
            <w:r>
              <w:rPr>
                <w:rFonts w:ascii="Times New Roman" w:cs="Times New Roman" w:eastAsia="Times New Roman" w:hAnsi="Times New Roman"/>
                <w:sz w:val="14"/>
                <w:szCs w:val="14"/>
                <w:b w:val="1"/>
                <w:bCs w:val="1"/>
                <w:color w:val="FFFFFF"/>
              </w:rPr>
              <w:t>December 31,</w:t>
            </w:r>
          </w:p>
        </w:tc>
        <w:tc>
          <w:tcPr>
            <w:tcW w:w="1340" w:type="dxa"/>
            <w:vAlign w:val="bottom"/>
            <w:shd w:val="clear" w:color="auto" w:fill="0C479D"/>
          </w:tcPr>
          <w:p>
            <w:pPr>
              <w:jc w:val="right"/>
              <w:ind w:right="117"/>
              <w:spacing w:after="0"/>
              <w:rPr>
                <w:sz w:val="20"/>
                <w:szCs w:val="20"/>
                <w:color w:val="auto"/>
              </w:rPr>
            </w:pPr>
            <w:r>
              <w:rPr>
                <w:rFonts w:ascii="Times New Roman" w:cs="Times New Roman" w:eastAsia="Times New Roman" w:hAnsi="Times New Roman"/>
                <w:sz w:val="14"/>
                <w:szCs w:val="14"/>
                <w:b w:val="1"/>
                <w:bCs w:val="1"/>
                <w:color w:val="FFFFFF"/>
              </w:rPr>
              <w:t>December 31,</w:t>
            </w:r>
          </w:p>
        </w:tc>
        <w:tc>
          <w:tcPr>
            <w:tcW w:w="0" w:type="dxa"/>
            <w:vAlign w:val="bottom"/>
          </w:tcPr>
          <w:p>
            <w:pPr>
              <w:spacing w:after="0"/>
              <w:rPr>
                <w:sz w:val="1"/>
                <w:szCs w:val="1"/>
                <w:color w:val="auto"/>
              </w:rPr>
            </w:pPr>
          </w:p>
        </w:tc>
      </w:tr>
      <w:tr>
        <w:trPr>
          <w:trHeight w:val="77"/>
        </w:trPr>
        <w:tc>
          <w:tcPr>
            <w:tcW w:w="7120" w:type="dxa"/>
            <w:vAlign w:val="bottom"/>
            <w:vMerge w:val="continue"/>
            <w:shd w:val="clear" w:color="auto" w:fill="0C479D"/>
          </w:tcPr>
          <w:p>
            <w:pPr>
              <w:spacing w:after="0"/>
              <w:rPr>
                <w:sz w:val="6"/>
                <w:szCs w:val="6"/>
                <w:color w:val="auto"/>
              </w:rPr>
            </w:pPr>
          </w:p>
        </w:tc>
        <w:tc>
          <w:tcPr>
            <w:tcW w:w="1240" w:type="dxa"/>
            <w:vAlign w:val="bottom"/>
            <w:tcBorders>
              <w:right w:val="single" w:sz="8" w:color="0C479D"/>
            </w:tcBorders>
            <w:vMerge w:val="restart"/>
            <w:shd w:val="clear" w:color="auto" w:fill="0C479D"/>
          </w:tcPr>
          <w:p>
            <w:pPr>
              <w:jc w:val="right"/>
              <w:ind w:right="397"/>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1340" w:type="dxa"/>
            <w:vAlign w:val="bottom"/>
            <w:vMerge w:val="restart"/>
            <w:shd w:val="clear" w:color="auto" w:fill="0C479D"/>
          </w:tcPr>
          <w:p>
            <w:pPr>
              <w:jc w:val="right"/>
              <w:ind w:right="397"/>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0" w:type="dxa"/>
            <w:vAlign w:val="bottom"/>
          </w:tcPr>
          <w:p>
            <w:pPr>
              <w:spacing w:after="0"/>
              <w:rPr>
                <w:sz w:val="1"/>
                <w:szCs w:val="1"/>
                <w:color w:val="auto"/>
              </w:rPr>
            </w:pPr>
          </w:p>
        </w:tc>
      </w:tr>
      <w:tr>
        <w:trPr>
          <w:trHeight w:val="125"/>
        </w:trPr>
        <w:tc>
          <w:tcPr>
            <w:tcW w:w="7120" w:type="dxa"/>
            <w:vAlign w:val="bottom"/>
            <w:tcBorders>
              <w:bottom w:val="single" w:sz="8" w:color="0C479D"/>
            </w:tcBorders>
            <w:shd w:val="clear" w:color="auto" w:fill="0C479D"/>
          </w:tcPr>
          <w:p>
            <w:pPr>
              <w:spacing w:after="0"/>
              <w:rPr>
                <w:sz w:val="10"/>
                <w:szCs w:val="10"/>
                <w:color w:val="auto"/>
              </w:rPr>
            </w:pPr>
          </w:p>
        </w:tc>
        <w:tc>
          <w:tcPr>
            <w:tcW w:w="1240" w:type="dxa"/>
            <w:vAlign w:val="bottom"/>
            <w:tcBorders>
              <w:bottom w:val="single" w:sz="8" w:color="0C479D"/>
              <w:right w:val="single" w:sz="8" w:color="0C479D"/>
            </w:tcBorders>
            <w:vMerge w:val="continue"/>
            <w:shd w:val="clear" w:color="auto" w:fill="0C479D"/>
          </w:tcPr>
          <w:p>
            <w:pPr>
              <w:spacing w:after="0"/>
              <w:rPr>
                <w:sz w:val="10"/>
                <w:szCs w:val="10"/>
                <w:color w:val="auto"/>
              </w:rPr>
            </w:pPr>
          </w:p>
        </w:tc>
        <w:tc>
          <w:tcPr>
            <w:tcW w:w="1340" w:type="dxa"/>
            <w:vAlign w:val="bottom"/>
            <w:tcBorders>
              <w:bottom w:val="single" w:sz="8" w:color="0C479D"/>
            </w:tcBorders>
            <w:vMerge w:val="continue"/>
            <w:shd w:val="clear" w:color="auto" w:fill="0C479D"/>
          </w:tcPr>
          <w:p>
            <w:pPr>
              <w:spacing w:after="0"/>
              <w:rPr>
                <w:sz w:val="10"/>
                <w:szCs w:val="10"/>
                <w:color w:val="auto"/>
              </w:rPr>
            </w:pPr>
          </w:p>
        </w:tc>
        <w:tc>
          <w:tcPr>
            <w:tcW w:w="0" w:type="dxa"/>
            <w:vAlign w:val="bottom"/>
          </w:tcPr>
          <w:p>
            <w:pPr>
              <w:spacing w:after="0"/>
              <w:rPr>
                <w:sz w:val="1"/>
                <w:szCs w:val="1"/>
                <w:color w:val="auto"/>
              </w:rPr>
            </w:pPr>
          </w:p>
        </w:tc>
      </w:tr>
      <w:tr>
        <w:trPr>
          <w:trHeight w:val="365"/>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Crude oil (barrels)</w:t>
            </w:r>
          </w:p>
        </w:tc>
        <w:tc>
          <w:tcPr>
            <w:tcW w:w="1240" w:type="dxa"/>
            <w:vAlign w:val="bottom"/>
            <w:tcBorders>
              <w:right w:val="single" w:sz="8" w:color="F0F0F0"/>
            </w:tcBorders>
            <w:shd w:val="clear" w:color="auto" w:fill="F0F0F0"/>
          </w:tcPr>
          <w:p>
            <w:pPr>
              <w:jc w:val="right"/>
              <w:ind w:right="17"/>
              <w:spacing w:after="0"/>
              <w:rPr>
                <w:sz w:val="20"/>
                <w:szCs w:val="20"/>
                <w:color w:val="auto"/>
              </w:rPr>
            </w:pPr>
            <w:r>
              <w:rPr>
                <w:rFonts w:ascii="Times New Roman" w:cs="Times New Roman" w:eastAsia="Times New Roman" w:hAnsi="Times New Roman"/>
                <w:sz w:val="18"/>
                <w:szCs w:val="18"/>
                <w:color w:val="auto"/>
              </w:rPr>
              <w:t>13</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0"/>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Petroleum products (barrels)</w:t>
            </w:r>
          </w:p>
        </w:tc>
        <w:tc>
          <w:tcPr>
            <w:tcW w:w="124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63"/>
        </w:trPr>
        <w:tc>
          <w:tcPr>
            <w:tcW w:w="712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color w:val="auto"/>
              </w:rPr>
              <w:t>Natural gas (MMBTUs)</w:t>
            </w:r>
          </w:p>
        </w:tc>
        <w:tc>
          <w:tcPr>
            <w:tcW w:w="1240" w:type="dxa"/>
            <w:vAlign w:val="bottom"/>
            <w:tcBorders>
              <w:bottom w:val="single" w:sz="8" w:color="0C479D"/>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3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Realized and unrealized gains/(losses) on derivative instruments that were recognized in the Consolidated Statement of Income are included in the following lines on a before-tax basis:</w:t>
      </w:r>
    </w:p>
    <w:p>
      <w:pPr>
        <w:spacing w:after="0" w:line="85" w:lineRule="exact"/>
        <w:rPr>
          <w:sz w:val="20"/>
          <w:szCs w:val="20"/>
          <w:color w:val="auto"/>
        </w:rPr>
      </w:pPr>
    </w:p>
    <w:tbl>
      <w:tblPr>
        <w:tblLayout w:type="fixed"/>
        <w:tblInd w:w="780" w:type="dxa"/>
        <w:tblCellMar>
          <w:top w:w="0" w:type="dxa"/>
          <w:left w:w="0" w:type="dxa"/>
          <w:bottom w:w="0" w:type="dxa"/>
          <w:right w:w="0" w:type="dxa"/>
        </w:tblCellMar>
      </w:tblPr>
      <w:tr>
        <w:trPr>
          <w:trHeight w:val="250"/>
        </w:trPr>
        <w:tc>
          <w:tcPr>
            <w:tcW w:w="6580" w:type="dxa"/>
            <w:vAlign w:val="bottom"/>
            <w:tcBorders>
              <w:bottom w:val="single" w:sz="8" w:color="0C479D"/>
            </w:tcBorders>
            <w:shd w:val="clear" w:color="auto" w:fill="0C479D"/>
          </w:tcPr>
          <w:p>
            <w:pPr>
              <w:ind w:left="20"/>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960" w:type="dxa"/>
            <w:vAlign w:val="bottom"/>
            <w:tcBorders>
              <w:bottom w:val="single" w:sz="8" w:color="0C479D"/>
            </w:tcBorders>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1320" w:type="dxa"/>
            <w:vAlign w:val="bottom"/>
            <w:tcBorders>
              <w:bottom w:val="single" w:sz="8" w:color="0C479D"/>
            </w:tcBorders>
            <w:shd w:val="clear" w:color="auto" w:fill="0C479D"/>
          </w:tcPr>
          <w:p>
            <w:pPr>
              <w:jc w:val="right"/>
              <w:ind w:right="175"/>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840" w:type="dxa"/>
            <w:vAlign w:val="bottom"/>
            <w:tcBorders>
              <w:bottom w:val="single" w:sz="8" w:color="0C479D"/>
            </w:tcBorders>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2022</w:t>
            </w:r>
          </w:p>
        </w:tc>
      </w:tr>
      <w:tr>
        <w:trPr>
          <w:trHeight w:val="365"/>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other operating revenue</w:t>
            </w:r>
          </w:p>
        </w:tc>
        <w:tc>
          <w:tcPr>
            <w:tcW w:w="9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32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986</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w:t>
            </w:r>
          </w:p>
        </w:tc>
      </w:tr>
      <w:tr>
        <w:trPr>
          <w:trHeight w:val="270"/>
        </w:trPr>
        <w:tc>
          <w:tcPr>
            <w:tcW w:w="658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Crude oil and product purchases</w:t>
            </w:r>
          </w:p>
        </w:tc>
        <w:tc>
          <w:tcPr>
            <w:tcW w:w="960" w:type="dxa"/>
            <w:vAlign w:val="bottom"/>
            <w:tcBorders>
              <w:bottom w:val="single" w:sz="8" w:color="0C479D"/>
            </w:tcBorders>
            <w:shd w:val="clear" w:color="auto" w:fill="F0F0F0"/>
          </w:tcPr>
          <w:p>
            <w:pPr>
              <w:jc w:val="right"/>
              <w:ind w:right="15"/>
              <w:spacing w:after="0"/>
              <w:rPr>
                <w:sz w:val="20"/>
                <w:szCs w:val="20"/>
                <w:color w:val="auto"/>
              </w:rPr>
            </w:pPr>
            <w:r>
              <w:rPr>
                <w:rFonts w:ascii="Times New Roman" w:cs="Times New Roman" w:eastAsia="Times New Roman" w:hAnsi="Times New Roman"/>
                <w:sz w:val="18"/>
                <w:szCs w:val="18"/>
                <w:color w:val="auto"/>
              </w:rPr>
              <w:t>3</w:t>
            </w:r>
          </w:p>
        </w:tc>
        <w:tc>
          <w:tcPr>
            <w:tcW w:w="1320" w:type="dxa"/>
            <w:vAlign w:val="bottom"/>
            <w:tcBorders>
              <w:bottom w:val="single" w:sz="8" w:color="0C479D"/>
            </w:tcBorders>
          </w:tcPr>
          <w:p>
            <w:pPr>
              <w:jc w:val="right"/>
              <w:ind w:right="255"/>
              <w:spacing w:after="0"/>
              <w:rPr>
                <w:sz w:val="20"/>
                <w:szCs w:val="20"/>
                <w:color w:val="auto"/>
              </w:rPr>
            </w:pPr>
            <w:r>
              <w:rPr>
                <w:rFonts w:ascii="Times New Roman" w:cs="Times New Roman" w:eastAsia="Times New Roman" w:hAnsi="Times New Roman"/>
                <w:sz w:val="18"/>
                <w:szCs w:val="18"/>
                <w:color w:val="auto"/>
              </w:rPr>
              <w:t>79</w:t>
            </w:r>
          </w:p>
        </w:tc>
        <w:tc>
          <w:tcPr>
            <w:tcW w:w="840" w:type="dxa"/>
            <w:vAlign w:val="bottom"/>
            <w:tcBorders>
              <w:bottom w:val="single" w:sz="8" w:color="0C479D"/>
            </w:tcBorders>
          </w:tcPr>
          <w:p>
            <w:pPr>
              <w:jc w:val="right"/>
              <w:ind w:right="15"/>
              <w:spacing w:after="0"/>
              <w:rPr>
                <w:sz w:val="20"/>
                <w:szCs w:val="20"/>
                <w:color w:val="auto"/>
              </w:rPr>
            </w:pPr>
            <w:r>
              <w:rPr>
                <w:rFonts w:ascii="Times New Roman" w:cs="Times New Roman" w:eastAsia="Times New Roman" w:hAnsi="Times New Roman"/>
                <w:sz w:val="18"/>
                <w:szCs w:val="18"/>
                <w:color w:val="auto"/>
              </w:rPr>
              <w:t>314</w:t>
            </w:r>
          </w:p>
        </w:tc>
      </w:tr>
      <w:tr>
        <w:trPr>
          <w:trHeight w:val="243"/>
        </w:trPr>
        <w:tc>
          <w:tcPr>
            <w:tcW w:w="658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(658)</w:t>
            </w:r>
          </w:p>
        </w:tc>
        <w:tc>
          <w:tcPr>
            <w:tcW w:w="1320" w:type="dxa"/>
            <w:vAlign w:val="bottom"/>
            <w:tcBorders>
              <w:bottom w:val="single" w:sz="8" w:color="0C479D"/>
            </w:tcBorders>
          </w:tcPr>
          <w:p>
            <w:pPr>
              <w:jc w:val="right"/>
              <w:ind w:right="255"/>
              <w:spacing w:after="0"/>
              <w:rPr>
                <w:sz w:val="20"/>
                <w:szCs w:val="20"/>
                <w:color w:val="auto"/>
              </w:rPr>
            </w:pPr>
            <w:r>
              <w:rPr>
                <w:rFonts w:ascii="Times New Roman" w:cs="Times New Roman" w:eastAsia="Times New Roman" w:hAnsi="Times New Roman"/>
                <w:sz w:val="18"/>
                <w:szCs w:val="18"/>
                <w:b w:val="1"/>
                <w:bCs w:val="1"/>
                <w:color w:val="auto"/>
              </w:rPr>
              <w:t>1,065</w:t>
            </w:r>
          </w:p>
        </w:tc>
        <w:tc>
          <w:tcPr>
            <w:tcW w:w="8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(1,449)</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C479D"/>
        </w:rPr>
        <w:t>Note 14. Long-Term Debt</w:t>
      </w:r>
    </w:p>
    <w:p>
      <w:pPr>
        <w:spacing w:after="0" w:line="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2024, long-term debt consisted of $31,340 million due in U.S. dollars and $5,415 million representing the U.S. dollar equivalent at year-end exchange rates of amounts payable in foreign currencies. These amounts exclude that portion of long-term debt, totaling $4,892 million, which matures within one year and is included in current liabilities.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amounts of long-term debt, excluding finance lease obligations, maturing in each of the four years after December 31, 2025, in millions of dollars, are: 2026 – $5,456; 2027 – $1,357; 2028 – $1,441; and 2029 – $1,604. At December 31, 2024, the Corporation's unused long-term lines of credit were $1.3 billion.</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Corporation may use non-derivative financial instruments, such as its foreign currency-denominated debt, as hedges of its net investments in certain foreign subsidiaries. Under this method, the change in the carrying value of the financial instruments due to foreign exchange fluctuations is reported in accumulated other comprehensive income. As of December 31, 2024, the Corporation has designated its $3.1 billion of Euro-denominated debt and related accrued interest as a net investment hedge of its European business. The net investment hedge is deemed to be perfectly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22"/>
          <w:szCs w:val="22"/>
          <w:b w:val="1"/>
          <w:bCs w:val="1"/>
          <w:color w:val="0C479D"/>
        </w:rPr>
        <w:t>NOTES TO CONSOLIDATED FINANCIAL STATEMENTS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Summarized long-term debt at year-end 2024 and 2023 are shown in the table below:</w:t>
      </w:r>
    </w:p>
    <w:p>
      <w:pPr>
        <w:spacing w:after="0" w:line="149" w:lineRule="exact"/>
        <w:rPr>
          <w:sz w:val="20"/>
          <w:szCs w:val="20"/>
          <w:color w:val="auto"/>
        </w:rPr>
      </w:pPr>
    </w:p>
    <w:tbl>
      <w:tblPr>
        <w:tblLayout w:type="fixed"/>
        <w:tblInd w:w="1780" w:type="dxa"/>
        <w:tblCellMar>
          <w:top w:w="0" w:type="dxa"/>
          <w:left w:w="0" w:type="dxa"/>
          <w:bottom w:w="0" w:type="dxa"/>
          <w:right w:w="0" w:type="dxa"/>
        </w:tblCellMar>
      </w:tblPr>
      <w:tr>
        <w:trPr>
          <w:trHeight w:val="175"/>
        </w:trPr>
        <w:tc>
          <w:tcPr>
            <w:tcW w:w="3900" w:type="dxa"/>
            <w:vAlign w:val="bottom"/>
            <w:vMerge w:val="restart"/>
            <w:shd w:val="clear" w:color="auto" w:fill="0C479D"/>
          </w:tcPr>
          <w:p>
            <w:pPr>
              <w:ind w:left="20"/>
              <w:spacing w:after="0"/>
              <w:rPr>
                <w:sz w:val="20"/>
                <w:szCs w:val="20"/>
                <w:color w:val="auto"/>
              </w:rPr>
            </w:pPr>
            <w:r>
              <w:rPr>
                <w:rFonts w:ascii="Times New Roman" w:cs="Times New Roman" w:eastAsia="Times New Roman" w:hAnsi="Times New Roman"/>
                <w:sz w:val="14"/>
                <w:szCs w:val="14"/>
                <w:i w:val="1"/>
                <w:iCs w:val="1"/>
                <w:color w:val="FFFFFF"/>
              </w:rPr>
              <w:t>(millions of dollars, except where stated otherwise)</w:t>
            </w:r>
          </w:p>
        </w:tc>
        <w:tc>
          <w:tcPr>
            <w:tcW w:w="1260" w:type="dxa"/>
            <w:vAlign w:val="bottom"/>
            <w:shd w:val="clear" w:color="auto" w:fill="0C479D"/>
          </w:tcPr>
          <w:p>
            <w:pPr>
              <w:jc w:val="center"/>
              <w:ind w:right="79"/>
              <w:spacing w:after="0"/>
              <w:rPr>
                <w:sz w:val="20"/>
                <w:szCs w:val="20"/>
                <w:color w:val="auto"/>
              </w:rPr>
            </w:pPr>
            <w:r>
              <w:rPr>
                <w:rFonts w:ascii="Times New Roman" w:cs="Times New Roman" w:eastAsia="Times New Roman" w:hAnsi="Times New Roman"/>
                <w:sz w:val="14"/>
                <w:szCs w:val="14"/>
                <w:b w:val="1"/>
                <w:bCs w:val="1"/>
                <w:color w:val="FFFFFF"/>
              </w:rPr>
              <w:t>Average</w:t>
            </w:r>
          </w:p>
        </w:tc>
        <w:tc>
          <w:tcPr>
            <w:tcW w:w="1200" w:type="dxa"/>
            <w:vAlign w:val="bottom"/>
            <w:vMerge w:val="restart"/>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December 31, 2024</w:t>
            </w:r>
          </w:p>
        </w:tc>
        <w:tc>
          <w:tcPr>
            <w:tcW w:w="1340" w:type="dxa"/>
            <w:vAlign w:val="bottom"/>
            <w:vMerge w:val="restart"/>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December 31, 2023</w:t>
            </w:r>
          </w:p>
        </w:tc>
        <w:tc>
          <w:tcPr>
            <w:tcW w:w="0" w:type="dxa"/>
            <w:vAlign w:val="bottom"/>
          </w:tcPr>
          <w:p>
            <w:pPr>
              <w:spacing w:after="0"/>
              <w:rPr>
                <w:sz w:val="1"/>
                <w:szCs w:val="1"/>
                <w:color w:val="auto"/>
              </w:rPr>
            </w:pPr>
          </w:p>
        </w:tc>
      </w:tr>
      <w:tr>
        <w:trPr>
          <w:trHeight w:val="99"/>
        </w:trPr>
        <w:tc>
          <w:tcPr>
            <w:tcW w:w="3900" w:type="dxa"/>
            <w:vAlign w:val="bottom"/>
            <w:vMerge w:val="continue"/>
            <w:shd w:val="clear" w:color="auto" w:fill="0C479D"/>
          </w:tcPr>
          <w:p>
            <w:pPr>
              <w:spacing w:after="0"/>
              <w:rPr>
                <w:sz w:val="8"/>
                <w:szCs w:val="8"/>
                <w:color w:val="auto"/>
              </w:rPr>
            </w:pPr>
          </w:p>
        </w:tc>
        <w:tc>
          <w:tcPr>
            <w:tcW w:w="1260" w:type="dxa"/>
            <w:vAlign w:val="bottom"/>
            <w:vMerge w:val="restart"/>
            <w:shd w:val="clear" w:color="auto" w:fill="0C479D"/>
          </w:tcPr>
          <w:p>
            <w:pPr>
              <w:jc w:val="center"/>
              <w:ind w:right="99"/>
              <w:spacing w:after="0"/>
              <w:rPr>
                <w:sz w:val="20"/>
                <w:szCs w:val="20"/>
                <w:color w:val="auto"/>
              </w:rPr>
            </w:pPr>
            <w:r>
              <w:rPr>
                <w:rFonts w:ascii="Times New Roman" w:cs="Times New Roman" w:eastAsia="Times New Roman" w:hAnsi="Times New Roman"/>
                <w:sz w:val="14"/>
                <w:szCs w:val="14"/>
                <w:b w:val="1"/>
                <w:bCs w:val="1"/>
                <w:color w:val="FFFFFF"/>
                <w:w w:val="96"/>
              </w:rPr>
              <w:t xml:space="preserve">Rate </w:t>
            </w:r>
            <w:r>
              <w:rPr>
                <w:rFonts w:ascii="Times New Roman" w:cs="Times New Roman" w:eastAsia="Times New Roman" w:hAnsi="Times New Roman"/>
                <w:sz w:val="18"/>
                <w:szCs w:val="18"/>
                <w:i w:val="1"/>
                <w:iCs w:val="1"/>
                <w:color w:val="FFFFFF"/>
                <w:w w:val="96"/>
                <w:vertAlign w:val="superscript"/>
              </w:rPr>
              <w:t>(1)</w:t>
            </w:r>
          </w:p>
        </w:tc>
        <w:tc>
          <w:tcPr>
            <w:tcW w:w="1200" w:type="dxa"/>
            <w:vAlign w:val="bottom"/>
            <w:vMerge w:val="continue"/>
            <w:shd w:val="clear" w:color="auto" w:fill="0C479D"/>
          </w:tcPr>
          <w:p>
            <w:pPr>
              <w:spacing w:after="0"/>
              <w:rPr>
                <w:sz w:val="8"/>
                <w:szCs w:val="8"/>
                <w:color w:val="auto"/>
              </w:rPr>
            </w:pPr>
          </w:p>
        </w:tc>
        <w:tc>
          <w:tcPr>
            <w:tcW w:w="1340" w:type="dxa"/>
            <w:vAlign w:val="bottom"/>
            <w:vMerge w:val="continue"/>
            <w:shd w:val="clear" w:color="auto" w:fill="0C479D"/>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3900" w:type="dxa"/>
            <w:vAlign w:val="bottom"/>
            <w:shd w:val="clear" w:color="auto" w:fill="0C479D"/>
          </w:tcPr>
          <w:p>
            <w:pPr>
              <w:spacing w:after="0"/>
              <w:rPr>
                <w:sz w:val="11"/>
                <w:szCs w:val="11"/>
                <w:color w:val="auto"/>
              </w:rPr>
            </w:pPr>
          </w:p>
        </w:tc>
        <w:tc>
          <w:tcPr>
            <w:tcW w:w="1260" w:type="dxa"/>
            <w:vAlign w:val="bottom"/>
            <w:vMerge w:val="continue"/>
            <w:shd w:val="clear" w:color="auto" w:fill="0C479D"/>
          </w:tcPr>
          <w:p>
            <w:pPr>
              <w:spacing w:after="0"/>
              <w:rPr>
                <w:sz w:val="11"/>
                <w:szCs w:val="11"/>
                <w:color w:val="auto"/>
              </w:rPr>
            </w:pPr>
          </w:p>
        </w:tc>
        <w:tc>
          <w:tcPr>
            <w:tcW w:w="1200" w:type="dxa"/>
            <w:vAlign w:val="bottom"/>
            <w:shd w:val="clear" w:color="auto" w:fill="0C479D"/>
          </w:tcPr>
          <w:p>
            <w:pPr>
              <w:spacing w:after="0"/>
              <w:rPr>
                <w:sz w:val="11"/>
                <w:szCs w:val="11"/>
                <w:color w:val="auto"/>
              </w:rPr>
            </w:pPr>
          </w:p>
        </w:tc>
        <w:tc>
          <w:tcPr>
            <w:tcW w:w="1340" w:type="dxa"/>
            <w:vAlign w:val="bottom"/>
            <w:shd w:val="clear" w:color="auto" w:fill="0C479D"/>
          </w:tcPr>
          <w:p>
            <w:pPr>
              <w:spacing w:after="0"/>
              <w:rPr>
                <w:sz w:val="11"/>
                <w:szCs w:val="11"/>
                <w:color w:val="auto"/>
              </w:rPr>
            </w:pPr>
          </w:p>
        </w:tc>
        <w:tc>
          <w:tcPr>
            <w:tcW w:w="0" w:type="dxa"/>
            <w:vAlign w:val="bottom"/>
          </w:tcPr>
          <w:p>
            <w:pPr>
              <w:spacing w:after="0"/>
              <w:rPr>
                <w:sz w:val="1"/>
                <w:szCs w:val="1"/>
                <w:color w:val="auto"/>
              </w:rPr>
            </w:pPr>
          </w:p>
        </w:tc>
      </w:tr>
      <w:tr>
        <w:trPr>
          <w:trHeight w:val="51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C479D"/>
              </w:rPr>
              <w:t xml:space="preserve">Exxon Mobil Corporation </w:t>
            </w:r>
            <w:r>
              <w:rPr>
                <w:rFonts w:ascii="Times New Roman" w:cs="Times New Roman" w:eastAsia="Times New Roman" w:hAnsi="Times New Roman"/>
                <w:sz w:val="9"/>
                <w:szCs w:val="9"/>
                <w:i w:val="1"/>
                <w:iCs w:val="1"/>
                <w:color w:val="0C479D"/>
              </w:rPr>
              <w:t>(2)(3)</w:t>
            </w:r>
          </w:p>
        </w:tc>
        <w:tc>
          <w:tcPr>
            <w:tcW w:w="1260" w:type="dxa"/>
            <w:vAlign w:val="bottom"/>
          </w:tcPr>
          <w:p>
            <w:pPr>
              <w:spacing w:after="0"/>
              <w:rPr>
                <w:sz w:val="24"/>
                <w:szCs w:val="24"/>
                <w:color w:val="auto"/>
              </w:rPr>
            </w:pPr>
          </w:p>
        </w:tc>
        <w:tc>
          <w:tcPr>
            <w:tcW w:w="1200" w:type="dxa"/>
            <w:vAlign w:val="bottom"/>
            <w:shd w:val="clear" w:color="auto" w:fill="F0F0F0"/>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2.709% notes due 2025</w:t>
            </w:r>
          </w:p>
        </w:tc>
        <w:tc>
          <w:tcPr>
            <w:tcW w:w="1260" w:type="dxa"/>
            <w:vAlign w:val="bottom"/>
          </w:tcPr>
          <w:p>
            <w:pPr>
              <w:spacing w:after="0"/>
              <w:rPr>
                <w:sz w:val="22"/>
                <w:szCs w:val="22"/>
                <w:color w:val="auto"/>
              </w:rPr>
            </w:pPr>
          </w:p>
        </w:tc>
        <w:tc>
          <w:tcPr>
            <w:tcW w:w="12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1,750</w:t>
            </w:r>
          </w:p>
        </w:tc>
        <w:tc>
          <w:tcPr>
            <w:tcW w:w="0" w:type="dxa"/>
            <w:vAlign w:val="bottom"/>
          </w:tcPr>
          <w:p>
            <w:pPr>
              <w:spacing w:after="0"/>
              <w:rPr>
                <w:sz w:val="1"/>
                <w:szCs w:val="1"/>
                <w:color w:val="auto"/>
              </w:rPr>
            </w:pPr>
          </w:p>
        </w:tc>
      </w:tr>
      <w:tr>
        <w:trPr>
          <w:trHeight w:val="257"/>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2.992% notes due 2025</w:t>
            </w:r>
          </w:p>
        </w:tc>
        <w:tc>
          <w:tcPr>
            <w:tcW w:w="1260" w:type="dxa"/>
            <w:vAlign w:val="bottom"/>
          </w:tcPr>
          <w:p>
            <w:pPr>
              <w:spacing w:after="0"/>
              <w:rPr>
                <w:sz w:val="22"/>
                <w:szCs w:val="22"/>
                <w:color w:val="auto"/>
              </w:rPr>
            </w:pPr>
          </w:p>
        </w:tc>
        <w:tc>
          <w:tcPr>
            <w:tcW w:w="12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2,767</w:t>
            </w:r>
          </w:p>
        </w:tc>
        <w:tc>
          <w:tcPr>
            <w:tcW w:w="0" w:type="dxa"/>
            <w:vAlign w:val="bottom"/>
          </w:tcPr>
          <w:p>
            <w:pPr>
              <w:spacing w:after="0"/>
              <w:rPr>
                <w:sz w:val="1"/>
                <w:szCs w:val="1"/>
                <w:color w:val="auto"/>
              </w:rPr>
            </w:pPr>
          </w:p>
        </w:tc>
      </w:tr>
      <w:tr>
        <w:trPr>
          <w:trHeight w:val="25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3.043% notes due 2026</w:t>
            </w:r>
          </w:p>
        </w:tc>
        <w:tc>
          <w:tcPr>
            <w:tcW w:w="1260" w:type="dxa"/>
            <w:vAlign w:val="bottom"/>
          </w:tcPr>
          <w:p>
            <w:pPr>
              <w:spacing w:after="0"/>
              <w:rPr>
                <w:sz w:val="22"/>
                <w:szCs w:val="22"/>
                <w:color w:val="auto"/>
              </w:rPr>
            </w:pPr>
          </w:p>
        </w:tc>
        <w:tc>
          <w:tcPr>
            <w:tcW w:w="12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57"/>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2.275% notes due 2026</w:t>
            </w:r>
          </w:p>
        </w:tc>
        <w:tc>
          <w:tcPr>
            <w:tcW w:w="1260" w:type="dxa"/>
            <w:vAlign w:val="bottom"/>
          </w:tcPr>
          <w:p>
            <w:pPr>
              <w:spacing w:after="0"/>
              <w:rPr>
                <w:sz w:val="22"/>
                <w:szCs w:val="22"/>
                <w:color w:val="auto"/>
              </w:rPr>
            </w:pPr>
          </w:p>
        </w:tc>
        <w:tc>
          <w:tcPr>
            <w:tcW w:w="12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57"/>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3.294% notes due 2027</w:t>
            </w:r>
          </w:p>
        </w:tc>
        <w:tc>
          <w:tcPr>
            <w:tcW w:w="1260" w:type="dxa"/>
            <w:vAlign w:val="bottom"/>
          </w:tcPr>
          <w:p>
            <w:pPr>
              <w:spacing w:after="0"/>
              <w:rPr>
                <w:sz w:val="22"/>
                <w:szCs w:val="22"/>
                <w:color w:val="auto"/>
              </w:rPr>
            </w:pPr>
          </w:p>
        </w:tc>
        <w:tc>
          <w:tcPr>
            <w:tcW w:w="12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57"/>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2.440% notes due 2029</w:t>
            </w:r>
          </w:p>
        </w:tc>
        <w:tc>
          <w:tcPr>
            <w:tcW w:w="1260" w:type="dxa"/>
            <w:vAlign w:val="bottom"/>
          </w:tcPr>
          <w:p>
            <w:pPr>
              <w:spacing w:after="0"/>
              <w:rPr>
                <w:sz w:val="22"/>
                <w:szCs w:val="22"/>
                <w:color w:val="auto"/>
              </w:rPr>
            </w:pPr>
          </w:p>
        </w:tc>
        <w:tc>
          <w:tcPr>
            <w:tcW w:w="12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25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3.482% notes due 2030</w:t>
            </w:r>
          </w:p>
        </w:tc>
        <w:tc>
          <w:tcPr>
            <w:tcW w:w="1260" w:type="dxa"/>
            <w:vAlign w:val="bottom"/>
          </w:tcPr>
          <w:p>
            <w:pPr>
              <w:spacing w:after="0"/>
              <w:rPr>
                <w:sz w:val="22"/>
                <w:szCs w:val="22"/>
                <w:color w:val="auto"/>
              </w:rPr>
            </w:pPr>
          </w:p>
        </w:tc>
        <w:tc>
          <w:tcPr>
            <w:tcW w:w="12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57"/>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2.610% notes due 2030</w:t>
            </w:r>
          </w:p>
        </w:tc>
        <w:tc>
          <w:tcPr>
            <w:tcW w:w="1260" w:type="dxa"/>
            <w:vAlign w:val="bottom"/>
          </w:tcPr>
          <w:p>
            <w:pPr>
              <w:spacing w:after="0"/>
              <w:rPr>
                <w:sz w:val="22"/>
                <w:szCs w:val="22"/>
                <w:color w:val="auto"/>
              </w:rPr>
            </w:pPr>
          </w:p>
        </w:tc>
        <w:tc>
          <w:tcPr>
            <w:tcW w:w="12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57"/>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2.995% notes due 2039</w:t>
            </w:r>
          </w:p>
        </w:tc>
        <w:tc>
          <w:tcPr>
            <w:tcW w:w="1260" w:type="dxa"/>
            <w:vAlign w:val="bottom"/>
          </w:tcPr>
          <w:p>
            <w:pPr>
              <w:spacing w:after="0"/>
              <w:rPr>
                <w:sz w:val="22"/>
                <w:szCs w:val="22"/>
                <w:color w:val="auto"/>
              </w:rPr>
            </w:pPr>
          </w:p>
        </w:tc>
        <w:tc>
          <w:tcPr>
            <w:tcW w:w="12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57"/>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4.227% notes due 2040</w:t>
            </w:r>
          </w:p>
        </w:tc>
        <w:tc>
          <w:tcPr>
            <w:tcW w:w="1260" w:type="dxa"/>
            <w:vAlign w:val="bottom"/>
          </w:tcPr>
          <w:p>
            <w:pPr>
              <w:spacing w:after="0"/>
              <w:rPr>
                <w:sz w:val="22"/>
                <w:szCs w:val="22"/>
                <w:color w:val="auto"/>
              </w:rPr>
            </w:pPr>
          </w:p>
        </w:tc>
        <w:tc>
          <w:tcPr>
            <w:tcW w:w="12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2,076</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2,080</w:t>
            </w:r>
          </w:p>
        </w:tc>
        <w:tc>
          <w:tcPr>
            <w:tcW w:w="0" w:type="dxa"/>
            <w:vAlign w:val="bottom"/>
          </w:tcPr>
          <w:p>
            <w:pPr>
              <w:spacing w:after="0"/>
              <w:rPr>
                <w:sz w:val="1"/>
                <w:szCs w:val="1"/>
                <w:color w:val="auto"/>
              </w:rPr>
            </w:pPr>
          </w:p>
        </w:tc>
      </w:tr>
      <w:tr>
        <w:trPr>
          <w:trHeight w:val="257"/>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3.567% notes due 2045</w:t>
            </w:r>
          </w:p>
        </w:tc>
        <w:tc>
          <w:tcPr>
            <w:tcW w:w="1260" w:type="dxa"/>
            <w:vAlign w:val="bottom"/>
          </w:tcPr>
          <w:p>
            <w:pPr>
              <w:spacing w:after="0"/>
              <w:rPr>
                <w:sz w:val="22"/>
                <w:szCs w:val="22"/>
                <w:color w:val="auto"/>
              </w:rPr>
            </w:pPr>
          </w:p>
        </w:tc>
        <w:tc>
          <w:tcPr>
            <w:tcW w:w="12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5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4.114% notes due 2046</w:t>
            </w:r>
          </w:p>
        </w:tc>
        <w:tc>
          <w:tcPr>
            <w:tcW w:w="1260" w:type="dxa"/>
            <w:vAlign w:val="bottom"/>
          </w:tcPr>
          <w:p>
            <w:pPr>
              <w:spacing w:after="0"/>
              <w:rPr>
                <w:sz w:val="22"/>
                <w:szCs w:val="22"/>
                <w:color w:val="auto"/>
              </w:rPr>
            </w:pPr>
          </w:p>
        </w:tc>
        <w:tc>
          <w:tcPr>
            <w:tcW w:w="12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57"/>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3.095% notes due 2049</w:t>
            </w:r>
          </w:p>
        </w:tc>
        <w:tc>
          <w:tcPr>
            <w:tcW w:w="1260" w:type="dxa"/>
            <w:vAlign w:val="bottom"/>
          </w:tcPr>
          <w:p>
            <w:pPr>
              <w:spacing w:after="0"/>
              <w:rPr>
                <w:sz w:val="22"/>
                <w:szCs w:val="22"/>
                <w:color w:val="auto"/>
              </w:rPr>
            </w:pPr>
          </w:p>
        </w:tc>
        <w:tc>
          <w:tcPr>
            <w:tcW w:w="12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57"/>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4.327% notes due 2050</w:t>
            </w:r>
          </w:p>
        </w:tc>
        <w:tc>
          <w:tcPr>
            <w:tcW w:w="1260" w:type="dxa"/>
            <w:vAlign w:val="bottom"/>
          </w:tcPr>
          <w:p>
            <w:pPr>
              <w:spacing w:after="0"/>
              <w:rPr>
                <w:sz w:val="22"/>
                <w:szCs w:val="22"/>
                <w:color w:val="auto"/>
              </w:rPr>
            </w:pPr>
          </w:p>
        </w:tc>
        <w:tc>
          <w:tcPr>
            <w:tcW w:w="12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2,750</w:t>
            </w:r>
          </w:p>
        </w:tc>
        <w:tc>
          <w:tcPr>
            <w:tcW w:w="0" w:type="dxa"/>
            <w:vAlign w:val="bottom"/>
          </w:tcPr>
          <w:p>
            <w:pPr>
              <w:spacing w:after="0"/>
              <w:rPr>
                <w:sz w:val="1"/>
                <w:szCs w:val="1"/>
                <w:color w:val="auto"/>
              </w:rPr>
            </w:pPr>
          </w:p>
        </w:tc>
      </w:tr>
      <w:tr>
        <w:trPr>
          <w:trHeight w:val="25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3.452% notes due 2051</w:t>
            </w:r>
          </w:p>
        </w:tc>
        <w:tc>
          <w:tcPr>
            <w:tcW w:w="1260" w:type="dxa"/>
            <w:vAlign w:val="bottom"/>
          </w:tcPr>
          <w:p>
            <w:pPr>
              <w:spacing w:after="0"/>
              <w:rPr>
                <w:sz w:val="22"/>
                <w:szCs w:val="22"/>
                <w:color w:val="auto"/>
              </w:rPr>
            </w:pPr>
          </w:p>
        </w:tc>
        <w:tc>
          <w:tcPr>
            <w:tcW w:w="12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2,750</w:t>
            </w:r>
          </w:p>
        </w:tc>
        <w:tc>
          <w:tcPr>
            <w:tcW w:w="0" w:type="dxa"/>
            <w:vAlign w:val="bottom"/>
          </w:tcPr>
          <w:p>
            <w:pPr>
              <w:spacing w:after="0"/>
              <w:rPr>
                <w:sz w:val="1"/>
                <w:szCs w:val="1"/>
                <w:color w:val="auto"/>
              </w:rPr>
            </w:pPr>
          </w:p>
        </w:tc>
      </w:tr>
      <w:tr>
        <w:trPr>
          <w:trHeight w:val="257"/>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C479D"/>
              </w:rPr>
              <w:t>Exxon Mobil Corporation - Euro-denominated</w:t>
            </w:r>
          </w:p>
        </w:tc>
        <w:tc>
          <w:tcPr>
            <w:tcW w:w="1260" w:type="dxa"/>
            <w:vAlign w:val="bottom"/>
          </w:tcPr>
          <w:p>
            <w:pPr>
              <w:spacing w:after="0"/>
              <w:rPr>
                <w:sz w:val="22"/>
                <w:szCs w:val="22"/>
                <w:color w:val="auto"/>
              </w:rPr>
            </w:pPr>
          </w:p>
        </w:tc>
        <w:tc>
          <w:tcPr>
            <w:tcW w:w="1200" w:type="dxa"/>
            <w:vAlign w:val="bottom"/>
            <w:shd w:val="clear" w:color="auto" w:fill="F0F0F0"/>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0.524% notes due 2028</w:t>
            </w:r>
          </w:p>
        </w:tc>
        <w:tc>
          <w:tcPr>
            <w:tcW w:w="1260" w:type="dxa"/>
            <w:vAlign w:val="bottom"/>
          </w:tcPr>
          <w:p>
            <w:pPr>
              <w:spacing w:after="0"/>
              <w:rPr>
                <w:sz w:val="22"/>
                <w:szCs w:val="22"/>
                <w:color w:val="auto"/>
              </w:rPr>
            </w:pPr>
          </w:p>
        </w:tc>
        <w:tc>
          <w:tcPr>
            <w:tcW w:w="12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1,105</w:t>
            </w:r>
          </w:p>
        </w:tc>
        <w:tc>
          <w:tcPr>
            <w:tcW w:w="0" w:type="dxa"/>
            <w:vAlign w:val="bottom"/>
          </w:tcPr>
          <w:p>
            <w:pPr>
              <w:spacing w:after="0"/>
              <w:rPr>
                <w:sz w:val="1"/>
                <w:szCs w:val="1"/>
                <w:color w:val="auto"/>
              </w:rPr>
            </w:pPr>
          </w:p>
        </w:tc>
      </w:tr>
      <w:tr>
        <w:trPr>
          <w:trHeight w:val="257"/>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0.835% notes due 2032</w:t>
            </w:r>
          </w:p>
        </w:tc>
        <w:tc>
          <w:tcPr>
            <w:tcW w:w="1260" w:type="dxa"/>
            <w:vAlign w:val="bottom"/>
          </w:tcPr>
          <w:p>
            <w:pPr>
              <w:spacing w:after="0"/>
              <w:rPr>
                <w:sz w:val="22"/>
                <w:szCs w:val="22"/>
                <w:color w:val="auto"/>
              </w:rPr>
            </w:pPr>
          </w:p>
        </w:tc>
        <w:tc>
          <w:tcPr>
            <w:tcW w:w="12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1,105</w:t>
            </w:r>
          </w:p>
        </w:tc>
        <w:tc>
          <w:tcPr>
            <w:tcW w:w="0" w:type="dxa"/>
            <w:vAlign w:val="bottom"/>
          </w:tcPr>
          <w:p>
            <w:pPr>
              <w:spacing w:after="0"/>
              <w:rPr>
                <w:sz w:val="1"/>
                <w:szCs w:val="1"/>
                <w:color w:val="auto"/>
              </w:rPr>
            </w:pPr>
          </w:p>
        </w:tc>
      </w:tr>
      <w:tr>
        <w:trPr>
          <w:trHeight w:val="25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1.408% notes due 2039</w:t>
            </w:r>
          </w:p>
        </w:tc>
        <w:tc>
          <w:tcPr>
            <w:tcW w:w="1260" w:type="dxa"/>
            <w:vAlign w:val="bottom"/>
          </w:tcPr>
          <w:p>
            <w:pPr>
              <w:spacing w:after="0"/>
              <w:rPr>
                <w:sz w:val="22"/>
                <w:szCs w:val="22"/>
                <w:color w:val="auto"/>
              </w:rPr>
            </w:pPr>
          </w:p>
        </w:tc>
        <w:tc>
          <w:tcPr>
            <w:tcW w:w="12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1,105</w:t>
            </w:r>
          </w:p>
        </w:tc>
        <w:tc>
          <w:tcPr>
            <w:tcW w:w="0" w:type="dxa"/>
            <w:vAlign w:val="bottom"/>
          </w:tcPr>
          <w:p>
            <w:pPr>
              <w:spacing w:after="0"/>
              <w:rPr>
                <w:sz w:val="1"/>
                <w:szCs w:val="1"/>
                <w:color w:val="auto"/>
              </w:rPr>
            </w:pPr>
          </w:p>
        </w:tc>
      </w:tr>
      <w:tr>
        <w:trPr>
          <w:trHeight w:val="257"/>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C479D"/>
              </w:rPr>
              <w:t xml:space="preserve">XTO Energy Inc. </w:t>
            </w:r>
            <w:r>
              <w:rPr>
                <w:rFonts w:ascii="Times New Roman" w:cs="Times New Roman" w:eastAsia="Times New Roman" w:hAnsi="Times New Roman"/>
                <w:sz w:val="9"/>
                <w:szCs w:val="9"/>
                <w:i w:val="1"/>
                <w:iCs w:val="1"/>
                <w:color w:val="0C479D"/>
              </w:rPr>
              <w:t>(4)</w:t>
            </w:r>
          </w:p>
        </w:tc>
        <w:tc>
          <w:tcPr>
            <w:tcW w:w="1260" w:type="dxa"/>
            <w:vAlign w:val="bottom"/>
          </w:tcPr>
          <w:p>
            <w:pPr>
              <w:spacing w:after="0"/>
              <w:rPr>
                <w:sz w:val="22"/>
                <w:szCs w:val="22"/>
                <w:color w:val="auto"/>
              </w:rPr>
            </w:pPr>
          </w:p>
        </w:tc>
        <w:tc>
          <w:tcPr>
            <w:tcW w:w="1200" w:type="dxa"/>
            <w:vAlign w:val="bottom"/>
            <w:shd w:val="clear" w:color="auto" w:fill="F0F0F0"/>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6.100% senior notes due 2036</w:t>
            </w:r>
          </w:p>
        </w:tc>
        <w:tc>
          <w:tcPr>
            <w:tcW w:w="1260" w:type="dxa"/>
            <w:vAlign w:val="bottom"/>
          </w:tcPr>
          <w:p>
            <w:pPr>
              <w:spacing w:after="0"/>
              <w:rPr>
                <w:sz w:val="22"/>
                <w:szCs w:val="22"/>
                <w:color w:val="auto"/>
              </w:rPr>
            </w:pPr>
          </w:p>
        </w:tc>
        <w:tc>
          <w:tcPr>
            <w:tcW w:w="12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57"/>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6.750% senior notes due 2037</w:t>
            </w:r>
          </w:p>
        </w:tc>
        <w:tc>
          <w:tcPr>
            <w:tcW w:w="1260" w:type="dxa"/>
            <w:vAlign w:val="bottom"/>
          </w:tcPr>
          <w:p>
            <w:pPr>
              <w:spacing w:after="0"/>
              <w:rPr>
                <w:sz w:val="22"/>
                <w:szCs w:val="22"/>
                <w:color w:val="auto"/>
              </w:rPr>
            </w:pPr>
          </w:p>
        </w:tc>
        <w:tc>
          <w:tcPr>
            <w:tcW w:w="12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5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6.375% senior notes due 2038</w:t>
            </w:r>
          </w:p>
        </w:tc>
        <w:tc>
          <w:tcPr>
            <w:tcW w:w="1260" w:type="dxa"/>
            <w:vAlign w:val="bottom"/>
          </w:tcPr>
          <w:p>
            <w:pPr>
              <w:spacing w:after="0"/>
              <w:rPr>
                <w:sz w:val="22"/>
                <w:szCs w:val="22"/>
                <w:color w:val="auto"/>
              </w:rPr>
            </w:pPr>
          </w:p>
        </w:tc>
        <w:tc>
          <w:tcPr>
            <w:tcW w:w="12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57"/>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C479D"/>
              </w:rPr>
              <w:t xml:space="preserve">Pioneer Natural Resources Company </w:t>
            </w:r>
            <w:r>
              <w:rPr>
                <w:rFonts w:ascii="Times New Roman" w:cs="Times New Roman" w:eastAsia="Times New Roman" w:hAnsi="Times New Roman"/>
                <w:sz w:val="9"/>
                <w:szCs w:val="9"/>
                <w:i w:val="1"/>
                <w:iCs w:val="1"/>
                <w:color w:val="0C479D"/>
              </w:rPr>
              <w:t>(5)</w:t>
            </w:r>
          </w:p>
        </w:tc>
        <w:tc>
          <w:tcPr>
            <w:tcW w:w="1260" w:type="dxa"/>
            <w:vAlign w:val="bottom"/>
          </w:tcPr>
          <w:p>
            <w:pPr>
              <w:spacing w:after="0"/>
              <w:rPr>
                <w:sz w:val="22"/>
                <w:szCs w:val="22"/>
                <w:color w:val="auto"/>
              </w:rPr>
            </w:pPr>
          </w:p>
        </w:tc>
        <w:tc>
          <w:tcPr>
            <w:tcW w:w="1200" w:type="dxa"/>
            <w:vAlign w:val="bottom"/>
            <w:shd w:val="clear" w:color="auto" w:fill="F0F0F0"/>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1.125% senior notes due 2026</w:t>
            </w:r>
          </w:p>
        </w:tc>
        <w:tc>
          <w:tcPr>
            <w:tcW w:w="1260" w:type="dxa"/>
            <w:vAlign w:val="bottom"/>
          </w:tcPr>
          <w:p>
            <w:pPr>
              <w:spacing w:after="0"/>
              <w:rPr>
                <w:sz w:val="22"/>
                <w:szCs w:val="22"/>
                <w:color w:val="auto"/>
              </w:rPr>
            </w:pPr>
          </w:p>
        </w:tc>
        <w:tc>
          <w:tcPr>
            <w:tcW w:w="12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5.100% senior notes due 2026</w:t>
            </w:r>
          </w:p>
        </w:tc>
        <w:tc>
          <w:tcPr>
            <w:tcW w:w="1260" w:type="dxa"/>
            <w:vAlign w:val="bottom"/>
          </w:tcPr>
          <w:p>
            <w:pPr>
              <w:spacing w:after="0"/>
              <w:rPr>
                <w:sz w:val="22"/>
                <w:szCs w:val="22"/>
                <w:color w:val="auto"/>
              </w:rPr>
            </w:pPr>
          </w:p>
        </w:tc>
        <w:tc>
          <w:tcPr>
            <w:tcW w:w="12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7.200% senior notes due 2028</w:t>
            </w:r>
          </w:p>
        </w:tc>
        <w:tc>
          <w:tcPr>
            <w:tcW w:w="1260" w:type="dxa"/>
            <w:vAlign w:val="bottom"/>
          </w:tcPr>
          <w:p>
            <w:pPr>
              <w:spacing w:after="0"/>
              <w:rPr>
                <w:sz w:val="22"/>
                <w:szCs w:val="22"/>
                <w:color w:val="auto"/>
              </w:rPr>
            </w:pPr>
          </w:p>
        </w:tc>
        <w:tc>
          <w:tcPr>
            <w:tcW w:w="12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1.900% senior notes due 2030</w:t>
            </w:r>
          </w:p>
        </w:tc>
        <w:tc>
          <w:tcPr>
            <w:tcW w:w="1260" w:type="dxa"/>
            <w:vAlign w:val="bottom"/>
          </w:tcPr>
          <w:p>
            <w:pPr>
              <w:spacing w:after="0"/>
              <w:rPr>
                <w:sz w:val="22"/>
                <w:szCs w:val="22"/>
                <w:color w:val="auto"/>
              </w:rPr>
            </w:pPr>
          </w:p>
        </w:tc>
        <w:tc>
          <w:tcPr>
            <w:tcW w:w="12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2.150% senior notes due 2031</w:t>
            </w:r>
          </w:p>
        </w:tc>
        <w:tc>
          <w:tcPr>
            <w:tcW w:w="1260" w:type="dxa"/>
            <w:vAlign w:val="bottom"/>
          </w:tcPr>
          <w:p>
            <w:pPr>
              <w:spacing w:after="0"/>
              <w:rPr>
                <w:sz w:val="22"/>
                <w:szCs w:val="22"/>
                <w:color w:val="auto"/>
              </w:rPr>
            </w:pPr>
          </w:p>
        </w:tc>
        <w:tc>
          <w:tcPr>
            <w:tcW w:w="12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C479D"/>
              </w:rPr>
              <w:t xml:space="preserve">Parsley Energy LLC </w:t>
            </w:r>
            <w:r>
              <w:rPr>
                <w:rFonts w:ascii="Times New Roman" w:cs="Times New Roman" w:eastAsia="Times New Roman" w:hAnsi="Times New Roman"/>
                <w:sz w:val="9"/>
                <w:szCs w:val="9"/>
                <w:i w:val="1"/>
                <w:iCs w:val="1"/>
                <w:color w:val="0C479D"/>
              </w:rPr>
              <w:t>(6)</w:t>
            </w:r>
          </w:p>
        </w:tc>
        <w:tc>
          <w:tcPr>
            <w:tcW w:w="1260" w:type="dxa"/>
            <w:vAlign w:val="bottom"/>
          </w:tcPr>
          <w:p>
            <w:pPr>
              <w:spacing w:after="0"/>
              <w:rPr>
                <w:sz w:val="22"/>
                <w:szCs w:val="22"/>
                <w:color w:val="auto"/>
              </w:rPr>
            </w:pPr>
          </w:p>
        </w:tc>
        <w:tc>
          <w:tcPr>
            <w:tcW w:w="1200" w:type="dxa"/>
            <w:vAlign w:val="bottom"/>
            <w:shd w:val="clear" w:color="auto" w:fill="F0F0F0"/>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4.125% senior notes due 2028</w:t>
            </w:r>
          </w:p>
        </w:tc>
        <w:tc>
          <w:tcPr>
            <w:tcW w:w="1260" w:type="dxa"/>
            <w:vAlign w:val="bottom"/>
          </w:tcPr>
          <w:p>
            <w:pPr>
              <w:spacing w:after="0"/>
              <w:rPr>
                <w:sz w:val="22"/>
                <w:szCs w:val="22"/>
                <w:color w:val="auto"/>
              </w:rPr>
            </w:pPr>
          </w:p>
        </w:tc>
        <w:tc>
          <w:tcPr>
            <w:tcW w:w="12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1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Industrial revenue bonds due 2025-2051</w:t>
            </w:r>
          </w:p>
        </w:tc>
        <w:tc>
          <w:tcPr>
            <w:tcW w:w="1260" w:type="dxa"/>
            <w:vAlign w:val="bottom"/>
          </w:tcPr>
          <w:p>
            <w:pPr>
              <w:jc w:val="center"/>
              <w:ind w:right="99"/>
              <w:spacing w:after="0"/>
              <w:rPr>
                <w:sz w:val="20"/>
                <w:szCs w:val="20"/>
                <w:color w:val="auto"/>
              </w:rPr>
            </w:pPr>
            <w:r>
              <w:rPr>
                <w:rFonts w:ascii="Times New Roman" w:cs="Times New Roman" w:eastAsia="Times New Roman" w:hAnsi="Times New Roman"/>
                <w:sz w:val="18"/>
                <w:szCs w:val="18"/>
                <w:color w:val="auto"/>
              </w:rPr>
              <w:t>3.149%</w:t>
            </w:r>
          </w:p>
        </w:tc>
        <w:tc>
          <w:tcPr>
            <w:tcW w:w="12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2,123</w:t>
            </w:r>
          </w:p>
        </w:tc>
        <w:tc>
          <w:tcPr>
            <w:tcW w:w="0" w:type="dxa"/>
            <w:vAlign w:val="bottom"/>
          </w:tcPr>
          <w:p>
            <w:pPr>
              <w:spacing w:after="0"/>
              <w:rPr>
                <w:sz w:val="1"/>
                <w:szCs w:val="1"/>
                <w:color w:val="auto"/>
              </w:rPr>
            </w:pPr>
          </w:p>
        </w:tc>
      </w:tr>
      <w:tr>
        <w:trPr>
          <w:trHeight w:val="257"/>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leases &amp; other obligations</w:t>
            </w:r>
          </w:p>
        </w:tc>
        <w:tc>
          <w:tcPr>
            <w:tcW w:w="1260" w:type="dxa"/>
            <w:vAlign w:val="bottom"/>
          </w:tcPr>
          <w:p>
            <w:pPr>
              <w:jc w:val="center"/>
              <w:ind w:right="99"/>
              <w:spacing w:after="0"/>
              <w:rPr>
                <w:sz w:val="20"/>
                <w:szCs w:val="20"/>
                <w:color w:val="auto"/>
              </w:rPr>
            </w:pPr>
            <w:r>
              <w:rPr>
                <w:rFonts w:ascii="Times New Roman" w:cs="Times New Roman" w:eastAsia="Times New Roman" w:hAnsi="Times New Roman"/>
                <w:sz w:val="18"/>
                <w:szCs w:val="18"/>
                <w:color w:val="auto"/>
              </w:rPr>
              <w:t>4.577%</w:t>
            </w:r>
          </w:p>
        </w:tc>
        <w:tc>
          <w:tcPr>
            <w:tcW w:w="12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3,951</w:t>
            </w:r>
          </w:p>
        </w:tc>
        <w:tc>
          <w:tcPr>
            <w:tcW w:w="13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3,838</w:t>
            </w:r>
          </w:p>
        </w:tc>
        <w:tc>
          <w:tcPr>
            <w:tcW w:w="0" w:type="dxa"/>
            <w:vAlign w:val="bottom"/>
          </w:tcPr>
          <w:p>
            <w:pPr>
              <w:spacing w:after="0"/>
              <w:rPr>
                <w:sz w:val="1"/>
                <w:szCs w:val="1"/>
                <w:color w:val="auto"/>
              </w:rPr>
            </w:pPr>
          </w:p>
        </w:tc>
      </w:tr>
      <w:tr>
        <w:trPr>
          <w:trHeight w:val="256"/>
        </w:trPr>
        <w:tc>
          <w:tcPr>
            <w:tcW w:w="390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1260" w:type="dxa"/>
            <w:vAlign w:val="bottom"/>
            <w:tcBorders>
              <w:bottom w:val="single" w:sz="8" w:color="0C479D"/>
            </w:tcBorders>
          </w:tcPr>
          <w:p>
            <w:pPr>
              <w:spacing w:after="0"/>
              <w:rPr>
                <w:sz w:val="22"/>
                <w:szCs w:val="22"/>
                <w:color w:val="auto"/>
              </w:rPr>
            </w:pPr>
          </w:p>
        </w:tc>
        <w:tc>
          <w:tcPr>
            <w:tcW w:w="12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3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30"/>
        </w:trPr>
        <w:tc>
          <w:tcPr>
            <w:tcW w:w="390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debt</w:t>
            </w:r>
          </w:p>
        </w:tc>
        <w:tc>
          <w:tcPr>
            <w:tcW w:w="1260" w:type="dxa"/>
            <w:vAlign w:val="bottom"/>
            <w:tcBorders>
              <w:bottom w:val="single" w:sz="8" w:color="0C479D"/>
            </w:tcBorders>
          </w:tcPr>
          <w:p>
            <w:pPr>
              <w:spacing w:after="0"/>
              <w:rPr>
                <w:sz w:val="20"/>
                <w:szCs w:val="20"/>
                <w:color w:val="auto"/>
              </w:rPr>
            </w:pPr>
          </w:p>
        </w:tc>
        <w:tc>
          <w:tcPr>
            <w:tcW w:w="12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36,755</w:t>
            </w:r>
          </w:p>
        </w:tc>
        <w:tc>
          <w:tcPr>
            <w:tcW w:w="1340" w:type="dxa"/>
            <w:vAlign w:val="bottom"/>
            <w:tcBorders>
              <w:bottom w:val="single" w:sz="8" w:color="0C479D"/>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37,483</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1940" w:hanging="139"/>
        <w:spacing w:after="0"/>
        <w:tabs>
          <w:tab w:leader="none" w:pos="1940" w:val="left"/>
        </w:tabs>
        <w:numPr>
          <w:ilvl w:val="0"/>
          <w:numId w:val="53"/>
        </w:numPr>
        <w:rPr>
          <w:rFonts w:ascii="Times New Roman" w:cs="Times New Roman" w:eastAsia="Times New Roman" w:hAnsi="Times New Roman"/>
          <w:sz w:val="17"/>
          <w:szCs w:val="17"/>
          <w:i w:val="1"/>
          <w:iCs w:val="1"/>
          <w:color w:val="auto"/>
          <w:vertAlign w:val="superscript"/>
        </w:rPr>
      </w:pPr>
      <w:r>
        <w:rPr>
          <w:rFonts w:ascii="Times New Roman" w:cs="Times New Roman" w:eastAsia="Times New Roman" w:hAnsi="Times New Roman"/>
          <w:sz w:val="13"/>
          <w:szCs w:val="13"/>
          <w:i w:val="1"/>
          <w:iCs w:val="1"/>
          <w:color w:val="auto"/>
        </w:rPr>
        <w:t>Average effective or imputed interest rates at December 31, 2024.</w:t>
      </w:r>
    </w:p>
    <w:p>
      <w:pPr>
        <w:spacing w:after="0" w:line="55" w:lineRule="exact"/>
        <w:rPr>
          <w:rFonts w:ascii="Times New Roman" w:cs="Times New Roman" w:eastAsia="Times New Roman" w:hAnsi="Times New Roman"/>
          <w:sz w:val="17"/>
          <w:szCs w:val="17"/>
          <w:i w:val="1"/>
          <w:iCs w:val="1"/>
          <w:color w:val="auto"/>
          <w:vertAlign w:val="superscript"/>
        </w:rPr>
      </w:pPr>
    </w:p>
    <w:p>
      <w:pPr>
        <w:ind w:left="1940" w:hanging="139"/>
        <w:spacing w:after="0" w:line="214" w:lineRule="auto"/>
        <w:tabs>
          <w:tab w:leader="none" w:pos="1940" w:val="left"/>
        </w:tabs>
        <w:numPr>
          <w:ilvl w:val="0"/>
          <w:numId w:val="53"/>
        </w:numPr>
        <w:rPr>
          <w:rFonts w:ascii="Times New Roman" w:cs="Times New Roman" w:eastAsia="Times New Roman" w:hAnsi="Times New Roman"/>
          <w:sz w:val="17"/>
          <w:szCs w:val="17"/>
          <w:i w:val="1"/>
          <w:iCs w:val="1"/>
          <w:color w:val="auto"/>
          <w:vertAlign w:val="superscript"/>
        </w:rPr>
      </w:pPr>
      <w:r>
        <w:rPr>
          <w:rFonts w:ascii="Times New Roman" w:cs="Times New Roman" w:eastAsia="Times New Roman" w:hAnsi="Times New Roman"/>
          <w:sz w:val="13"/>
          <w:szCs w:val="13"/>
          <w:i w:val="1"/>
          <w:iCs w:val="1"/>
          <w:color w:val="auto"/>
        </w:rPr>
        <w:t>Includes impacts of hedge accounting of interest rate swaps.</w:t>
      </w:r>
    </w:p>
    <w:p>
      <w:pPr>
        <w:spacing w:after="0" w:line="55" w:lineRule="exact"/>
        <w:rPr>
          <w:rFonts w:ascii="Times New Roman" w:cs="Times New Roman" w:eastAsia="Times New Roman" w:hAnsi="Times New Roman"/>
          <w:sz w:val="17"/>
          <w:szCs w:val="17"/>
          <w:i w:val="1"/>
          <w:iCs w:val="1"/>
          <w:color w:val="auto"/>
          <w:vertAlign w:val="superscript"/>
        </w:rPr>
      </w:pPr>
    </w:p>
    <w:p>
      <w:pPr>
        <w:ind w:left="1940" w:hanging="139"/>
        <w:spacing w:after="0" w:line="214" w:lineRule="auto"/>
        <w:tabs>
          <w:tab w:leader="none" w:pos="1940" w:val="left"/>
        </w:tabs>
        <w:numPr>
          <w:ilvl w:val="0"/>
          <w:numId w:val="53"/>
        </w:numPr>
        <w:rPr>
          <w:rFonts w:ascii="Times New Roman" w:cs="Times New Roman" w:eastAsia="Times New Roman" w:hAnsi="Times New Roman"/>
          <w:sz w:val="17"/>
          <w:szCs w:val="17"/>
          <w:i w:val="1"/>
          <w:iCs w:val="1"/>
          <w:color w:val="auto"/>
          <w:vertAlign w:val="superscript"/>
        </w:rPr>
      </w:pPr>
      <w:r>
        <w:rPr>
          <w:rFonts w:ascii="Times New Roman" w:cs="Times New Roman" w:eastAsia="Times New Roman" w:hAnsi="Times New Roman"/>
          <w:sz w:val="13"/>
          <w:szCs w:val="13"/>
          <w:i w:val="1"/>
          <w:iCs w:val="1"/>
          <w:color w:val="auto"/>
        </w:rPr>
        <w:t>Includes premiums of $76 million in 2024 and $97 million in 2023.</w:t>
      </w:r>
    </w:p>
    <w:p>
      <w:pPr>
        <w:spacing w:after="0" w:line="55" w:lineRule="exact"/>
        <w:rPr>
          <w:rFonts w:ascii="Times New Roman" w:cs="Times New Roman" w:eastAsia="Times New Roman" w:hAnsi="Times New Roman"/>
          <w:sz w:val="17"/>
          <w:szCs w:val="17"/>
          <w:i w:val="1"/>
          <w:iCs w:val="1"/>
          <w:color w:val="auto"/>
          <w:vertAlign w:val="superscript"/>
        </w:rPr>
      </w:pPr>
    </w:p>
    <w:p>
      <w:pPr>
        <w:ind w:left="1940" w:hanging="139"/>
        <w:spacing w:after="0" w:line="214" w:lineRule="auto"/>
        <w:tabs>
          <w:tab w:leader="none" w:pos="1940" w:val="left"/>
        </w:tabs>
        <w:numPr>
          <w:ilvl w:val="0"/>
          <w:numId w:val="53"/>
        </w:numPr>
        <w:rPr>
          <w:rFonts w:ascii="Times New Roman" w:cs="Times New Roman" w:eastAsia="Times New Roman" w:hAnsi="Times New Roman"/>
          <w:sz w:val="17"/>
          <w:szCs w:val="17"/>
          <w:i w:val="1"/>
          <w:iCs w:val="1"/>
          <w:color w:val="auto"/>
          <w:vertAlign w:val="superscript"/>
        </w:rPr>
      </w:pPr>
      <w:r>
        <w:rPr>
          <w:rFonts w:ascii="Times New Roman" w:cs="Times New Roman" w:eastAsia="Times New Roman" w:hAnsi="Times New Roman"/>
          <w:sz w:val="13"/>
          <w:szCs w:val="13"/>
          <w:i w:val="1"/>
          <w:iCs w:val="1"/>
          <w:color w:val="auto"/>
        </w:rPr>
        <w:t>Includes premiums of $66 million in 2024 and $71 million in 2023.</w:t>
      </w:r>
    </w:p>
    <w:p>
      <w:pPr>
        <w:spacing w:after="0" w:line="55" w:lineRule="exact"/>
        <w:rPr>
          <w:rFonts w:ascii="Times New Roman" w:cs="Times New Roman" w:eastAsia="Times New Roman" w:hAnsi="Times New Roman"/>
          <w:sz w:val="17"/>
          <w:szCs w:val="17"/>
          <w:i w:val="1"/>
          <w:iCs w:val="1"/>
          <w:color w:val="auto"/>
          <w:vertAlign w:val="superscript"/>
        </w:rPr>
      </w:pPr>
    </w:p>
    <w:p>
      <w:pPr>
        <w:ind w:left="1940" w:hanging="139"/>
        <w:spacing w:after="0" w:line="214" w:lineRule="auto"/>
        <w:tabs>
          <w:tab w:leader="none" w:pos="1940" w:val="left"/>
        </w:tabs>
        <w:numPr>
          <w:ilvl w:val="0"/>
          <w:numId w:val="53"/>
        </w:numPr>
        <w:rPr>
          <w:rFonts w:ascii="Times New Roman" w:cs="Times New Roman" w:eastAsia="Times New Roman" w:hAnsi="Times New Roman"/>
          <w:sz w:val="17"/>
          <w:szCs w:val="17"/>
          <w:i w:val="1"/>
          <w:iCs w:val="1"/>
          <w:color w:val="auto"/>
          <w:vertAlign w:val="superscript"/>
        </w:rPr>
      </w:pPr>
      <w:r>
        <w:rPr>
          <w:rFonts w:ascii="Times New Roman" w:cs="Times New Roman" w:eastAsia="Times New Roman" w:hAnsi="Times New Roman"/>
          <w:sz w:val="13"/>
          <w:szCs w:val="13"/>
          <w:i w:val="1"/>
          <w:iCs w:val="1"/>
          <w:color w:val="auto"/>
        </w:rPr>
        <w:t>Includes net discounts of $348 million in 2024.</w:t>
      </w:r>
    </w:p>
    <w:p>
      <w:pPr>
        <w:spacing w:after="0" w:line="55" w:lineRule="exact"/>
        <w:rPr>
          <w:rFonts w:ascii="Times New Roman" w:cs="Times New Roman" w:eastAsia="Times New Roman" w:hAnsi="Times New Roman"/>
          <w:sz w:val="17"/>
          <w:szCs w:val="17"/>
          <w:i w:val="1"/>
          <w:iCs w:val="1"/>
          <w:color w:val="auto"/>
          <w:vertAlign w:val="superscript"/>
        </w:rPr>
      </w:pPr>
    </w:p>
    <w:p>
      <w:pPr>
        <w:ind w:left="1940" w:hanging="139"/>
        <w:spacing w:after="0" w:line="214" w:lineRule="auto"/>
        <w:tabs>
          <w:tab w:leader="none" w:pos="1940" w:val="left"/>
        </w:tabs>
        <w:numPr>
          <w:ilvl w:val="0"/>
          <w:numId w:val="53"/>
        </w:numPr>
        <w:rPr>
          <w:rFonts w:ascii="Times New Roman" w:cs="Times New Roman" w:eastAsia="Times New Roman" w:hAnsi="Times New Roman"/>
          <w:sz w:val="17"/>
          <w:szCs w:val="17"/>
          <w:i w:val="1"/>
          <w:iCs w:val="1"/>
          <w:color w:val="auto"/>
          <w:vertAlign w:val="superscript"/>
        </w:rPr>
      </w:pPr>
      <w:r>
        <w:rPr>
          <w:rFonts w:ascii="Times New Roman" w:cs="Times New Roman" w:eastAsia="Times New Roman" w:hAnsi="Times New Roman"/>
          <w:sz w:val="13"/>
          <w:szCs w:val="13"/>
          <w:i w:val="1"/>
          <w:iCs w:val="1"/>
          <w:color w:val="auto"/>
        </w:rPr>
        <w:t>Includes discounts of $7 million in 2024.</w:t>
      </w:r>
    </w:p>
    <w:p>
      <w:pPr>
        <w:sectPr>
          <w:pgSz w:w="11900" w:h="16838" w:orient="portrait"/>
          <w:cols w:equalWidth="0" w:num="1">
            <w:col w:w="10139"/>
          </w:cols>
          <w:pgMar w:left="320" w:top="21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16" w:right="1440"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22"/>
          <w:szCs w:val="22"/>
          <w:b w:val="1"/>
          <w:bCs w:val="1"/>
          <w:color w:val="0C479D"/>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C479D"/>
        </w:rPr>
        <w:t>Note 15. Incentive Program</w:t>
      </w:r>
    </w:p>
    <w:p>
      <w:pPr>
        <w:spacing w:after="0" w:line="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2003 Incentive Program provides for grants of stock options, stock appreciation rights (SARs), restricted stock, and other forms of awards. Awards may be granted to eligible employees of the Company and those affiliates at least 50 percent owned by the Corporation. Outstanding awards are subject to certain forfeiture provisions contained in the program or award instrument. Options and SARs may be granted at prices not less than 100 percent of market value on the date of grant and have a maximum life of 10 years. The maximum number of shares of stock that may be issued under the 2003 Incentive Program is 220 million. Awards that are forfeited, expire, or are settled in cash do not count against this maximum limit. The 2003 Incentive Program does not have a specified term. New awards may be made until the available shares are depleted, unless the ExxonMobil Board of Directors terminates the plan early. At the end of 2024, remaining shares available for award under the 2003 Incentive Program were 47 million.</w:t>
      </w:r>
    </w:p>
    <w:p>
      <w:pPr>
        <w:spacing w:after="0" w:line="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Restricted Stock and Restricted Stock Units. </w:t>
      </w:r>
      <w:r>
        <w:rPr>
          <w:rFonts w:ascii="Times New Roman" w:cs="Times New Roman" w:eastAsia="Times New Roman" w:hAnsi="Times New Roman"/>
          <w:sz w:val="18"/>
          <w:szCs w:val="18"/>
          <w:color w:val="auto"/>
        </w:rPr>
        <w:t>Awards of restricted (nonvested) common stock units granted under the 2003 Incentive Program totaled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10,393 thousand, 9,701 thousand, and 9,392 thousand in 2024, 2023, and 2022, respectively. Compensation expense for these awards is based on the price of the stock at the date of grant and is recognized in income over the requisite service period. Shares for these awards are issued to employees from treasury stock. The units that are settled in cash are recorded as liabilities, and their changes in fair value are recognized over the vesting period. During the applicable restricted periods, the shares and units may not be sold or transferred and are subject to forfeiture. The majority of the awards have graded vesting periods, with 50 percent of the shares and units in each award vesting after three years, and the remaining 50 percent vesting after seven years. Some management, professional, and technical participants will receive awards that vest in full after three years. Awards granted to a small number of senior executives have vesting periods of five years for 50 percent of the award and of 10 years for the remaining 50 percent of the award, except that for awards granted prior to 2020 the vesting of the 10-year portion of the award is delayed until retirement if later than 10 years.</w:t>
      </w:r>
    </w:p>
    <w:p>
      <w:pPr>
        <w:spacing w:after="0" w:line="5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accordance with the terms of the merger agreement for the Pioneer acquisition, which closed on May 3, 2024, awards of Pioneer restricted stock units granted under the Pioneer Amended and Restated 2006 Long Term Incentive Plan (Pioneer LTIP) that did not vest as of immediately prior to the closing were cancelled and converted into awards of ExxonMobil restricted stock units based on the merger exchange ratio. The grant date for the converted Pioneer awards is considered to be the effective date of the acquisition for the purpose of calculating fair value. Compensation costs for the converted Pioneer awards is recognized in income over a period commensurate with the vesting schedule. Pioneer awards vest in three installments over a period of three years with approximately one third of the awards vesting each year. Shares for these awards are issued to employees from treasury stock. The units that are settled in cash are recorded as liabilities and their changes in fair value are recognized over the vesting period. The maximum term of the Pioneer awards is three years. As of the Pioneer acquisition closing on May 3, 2024, the maximum number of shares of stock that can be issued under the Pioneer LTIP was 9,458 thousand. At the end of 2024, remaining shares available for awards under the Pioneer LTIP were 9,362 thousand.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information about restricted stock and restricted stock units for the year ended December 31, 2024.</w:t>
      </w:r>
    </w:p>
    <w:p>
      <w:pPr>
        <w:spacing w:after="0" w:line="149" w:lineRule="exact"/>
        <w:rPr>
          <w:sz w:val="20"/>
          <w:szCs w:val="20"/>
          <w:color w:val="auto"/>
        </w:rPr>
      </w:pPr>
    </w:p>
    <w:tbl>
      <w:tblPr>
        <w:tblLayout w:type="fixed"/>
        <w:tblInd w:w="760" w:type="dxa"/>
        <w:tblCellMar>
          <w:top w:w="0" w:type="dxa"/>
          <w:left w:w="0" w:type="dxa"/>
          <w:bottom w:w="0" w:type="dxa"/>
          <w:right w:w="0" w:type="dxa"/>
        </w:tblCellMar>
      </w:tblPr>
      <w:tr>
        <w:trPr>
          <w:trHeight w:val="247"/>
        </w:trPr>
        <w:tc>
          <w:tcPr>
            <w:tcW w:w="4840" w:type="dxa"/>
            <w:vAlign w:val="bottom"/>
            <w:shd w:val="clear" w:color="auto" w:fill="0C479D"/>
          </w:tcPr>
          <w:p>
            <w:pPr>
              <w:spacing w:after="0"/>
              <w:rPr>
                <w:sz w:val="21"/>
                <w:szCs w:val="21"/>
                <w:color w:val="auto"/>
              </w:rPr>
            </w:pPr>
          </w:p>
        </w:tc>
        <w:tc>
          <w:tcPr>
            <w:tcW w:w="3300" w:type="dxa"/>
            <w:vAlign w:val="bottom"/>
            <w:gridSpan w:val="2"/>
            <w:shd w:val="clear" w:color="auto" w:fill="0C479D"/>
          </w:tcPr>
          <w:p>
            <w:pPr>
              <w:jc w:val="right"/>
              <w:ind w:right="60"/>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1580" w:type="dxa"/>
            <w:vAlign w:val="bottom"/>
            <w:shd w:val="clear" w:color="auto" w:fill="0C479D"/>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4840" w:type="dxa"/>
            <w:vAlign w:val="bottom"/>
            <w:vMerge w:val="restart"/>
            <w:shd w:val="clear" w:color="auto" w:fill="0C479D"/>
          </w:tcPr>
          <w:p>
            <w:pPr>
              <w:ind w:left="20"/>
              <w:spacing w:after="0"/>
              <w:rPr>
                <w:sz w:val="20"/>
                <w:szCs w:val="20"/>
                <w:color w:val="auto"/>
              </w:rPr>
            </w:pPr>
            <w:r>
              <w:rPr>
                <w:rFonts w:ascii="Times New Roman" w:cs="Times New Roman" w:eastAsia="Times New Roman" w:hAnsi="Times New Roman"/>
                <w:sz w:val="18"/>
                <w:szCs w:val="18"/>
                <w:b w:val="1"/>
                <w:bCs w:val="1"/>
                <w:color w:val="FFFFFF"/>
              </w:rPr>
              <w:t>Restricted stock and units outstanding</w:t>
            </w:r>
          </w:p>
        </w:tc>
        <w:tc>
          <w:tcPr>
            <w:tcW w:w="3300" w:type="dxa"/>
            <w:vAlign w:val="bottom"/>
            <w:gridSpan w:val="2"/>
            <w:vMerge w:val="restart"/>
            <w:shd w:val="clear" w:color="auto" w:fill="0C479D"/>
          </w:tcPr>
          <w:p>
            <w:pPr>
              <w:jc w:val="center"/>
              <w:ind w:left="1037"/>
              <w:spacing w:after="0"/>
              <w:rPr>
                <w:sz w:val="20"/>
                <w:szCs w:val="20"/>
                <w:color w:val="auto"/>
              </w:rPr>
            </w:pPr>
            <w:r>
              <w:rPr>
                <w:rFonts w:ascii="Times New Roman" w:cs="Times New Roman" w:eastAsia="Times New Roman" w:hAnsi="Times New Roman"/>
                <w:sz w:val="14"/>
                <w:szCs w:val="14"/>
                <w:b w:val="1"/>
                <w:bCs w:val="1"/>
                <w:color w:val="FFFFFF"/>
              </w:rPr>
              <w:t>Shares</w:t>
            </w:r>
          </w:p>
        </w:tc>
        <w:tc>
          <w:tcPr>
            <w:tcW w:w="1580" w:type="dxa"/>
            <w:vAlign w:val="bottom"/>
            <w:shd w:val="clear" w:color="auto" w:fill="0C479D"/>
          </w:tcPr>
          <w:p>
            <w:pPr>
              <w:jc w:val="center"/>
              <w:ind w:right="118"/>
              <w:spacing w:after="0" w:line="159" w:lineRule="exact"/>
              <w:rPr>
                <w:sz w:val="20"/>
                <w:szCs w:val="20"/>
                <w:color w:val="auto"/>
              </w:rPr>
            </w:pPr>
            <w:r>
              <w:rPr>
                <w:rFonts w:ascii="Times New Roman" w:cs="Times New Roman" w:eastAsia="Times New Roman" w:hAnsi="Times New Roman"/>
                <w:sz w:val="14"/>
                <w:szCs w:val="14"/>
                <w:b w:val="1"/>
                <w:bCs w:val="1"/>
                <w:color w:val="FFFFFF"/>
              </w:rPr>
              <w:t>Weighted-Average</w:t>
            </w:r>
          </w:p>
        </w:tc>
        <w:tc>
          <w:tcPr>
            <w:tcW w:w="0" w:type="dxa"/>
            <w:vAlign w:val="bottom"/>
          </w:tcPr>
          <w:p>
            <w:pPr>
              <w:spacing w:after="0"/>
              <w:rPr>
                <w:sz w:val="1"/>
                <w:szCs w:val="1"/>
                <w:color w:val="auto"/>
              </w:rPr>
            </w:pPr>
          </w:p>
        </w:tc>
      </w:tr>
      <w:tr>
        <w:trPr>
          <w:trHeight w:val="148"/>
        </w:trPr>
        <w:tc>
          <w:tcPr>
            <w:tcW w:w="4840" w:type="dxa"/>
            <w:vAlign w:val="bottom"/>
            <w:vMerge w:val="continue"/>
            <w:shd w:val="clear" w:color="auto" w:fill="0C479D"/>
          </w:tcPr>
          <w:p>
            <w:pPr>
              <w:spacing w:after="0"/>
              <w:rPr>
                <w:sz w:val="12"/>
                <w:szCs w:val="12"/>
                <w:color w:val="auto"/>
              </w:rPr>
            </w:pPr>
          </w:p>
        </w:tc>
        <w:tc>
          <w:tcPr>
            <w:tcW w:w="3300" w:type="dxa"/>
            <w:vAlign w:val="bottom"/>
            <w:gridSpan w:val="2"/>
            <w:vMerge w:val="continue"/>
            <w:shd w:val="clear" w:color="auto" w:fill="0C479D"/>
          </w:tcPr>
          <w:p>
            <w:pPr>
              <w:spacing w:after="0"/>
              <w:rPr>
                <w:sz w:val="12"/>
                <w:szCs w:val="12"/>
                <w:color w:val="auto"/>
              </w:rPr>
            </w:pPr>
          </w:p>
        </w:tc>
        <w:tc>
          <w:tcPr>
            <w:tcW w:w="1580" w:type="dxa"/>
            <w:vAlign w:val="bottom"/>
            <w:shd w:val="clear" w:color="auto" w:fill="0C479D"/>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FFFFFF"/>
              </w:rPr>
              <w:t>Grant-Date</w:t>
            </w:r>
          </w:p>
        </w:tc>
        <w:tc>
          <w:tcPr>
            <w:tcW w:w="0" w:type="dxa"/>
            <w:vAlign w:val="bottom"/>
          </w:tcPr>
          <w:p>
            <w:pPr>
              <w:spacing w:after="0"/>
              <w:rPr>
                <w:sz w:val="1"/>
                <w:szCs w:val="1"/>
                <w:color w:val="auto"/>
              </w:rPr>
            </w:pPr>
          </w:p>
        </w:tc>
      </w:tr>
      <w:tr>
        <w:trPr>
          <w:trHeight w:val="137"/>
        </w:trPr>
        <w:tc>
          <w:tcPr>
            <w:tcW w:w="4840" w:type="dxa"/>
            <w:vAlign w:val="bottom"/>
            <w:shd w:val="clear" w:color="auto" w:fill="0C479D"/>
          </w:tcPr>
          <w:p>
            <w:pPr>
              <w:spacing w:after="0"/>
              <w:rPr>
                <w:sz w:val="11"/>
                <w:szCs w:val="11"/>
                <w:color w:val="auto"/>
              </w:rPr>
            </w:pPr>
          </w:p>
        </w:tc>
        <w:tc>
          <w:tcPr>
            <w:tcW w:w="3300" w:type="dxa"/>
            <w:vAlign w:val="bottom"/>
            <w:gridSpan w:val="2"/>
            <w:shd w:val="clear" w:color="auto" w:fill="0C479D"/>
          </w:tcPr>
          <w:p>
            <w:pPr>
              <w:jc w:val="center"/>
              <w:ind w:left="1057"/>
              <w:spacing w:after="0" w:line="137" w:lineRule="exact"/>
              <w:rPr>
                <w:sz w:val="20"/>
                <w:szCs w:val="20"/>
                <w:color w:val="auto"/>
              </w:rPr>
            </w:pPr>
            <w:r>
              <w:rPr>
                <w:rFonts w:ascii="Times New Roman" w:cs="Times New Roman" w:eastAsia="Times New Roman" w:hAnsi="Times New Roman"/>
                <w:sz w:val="14"/>
                <w:szCs w:val="14"/>
                <w:i w:val="1"/>
                <w:iCs w:val="1"/>
                <w:color w:val="FFFFFF"/>
              </w:rPr>
              <w:t>(thousands)</w:t>
            </w:r>
          </w:p>
        </w:tc>
        <w:tc>
          <w:tcPr>
            <w:tcW w:w="1580" w:type="dxa"/>
            <w:vAlign w:val="bottom"/>
            <w:shd w:val="clear" w:color="auto" w:fill="0C479D"/>
          </w:tcPr>
          <w:p>
            <w:pPr>
              <w:jc w:val="center"/>
              <w:ind w:right="98"/>
              <w:spacing w:after="0" w:line="137" w:lineRule="exact"/>
              <w:rPr>
                <w:sz w:val="20"/>
                <w:szCs w:val="20"/>
                <w:color w:val="auto"/>
              </w:rPr>
            </w:pPr>
            <w:r>
              <w:rPr>
                <w:rFonts w:ascii="Times New Roman" w:cs="Times New Roman" w:eastAsia="Times New Roman" w:hAnsi="Times New Roman"/>
                <w:sz w:val="14"/>
                <w:szCs w:val="14"/>
                <w:b w:val="1"/>
                <w:bCs w:val="1"/>
                <w:color w:val="FFFFFF"/>
              </w:rPr>
              <w:t>Fair Value per Share</w:t>
            </w:r>
          </w:p>
        </w:tc>
        <w:tc>
          <w:tcPr>
            <w:tcW w:w="0" w:type="dxa"/>
            <w:vAlign w:val="bottom"/>
          </w:tcPr>
          <w:p>
            <w:pPr>
              <w:spacing w:after="0"/>
              <w:rPr>
                <w:sz w:val="1"/>
                <w:szCs w:val="1"/>
                <w:color w:val="auto"/>
              </w:rPr>
            </w:pPr>
          </w:p>
        </w:tc>
      </w:tr>
      <w:tr>
        <w:trPr>
          <w:trHeight w:val="194"/>
        </w:trPr>
        <w:tc>
          <w:tcPr>
            <w:tcW w:w="4840" w:type="dxa"/>
            <w:vAlign w:val="bottom"/>
            <w:tcBorders>
              <w:bottom w:val="single" w:sz="8" w:color="0C479D"/>
            </w:tcBorders>
            <w:shd w:val="clear" w:color="auto" w:fill="0C479D"/>
          </w:tcPr>
          <w:p>
            <w:pPr>
              <w:spacing w:after="0"/>
              <w:rPr>
                <w:sz w:val="16"/>
                <w:szCs w:val="16"/>
                <w:color w:val="auto"/>
              </w:rPr>
            </w:pPr>
          </w:p>
        </w:tc>
        <w:tc>
          <w:tcPr>
            <w:tcW w:w="3100" w:type="dxa"/>
            <w:vAlign w:val="bottom"/>
            <w:tcBorders>
              <w:bottom w:val="single" w:sz="8" w:color="0C479D"/>
            </w:tcBorders>
            <w:shd w:val="clear" w:color="auto" w:fill="0C479D"/>
          </w:tcPr>
          <w:p>
            <w:pPr>
              <w:spacing w:after="0"/>
              <w:rPr>
                <w:sz w:val="16"/>
                <w:szCs w:val="16"/>
                <w:color w:val="auto"/>
              </w:rPr>
            </w:pPr>
          </w:p>
        </w:tc>
        <w:tc>
          <w:tcPr>
            <w:tcW w:w="200" w:type="dxa"/>
            <w:vAlign w:val="bottom"/>
            <w:tcBorders>
              <w:bottom w:val="single" w:sz="8" w:color="0C479D"/>
            </w:tcBorders>
            <w:shd w:val="clear" w:color="auto" w:fill="0C479D"/>
          </w:tcPr>
          <w:p>
            <w:pPr>
              <w:spacing w:after="0"/>
              <w:rPr>
                <w:sz w:val="16"/>
                <w:szCs w:val="16"/>
                <w:color w:val="auto"/>
              </w:rPr>
            </w:pPr>
          </w:p>
        </w:tc>
        <w:tc>
          <w:tcPr>
            <w:tcW w:w="1580" w:type="dxa"/>
            <w:vAlign w:val="bottom"/>
            <w:tcBorders>
              <w:bottom w:val="single" w:sz="8" w:color="0C479D"/>
            </w:tcBorders>
            <w:shd w:val="clear" w:color="auto" w:fill="0C479D"/>
          </w:tcPr>
          <w:p>
            <w:pPr>
              <w:jc w:val="center"/>
              <w:ind w:right="118"/>
              <w:spacing w:after="0"/>
              <w:rPr>
                <w:sz w:val="20"/>
                <w:szCs w:val="20"/>
                <w:color w:val="auto"/>
              </w:rPr>
            </w:pPr>
            <w:r>
              <w:rPr>
                <w:rFonts w:ascii="Times New Roman" w:cs="Times New Roman" w:eastAsia="Times New Roman" w:hAnsi="Times New Roman"/>
                <w:sz w:val="14"/>
                <w:szCs w:val="14"/>
                <w:i w:val="1"/>
                <w:iCs w:val="1"/>
                <w:color w:val="FFFFFF"/>
              </w:rPr>
              <w:t>(dollars)</w:t>
            </w:r>
          </w:p>
        </w:tc>
        <w:tc>
          <w:tcPr>
            <w:tcW w:w="0" w:type="dxa"/>
            <w:vAlign w:val="bottom"/>
          </w:tcPr>
          <w:p>
            <w:pPr>
              <w:spacing w:after="0"/>
              <w:rPr>
                <w:sz w:val="1"/>
                <w:szCs w:val="1"/>
                <w:color w:val="auto"/>
              </w:rPr>
            </w:pPr>
          </w:p>
        </w:tc>
      </w:tr>
      <w:tr>
        <w:trPr>
          <w:trHeight w:val="50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Issued and outstanding at January 1</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37,812</w:t>
            </w:r>
          </w:p>
        </w:tc>
        <w:tc>
          <w:tcPr>
            <w:tcW w:w="20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77.94</w:t>
            </w:r>
          </w:p>
        </w:tc>
        <w:tc>
          <w:tcPr>
            <w:tcW w:w="0" w:type="dxa"/>
            <w:vAlign w:val="bottom"/>
          </w:tcPr>
          <w:p>
            <w:pPr>
              <w:spacing w:after="0"/>
              <w:rPr>
                <w:sz w:val="1"/>
                <w:szCs w:val="1"/>
                <w:color w:val="auto"/>
              </w:rPr>
            </w:pPr>
          </w:p>
        </w:tc>
      </w:tr>
      <w:tr>
        <w:trPr>
          <w:trHeight w:val="27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Awards issued in 2024</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10,496</w:t>
            </w:r>
          </w:p>
        </w:tc>
        <w:tc>
          <w:tcPr>
            <w:tcW w:w="2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104.21</w:t>
            </w:r>
          </w:p>
        </w:tc>
        <w:tc>
          <w:tcPr>
            <w:tcW w:w="0" w:type="dxa"/>
            <w:vAlign w:val="bottom"/>
          </w:tcPr>
          <w:p>
            <w:pPr>
              <w:spacing w:after="0"/>
              <w:rPr>
                <w:sz w:val="1"/>
                <w:szCs w:val="1"/>
                <w:color w:val="auto"/>
              </w:rPr>
            </w:pPr>
          </w:p>
        </w:tc>
      </w:tr>
      <w:tr>
        <w:trPr>
          <w:trHeight w:val="27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(8,185)</w:t>
            </w:r>
          </w:p>
        </w:tc>
        <w:tc>
          <w:tcPr>
            <w:tcW w:w="2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74.55</w:t>
            </w:r>
          </w:p>
        </w:tc>
        <w:tc>
          <w:tcPr>
            <w:tcW w:w="0" w:type="dxa"/>
            <w:vAlign w:val="bottom"/>
          </w:tcPr>
          <w:p>
            <w:pPr>
              <w:spacing w:after="0"/>
              <w:rPr>
                <w:sz w:val="1"/>
                <w:szCs w:val="1"/>
                <w:color w:val="auto"/>
              </w:rPr>
            </w:pPr>
          </w:p>
        </w:tc>
      </w:tr>
      <w:tr>
        <w:trPr>
          <w:trHeight w:val="270"/>
        </w:trPr>
        <w:tc>
          <w:tcPr>
            <w:tcW w:w="484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31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2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101.66</w:t>
            </w:r>
          </w:p>
        </w:tc>
        <w:tc>
          <w:tcPr>
            <w:tcW w:w="0" w:type="dxa"/>
            <w:vAlign w:val="bottom"/>
          </w:tcPr>
          <w:p>
            <w:pPr>
              <w:spacing w:after="0"/>
              <w:rPr>
                <w:sz w:val="1"/>
                <w:szCs w:val="1"/>
                <w:color w:val="auto"/>
              </w:rPr>
            </w:pPr>
          </w:p>
        </w:tc>
      </w:tr>
      <w:tr>
        <w:trPr>
          <w:trHeight w:val="243"/>
        </w:trPr>
        <w:tc>
          <w:tcPr>
            <w:tcW w:w="484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Issued and outstanding at December 31</w:t>
            </w:r>
          </w:p>
        </w:tc>
        <w:tc>
          <w:tcPr>
            <w:tcW w:w="31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39,595</w:t>
            </w:r>
          </w:p>
        </w:tc>
        <w:tc>
          <w:tcPr>
            <w:tcW w:w="200" w:type="dxa"/>
            <w:vAlign w:val="bottom"/>
            <w:tcBorders>
              <w:bottom w:val="single" w:sz="8" w:color="0C479D"/>
            </w:tcBorders>
          </w:tcPr>
          <w:p>
            <w:pPr>
              <w:spacing w:after="0"/>
              <w:rPr>
                <w:sz w:val="21"/>
                <w:szCs w:val="21"/>
                <w:color w:val="auto"/>
              </w:rPr>
            </w:pPr>
          </w:p>
        </w:tc>
        <w:tc>
          <w:tcPr>
            <w:tcW w:w="15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85.29</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Impacts of Pioneer awards incorporated in the totals above include 760 thousand awards issued in 2024, (67) thousand vested and (209) thousand forfeited.</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800" w:type="dxa"/>
            <w:vAlign w:val="bottom"/>
          </w:tcPr>
          <w:p>
            <w:pPr>
              <w:spacing w:after="0"/>
              <w:rPr>
                <w:sz w:val="22"/>
                <w:szCs w:val="22"/>
                <w:color w:val="auto"/>
              </w:rPr>
            </w:pPr>
          </w:p>
        </w:tc>
        <w:tc>
          <w:tcPr>
            <w:tcW w:w="3480" w:type="dxa"/>
            <w:vAlign w:val="bottom"/>
            <w:shd w:val="clear" w:color="auto" w:fill="0C479D"/>
          </w:tcPr>
          <w:p>
            <w:pPr>
              <w:spacing w:after="0"/>
              <w:rPr>
                <w:sz w:val="20"/>
                <w:szCs w:val="20"/>
                <w:color w:val="auto"/>
              </w:rPr>
            </w:pPr>
            <w:r>
              <w:rPr>
                <w:rFonts w:ascii="Times New Roman" w:cs="Times New Roman" w:eastAsia="Times New Roman" w:hAnsi="Times New Roman"/>
                <w:sz w:val="18"/>
                <w:szCs w:val="18"/>
                <w:b w:val="1"/>
                <w:bCs w:val="1"/>
                <w:color w:val="FFFFFF"/>
              </w:rPr>
              <w:t>Value of restricted stock units</w:t>
            </w:r>
          </w:p>
        </w:tc>
        <w:tc>
          <w:tcPr>
            <w:tcW w:w="4040" w:type="dxa"/>
            <w:vAlign w:val="bottom"/>
            <w:gridSpan w:val="2"/>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1360" w:type="dxa"/>
            <w:vAlign w:val="bottom"/>
            <w:shd w:val="clear" w:color="auto" w:fill="0C479D"/>
          </w:tcPr>
          <w:p>
            <w:pPr>
              <w:jc w:val="right"/>
              <w:ind w:right="236"/>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800" w:type="dxa"/>
            <w:vAlign w:val="bottom"/>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2022</w:t>
            </w:r>
          </w:p>
        </w:tc>
        <w:tc>
          <w:tcPr>
            <w:tcW w:w="760" w:type="dxa"/>
            <w:vAlign w:val="bottom"/>
          </w:tcPr>
          <w:p>
            <w:pPr>
              <w:spacing w:after="0"/>
              <w:rPr>
                <w:sz w:val="22"/>
                <w:szCs w:val="22"/>
                <w:color w:val="auto"/>
              </w:rPr>
            </w:pPr>
          </w:p>
        </w:tc>
      </w:tr>
      <w:tr>
        <w:trPr>
          <w:trHeight w:val="270"/>
        </w:trPr>
        <w:tc>
          <w:tcPr>
            <w:tcW w:w="800" w:type="dxa"/>
            <w:vAlign w:val="bottom"/>
          </w:tcPr>
          <w:p>
            <w:pPr>
              <w:spacing w:after="0"/>
              <w:rPr>
                <w:sz w:val="23"/>
                <w:szCs w:val="23"/>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Grant price </w:t>
            </w:r>
            <w:r>
              <w:rPr>
                <w:rFonts w:ascii="Times New Roman" w:cs="Times New Roman" w:eastAsia="Times New Roman" w:hAnsi="Times New Roman"/>
                <w:sz w:val="18"/>
                <w:szCs w:val="18"/>
                <w:i w:val="1"/>
                <w:iCs w:val="1"/>
                <w:color w:val="auto"/>
              </w:rPr>
              <w:t>(dollars)</w:t>
            </w:r>
          </w:p>
        </w:tc>
        <w:tc>
          <w:tcPr>
            <w:tcW w:w="3080" w:type="dxa"/>
            <w:vAlign w:val="bottom"/>
          </w:tcPr>
          <w:p>
            <w:pPr>
              <w:spacing w:after="0"/>
              <w:rPr>
                <w:sz w:val="23"/>
                <w:szCs w:val="23"/>
                <w:color w:val="auto"/>
              </w:rPr>
            </w:pPr>
          </w:p>
        </w:tc>
        <w:tc>
          <w:tcPr>
            <w:tcW w:w="960" w:type="dxa"/>
            <w:vAlign w:val="bottom"/>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118.57</w:t>
            </w:r>
          </w:p>
        </w:tc>
        <w:tc>
          <w:tcPr>
            <w:tcW w:w="1360" w:type="dxa"/>
            <w:vAlign w:val="bottom"/>
          </w:tcPr>
          <w:p>
            <w:pPr>
              <w:jc w:val="right"/>
              <w:ind w:right="296"/>
              <w:spacing w:after="0"/>
              <w:rPr>
                <w:sz w:val="20"/>
                <w:szCs w:val="20"/>
                <w:color w:val="auto"/>
              </w:rPr>
            </w:pPr>
            <w:r>
              <w:rPr>
                <w:rFonts w:ascii="Times New Roman" w:cs="Times New Roman" w:eastAsia="Times New Roman" w:hAnsi="Times New Roman"/>
                <w:sz w:val="18"/>
                <w:szCs w:val="18"/>
                <w:color w:val="auto"/>
              </w:rPr>
              <w:t>103.16</w:t>
            </w: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110.46</w:t>
            </w:r>
          </w:p>
        </w:tc>
        <w:tc>
          <w:tcPr>
            <w:tcW w:w="760" w:type="dxa"/>
            <w:vAlign w:val="bottom"/>
          </w:tcPr>
          <w:p>
            <w:pPr>
              <w:spacing w:after="0"/>
              <w:rPr>
                <w:sz w:val="23"/>
                <w:szCs w:val="23"/>
                <w:color w:val="auto"/>
              </w:rPr>
            </w:pPr>
          </w:p>
        </w:tc>
      </w:tr>
      <w:tr>
        <w:trPr>
          <w:trHeight w:val="540"/>
        </w:trPr>
        <w:tc>
          <w:tcPr>
            <w:tcW w:w="800" w:type="dxa"/>
            <w:vAlign w:val="bottom"/>
          </w:tcPr>
          <w:p>
            <w:pPr>
              <w:spacing w:after="0"/>
              <w:rPr>
                <w:sz w:val="24"/>
                <w:szCs w:val="24"/>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Value at date of grant:</w:t>
            </w:r>
          </w:p>
        </w:tc>
        <w:tc>
          <w:tcPr>
            <w:tcW w:w="3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60" w:type="dxa"/>
            <w:vAlign w:val="bottom"/>
          </w:tcPr>
          <w:p>
            <w:pPr>
              <w:jc w:val="right"/>
              <w:ind w:right="116"/>
              <w:spacing w:after="0"/>
              <w:rPr>
                <w:sz w:val="20"/>
                <w:szCs w:val="20"/>
                <w:color w:val="auto"/>
              </w:rPr>
            </w:pPr>
            <w:r>
              <w:rPr>
                <w:rFonts w:ascii="Times New Roman" w:cs="Times New Roman" w:eastAsia="Times New Roman" w:hAnsi="Times New Roman"/>
                <w:sz w:val="14"/>
                <w:szCs w:val="14"/>
                <w:i w:val="1"/>
                <w:iCs w:val="1"/>
                <w:color w:val="0C479D"/>
              </w:rPr>
              <w:t>(millions of dollars)</w:t>
            </w: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70"/>
        </w:trPr>
        <w:tc>
          <w:tcPr>
            <w:tcW w:w="800" w:type="dxa"/>
            <w:vAlign w:val="bottom"/>
          </w:tcPr>
          <w:p>
            <w:pPr>
              <w:spacing w:after="0"/>
              <w:rPr>
                <w:sz w:val="23"/>
                <w:szCs w:val="23"/>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Units settled in stock</w:t>
            </w:r>
          </w:p>
        </w:tc>
        <w:tc>
          <w:tcPr>
            <w:tcW w:w="3080" w:type="dxa"/>
            <w:vAlign w:val="bottom"/>
          </w:tcPr>
          <w:p>
            <w:pPr>
              <w:spacing w:after="0"/>
              <w:rPr>
                <w:sz w:val="23"/>
                <w:szCs w:val="23"/>
                <w:color w:val="auto"/>
              </w:rPr>
            </w:pPr>
          </w:p>
        </w:tc>
        <w:tc>
          <w:tcPr>
            <w:tcW w:w="960" w:type="dxa"/>
            <w:vAlign w:val="bottom"/>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1,193</w:t>
            </w:r>
          </w:p>
        </w:tc>
        <w:tc>
          <w:tcPr>
            <w:tcW w:w="1360" w:type="dxa"/>
            <w:vAlign w:val="bottom"/>
          </w:tcPr>
          <w:p>
            <w:pPr>
              <w:jc w:val="right"/>
              <w:ind w:right="296"/>
              <w:spacing w:after="0"/>
              <w:rPr>
                <w:sz w:val="20"/>
                <w:szCs w:val="20"/>
                <w:color w:val="auto"/>
              </w:rPr>
            </w:pPr>
            <w:r>
              <w:rPr>
                <w:rFonts w:ascii="Times New Roman" w:cs="Times New Roman" w:eastAsia="Times New Roman" w:hAnsi="Times New Roman"/>
                <w:sz w:val="18"/>
                <w:szCs w:val="18"/>
                <w:color w:val="auto"/>
              </w:rPr>
              <w:t>900</w:t>
            </w: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931</w:t>
            </w:r>
          </w:p>
        </w:tc>
        <w:tc>
          <w:tcPr>
            <w:tcW w:w="760" w:type="dxa"/>
            <w:vAlign w:val="bottom"/>
          </w:tcPr>
          <w:p>
            <w:pPr>
              <w:spacing w:after="0"/>
              <w:rPr>
                <w:sz w:val="23"/>
                <w:szCs w:val="23"/>
                <w:color w:val="auto"/>
              </w:rPr>
            </w:pPr>
          </w:p>
        </w:tc>
      </w:tr>
      <w:tr>
        <w:trPr>
          <w:trHeight w:val="270"/>
        </w:trPr>
        <w:tc>
          <w:tcPr>
            <w:tcW w:w="800" w:type="dxa"/>
            <w:vAlign w:val="bottom"/>
          </w:tcPr>
          <w:p>
            <w:pPr>
              <w:spacing w:after="0"/>
              <w:rPr>
                <w:sz w:val="23"/>
                <w:szCs w:val="23"/>
                <w:color w:val="auto"/>
              </w:rPr>
            </w:pPr>
          </w:p>
        </w:tc>
        <w:tc>
          <w:tcPr>
            <w:tcW w:w="348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color w:val="auto"/>
              </w:rPr>
              <w:t>Units settled in cash</w:t>
            </w:r>
          </w:p>
        </w:tc>
        <w:tc>
          <w:tcPr>
            <w:tcW w:w="3080" w:type="dxa"/>
            <w:vAlign w:val="bottom"/>
            <w:tcBorders>
              <w:bottom w:val="single" w:sz="8" w:color="0C479D"/>
            </w:tcBorders>
          </w:tcPr>
          <w:p>
            <w:pPr>
              <w:spacing w:after="0"/>
              <w:rPr>
                <w:sz w:val="23"/>
                <w:szCs w:val="23"/>
                <w:color w:val="auto"/>
              </w:rPr>
            </w:pPr>
          </w:p>
        </w:tc>
        <w:tc>
          <w:tcPr>
            <w:tcW w:w="960" w:type="dxa"/>
            <w:vAlign w:val="bottom"/>
            <w:tcBorders>
              <w:bottom w:val="single" w:sz="8" w:color="0C479D"/>
            </w:tcBorders>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129</w:t>
            </w:r>
          </w:p>
        </w:tc>
        <w:tc>
          <w:tcPr>
            <w:tcW w:w="1360" w:type="dxa"/>
            <w:vAlign w:val="bottom"/>
            <w:tcBorders>
              <w:bottom w:val="single" w:sz="8" w:color="0C479D"/>
            </w:tcBorders>
          </w:tcPr>
          <w:p>
            <w:pPr>
              <w:jc w:val="right"/>
              <w:ind w:right="296"/>
              <w:spacing w:after="0"/>
              <w:rPr>
                <w:sz w:val="20"/>
                <w:szCs w:val="20"/>
                <w:color w:val="auto"/>
              </w:rPr>
            </w:pPr>
            <w:r>
              <w:rPr>
                <w:rFonts w:ascii="Times New Roman" w:cs="Times New Roman" w:eastAsia="Times New Roman" w:hAnsi="Times New Roman"/>
                <w:sz w:val="18"/>
                <w:szCs w:val="18"/>
                <w:color w:val="auto"/>
              </w:rPr>
              <w:t>101</w:t>
            </w:r>
          </w:p>
        </w:tc>
        <w:tc>
          <w:tcPr>
            <w:tcW w:w="800" w:type="dxa"/>
            <w:vAlign w:val="bottom"/>
            <w:tcBorders>
              <w:bottom w:val="single" w:sz="8" w:color="0C479D"/>
            </w:tcBorders>
          </w:tcPr>
          <w:p>
            <w:pPr>
              <w:jc w:val="right"/>
              <w:ind w:right="14"/>
              <w:spacing w:after="0"/>
              <w:rPr>
                <w:sz w:val="20"/>
                <w:szCs w:val="20"/>
                <w:color w:val="auto"/>
              </w:rPr>
            </w:pPr>
            <w:r>
              <w:rPr>
                <w:rFonts w:ascii="Times New Roman" w:cs="Times New Roman" w:eastAsia="Times New Roman" w:hAnsi="Times New Roman"/>
                <w:sz w:val="18"/>
                <w:szCs w:val="18"/>
                <w:color w:val="auto"/>
              </w:rPr>
              <w:t>106</w:t>
            </w:r>
          </w:p>
        </w:tc>
        <w:tc>
          <w:tcPr>
            <w:tcW w:w="760" w:type="dxa"/>
            <w:vAlign w:val="bottom"/>
          </w:tcPr>
          <w:p>
            <w:pPr>
              <w:spacing w:after="0"/>
              <w:rPr>
                <w:sz w:val="23"/>
                <w:szCs w:val="23"/>
                <w:color w:val="auto"/>
              </w:rPr>
            </w:pPr>
          </w:p>
        </w:tc>
      </w:tr>
      <w:tr>
        <w:trPr>
          <w:trHeight w:val="244"/>
        </w:trPr>
        <w:tc>
          <w:tcPr>
            <w:tcW w:w="800" w:type="dxa"/>
            <w:vAlign w:val="bottom"/>
          </w:tcPr>
          <w:p>
            <w:pPr>
              <w:spacing w:after="0"/>
              <w:rPr>
                <w:sz w:val="21"/>
                <w:szCs w:val="21"/>
                <w:color w:val="auto"/>
              </w:rPr>
            </w:pPr>
          </w:p>
        </w:tc>
        <w:tc>
          <w:tcPr>
            <w:tcW w:w="348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b w:val="1"/>
                <w:bCs w:val="1"/>
                <w:color w:val="auto"/>
              </w:rPr>
              <w:t>Total value</w:t>
            </w:r>
          </w:p>
        </w:tc>
        <w:tc>
          <w:tcPr>
            <w:tcW w:w="3080" w:type="dxa"/>
            <w:vAlign w:val="bottom"/>
            <w:tcBorders>
              <w:bottom w:val="single" w:sz="8" w:color="0C479D"/>
            </w:tcBorders>
          </w:tcPr>
          <w:p>
            <w:pPr>
              <w:spacing w:after="0"/>
              <w:rPr>
                <w:sz w:val="21"/>
                <w:szCs w:val="21"/>
                <w:color w:val="auto"/>
              </w:rPr>
            </w:pPr>
          </w:p>
        </w:tc>
        <w:tc>
          <w:tcPr>
            <w:tcW w:w="960" w:type="dxa"/>
            <w:vAlign w:val="bottom"/>
            <w:tcBorders>
              <w:bottom w:val="single" w:sz="8" w:color="0C479D"/>
            </w:tcBorders>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1,322</w:t>
            </w:r>
          </w:p>
        </w:tc>
        <w:tc>
          <w:tcPr>
            <w:tcW w:w="1360" w:type="dxa"/>
            <w:vAlign w:val="bottom"/>
            <w:tcBorders>
              <w:bottom w:val="single" w:sz="8" w:color="0C479D"/>
            </w:tcBorders>
          </w:tcPr>
          <w:p>
            <w:pPr>
              <w:jc w:val="right"/>
              <w:ind w:right="296"/>
              <w:spacing w:after="0"/>
              <w:rPr>
                <w:sz w:val="20"/>
                <w:szCs w:val="20"/>
                <w:color w:val="auto"/>
              </w:rPr>
            </w:pPr>
            <w:r>
              <w:rPr>
                <w:rFonts w:ascii="Times New Roman" w:cs="Times New Roman" w:eastAsia="Times New Roman" w:hAnsi="Times New Roman"/>
                <w:sz w:val="18"/>
                <w:szCs w:val="18"/>
                <w:b w:val="1"/>
                <w:bCs w:val="1"/>
                <w:color w:val="auto"/>
              </w:rPr>
              <w:t>1,001</w:t>
            </w:r>
          </w:p>
        </w:tc>
        <w:tc>
          <w:tcPr>
            <w:tcW w:w="800" w:type="dxa"/>
            <w:vAlign w:val="bottom"/>
            <w:tcBorders>
              <w:bottom w:val="single" w:sz="8" w:color="0C479D"/>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1,037</w:t>
            </w:r>
          </w:p>
        </w:tc>
        <w:tc>
          <w:tcPr>
            <w:tcW w:w="760" w:type="dxa"/>
            <w:vAlign w:val="bottom"/>
          </w:tcPr>
          <w:p>
            <w:pPr>
              <w:spacing w:after="0"/>
              <w:rPr>
                <w:sz w:val="21"/>
                <w:szCs w:val="21"/>
                <w:color w:val="auto"/>
              </w:rPr>
            </w:pPr>
          </w:p>
        </w:tc>
      </w:tr>
      <w:tr>
        <w:trPr>
          <w:trHeight w:val="743"/>
        </w:trPr>
        <w:tc>
          <w:tcPr>
            <w:tcW w:w="8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080" w:type="dxa"/>
            <w:vAlign w:val="bottom"/>
          </w:tcPr>
          <w:p>
            <w:pPr>
              <w:jc w:val="right"/>
              <w:ind w:right="1519"/>
              <w:spacing w:after="0"/>
              <w:rPr>
                <w:sz w:val="20"/>
                <w:szCs w:val="20"/>
                <w:color w:val="auto"/>
              </w:rPr>
            </w:pPr>
            <w:r>
              <w:rPr>
                <w:rFonts w:ascii="Times New Roman" w:cs="Times New Roman" w:eastAsia="Times New Roman" w:hAnsi="Times New Roman"/>
                <w:sz w:val="18"/>
                <w:szCs w:val="18"/>
                <w:color w:val="auto"/>
              </w:rPr>
              <w:t>100</w:t>
            </w:r>
          </w:p>
        </w:tc>
        <w:tc>
          <w:tcPr>
            <w:tcW w:w="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15"/>
        </w:trPr>
        <w:tc>
          <w:tcPr>
            <w:tcW w:w="80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30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22"/>
          <w:szCs w:val="22"/>
          <w:b w:val="1"/>
          <w:bCs w:val="1"/>
          <w:color w:val="0C479D"/>
        </w:rPr>
        <w:t>NOTES TO CONSOLIDATED FINANCIAL STATEMENTS</w:t>
      </w:r>
    </w:p>
    <w:p>
      <w:pPr>
        <w:spacing w:after="0" w:line="200" w:lineRule="exact"/>
        <w:rPr>
          <w:sz w:val="20"/>
          <w:szCs w:val="20"/>
          <w:color w:val="auto"/>
        </w:rPr>
      </w:pPr>
    </w:p>
    <w:p>
      <w:pPr>
        <w:spacing w:after="0" w:line="2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2024, there was $2,588 million of unrecognized compensation cost related to the nonvested restricted awards. This cost is expected to be recognized over a weighted-average period of 4.6 years. The compensation cost charged against income for the restricted stock and restricted stock units was $835 million, $611 million, and $648 million for 2024, 2023, and 2022, respectively. The income tax benefit recognized in income related to this compensation expense was $73 million, $50 million, and $52 million for the same periods, respectively. The fair value of shares and units vested in 2024, 2023, and 2022 was $980 million, $892 million, and $1,027 million, respectively. Cash payments of $87 million, $79 million, and $89 million for vested restricted stock units settled in cash were made in 2024, 2023, and 2022, respectively.</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C479D"/>
        </w:rPr>
        <w:t>Note 16. Litigation and Other Contingencies</w:t>
      </w:r>
    </w:p>
    <w:p>
      <w:pPr>
        <w:spacing w:after="0" w:line="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Litigation. </w:t>
      </w:r>
      <w:r>
        <w:rPr>
          <w:rFonts w:ascii="Times New Roman" w:cs="Times New Roman" w:eastAsia="Times New Roman" w:hAnsi="Times New Roman"/>
          <w:sz w:val="18"/>
          <w:szCs w:val="18"/>
          <w:color w:val="auto"/>
        </w:rPr>
        <w:t>A variety of claims have been made against ExxonMobil and certain of its consolidated subsidiaries in a number of pending lawsuits.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Management has regular litigation reviews, including updates from corporate and outside counsel, to assess the need for accounting recognition or disclosure of these contingencies. The Corporation accrues an undiscounted liability for those contingencies where the incurrence of a loss is probable and the amount can be reasonably estimated. If a range of amounts can be reasonably estimated and no amount within the range is a better estimate than any other amount, then the minimum of the range is accrued. The Corporation does not record liabilities when the likelihood that the liability has been incurred is probable but the amount cannot be reasonably estimated or when the liability is believed to be only reasonably possible or remote. For contingencies where an unfavorable outcome is reasonably possible and which are significant, the Corporation discloses the nature of the contingency and, where feasible, an estimate of the possible loss. For purposes of our contingency disclosures, “significant” includes material matters, as well as other matters, which management believes should be disclosed.</w:t>
      </w:r>
    </w:p>
    <w:p>
      <w:pPr>
        <w:spacing w:after="0" w:line="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State and local governments and other entities in various jurisdictions across the United States and its territories have filed a number of legal proceedings against several oil and gas companies, including ExxonMobil, requesting unprecedented legal and equitable relief for various alleged injuries purportedly connected to climate change. These lawsuits assert a variety of novel, untested claims under statutory and common law. Additional such lawsuits may be filed. We believe the legal and factual theories set forth in these proceedings are meritless and represent an inappropriate attempt to use the court system to usurp the proper role of policymakers in addressing the societal challenges of climate change.</w:t>
      </w:r>
    </w:p>
    <w:p>
      <w:pPr>
        <w:spacing w:after="0" w:line="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Local governments in Louisiana have filed unprecedented legal proceedings against a number of oil and gas companies, including ExxonMobil, requesting compensation for the restoration of coastal marsh erosion in the state. We believe the factual and legal theories set forth in these proceedings are meritless.</w:t>
      </w:r>
    </w:p>
    <w:p>
      <w:pPr>
        <w:spacing w:after="0" w:line="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the outcome of any litigation can be unpredictable, we believe the likelihood is remote that the ultimate outcomes of these lawsuits will have a material adverse effect on the Corporation’s operations, financial condition, or financial statements taken as a whole. We will continue to defend vigorously against these claims.</w:t>
      </w:r>
    </w:p>
    <w:p>
      <w:pPr>
        <w:spacing w:after="0" w:line="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Other Contingencies. </w:t>
      </w:r>
      <w:r>
        <w:rPr>
          <w:rFonts w:ascii="Times New Roman" w:cs="Times New Roman" w:eastAsia="Times New Roman" w:hAnsi="Times New Roman"/>
          <w:sz w:val="18"/>
          <w:szCs w:val="18"/>
          <w:color w:val="auto"/>
        </w:rPr>
        <w:t>The Corporation and certain of its consolidated subsidiaries were contingently liable at December 31, 2024, for guarantees relating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notes, loans and performance under contracts. Where guarantees for environmental remediation and other similar matters do not include a stated cap, the amounts reflect management’s estimate of the maximum potential exposure. Where it is not possible to make a reasonable estimation of the maximum potential amount of future payments, future performance is expected to be either immaterial or have only a remote chance of occurrence.</w:t>
      </w:r>
    </w:p>
    <w:p>
      <w:pPr>
        <w:spacing w:after="0" w:line="200" w:lineRule="exact"/>
        <w:rPr>
          <w:sz w:val="20"/>
          <w:szCs w:val="20"/>
          <w:color w:val="auto"/>
        </w:rPr>
      </w:pPr>
    </w:p>
    <w:p>
      <w:pPr>
        <w:spacing w:after="0" w:line="284"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4"/>
          <w:szCs w:val="14"/>
          <w:b w:val="1"/>
          <w:bCs w:val="1"/>
          <w:color w:val="0C479D"/>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33655</wp:posOffset>
            </wp:positionV>
            <wp:extent cx="28117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87" w:lineRule="exact"/>
        <w:rPr>
          <w:sz w:val="20"/>
          <w:szCs w:val="20"/>
          <w:color w:val="auto"/>
        </w:rPr>
      </w:pPr>
    </w:p>
    <w:tbl>
      <w:tblPr>
        <w:tblLayout w:type="fixed"/>
        <w:tblInd w:w="760" w:type="dxa"/>
        <w:tblCellMar>
          <w:top w:w="0" w:type="dxa"/>
          <w:left w:w="0" w:type="dxa"/>
          <w:bottom w:w="0" w:type="dxa"/>
          <w:right w:w="0" w:type="dxa"/>
        </w:tblCellMar>
      </w:tblPr>
      <w:tr>
        <w:trPr>
          <w:trHeight w:val="188"/>
        </w:trPr>
        <w:tc>
          <w:tcPr>
            <w:tcW w:w="3320" w:type="dxa"/>
            <w:vAlign w:val="bottom"/>
            <w:vMerge w:val="restart"/>
            <w:shd w:val="clear" w:color="auto" w:fill="0C479D"/>
          </w:tcPr>
          <w:p>
            <w:pPr>
              <w:ind w:left="20"/>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3460" w:type="dxa"/>
            <w:vAlign w:val="bottom"/>
            <w:shd w:val="clear" w:color="auto" w:fill="0C479D"/>
          </w:tcPr>
          <w:p>
            <w:pPr>
              <w:jc w:val="right"/>
              <w:ind w:right="177"/>
              <w:spacing w:after="0"/>
              <w:rPr>
                <w:sz w:val="20"/>
                <w:szCs w:val="20"/>
                <w:color w:val="auto"/>
              </w:rPr>
            </w:pPr>
            <w:r>
              <w:rPr>
                <w:rFonts w:ascii="Times New Roman" w:cs="Times New Roman" w:eastAsia="Times New Roman" w:hAnsi="Times New Roman"/>
                <w:sz w:val="14"/>
                <w:szCs w:val="14"/>
                <w:b w:val="1"/>
                <w:bCs w:val="1"/>
                <w:color w:val="FFFFFF"/>
              </w:rPr>
              <w:t>Equity Company</w:t>
            </w:r>
          </w:p>
        </w:tc>
        <w:tc>
          <w:tcPr>
            <w:tcW w:w="1720" w:type="dxa"/>
            <w:vAlign w:val="bottom"/>
            <w:shd w:val="clear" w:color="auto" w:fill="0C479D"/>
          </w:tcPr>
          <w:p>
            <w:pPr>
              <w:jc w:val="right"/>
              <w:ind w:right="317"/>
              <w:spacing w:after="0"/>
              <w:rPr>
                <w:sz w:val="20"/>
                <w:szCs w:val="20"/>
                <w:color w:val="auto"/>
              </w:rPr>
            </w:pPr>
            <w:r>
              <w:rPr>
                <w:rFonts w:ascii="Times New Roman" w:cs="Times New Roman" w:eastAsia="Times New Roman" w:hAnsi="Times New Roman"/>
                <w:sz w:val="14"/>
                <w:szCs w:val="14"/>
                <w:b w:val="1"/>
                <w:bCs w:val="1"/>
                <w:color w:val="FFFFFF"/>
              </w:rPr>
              <w:t>Other Third-Party</w:t>
            </w:r>
          </w:p>
        </w:tc>
        <w:tc>
          <w:tcPr>
            <w:tcW w:w="1220" w:type="dxa"/>
            <w:vAlign w:val="bottom"/>
            <w:shd w:val="clear" w:color="auto" w:fill="0C479D"/>
          </w:tcPr>
          <w:p>
            <w:pPr>
              <w:spacing w:after="0"/>
              <w:rPr>
                <w:sz w:val="16"/>
                <w:szCs w:val="16"/>
                <w:color w:val="auto"/>
              </w:rPr>
            </w:pPr>
          </w:p>
        </w:tc>
        <w:tc>
          <w:tcPr>
            <w:tcW w:w="0" w:type="dxa"/>
            <w:vAlign w:val="bottom"/>
          </w:tcPr>
          <w:p>
            <w:pPr>
              <w:spacing w:after="0"/>
              <w:rPr>
                <w:sz w:val="1"/>
                <w:szCs w:val="1"/>
                <w:color w:val="auto"/>
              </w:rPr>
            </w:pPr>
          </w:p>
        </w:tc>
      </w:tr>
      <w:tr>
        <w:trPr>
          <w:trHeight w:val="99"/>
        </w:trPr>
        <w:tc>
          <w:tcPr>
            <w:tcW w:w="3320" w:type="dxa"/>
            <w:vAlign w:val="bottom"/>
            <w:vMerge w:val="continue"/>
            <w:shd w:val="clear" w:color="auto" w:fill="0C479D"/>
          </w:tcPr>
          <w:p>
            <w:pPr>
              <w:spacing w:after="0"/>
              <w:rPr>
                <w:sz w:val="8"/>
                <w:szCs w:val="8"/>
                <w:color w:val="auto"/>
              </w:rPr>
            </w:pPr>
          </w:p>
        </w:tc>
        <w:tc>
          <w:tcPr>
            <w:tcW w:w="3460" w:type="dxa"/>
            <w:vAlign w:val="bottom"/>
            <w:vMerge w:val="restart"/>
            <w:shd w:val="clear" w:color="auto" w:fill="0C479D"/>
          </w:tcPr>
          <w:p>
            <w:pPr>
              <w:jc w:val="right"/>
              <w:ind w:right="277"/>
              <w:spacing w:after="0"/>
              <w:rPr>
                <w:sz w:val="20"/>
                <w:szCs w:val="20"/>
                <w:color w:val="auto"/>
              </w:rPr>
            </w:pPr>
            <w:r>
              <w:rPr>
                <w:rFonts w:ascii="Times New Roman" w:cs="Times New Roman" w:eastAsia="Times New Roman" w:hAnsi="Times New Roman"/>
                <w:sz w:val="14"/>
                <w:szCs w:val="14"/>
                <w:b w:val="1"/>
                <w:bCs w:val="1"/>
                <w:color w:val="FFFFFF"/>
              </w:rPr>
              <w:t xml:space="preserve">Obligations </w:t>
            </w:r>
            <w:r>
              <w:rPr>
                <w:rFonts w:ascii="Times New Roman" w:cs="Times New Roman" w:eastAsia="Times New Roman" w:hAnsi="Times New Roman"/>
                <w:sz w:val="18"/>
                <w:szCs w:val="18"/>
                <w:i w:val="1"/>
                <w:iCs w:val="1"/>
                <w:color w:val="FFFFFF"/>
                <w:vertAlign w:val="superscript"/>
              </w:rPr>
              <w:t>(1)</w:t>
            </w:r>
          </w:p>
        </w:tc>
        <w:tc>
          <w:tcPr>
            <w:tcW w:w="1720" w:type="dxa"/>
            <w:vAlign w:val="bottom"/>
            <w:vMerge w:val="restart"/>
            <w:shd w:val="clear" w:color="auto" w:fill="0C479D"/>
          </w:tcPr>
          <w:p>
            <w:pPr>
              <w:jc w:val="right"/>
              <w:ind w:right="537"/>
              <w:spacing w:after="0"/>
              <w:rPr>
                <w:sz w:val="20"/>
                <w:szCs w:val="20"/>
                <w:color w:val="auto"/>
              </w:rPr>
            </w:pPr>
            <w:r>
              <w:rPr>
                <w:rFonts w:ascii="Times New Roman" w:cs="Times New Roman" w:eastAsia="Times New Roman" w:hAnsi="Times New Roman"/>
                <w:sz w:val="14"/>
                <w:szCs w:val="14"/>
                <w:b w:val="1"/>
                <w:bCs w:val="1"/>
                <w:color w:val="FFFFFF"/>
              </w:rPr>
              <w:t>Obligations</w:t>
            </w:r>
          </w:p>
        </w:tc>
        <w:tc>
          <w:tcPr>
            <w:tcW w:w="1220" w:type="dxa"/>
            <w:vAlign w:val="bottom"/>
            <w:vMerge w:val="restart"/>
            <w:shd w:val="clear" w:color="auto" w:fill="0C479D"/>
          </w:tcPr>
          <w:p>
            <w:pPr>
              <w:jc w:val="right"/>
              <w:ind w:right="435"/>
              <w:spacing w:after="0"/>
              <w:rPr>
                <w:sz w:val="20"/>
                <w:szCs w:val="20"/>
                <w:color w:val="auto"/>
              </w:rPr>
            </w:pPr>
            <w:r>
              <w:rPr>
                <w:rFonts w:ascii="Times New Roman" w:cs="Times New Roman" w:eastAsia="Times New Roman" w:hAnsi="Times New Roman"/>
                <w:sz w:val="14"/>
                <w:szCs w:val="14"/>
                <w:b w:val="1"/>
                <w:bCs w:val="1"/>
                <w:color w:val="FFFFFF"/>
              </w:rPr>
              <w:t>Total</w:t>
            </w:r>
          </w:p>
        </w:tc>
        <w:tc>
          <w:tcPr>
            <w:tcW w:w="0" w:type="dxa"/>
            <w:vAlign w:val="bottom"/>
          </w:tcPr>
          <w:p>
            <w:pPr>
              <w:spacing w:after="0"/>
              <w:rPr>
                <w:sz w:val="1"/>
                <w:szCs w:val="1"/>
                <w:color w:val="auto"/>
              </w:rPr>
            </w:pPr>
          </w:p>
        </w:tc>
      </w:tr>
      <w:tr>
        <w:trPr>
          <w:trHeight w:val="132"/>
        </w:trPr>
        <w:tc>
          <w:tcPr>
            <w:tcW w:w="3320" w:type="dxa"/>
            <w:vAlign w:val="bottom"/>
            <w:shd w:val="clear" w:color="auto" w:fill="0C479D"/>
          </w:tcPr>
          <w:p>
            <w:pPr>
              <w:spacing w:after="0"/>
              <w:rPr>
                <w:sz w:val="11"/>
                <w:szCs w:val="11"/>
                <w:color w:val="auto"/>
              </w:rPr>
            </w:pPr>
          </w:p>
        </w:tc>
        <w:tc>
          <w:tcPr>
            <w:tcW w:w="3460" w:type="dxa"/>
            <w:vAlign w:val="bottom"/>
            <w:vMerge w:val="continue"/>
            <w:shd w:val="clear" w:color="auto" w:fill="0C479D"/>
          </w:tcPr>
          <w:p>
            <w:pPr>
              <w:spacing w:after="0"/>
              <w:rPr>
                <w:sz w:val="11"/>
                <w:szCs w:val="11"/>
                <w:color w:val="auto"/>
              </w:rPr>
            </w:pPr>
          </w:p>
        </w:tc>
        <w:tc>
          <w:tcPr>
            <w:tcW w:w="1720" w:type="dxa"/>
            <w:vAlign w:val="bottom"/>
            <w:vMerge w:val="continue"/>
            <w:shd w:val="clear" w:color="auto" w:fill="0C479D"/>
          </w:tcPr>
          <w:p>
            <w:pPr>
              <w:spacing w:after="0"/>
              <w:rPr>
                <w:sz w:val="11"/>
                <w:szCs w:val="11"/>
                <w:color w:val="auto"/>
              </w:rPr>
            </w:pPr>
          </w:p>
        </w:tc>
        <w:tc>
          <w:tcPr>
            <w:tcW w:w="1220" w:type="dxa"/>
            <w:vAlign w:val="bottom"/>
            <w:vMerge w:val="continue"/>
            <w:shd w:val="clear" w:color="auto" w:fill="0C479D"/>
          </w:tcPr>
          <w:p>
            <w:pPr>
              <w:spacing w:after="0"/>
              <w:rPr>
                <w:sz w:val="11"/>
                <w:szCs w:val="11"/>
                <w:color w:val="auto"/>
              </w:rPr>
            </w:pPr>
          </w:p>
        </w:tc>
        <w:tc>
          <w:tcPr>
            <w:tcW w:w="0" w:type="dxa"/>
            <w:vAlign w:val="bottom"/>
          </w:tcPr>
          <w:p>
            <w:pPr>
              <w:spacing w:after="0"/>
              <w:rPr>
                <w:sz w:val="1"/>
                <w:szCs w:val="1"/>
                <w:color w:val="auto"/>
              </w:rPr>
            </w:pPr>
          </w:p>
        </w:tc>
      </w:tr>
      <w:tr>
        <w:trPr>
          <w:trHeight w:val="473"/>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C479D"/>
              </w:rPr>
              <w:t>Guarantees</w:t>
            </w:r>
          </w:p>
        </w:tc>
        <w:tc>
          <w:tcPr>
            <w:tcW w:w="3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Debt-related</w:t>
            </w:r>
          </w:p>
        </w:tc>
        <w:tc>
          <w:tcPr>
            <w:tcW w:w="346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1,073</w:t>
            </w:r>
          </w:p>
        </w:tc>
        <w:tc>
          <w:tcPr>
            <w:tcW w:w="1720" w:type="dxa"/>
            <w:vAlign w:val="bottom"/>
          </w:tcPr>
          <w:p>
            <w:pPr>
              <w:jc w:val="right"/>
              <w:ind w:right="297"/>
              <w:spacing w:after="0"/>
              <w:rPr>
                <w:sz w:val="20"/>
                <w:szCs w:val="20"/>
                <w:color w:val="auto"/>
              </w:rPr>
            </w:pPr>
            <w:r>
              <w:rPr>
                <w:rFonts w:ascii="Times New Roman" w:cs="Times New Roman" w:eastAsia="Times New Roman" w:hAnsi="Times New Roman"/>
                <w:sz w:val="18"/>
                <w:szCs w:val="18"/>
                <w:color w:val="auto"/>
              </w:rPr>
              <w:t>167</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0" w:type="dxa"/>
            <w:vAlign w:val="bottom"/>
          </w:tcPr>
          <w:p>
            <w:pPr>
              <w:spacing w:after="0"/>
              <w:rPr>
                <w:sz w:val="1"/>
                <w:szCs w:val="1"/>
                <w:color w:val="auto"/>
              </w:rPr>
            </w:pPr>
          </w:p>
        </w:tc>
      </w:tr>
      <w:tr>
        <w:trPr>
          <w:trHeight w:val="270"/>
        </w:trPr>
        <w:tc>
          <w:tcPr>
            <w:tcW w:w="332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60" w:type="dxa"/>
            <w:vAlign w:val="bottom"/>
            <w:tcBorders>
              <w:bottom w:val="single" w:sz="8" w:color="0C479D"/>
            </w:tcBorders>
          </w:tcPr>
          <w:p>
            <w:pPr>
              <w:jc w:val="right"/>
              <w:ind w:right="97"/>
              <w:spacing w:after="0"/>
              <w:rPr>
                <w:sz w:val="20"/>
                <w:szCs w:val="20"/>
                <w:color w:val="auto"/>
              </w:rPr>
            </w:pPr>
            <w:r>
              <w:rPr>
                <w:rFonts w:ascii="Times New Roman" w:cs="Times New Roman" w:eastAsia="Times New Roman" w:hAnsi="Times New Roman"/>
                <w:sz w:val="18"/>
                <w:szCs w:val="18"/>
                <w:color w:val="auto"/>
              </w:rPr>
              <w:t>678</w:t>
            </w:r>
          </w:p>
        </w:tc>
        <w:tc>
          <w:tcPr>
            <w:tcW w:w="1720" w:type="dxa"/>
            <w:vAlign w:val="bottom"/>
            <w:tcBorders>
              <w:bottom w:val="single" w:sz="8" w:color="0C479D"/>
            </w:tcBorders>
          </w:tcPr>
          <w:p>
            <w:pPr>
              <w:jc w:val="right"/>
              <w:ind w:right="297"/>
              <w:spacing w:after="0"/>
              <w:rPr>
                <w:sz w:val="20"/>
                <w:szCs w:val="20"/>
                <w:color w:val="auto"/>
              </w:rPr>
            </w:pPr>
            <w:r>
              <w:rPr>
                <w:rFonts w:ascii="Times New Roman" w:cs="Times New Roman" w:eastAsia="Times New Roman" w:hAnsi="Times New Roman"/>
                <w:sz w:val="18"/>
                <w:szCs w:val="18"/>
                <w:color w:val="auto"/>
              </w:rPr>
              <w:t>5,965</w:t>
            </w:r>
          </w:p>
        </w:tc>
        <w:tc>
          <w:tcPr>
            <w:tcW w:w="12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6,643</w:t>
            </w:r>
          </w:p>
        </w:tc>
        <w:tc>
          <w:tcPr>
            <w:tcW w:w="0" w:type="dxa"/>
            <w:vAlign w:val="bottom"/>
          </w:tcPr>
          <w:p>
            <w:pPr>
              <w:spacing w:after="0"/>
              <w:rPr>
                <w:sz w:val="1"/>
                <w:szCs w:val="1"/>
                <w:color w:val="auto"/>
              </w:rPr>
            </w:pPr>
          </w:p>
        </w:tc>
      </w:tr>
      <w:tr>
        <w:trPr>
          <w:trHeight w:val="244"/>
        </w:trPr>
        <w:tc>
          <w:tcPr>
            <w:tcW w:w="332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60" w:type="dxa"/>
            <w:vAlign w:val="bottom"/>
            <w:tcBorders>
              <w:bottom w:val="single" w:sz="8" w:color="0C479D"/>
            </w:tcBorders>
          </w:tcPr>
          <w:p>
            <w:pPr>
              <w:jc w:val="right"/>
              <w:ind w:right="97"/>
              <w:spacing w:after="0"/>
              <w:rPr>
                <w:sz w:val="20"/>
                <w:szCs w:val="20"/>
                <w:color w:val="auto"/>
              </w:rPr>
            </w:pPr>
            <w:r>
              <w:rPr>
                <w:rFonts w:ascii="Times New Roman" w:cs="Times New Roman" w:eastAsia="Times New Roman" w:hAnsi="Times New Roman"/>
                <w:sz w:val="18"/>
                <w:szCs w:val="18"/>
                <w:b w:val="1"/>
                <w:bCs w:val="1"/>
                <w:color w:val="auto"/>
              </w:rPr>
              <w:t>1,751</w:t>
            </w:r>
          </w:p>
        </w:tc>
        <w:tc>
          <w:tcPr>
            <w:tcW w:w="1720" w:type="dxa"/>
            <w:vAlign w:val="bottom"/>
            <w:tcBorders>
              <w:bottom w:val="single" w:sz="8" w:color="0C479D"/>
            </w:tcBorders>
          </w:tcPr>
          <w:p>
            <w:pPr>
              <w:jc w:val="right"/>
              <w:ind w:right="297"/>
              <w:spacing w:after="0"/>
              <w:rPr>
                <w:sz w:val="20"/>
                <w:szCs w:val="20"/>
                <w:color w:val="auto"/>
              </w:rPr>
            </w:pPr>
            <w:r>
              <w:rPr>
                <w:rFonts w:ascii="Times New Roman" w:cs="Times New Roman" w:eastAsia="Times New Roman" w:hAnsi="Times New Roman"/>
                <w:sz w:val="18"/>
                <w:szCs w:val="18"/>
                <w:b w:val="1"/>
                <w:bCs w:val="1"/>
                <w:color w:val="auto"/>
              </w:rPr>
              <w:t>6,132</w:t>
            </w:r>
          </w:p>
        </w:tc>
        <w:tc>
          <w:tcPr>
            <w:tcW w:w="12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7,883</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920" w:hanging="138"/>
        <w:spacing w:after="0"/>
        <w:tabs>
          <w:tab w:leader="none" w:pos="920" w:val="left"/>
        </w:tabs>
        <w:numPr>
          <w:ilvl w:val="0"/>
          <w:numId w:val="54"/>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ExxonMobil share.</w:t>
      </w:r>
    </w:p>
    <w:p>
      <w:pPr>
        <w:spacing w:after="0" w:line="200" w:lineRule="exact"/>
        <w:rPr>
          <w:sz w:val="20"/>
          <w:szCs w:val="20"/>
          <w:color w:val="auto"/>
        </w:rPr>
      </w:pPr>
    </w:p>
    <w:p>
      <w:pPr>
        <w:spacing w:after="0" w:line="3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Additionally, the Corporation and its affiliates have numerous long-term sales and purchase commitments in their various business activities, all of which are expected to be fulfilled with no adverse consequences material to the Corporation’s operations or financial condition.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22"/>
          <w:szCs w:val="22"/>
          <w:b w:val="1"/>
          <w:bCs w:val="1"/>
          <w:color w:val="0C479D"/>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C479D"/>
        </w:rPr>
        <w:t>Note 17. Pension and Other Postretirement Benefits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benefit obligations and plan assets associated with the Corporation’s principal benefit plans are measured on December 31.</w:t>
      </w:r>
    </w:p>
    <w:p>
      <w:pPr>
        <w:spacing w:after="0" w:line="274"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4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0C479D"/>
              </w:rPr>
              <w:t>Pension Benefits</w:t>
            </w: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0C479D"/>
              </w:rPr>
              <w:t>Other Postretirement</w:t>
            </w:r>
          </w:p>
        </w:tc>
        <w:tc>
          <w:tcPr>
            <w:tcW w:w="0" w:type="dxa"/>
            <w:vAlign w:val="bottom"/>
          </w:tcPr>
          <w:p>
            <w:pPr>
              <w:spacing w:after="0"/>
              <w:rPr>
                <w:sz w:val="1"/>
                <w:szCs w:val="1"/>
                <w:color w:val="auto"/>
              </w:rPr>
            </w:pPr>
          </w:p>
        </w:tc>
      </w:tr>
      <w:tr>
        <w:trPr>
          <w:trHeight w:val="109"/>
        </w:trPr>
        <w:tc>
          <w:tcPr>
            <w:tcW w:w="40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0" w:type="dxa"/>
            <w:vAlign w:val="bottom"/>
            <w:vMerge w:val="restart"/>
          </w:tcPr>
          <w:p>
            <w:pPr>
              <w:jc w:val="center"/>
              <w:ind w:right="548"/>
              <w:spacing w:after="0"/>
              <w:rPr>
                <w:sz w:val="20"/>
                <w:szCs w:val="20"/>
                <w:color w:val="auto"/>
              </w:rPr>
            </w:pPr>
            <w:r>
              <w:rPr>
                <w:rFonts w:ascii="Times New Roman" w:cs="Times New Roman" w:eastAsia="Times New Roman" w:hAnsi="Times New Roman"/>
                <w:sz w:val="14"/>
                <w:szCs w:val="14"/>
                <w:b w:val="1"/>
                <w:bCs w:val="1"/>
                <w:color w:val="0C479D"/>
              </w:rPr>
              <w:t>Benefits</w:t>
            </w:r>
          </w:p>
        </w:tc>
        <w:tc>
          <w:tcPr>
            <w:tcW w:w="0" w:type="dxa"/>
            <w:vAlign w:val="bottom"/>
          </w:tcPr>
          <w:p>
            <w:pPr>
              <w:spacing w:after="0"/>
              <w:rPr>
                <w:sz w:val="1"/>
                <w:szCs w:val="1"/>
                <w:color w:val="auto"/>
              </w:rPr>
            </w:pPr>
          </w:p>
        </w:tc>
      </w:tr>
      <w:tr>
        <w:trPr>
          <w:trHeight w:val="81"/>
        </w:trPr>
        <w:tc>
          <w:tcPr>
            <w:tcW w:w="4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4040" w:type="dxa"/>
            <w:vAlign w:val="bottom"/>
          </w:tcPr>
          <w:p>
            <w:pPr>
              <w:spacing w:after="0"/>
              <w:rPr>
                <w:sz w:val="2"/>
                <w:szCs w:val="2"/>
                <w:color w:val="auto"/>
              </w:rPr>
            </w:pPr>
          </w:p>
        </w:tc>
        <w:tc>
          <w:tcPr>
            <w:tcW w:w="1120" w:type="dxa"/>
            <w:vAlign w:val="bottom"/>
            <w:tcBorders>
              <w:bottom w:val="single" w:sz="8" w:color="0C479D"/>
            </w:tcBorders>
          </w:tcPr>
          <w:p>
            <w:pPr>
              <w:spacing w:after="0"/>
              <w:rPr>
                <w:sz w:val="2"/>
                <w:szCs w:val="2"/>
                <w:color w:val="auto"/>
              </w:rPr>
            </w:pPr>
          </w:p>
        </w:tc>
        <w:tc>
          <w:tcPr>
            <w:tcW w:w="740" w:type="dxa"/>
            <w:vAlign w:val="bottom"/>
            <w:tcBorders>
              <w:bottom w:val="single" w:sz="8" w:color="0C479D"/>
            </w:tcBorders>
          </w:tcPr>
          <w:p>
            <w:pPr>
              <w:spacing w:after="0"/>
              <w:rPr>
                <w:sz w:val="2"/>
                <w:szCs w:val="2"/>
                <w:color w:val="auto"/>
              </w:rPr>
            </w:pPr>
          </w:p>
        </w:tc>
        <w:tc>
          <w:tcPr>
            <w:tcW w:w="660" w:type="dxa"/>
            <w:vAlign w:val="bottom"/>
            <w:tcBorders>
              <w:bottom w:val="single" w:sz="8" w:color="0C479D"/>
            </w:tcBorders>
          </w:tcPr>
          <w:p>
            <w:pPr>
              <w:spacing w:after="0"/>
              <w:rPr>
                <w:sz w:val="2"/>
                <w:szCs w:val="2"/>
                <w:color w:val="auto"/>
              </w:rPr>
            </w:pPr>
          </w:p>
        </w:tc>
        <w:tc>
          <w:tcPr>
            <w:tcW w:w="1220" w:type="dxa"/>
            <w:vAlign w:val="bottom"/>
            <w:tcBorders>
              <w:bottom w:val="single" w:sz="8" w:color="0C479D"/>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0C479D"/>
            </w:tcBorders>
          </w:tcPr>
          <w:p>
            <w:pPr>
              <w:spacing w:after="0"/>
              <w:rPr>
                <w:sz w:val="2"/>
                <w:szCs w:val="2"/>
                <w:color w:val="auto"/>
              </w:rPr>
            </w:pPr>
          </w:p>
        </w:tc>
        <w:tc>
          <w:tcPr>
            <w:tcW w:w="1200" w:type="dxa"/>
            <w:vAlign w:val="bottom"/>
            <w:tcBorders>
              <w:bottom w:val="single" w:sz="8" w:color="0C479D"/>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4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040" w:type="dxa"/>
            <w:vAlign w:val="bottom"/>
            <w:shd w:val="clear" w:color="auto" w:fill="0C479D"/>
          </w:tcPr>
          <w:p>
            <w:pPr>
              <w:spacing w:after="0"/>
              <w:rPr>
                <w:sz w:val="14"/>
                <w:szCs w:val="14"/>
                <w:color w:val="auto"/>
              </w:rPr>
            </w:pPr>
          </w:p>
        </w:tc>
        <w:tc>
          <w:tcPr>
            <w:tcW w:w="1120" w:type="dxa"/>
            <w:vAlign w:val="bottom"/>
            <w:shd w:val="clear" w:color="auto" w:fill="0C479D"/>
          </w:tcPr>
          <w:p>
            <w:pPr>
              <w:jc w:val="right"/>
              <w:ind w:right="28"/>
              <w:spacing w:after="0"/>
              <w:rPr>
                <w:sz w:val="20"/>
                <w:szCs w:val="20"/>
                <w:color w:val="auto"/>
              </w:rPr>
            </w:pPr>
            <w:r>
              <w:rPr>
                <w:rFonts w:ascii="Times New Roman" w:cs="Times New Roman" w:eastAsia="Times New Roman" w:hAnsi="Times New Roman"/>
                <w:sz w:val="14"/>
                <w:szCs w:val="14"/>
                <w:b w:val="1"/>
                <w:bCs w:val="1"/>
                <w:color w:val="FFFFFF"/>
              </w:rPr>
              <w:t>U.S.</w:t>
            </w:r>
          </w:p>
        </w:tc>
        <w:tc>
          <w:tcPr>
            <w:tcW w:w="740" w:type="dxa"/>
            <w:vAlign w:val="bottom"/>
            <w:shd w:val="clear" w:color="auto" w:fill="0C479D"/>
          </w:tcPr>
          <w:p>
            <w:pPr>
              <w:spacing w:after="0"/>
              <w:rPr>
                <w:sz w:val="14"/>
                <w:szCs w:val="14"/>
                <w:color w:val="auto"/>
              </w:rPr>
            </w:pPr>
          </w:p>
        </w:tc>
        <w:tc>
          <w:tcPr>
            <w:tcW w:w="660" w:type="dxa"/>
            <w:vAlign w:val="bottom"/>
            <w:shd w:val="clear" w:color="auto" w:fill="0C479D"/>
          </w:tcPr>
          <w:p>
            <w:pPr>
              <w:spacing w:after="0"/>
              <w:rPr>
                <w:sz w:val="14"/>
                <w:szCs w:val="14"/>
                <w:color w:val="auto"/>
              </w:rPr>
            </w:pPr>
          </w:p>
        </w:tc>
        <w:tc>
          <w:tcPr>
            <w:tcW w:w="1220" w:type="dxa"/>
            <w:vAlign w:val="bottom"/>
            <w:shd w:val="clear" w:color="auto" w:fill="0C479D"/>
          </w:tcPr>
          <w:p>
            <w:pPr>
              <w:jc w:val="right"/>
              <w:ind w:right="568"/>
              <w:spacing w:after="0"/>
              <w:rPr>
                <w:sz w:val="20"/>
                <w:szCs w:val="20"/>
                <w:color w:val="auto"/>
              </w:rPr>
            </w:pPr>
            <w:r>
              <w:rPr>
                <w:rFonts w:ascii="Times New Roman" w:cs="Times New Roman" w:eastAsia="Times New Roman" w:hAnsi="Times New Roman"/>
                <w:sz w:val="14"/>
                <w:szCs w:val="14"/>
                <w:b w:val="1"/>
                <w:bCs w:val="1"/>
                <w:color w:val="FFFFFF"/>
              </w:rPr>
              <w:t>Non-U.S.</w:t>
            </w:r>
          </w:p>
        </w:tc>
        <w:tc>
          <w:tcPr>
            <w:tcW w:w="120" w:type="dxa"/>
            <w:vAlign w:val="bottom"/>
          </w:tcPr>
          <w:p>
            <w:pPr>
              <w:spacing w:after="0"/>
              <w:rPr>
                <w:sz w:val="14"/>
                <w:szCs w:val="14"/>
                <w:color w:val="auto"/>
              </w:rPr>
            </w:pPr>
          </w:p>
        </w:tc>
        <w:tc>
          <w:tcPr>
            <w:tcW w:w="600" w:type="dxa"/>
            <w:vAlign w:val="bottom"/>
            <w:shd w:val="clear" w:color="auto" w:fill="0C479D"/>
          </w:tcPr>
          <w:p>
            <w:pPr>
              <w:spacing w:after="0"/>
              <w:rPr>
                <w:sz w:val="14"/>
                <w:szCs w:val="14"/>
                <w:color w:val="auto"/>
              </w:rPr>
            </w:pPr>
          </w:p>
        </w:tc>
        <w:tc>
          <w:tcPr>
            <w:tcW w:w="1200" w:type="dxa"/>
            <w:vAlign w:val="bottom"/>
            <w:shd w:val="clear" w:color="auto" w:fill="0C479D"/>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160" w:type="dxa"/>
            <w:vAlign w:val="bottom"/>
            <w:gridSpan w:val="2"/>
            <w:shd w:val="clear" w:color="auto" w:fill="0C479D"/>
          </w:tcPr>
          <w:p>
            <w:pPr>
              <w:jc w:val="right"/>
              <w:ind w:right="2128"/>
              <w:spacing w:after="0"/>
              <w:rPr>
                <w:sz w:val="20"/>
                <w:szCs w:val="20"/>
                <w:color w:val="auto"/>
              </w:rPr>
            </w:pPr>
            <w:r>
              <w:rPr>
                <w:rFonts w:ascii="Times New Roman" w:cs="Times New Roman" w:eastAsia="Times New Roman" w:hAnsi="Times New Roman"/>
                <w:sz w:val="14"/>
                <w:szCs w:val="14"/>
                <w:i w:val="1"/>
                <w:iCs w:val="1"/>
                <w:color w:val="FFFFFF"/>
              </w:rPr>
              <w:t>(millions of dollars, except where stated otherwise)</w:t>
            </w:r>
          </w:p>
        </w:tc>
        <w:tc>
          <w:tcPr>
            <w:tcW w:w="740" w:type="dxa"/>
            <w:vAlign w:val="bottom"/>
            <w:shd w:val="clear" w:color="auto" w:fill="0C479D"/>
          </w:tcPr>
          <w:p>
            <w:pPr>
              <w:spacing w:after="0"/>
              <w:rPr>
                <w:sz w:val="14"/>
                <w:szCs w:val="14"/>
                <w:color w:val="auto"/>
              </w:rPr>
            </w:pPr>
          </w:p>
        </w:tc>
        <w:tc>
          <w:tcPr>
            <w:tcW w:w="660" w:type="dxa"/>
            <w:vAlign w:val="bottom"/>
            <w:shd w:val="clear" w:color="auto" w:fill="0C479D"/>
          </w:tcPr>
          <w:p>
            <w:pPr>
              <w:spacing w:after="0"/>
              <w:rPr>
                <w:sz w:val="14"/>
                <w:szCs w:val="14"/>
                <w:color w:val="auto"/>
              </w:rPr>
            </w:pPr>
          </w:p>
        </w:tc>
        <w:tc>
          <w:tcPr>
            <w:tcW w:w="1220" w:type="dxa"/>
            <w:vAlign w:val="bottom"/>
            <w:shd w:val="clear" w:color="auto" w:fill="0C479D"/>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shd w:val="clear" w:color="auto" w:fill="0C479D"/>
          </w:tcPr>
          <w:p>
            <w:pPr>
              <w:spacing w:after="0"/>
              <w:rPr>
                <w:sz w:val="14"/>
                <w:szCs w:val="14"/>
                <w:color w:val="auto"/>
              </w:rPr>
            </w:pPr>
          </w:p>
        </w:tc>
        <w:tc>
          <w:tcPr>
            <w:tcW w:w="1200" w:type="dxa"/>
            <w:vAlign w:val="bottom"/>
            <w:shd w:val="clear" w:color="auto" w:fill="0C479D"/>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160" w:type="dxa"/>
            <w:vAlign w:val="bottom"/>
            <w:gridSpan w:val="2"/>
            <w:shd w:val="clear" w:color="auto" w:fill="0C479D"/>
          </w:tcPr>
          <w:p>
            <w:pPr>
              <w:jc w:val="right"/>
              <w:ind w:right="488"/>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740" w:type="dxa"/>
            <w:vAlign w:val="bottom"/>
            <w:shd w:val="clear" w:color="auto" w:fill="0C479D"/>
          </w:tcPr>
          <w:p>
            <w:pPr>
              <w:jc w:val="right"/>
              <w:ind w:right="268"/>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660" w:type="dxa"/>
            <w:vAlign w:val="bottom"/>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1220" w:type="dxa"/>
            <w:vAlign w:val="bottom"/>
            <w:shd w:val="clear" w:color="auto" w:fill="0C479D"/>
          </w:tcPr>
          <w:p>
            <w:pPr>
              <w:jc w:val="right"/>
              <w:ind w:right="208"/>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120" w:type="dxa"/>
            <w:vAlign w:val="bottom"/>
          </w:tcPr>
          <w:p>
            <w:pPr>
              <w:spacing w:after="0"/>
              <w:rPr>
                <w:sz w:val="16"/>
                <w:szCs w:val="16"/>
                <w:color w:val="auto"/>
              </w:rPr>
            </w:pPr>
          </w:p>
        </w:tc>
        <w:tc>
          <w:tcPr>
            <w:tcW w:w="600" w:type="dxa"/>
            <w:vAlign w:val="bottom"/>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1200" w:type="dxa"/>
            <w:vAlign w:val="bottom"/>
            <w:shd w:val="clear" w:color="auto" w:fill="0C479D"/>
          </w:tcPr>
          <w:p>
            <w:pPr>
              <w:jc w:val="right"/>
              <w:ind w:right="208"/>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0" w:type="dxa"/>
            <w:vAlign w:val="bottom"/>
          </w:tcPr>
          <w:p>
            <w:pPr>
              <w:spacing w:after="0"/>
              <w:rPr>
                <w:sz w:val="1"/>
                <w:szCs w:val="1"/>
                <w:color w:val="auto"/>
              </w:rPr>
            </w:pPr>
          </w:p>
        </w:tc>
      </w:tr>
      <w:tr>
        <w:trPr>
          <w:trHeight w:val="23"/>
        </w:trPr>
        <w:tc>
          <w:tcPr>
            <w:tcW w:w="4040" w:type="dxa"/>
            <w:vAlign w:val="bottom"/>
            <w:shd w:val="clear" w:color="auto" w:fill="0C479D"/>
          </w:tcPr>
          <w:p>
            <w:pPr>
              <w:spacing w:after="0"/>
              <w:rPr>
                <w:sz w:val="2"/>
                <w:szCs w:val="2"/>
                <w:color w:val="auto"/>
              </w:rPr>
            </w:pPr>
          </w:p>
        </w:tc>
        <w:tc>
          <w:tcPr>
            <w:tcW w:w="1120" w:type="dxa"/>
            <w:vAlign w:val="bottom"/>
            <w:shd w:val="clear" w:color="auto" w:fill="0C479D"/>
          </w:tcPr>
          <w:p>
            <w:pPr>
              <w:spacing w:after="0"/>
              <w:rPr>
                <w:sz w:val="2"/>
                <w:szCs w:val="2"/>
                <w:color w:val="auto"/>
              </w:rPr>
            </w:pPr>
          </w:p>
        </w:tc>
        <w:tc>
          <w:tcPr>
            <w:tcW w:w="740" w:type="dxa"/>
            <w:vAlign w:val="bottom"/>
            <w:shd w:val="clear" w:color="auto" w:fill="0C479D"/>
          </w:tcPr>
          <w:p>
            <w:pPr>
              <w:spacing w:after="0"/>
              <w:rPr>
                <w:sz w:val="2"/>
                <w:szCs w:val="2"/>
                <w:color w:val="auto"/>
              </w:rPr>
            </w:pPr>
          </w:p>
        </w:tc>
        <w:tc>
          <w:tcPr>
            <w:tcW w:w="660" w:type="dxa"/>
            <w:vAlign w:val="bottom"/>
            <w:shd w:val="clear" w:color="auto" w:fill="0C479D"/>
          </w:tcPr>
          <w:p>
            <w:pPr>
              <w:spacing w:after="0"/>
              <w:rPr>
                <w:sz w:val="2"/>
                <w:szCs w:val="2"/>
                <w:color w:val="auto"/>
              </w:rPr>
            </w:pPr>
          </w:p>
        </w:tc>
        <w:tc>
          <w:tcPr>
            <w:tcW w:w="1220" w:type="dxa"/>
            <w:vAlign w:val="bottom"/>
            <w:shd w:val="clear" w:color="auto" w:fill="0C479D"/>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C479D"/>
          </w:tcPr>
          <w:p>
            <w:pPr>
              <w:spacing w:after="0"/>
              <w:rPr>
                <w:sz w:val="2"/>
                <w:szCs w:val="2"/>
                <w:color w:val="auto"/>
              </w:rPr>
            </w:pPr>
          </w:p>
        </w:tc>
        <w:tc>
          <w:tcPr>
            <w:tcW w:w="1200" w:type="dxa"/>
            <w:vAlign w:val="bottom"/>
            <w:shd w:val="clear" w:color="auto" w:fill="0C479D"/>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1">
            <w:col w:w="11240"/>
          </w:cols>
          <w:pgMar w:left="320" w:top="216" w:right="339" w:bottom="1440" w:gutter="0" w:footer="0" w:header="0"/>
        </w:sectPr>
      </w:pPr>
    </w:p>
    <w:p>
      <w:pPr>
        <w:spacing w:after="0" w:line="201" w:lineRule="exact"/>
        <w:rPr>
          <w:sz w:val="20"/>
          <w:szCs w:val="20"/>
          <w:color w:val="auto"/>
        </w:rPr>
      </w:pPr>
    </w:p>
    <w:p>
      <w:pPr>
        <w:ind w:left="800"/>
        <w:spacing w:after="0" w:line="255" w:lineRule="auto"/>
        <w:rPr>
          <w:sz w:val="20"/>
          <w:szCs w:val="20"/>
          <w:color w:val="auto"/>
        </w:rPr>
      </w:pPr>
      <w:r>
        <w:rPr>
          <w:rFonts w:ascii="Times New Roman" w:cs="Times New Roman" w:eastAsia="Times New Roman" w:hAnsi="Times New Roman"/>
          <w:sz w:val="18"/>
          <w:szCs w:val="18"/>
          <w:b w:val="1"/>
          <w:bCs w:val="1"/>
          <w:color w:val="0C479D"/>
        </w:rPr>
        <w:t>Weighted-average assumptions used to determine benefit obligations at December 31</w:t>
      </w:r>
    </w:p>
    <w:p>
      <w:pPr>
        <w:spacing w:after="0" w:line="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 xml:space="preserve">Discount rate </w:t>
      </w:r>
      <w:r>
        <w:rPr>
          <w:rFonts w:ascii="Times New Roman" w:cs="Times New Roman" w:eastAsia="Times New Roman" w:hAnsi="Times New Roman"/>
          <w:sz w:val="18"/>
          <w:szCs w:val="18"/>
          <w:i w:val="1"/>
          <w:iCs w:val="1"/>
          <w:color w:val="auto"/>
        </w:rPr>
        <w:t>(percent)</w:t>
      </w:r>
    </w:p>
    <w:p>
      <w:pPr>
        <w:spacing w:after="0" w:line="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 xml:space="preserve">Long-term rate of compensation increase </w:t>
      </w:r>
      <w:r>
        <w:rPr>
          <w:rFonts w:ascii="Times New Roman" w:cs="Times New Roman" w:eastAsia="Times New Roman" w:hAnsi="Times New Roman"/>
          <w:sz w:val="18"/>
          <w:szCs w:val="18"/>
          <w:i w:val="1"/>
          <w:iCs w:val="1"/>
          <w:color w:val="auto"/>
        </w:rPr>
        <w:t>(percent)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912"/>
        </w:trPr>
        <w:tc>
          <w:tcPr>
            <w:tcW w:w="840" w:type="dxa"/>
            <w:vAlign w:val="bottom"/>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5.70</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5.30</w:t>
            </w:r>
          </w:p>
        </w:tc>
        <w:tc>
          <w:tcPr>
            <w:tcW w:w="8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4.30</w:t>
            </w:r>
          </w:p>
        </w:tc>
        <w:tc>
          <w:tcPr>
            <w:tcW w:w="840" w:type="dxa"/>
            <w:vAlign w:val="bottom"/>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5.80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r>
      <w:tr>
        <w:trPr>
          <w:trHeight w:val="270"/>
        </w:trPr>
        <w:tc>
          <w:tcPr>
            <w:tcW w:w="840" w:type="dxa"/>
            <w:vAlign w:val="bottom"/>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4.00</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4.50</w:t>
            </w:r>
          </w:p>
        </w:tc>
        <w:tc>
          <w:tcPr>
            <w:tcW w:w="8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4.50</w:t>
            </w:r>
          </w:p>
        </w:tc>
        <w:tc>
          <w:tcPr>
            <w:tcW w:w="840" w:type="dxa"/>
            <w:vAlign w:val="bottom"/>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4.00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r>
    </w:tbl>
    <w:p>
      <w:pPr>
        <w:spacing w:after="0" w:line="20" w:lineRule="exact"/>
        <w:rPr>
          <w:sz w:val="20"/>
          <w:szCs w:val="20"/>
          <w:color w:val="auto"/>
        </w:rPr>
      </w:pPr>
    </w:p>
    <w:p>
      <w:pPr>
        <w:sectPr>
          <w:pgSz w:w="11900" w:h="16838" w:orient="portrait"/>
          <w:cols w:equalWidth="0" w:num="2">
            <w:col w:w="4600" w:space="220"/>
            <w:col w:w="6420"/>
          </w:cols>
          <w:pgMar w:left="320" w:top="216" w:right="339" w:bottom="1440" w:gutter="0" w:footer="0" w:header="0"/>
          <w:type w:val="continuous"/>
        </w:sectPr>
      </w:pPr>
    </w:p>
    <w:tbl>
      <w:tblPr>
        <w:tblLayout w:type="fixed"/>
        <w:tblInd w:w="780" w:type="dxa"/>
        <w:tblCellMar>
          <w:top w:w="0" w:type="dxa"/>
          <w:left w:w="0" w:type="dxa"/>
          <w:bottom w:w="0" w:type="dxa"/>
          <w:right w:w="0" w:type="dxa"/>
        </w:tblCellMar>
      </w:tblPr>
      <w:tr>
        <w:trPr>
          <w:trHeight w:val="318"/>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C479D"/>
              </w:rPr>
              <w:t>Change in benefit obligation</w:t>
            </w:r>
          </w:p>
        </w:tc>
        <w:tc>
          <w:tcPr>
            <w:tcW w:w="840" w:type="dxa"/>
            <w:vAlign w:val="bottom"/>
            <w:shd w:val="clear" w:color="auto" w:fill="F0F0F0"/>
          </w:tcPr>
          <w:p>
            <w:pPr>
              <w:spacing w:after="0"/>
              <w:rPr>
                <w:sz w:val="24"/>
                <w:szCs w:val="24"/>
                <w:color w:val="auto"/>
              </w:rPr>
            </w:pPr>
          </w:p>
        </w:tc>
        <w:tc>
          <w:tcPr>
            <w:tcW w:w="1080" w:type="dxa"/>
            <w:vAlign w:val="bottom"/>
          </w:tcPr>
          <w:p>
            <w:pPr>
              <w:spacing w:after="0"/>
              <w:rPr>
                <w:sz w:val="24"/>
                <w:szCs w:val="24"/>
                <w:color w:val="auto"/>
              </w:rPr>
            </w:pPr>
          </w:p>
        </w:tc>
        <w:tc>
          <w:tcPr>
            <w:tcW w:w="840" w:type="dxa"/>
            <w:vAlign w:val="bottom"/>
            <w:shd w:val="clear" w:color="auto" w:fill="F0F0F0"/>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shd w:val="clear" w:color="auto" w:fill="F0F0F0"/>
          </w:tcPr>
          <w:p>
            <w:pPr>
              <w:spacing w:after="0"/>
              <w:rPr>
                <w:sz w:val="24"/>
                <w:szCs w:val="24"/>
                <w:color w:val="auto"/>
              </w:rPr>
            </w:pPr>
          </w:p>
        </w:tc>
        <w:tc>
          <w:tcPr>
            <w:tcW w:w="960" w:type="dxa"/>
            <w:vAlign w:val="bottom"/>
          </w:tcPr>
          <w:p>
            <w:pPr>
              <w:spacing w:after="0"/>
              <w:rPr>
                <w:sz w:val="24"/>
                <w:szCs w:val="24"/>
                <w:color w:val="auto"/>
              </w:rPr>
            </w:pPr>
          </w:p>
        </w:tc>
      </w:tr>
      <w:tr>
        <w:trPr>
          <w:trHeight w:val="297"/>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Benefit obligation at January 1</w:t>
            </w:r>
          </w:p>
        </w:tc>
        <w:tc>
          <w:tcPr>
            <w:tcW w:w="840" w:type="dxa"/>
            <w:vAlign w:val="bottom"/>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13,143</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12,350</w:t>
            </w:r>
          </w:p>
        </w:tc>
        <w:tc>
          <w:tcPr>
            <w:tcW w:w="8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21,327</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19,342</w:t>
            </w:r>
          </w:p>
        </w:tc>
        <w:tc>
          <w:tcPr>
            <w:tcW w:w="840" w:type="dxa"/>
            <w:vAlign w:val="bottom"/>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5,014</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5,211</w:t>
            </w:r>
          </w:p>
        </w:tc>
      </w:tr>
      <w:tr>
        <w:trPr>
          <w:trHeight w:val="27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840" w:type="dxa"/>
            <w:vAlign w:val="bottom"/>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499</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466</w:t>
            </w:r>
          </w:p>
        </w:tc>
        <w:tc>
          <w:tcPr>
            <w:tcW w:w="8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323</w:t>
            </w:r>
          </w:p>
        </w:tc>
        <w:tc>
          <w:tcPr>
            <w:tcW w:w="840" w:type="dxa"/>
            <w:vAlign w:val="bottom"/>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81</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w:t>
            </w:r>
          </w:p>
        </w:tc>
      </w:tr>
      <w:tr>
        <w:trPr>
          <w:trHeight w:val="27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840" w:type="dxa"/>
            <w:vAlign w:val="bottom"/>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671</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664</w:t>
            </w:r>
          </w:p>
        </w:tc>
        <w:tc>
          <w:tcPr>
            <w:tcW w:w="8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922</w:t>
            </w:r>
          </w:p>
        </w:tc>
        <w:tc>
          <w:tcPr>
            <w:tcW w:w="840" w:type="dxa"/>
            <w:vAlign w:val="bottom"/>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250</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276</w:t>
            </w:r>
          </w:p>
        </w:tc>
      </w:tr>
      <w:tr>
        <w:trPr>
          <w:trHeight w:val="27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Actuarial loss/(gain) </w:t>
            </w:r>
            <w:r>
              <w:rPr>
                <w:rFonts w:ascii="Times New Roman" w:cs="Times New Roman" w:eastAsia="Times New Roman" w:hAnsi="Times New Roman"/>
                <w:sz w:val="9"/>
                <w:szCs w:val="9"/>
                <w:i w:val="1"/>
                <w:iCs w:val="1"/>
                <w:color w:val="auto"/>
              </w:rPr>
              <w:t>(1)</w:t>
            </w:r>
          </w:p>
        </w:tc>
        <w:tc>
          <w:tcPr>
            <w:tcW w:w="8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550</w:t>
            </w:r>
          </w:p>
        </w:tc>
        <w:tc>
          <w:tcPr>
            <w:tcW w:w="8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1,393</w:t>
            </w:r>
          </w:p>
        </w:tc>
        <w:tc>
          <w:tcPr>
            <w:tcW w:w="8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w:t>
            </w:r>
          </w:p>
        </w:tc>
      </w:tr>
      <w:tr>
        <w:trPr>
          <w:trHeight w:val="27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Benefits paid </w:t>
            </w:r>
            <w:r>
              <w:rPr>
                <w:rFonts w:ascii="Times New Roman" w:cs="Times New Roman" w:eastAsia="Times New Roman" w:hAnsi="Times New Roman"/>
                <w:sz w:val="9"/>
                <w:szCs w:val="9"/>
                <w:i w:val="1"/>
                <w:iCs w:val="1"/>
                <w:color w:val="auto"/>
              </w:rPr>
              <w:t>(2)(3)</w:t>
            </w:r>
          </w:p>
        </w:tc>
        <w:tc>
          <w:tcPr>
            <w:tcW w:w="8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(870)</w:t>
            </w:r>
          </w:p>
        </w:tc>
        <w:tc>
          <w:tcPr>
            <w:tcW w:w="8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(1,214)</w:t>
            </w:r>
          </w:p>
        </w:tc>
        <w:tc>
          <w:tcPr>
            <w:tcW w:w="8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r>
      <w:tr>
        <w:trPr>
          <w:trHeight w:val="27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rate changes</w:t>
            </w:r>
          </w:p>
        </w:tc>
        <w:tc>
          <w:tcPr>
            <w:tcW w:w="840" w:type="dxa"/>
            <w:vAlign w:val="bottom"/>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515</w:t>
            </w:r>
          </w:p>
        </w:tc>
        <w:tc>
          <w:tcPr>
            <w:tcW w:w="8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r>
      <w:tr>
        <w:trPr>
          <w:trHeight w:val="270"/>
        </w:trPr>
        <w:tc>
          <w:tcPr>
            <w:tcW w:w="404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Amendments, divestments and other</w:t>
            </w:r>
          </w:p>
        </w:tc>
        <w:tc>
          <w:tcPr>
            <w:tcW w:w="840" w:type="dxa"/>
            <w:vAlign w:val="bottom"/>
            <w:tcBorders>
              <w:bottom w:val="single" w:sz="8" w:color="0C479D"/>
            </w:tcBorders>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80" w:type="dxa"/>
            <w:vAlign w:val="bottom"/>
            <w:tcBorders>
              <w:bottom w:val="single" w:sz="8" w:color="0C479D"/>
            </w:tcBorders>
          </w:tcPr>
          <w:p>
            <w:pPr>
              <w:jc w:val="right"/>
              <w:ind w:right="90"/>
              <w:spacing w:after="0"/>
              <w:rPr>
                <w:sz w:val="20"/>
                <w:szCs w:val="20"/>
                <w:color w:val="auto"/>
              </w:rPr>
            </w:pPr>
            <w:r>
              <w:rPr>
                <w:rFonts w:ascii="Times New Roman" w:cs="Times New Roman" w:eastAsia="Times New Roman" w:hAnsi="Times New Roman"/>
                <w:sz w:val="18"/>
                <w:szCs w:val="18"/>
                <w:color w:val="auto"/>
              </w:rPr>
              <w:t>(17)</w:t>
            </w:r>
          </w:p>
        </w:tc>
        <w:tc>
          <w:tcPr>
            <w:tcW w:w="84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100" w:type="dxa"/>
            <w:vAlign w:val="bottom"/>
            <w:tcBorders>
              <w:bottom w:val="single" w:sz="8" w:color="0C479D"/>
            </w:tcBorders>
          </w:tcPr>
          <w:p>
            <w:pPr>
              <w:jc w:val="right"/>
              <w:ind w:right="130"/>
              <w:spacing w:after="0"/>
              <w:rPr>
                <w:sz w:val="20"/>
                <w:szCs w:val="20"/>
                <w:color w:val="auto"/>
              </w:rPr>
            </w:pPr>
            <w:r>
              <w:rPr>
                <w:rFonts w:ascii="Times New Roman" w:cs="Times New Roman" w:eastAsia="Times New Roman" w:hAnsi="Times New Roman"/>
                <w:sz w:val="18"/>
                <w:szCs w:val="18"/>
                <w:color w:val="auto"/>
              </w:rPr>
              <w:t>46</w:t>
            </w:r>
          </w:p>
        </w:tc>
        <w:tc>
          <w:tcPr>
            <w:tcW w:w="840" w:type="dxa"/>
            <w:vAlign w:val="bottom"/>
            <w:tcBorders>
              <w:bottom w:val="single" w:sz="8" w:color="0C479D"/>
            </w:tcBorders>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101</w:t>
            </w:r>
          </w:p>
        </w:tc>
        <w:tc>
          <w:tcPr>
            <w:tcW w:w="9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50"/>
        </w:trPr>
        <w:tc>
          <w:tcPr>
            <w:tcW w:w="404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Benefit obligation at December 31</w:t>
            </w:r>
          </w:p>
        </w:tc>
        <w:tc>
          <w:tcPr>
            <w:tcW w:w="840" w:type="dxa"/>
            <w:vAlign w:val="bottom"/>
            <w:tcBorders>
              <w:bottom w:val="single" w:sz="8" w:color="0C479D"/>
            </w:tcBorders>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12,999</w:t>
            </w:r>
          </w:p>
        </w:tc>
        <w:tc>
          <w:tcPr>
            <w:tcW w:w="1080" w:type="dxa"/>
            <w:vAlign w:val="bottom"/>
            <w:tcBorders>
              <w:bottom w:val="single" w:sz="8" w:color="0C479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13,143</w:t>
            </w:r>
          </w:p>
        </w:tc>
        <w:tc>
          <w:tcPr>
            <w:tcW w:w="84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19,198</w:t>
            </w:r>
          </w:p>
        </w:tc>
        <w:tc>
          <w:tcPr>
            <w:tcW w:w="1100" w:type="dxa"/>
            <w:vAlign w:val="bottom"/>
            <w:tcBorders>
              <w:bottom w:val="single" w:sz="8" w:color="0C479D"/>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21,327</w:t>
            </w:r>
          </w:p>
        </w:tc>
        <w:tc>
          <w:tcPr>
            <w:tcW w:w="840" w:type="dxa"/>
            <w:vAlign w:val="bottom"/>
            <w:tcBorders>
              <w:bottom w:val="single" w:sz="8" w:color="0C479D"/>
            </w:tcBorders>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4,791</w:t>
            </w:r>
          </w:p>
        </w:tc>
        <w:tc>
          <w:tcPr>
            <w:tcW w:w="960" w:type="dxa"/>
            <w:vAlign w:val="bottom"/>
            <w:tcBorders>
              <w:bottom w:val="single" w:sz="8" w:color="0C479D"/>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5,014</w:t>
            </w:r>
          </w:p>
        </w:tc>
      </w:tr>
      <w:tr>
        <w:trPr>
          <w:trHeight w:val="243"/>
        </w:trPr>
        <w:tc>
          <w:tcPr>
            <w:tcW w:w="404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 at December 31</w:t>
            </w:r>
          </w:p>
        </w:tc>
        <w:tc>
          <w:tcPr>
            <w:tcW w:w="840" w:type="dxa"/>
            <w:vAlign w:val="bottom"/>
            <w:tcBorders>
              <w:bottom w:val="single" w:sz="8" w:color="0C479D"/>
            </w:tcBorders>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11,227</w:t>
            </w:r>
          </w:p>
        </w:tc>
        <w:tc>
          <w:tcPr>
            <w:tcW w:w="1080" w:type="dxa"/>
            <w:vAlign w:val="bottom"/>
            <w:tcBorders>
              <w:bottom w:val="single" w:sz="8" w:color="0C479D"/>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11,033</w:t>
            </w:r>
          </w:p>
        </w:tc>
        <w:tc>
          <w:tcPr>
            <w:tcW w:w="84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17,818</w:t>
            </w:r>
          </w:p>
        </w:tc>
        <w:tc>
          <w:tcPr>
            <w:tcW w:w="1100" w:type="dxa"/>
            <w:vAlign w:val="bottom"/>
            <w:tcBorders>
              <w:bottom w:val="single" w:sz="8" w:color="0C479D"/>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19,769</w:t>
            </w:r>
          </w:p>
        </w:tc>
        <w:tc>
          <w:tcPr>
            <w:tcW w:w="840" w:type="dxa"/>
            <w:vAlign w:val="bottom"/>
            <w:tcBorders>
              <w:bottom w:val="single" w:sz="8" w:color="0C479D"/>
            </w:tcBorders>
            <w:shd w:val="clear" w:color="auto" w:fill="F0F0F0"/>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0C479D"/>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83" w:lineRule="exact"/>
        <w:rPr>
          <w:sz w:val="20"/>
          <w:szCs w:val="20"/>
          <w:color w:val="auto"/>
        </w:rPr>
      </w:pPr>
    </w:p>
    <w:p>
      <w:pPr>
        <w:ind w:left="940" w:hanging="145"/>
        <w:spacing w:after="0"/>
        <w:tabs>
          <w:tab w:leader="none" w:pos="940" w:val="left"/>
        </w:tabs>
        <w:numPr>
          <w:ilvl w:val="0"/>
          <w:numId w:val="55"/>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Actuarial loss/(gain) primarily reflects higher discount rates.</w:t>
      </w:r>
    </w:p>
    <w:p>
      <w:pPr>
        <w:spacing w:after="0" w:line="68" w:lineRule="exact"/>
        <w:rPr>
          <w:rFonts w:ascii="Times New Roman" w:cs="Times New Roman" w:eastAsia="Times New Roman" w:hAnsi="Times New Roman"/>
          <w:sz w:val="9"/>
          <w:szCs w:val="9"/>
          <w:i w:val="1"/>
          <w:iCs w:val="1"/>
          <w:color w:val="auto"/>
        </w:rPr>
      </w:pPr>
    </w:p>
    <w:p>
      <w:pPr>
        <w:ind w:left="940" w:hanging="145"/>
        <w:spacing w:after="0"/>
        <w:tabs>
          <w:tab w:leader="none" w:pos="940" w:val="left"/>
        </w:tabs>
        <w:numPr>
          <w:ilvl w:val="0"/>
          <w:numId w:val="55"/>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Benefit payments for funded and unfunded plans.</w:t>
      </w:r>
    </w:p>
    <w:p>
      <w:pPr>
        <w:spacing w:after="0" w:line="68" w:lineRule="exact"/>
        <w:rPr>
          <w:rFonts w:ascii="Times New Roman" w:cs="Times New Roman" w:eastAsia="Times New Roman" w:hAnsi="Times New Roman"/>
          <w:sz w:val="9"/>
          <w:szCs w:val="9"/>
          <w:i w:val="1"/>
          <w:iCs w:val="1"/>
          <w:color w:val="auto"/>
        </w:rPr>
      </w:pPr>
    </w:p>
    <w:p>
      <w:pPr>
        <w:ind w:left="940" w:hanging="145"/>
        <w:spacing w:after="0"/>
        <w:tabs>
          <w:tab w:leader="none" w:pos="940" w:val="left"/>
        </w:tabs>
        <w:numPr>
          <w:ilvl w:val="0"/>
          <w:numId w:val="55"/>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For 2024 and 2023, other postretirement benefits paid are net of $10 million and $19 million of Medicare subsidy receipts, respectively.</w:t>
      </w:r>
    </w:p>
    <w:p>
      <w:pPr>
        <w:spacing w:after="0" w:line="200" w:lineRule="exact"/>
        <w:rPr>
          <w:sz w:val="20"/>
          <w:szCs w:val="20"/>
          <w:color w:val="auto"/>
        </w:rPr>
      </w:pPr>
    </w:p>
    <w:p>
      <w:pPr>
        <w:spacing w:after="0" w:line="3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selection of the discount rate for U.S. plans, several sources of information are considered, including interest rate market indicators and the effective discount rate determined by use of a yield curve based on high-quality, noncallable bonds applied to the estimated cash outflows for benefit payments. For major non-U.S. plans, the discount rate is determined by using a spot yield curve of high-quality, local-currency-denominated bonds at an average maturity approximating that of the liabilities.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measurement of the accumulated postretirement benefit obligation assumes a health care cost trend rate of 4.0 percent in 2026 and subsequent years.</w:t>
      </w:r>
    </w:p>
    <w:p>
      <w:pPr>
        <w:spacing w:after="0" w:line="136"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40" w:type="dxa"/>
            <w:vAlign w:val="bottom"/>
            <w:gridSpan w:val="3"/>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0C479D"/>
              </w:rPr>
              <w:t>Pension Benefits</w:t>
            </w: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0C479D"/>
              </w:rPr>
              <w:t>Other Postretirement</w:t>
            </w:r>
          </w:p>
        </w:tc>
        <w:tc>
          <w:tcPr>
            <w:tcW w:w="0" w:type="dxa"/>
            <w:vAlign w:val="bottom"/>
          </w:tcPr>
          <w:p>
            <w:pPr>
              <w:spacing w:after="0"/>
              <w:rPr>
                <w:sz w:val="1"/>
                <w:szCs w:val="1"/>
                <w:color w:val="auto"/>
              </w:rPr>
            </w:pPr>
          </w:p>
        </w:tc>
      </w:tr>
      <w:tr>
        <w:trPr>
          <w:trHeight w:val="112"/>
        </w:trPr>
        <w:tc>
          <w:tcPr>
            <w:tcW w:w="40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2"/>
            <w:vMerge w:val="restart"/>
          </w:tcPr>
          <w:p>
            <w:pPr>
              <w:jc w:val="center"/>
              <w:ind w:left="515"/>
              <w:spacing w:after="0"/>
              <w:rPr>
                <w:sz w:val="20"/>
                <w:szCs w:val="20"/>
                <w:color w:val="auto"/>
              </w:rPr>
            </w:pPr>
            <w:r>
              <w:rPr>
                <w:rFonts w:ascii="Times New Roman" w:cs="Times New Roman" w:eastAsia="Times New Roman" w:hAnsi="Times New Roman"/>
                <w:sz w:val="14"/>
                <w:szCs w:val="14"/>
                <w:b w:val="1"/>
                <w:bCs w:val="1"/>
                <w:color w:val="0C479D"/>
              </w:rPr>
              <w:t>Benefits</w:t>
            </w: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4020" w:type="dxa"/>
            <w:vAlign w:val="bottom"/>
          </w:tcPr>
          <w:p>
            <w:pPr>
              <w:spacing w:after="0"/>
              <w:rPr>
                <w:sz w:val="6"/>
                <w:szCs w:val="6"/>
                <w:color w:val="auto"/>
              </w:rPr>
            </w:pPr>
          </w:p>
        </w:tc>
        <w:tc>
          <w:tcPr>
            <w:tcW w:w="8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84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4020" w:type="dxa"/>
            <w:vAlign w:val="bottom"/>
          </w:tcPr>
          <w:p>
            <w:pPr>
              <w:spacing w:after="0"/>
              <w:rPr>
                <w:sz w:val="2"/>
                <w:szCs w:val="2"/>
                <w:color w:val="auto"/>
              </w:rPr>
            </w:pPr>
          </w:p>
        </w:tc>
        <w:tc>
          <w:tcPr>
            <w:tcW w:w="840" w:type="dxa"/>
            <w:vAlign w:val="bottom"/>
            <w:tcBorders>
              <w:bottom w:val="single" w:sz="8" w:color="0C479D"/>
            </w:tcBorders>
          </w:tcPr>
          <w:p>
            <w:pPr>
              <w:spacing w:after="0"/>
              <w:rPr>
                <w:sz w:val="2"/>
                <w:szCs w:val="2"/>
                <w:color w:val="auto"/>
              </w:rPr>
            </w:pPr>
          </w:p>
        </w:tc>
        <w:tc>
          <w:tcPr>
            <w:tcW w:w="300" w:type="dxa"/>
            <w:vAlign w:val="bottom"/>
            <w:tcBorders>
              <w:bottom w:val="single" w:sz="8" w:color="0C479D"/>
            </w:tcBorders>
          </w:tcPr>
          <w:p>
            <w:pPr>
              <w:spacing w:after="0"/>
              <w:rPr>
                <w:sz w:val="2"/>
                <w:szCs w:val="2"/>
                <w:color w:val="auto"/>
              </w:rPr>
            </w:pPr>
          </w:p>
        </w:tc>
        <w:tc>
          <w:tcPr>
            <w:tcW w:w="820" w:type="dxa"/>
            <w:vAlign w:val="bottom"/>
            <w:tcBorders>
              <w:bottom w:val="single" w:sz="8" w:color="0C479D"/>
            </w:tcBorders>
          </w:tcPr>
          <w:p>
            <w:pPr>
              <w:spacing w:after="0"/>
              <w:rPr>
                <w:sz w:val="2"/>
                <w:szCs w:val="2"/>
                <w:color w:val="auto"/>
              </w:rPr>
            </w:pPr>
          </w:p>
        </w:tc>
        <w:tc>
          <w:tcPr>
            <w:tcW w:w="840" w:type="dxa"/>
            <w:vAlign w:val="bottom"/>
            <w:tcBorders>
              <w:bottom w:val="single" w:sz="8" w:color="0C479D"/>
            </w:tcBorders>
          </w:tcPr>
          <w:p>
            <w:pPr>
              <w:spacing w:after="0"/>
              <w:rPr>
                <w:sz w:val="2"/>
                <w:szCs w:val="2"/>
                <w:color w:val="auto"/>
              </w:rPr>
            </w:pPr>
          </w:p>
        </w:tc>
        <w:tc>
          <w:tcPr>
            <w:tcW w:w="380" w:type="dxa"/>
            <w:vAlign w:val="bottom"/>
            <w:tcBorders>
              <w:bottom w:val="single" w:sz="8" w:color="0C479D"/>
            </w:tcBorders>
          </w:tcPr>
          <w:p>
            <w:pPr>
              <w:spacing w:after="0"/>
              <w:rPr>
                <w:sz w:val="2"/>
                <w:szCs w:val="2"/>
                <w:color w:val="auto"/>
              </w:rPr>
            </w:pPr>
          </w:p>
        </w:tc>
        <w:tc>
          <w:tcPr>
            <w:tcW w:w="600" w:type="dxa"/>
            <w:vAlign w:val="bottom"/>
            <w:tcBorders>
              <w:bottom w:val="single" w:sz="8" w:color="0C479D"/>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Borders>
              <w:bottom w:val="single" w:sz="8" w:color="0C479D"/>
            </w:tcBorders>
          </w:tcPr>
          <w:p>
            <w:pPr>
              <w:spacing w:after="0"/>
              <w:rPr>
                <w:sz w:val="2"/>
                <w:szCs w:val="2"/>
                <w:color w:val="auto"/>
              </w:rPr>
            </w:pPr>
          </w:p>
        </w:tc>
        <w:tc>
          <w:tcPr>
            <w:tcW w:w="360" w:type="dxa"/>
            <w:vAlign w:val="bottom"/>
            <w:tcBorders>
              <w:bottom w:val="single" w:sz="8" w:color="0C479D"/>
            </w:tcBorders>
          </w:tcPr>
          <w:p>
            <w:pPr>
              <w:spacing w:after="0"/>
              <w:rPr>
                <w:sz w:val="2"/>
                <w:szCs w:val="2"/>
                <w:color w:val="auto"/>
              </w:rPr>
            </w:pPr>
          </w:p>
        </w:tc>
        <w:tc>
          <w:tcPr>
            <w:tcW w:w="600" w:type="dxa"/>
            <w:vAlign w:val="bottom"/>
            <w:tcBorders>
              <w:bottom w:val="single" w:sz="8" w:color="0C479D"/>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40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020" w:type="dxa"/>
            <w:vAlign w:val="bottom"/>
            <w:vMerge w:val="restart"/>
            <w:shd w:val="clear" w:color="auto" w:fill="0C479D"/>
          </w:tcPr>
          <w:p>
            <w:pPr>
              <w:ind w:left="60"/>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1140" w:type="dxa"/>
            <w:vAlign w:val="bottom"/>
            <w:gridSpan w:val="2"/>
            <w:shd w:val="clear" w:color="auto" w:fill="0C479D"/>
          </w:tcPr>
          <w:p>
            <w:pPr>
              <w:ind w:left="780"/>
              <w:spacing w:after="0"/>
              <w:rPr>
                <w:sz w:val="20"/>
                <w:szCs w:val="20"/>
                <w:color w:val="auto"/>
              </w:rPr>
            </w:pPr>
            <w:r>
              <w:rPr>
                <w:rFonts w:ascii="Times New Roman" w:cs="Times New Roman" w:eastAsia="Times New Roman" w:hAnsi="Times New Roman"/>
                <w:sz w:val="14"/>
                <w:szCs w:val="14"/>
                <w:b w:val="1"/>
                <w:bCs w:val="1"/>
                <w:color w:val="FFFFFF"/>
              </w:rPr>
              <w:t>U.S.</w:t>
            </w:r>
          </w:p>
        </w:tc>
        <w:tc>
          <w:tcPr>
            <w:tcW w:w="820" w:type="dxa"/>
            <w:vAlign w:val="bottom"/>
            <w:shd w:val="clear" w:color="auto" w:fill="0C479D"/>
          </w:tcPr>
          <w:p>
            <w:pPr>
              <w:spacing w:after="0"/>
              <w:rPr>
                <w:sz w:val="17"/>
                <w:szCs w:val="17"/>
                <w:color w:val="auto"/>
              </w:rPr>
            </w:pPr>
          </w:p>
        </w:tc>
        <w:tc>
          <w:tcPr>
            <w:tcW w:w="1220" w:type="dxa"/>
            <w:vAlign w:val="bottom"/>
            <w:gridSpan w:val="2"/>
            <w:shd w:val="clear" w:color="auto" w:fill="0C479D"/>
          </w:tcPr>
          <w:p>
            <w:pPr>
              <w:ind w:left="620"/>
              <w:spacing w:after="0"/>
              <w:rPr>
                <w:sz w:val="20"/>
                <w:szCs w:val="20"/>
                <w:color w:val="auto"/>
              </w:rPr>
            </w:pPr>
            <w:r>
              <w:rPr>
                <w:rFonts w:ascii="Times New Roman" w:cs="Times New Roman" w:eastAsia="Times New Roman" w:hAnsi="Times New Roman"/>
                <w:sz w:val="14"/>
                <w:szCs w:val="14"/>
                <w:b w:val="1"/>
                <w:bCs w:val="1"/>
                <w:color w:val="FFFFFF"/>
              </w:rPr>
              <w:t>Non-U.S.</w:t>
            </w:r>
          </w:p>
        </w:tc>
        <w:tc>
          <w:tcPr>
            <w:tcW w:w="600" w:type="dxa"/>
            <w:vAlign w:val="bottom"/>
            <w:shd w:val="clear" w:color="auto" w:fill="0C479D"/>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Borders>
              <w:right w:val="single" w:sz="8" w:color="0C479D"/>
            </w:tcBorders>
            <w:shd w:val="clear" w:color="auto" w:fill="0C479D"/>
          </w:tcPr>
          <w:p>
            <w:pPr>
              <w:spacing w:after="0"/>
              <w:rPr>
                <w:sz w:val="17"/>
                <w:szCs w:val="17"/>
                <w:color w:val="auto"/>
              </w:rPr>
            </w:pPr>
          </w:p>
        </w:tc>
        <w:tc>
          <w:tcPr>
            <w:tcW w:w="360" w:type="dxa"/>
            <w:vAlign w:val="bottom"/>
            <w:shd w:val="clear" w:color="auto" w:fill="0C479D"/>
          </w:tcPr>
          <w:p>
            <w:pPr>
              <w:spacing w:after="0"/>
              <w:rPr>
                <w:sz w:val="17"/>
                <w:szCs w:val="17"/>
                <w:color w:val="auto"/>
              </w:rPr>
            </w:pPr>
          </w:p>
        </w:tc>
        <w:tc>
          <w:tcPr>
            <w:tcW w:w="600" w:type="dxa"/>
            <w:vAlign w:val="bottom"/>
            <w:shd w:val="clear" w:color="auto" w:fill="0C479D"/>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4020" w:type="dxa"/>
            <w:vAlign w:val="bottom"/>
            <w:vMerge w:val="continue"/>
            <w:shd w:val="clear" w:color="auto" w:fill="0C479D"/>
          </w:tcPr>
          <w:p>
            <w:pPr>
              <w:spacing w:after="0"/>
              <w:rPr>
                <w:sz w:val="11"/>
                <w:szCs w:val="11"/>
                <w:color w:val="auto"/>
              </w:rPr>
            </w:pPr>
          </w:p>
        </w:tc>
        <w:tc>
          <w:tcPr>
            <w:tcW w:w="840" w:type="dxa"/>
            <w:vAlign w:val="bottom"/>
            <w:tcBorders>
              <w:right w:val="single" w:sz="8" w:color="0C479D"/>
            </w:tcBorders>
            <w:vMerge w:val="restart"/>
            <w:shd w:val="clear" w:color="auto" w:fill="0C479D"/>
          </w:tcPr>
          <w:p>
            <w:pPr>
              <w:jc w:val="right"/>
              <w:ind w:right="194"/>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300" w:type="dxa"/>
            <w:vAlign w:val="bottom"/>
            <w:shd w:val="clear" w:color="auto" w:fill="0C479D"/>
          </w:tcPr>
          <w:p>
            <w:pPr>
              <w:spacing w:after="0"/>
              <w:rPr>
                <w:sz w:val="11"/>
                <w:szCs w:val="11"/>
                <w:color w:val="auto"/>
              </w:rPr>
            </w:pPr>
          </w:p>
        </w:tc>
        <w:tc>
          <w:tcPr>
            <w:tcW w:w="820" w:type="dxa"/>
            <w:vAlign w:val="bottom"/>
            <w:vMerge w:val="restart"/>
            <w:shd w:val="clear" w:color="auto" w:fill="0C479D"/>
          </w:tcPr>
          <w:p>
            <w:pPr>
              <w:jc w:val="right"/>
              <w:ind w:right="334"/>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840" w:type="dxa"/>
            <w:vAlign w:val="bottom"/>
            <w:tcBorders>
              <w:right w:val="single" w:sz="8" w:color="0C479D"/>
            </w:tcBorders>
            <w:vMerge w:val="restart"/>
            <w:shd w:val="clear" w:color="auto" w:fill="0C479D"/>
          </w:tcPr>
          <w:p>
            <w:pPr>
              <w:jc w:val="right"/>
              <w:ind w:right="194"/>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380" w:type="dxa"/>
            <w:vAlign w:val="bottom"/>
            <w:shd w:val="clear" w:color="auto" w:fill="0C479D"/>
          </w:tcPr>
          <w:p>
            <w:pPr>
              <w:spacing w:after="0"/>
              <w:rPr>
                <w:sz w:val="11"/>
                <w:szCs w:val="11"/>
                <w:color w:val="auto"/>
              </w:rPr>
            </w:pPr>
          </w:p>
        </w:tc>
        <w:tc>
          <w:tcPr>
            <w:tcW w:w="600" w:type="dxa"/>
            <w:vAlign w:val="bottom"/>
            <w:vMerge w:val="restart"/>
            <w:shd w:val="clear" w:color="auto" w:fill="0C479D"/>
          </w:tcPr>
          <w:p>
            <w:pPr>
              <w:jc w:val="right"/>
              <w:ind w:right="192"/>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140" w:type="dxa"/>
            <w:vAlign w:val="bottom"/>
          </w:tcPr>
          <w:p>
            <w:pPr>
              <w:spacing w:after="0"/>
              <w:rPr>
                <w:sz w:val="11"/>
                <w:szCs w:val="11"/>
                <w:color w:val="auto"/>
              </w:rPr>
            </w:pPr>
          </w:p>
        </w:tc>
        <w:tc>
          <w:tcPr>
            <w:tcW w:w="820" w:type="dxa"/>
            <w:vAlign w:val="bottom"/>
            <w:tcBorders>
              <w:right w:val="single" w:sz="8" w:color="0C479D"/>
            </w:tcBorders>
            <w:vMerge w:val="restart"/>
            <w:shd w:val="clear" w:color="auto" w:fill="0C479D"/>
          </w:tcPr>
          <w:p>
            <w:pPr>
              <w:jc w:val="right"/>
              <w:ind w:right="175"/>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360" w:type="dxa"/>
            <w:vAlign w:val="bottom"/>
            <w:shd w:val="clear" w:color="auto" w:fill="0C479D"/>
          </w:tcPr>
          <w:p>
            <w:pPr>
              <w:spacing w:after="0"/>
              <w:rPr>
                <w:sz w:val="11"/>
                <w:szCs w:val="11"/>
                <w:color w:val="auto"/>
              </w:rPr>
            </w:pPr>
          </w:p>
        </w:tc>
        <w:tc>
          <w:tcPr>
            <w:tcW w:w="600" w:type="dxa"/>
            <w:vAlign w:val="bottom"/>
            <w:vMerge w:val="restart"/>
            <w:shd w:val="clear" w:color="auto" w:fill="0C479D"/>
          </w:tcPr>
          <w:p>
            <w:pPr>
              <w:jc w:val="right"/>
              <w:ind w:right="172"/>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0" w:type="dxa"/>
            <w:vAlign w:val="bottom"/>
          </w:tcPr>
          <w:p>
            <w:pPr>
              <w:spacing w:after="0"/>
              <w:rPr>
                <w:sz w:val="1"/>
                <w:szCs w:val="1"/>
                <w:color w:val="auto"/>
              </w:rPr>
            </w:pPr>
          </w:p>
        </w:tc>
      </w:tr>
      <w:tr>
        <w:trPr>
          <w:trHeight w:val="179"/>
        </w:trPr>
        <w:tc>
          <w:tcPr>
            <w:tcW w:w="4020" w:type="dxa"/>
            <w:vAlign w:val="bottom"/>
            <w:tcBorders>
              <w:bottom w:val="single" w:sz="8" w:color="0C479D"/>
            </w:tcBorders>
            <w:shd w:val="clear" w:color="auto" w:fill="0C479D"/>
          </w:tcPr>
          <w:p>
            <w:pPr>
              <w:spacing w:after="0"/>
              <w:rPr>
                <w:sz w:val="15"/>
                <w:szCs w:val="15"/>
                <w:color w:val="auto"/>
              </w:rPr>
            </w:pPr>
          </w:p>
        </w:tc>
        <w:tc>
          <w:tcPr>
            <w:tcW w:w="840" w:type="dxa"/>
            <w:vAlign w:val="bottom"/>
            <w:tcBorders>
              <w:bottom w:val="single" w:sz="8" w:color="0C479D"/>
              <w:right w:val="single" w:sz="8" w:color="0C479D"/>
            </w:tcBorders>
            <w:vMerge w:val="continue"/>
            <w:shd w:val="clear" w:color="auto" w:fill="0C479D"/>
          </w:tcPr>
          <w:p>
            <w:pPr>
              <w:spacing w:after="0"/>
              <w:rPr>
                <w:sz w:val="15"/>
                <w:szCs w:val="15"/>
                <w:color w:val="auto"/>
              </w:rPr>
            </w:pPr>
          </w:p>
        </w:tc>
        <w:tc>
          <w:tcPr>
            <w:tcW w:w="300" w:type="dxa"/>
            <w:vAlign w:val="bottom"/>
            <w:tcBorders>
              <w:bottom w:val="single" w:sz="8" w:color="0C479D"/>
            </w:tcBorders>
            <w:shd w:val="clear" w:color="auto" w:fill="0C479D"/>
          </w:tcPr>
          <w:p>
            <w:pPr>
              <w:spacing w:after="0"/>
              <w:rPr>
                <w:sz w:val="15"/>
                <w:szCs w:val="15"/>
                <w:color w:val="auto"/>
              </w:rPr>
            </w:pPr>
          </w:p>
        </w:tc>
        <w:tc>
          <w:tcPr>
            <w:tcW w:w="820" w:type="dxa"/>
            <w:vAlign w:val="bottom"/>
            <w:tcBorders>
              <w:bottom w:val="single" w:sz="8" w:color="0C479D"/>
            </w:tcBorders>
            <w:vMerge w:val="continue"/>
            <w:shd w:val="clear" w:color="auto" w:fill="0C479D"/>
          </w:tcPr>
          <w:p>
            <w:pPr>
              <w:spacing w:after="0"/>
              <w:rPr>
                <w:sz w:val="15"/>
                <w:szCs w:val="15"/>
                <w:color w:val="auto"/>
              </w:rPr>
            </w:pPr>
          </w:p>
        </w:tc>
        <w:tc>
          <w:tcPr>
            <w:tcW w:w="840" w:type="dxa"/>
            <w:vAlign w:val="bottom"/>
            <w:tcBorders>
              <w:bottom w:val="single" w:sz="8" w:color="0C479D"/>
              <w:right w:val="single" w:sz="8" w:color="0C479D"/>
            </w:tcBorders>
            <w:vMerge w:val="continue"/>
            <w:shd w:val="clear" w:color="auto" w:fill="0C479D"/>
          </w:tcPr>
          <w:p>
            <w:pPr>
              <w:spacing w:after="0"/>
              <w:rPr>
                <w:sz w:val="15"/>
                <w:szCs w:val="15"/>
                <w:color w:val="auto"/>
              </w:rPr>
            </w:pPr>
          </w:p>
        </w:tc>
        <w:tc>
          <w:tcPr>
            <w:tcW w:w="380" w:type="dxa"/>
            <w:vAlign w:val="bottom"/>
            <w:tcBorders>
              <w:bottom w:val="single" w:sz="8" w:color="0C479D"/>
            </w:tcBorders>
            <w:shd w:val="clear" w:color="auto" w:fill="0C479D"/>
          </w:tcPr>
          <w:p>
            <w:pPr>
              <w:spacing w:after="0"/>
              <w:rPr>
                <w:sz w:val="15"/>
                <w:szCs w:val="15"/>
                <w:color w:val="auto"/>
              </w:rPr>
            </w:pPr>
          </w:p>
        </w:tc>
        <w:tc>
          <w:tcPr>
            <w:tcW w:w="600" w:type="dxa"/>
            <w:vAlign w:val="bottom"/>
            <w:tcBorders>
              <w:bottom w:val="single" w:sz="8" w:color="0C479D"/>
            </w:tcBorders>
            <w:vMerge w:val="continue"/>
            <w:shd w:val="clear" w:color="auto" w:fill="0C479D"/>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Borders>
              <w:bottom w:val="single" w:sz="8" w:color="0C479D"/>
              <w:right w:val="single" w:sz="8" w:color="0C479D"/>
            </w:tcBorders>
            <w:vMerge w:val="continue"/>
            <w:shd w:val="clear" w:color="auto" w:fill="0C479D"/>
          </w:tcPr>
          <w:p>
            <w:pPr>
              <w:spacing w:after="0"/>
              <w:rPr>
                <w:sz w:val="15"/>
                <w:szCs w:val="15"/>
                <w:color w:val="auto"/>
              </w:rPr>
            </w:pPr>
          </w:p>
        </w:tc>
        <w:tc>
          <w:tcPr>
            <w:tcW w:w="360" w:type="dxa"/>
            <w:vAlign w:val="bottom"/>
            <w:tcBorders>
              <w:bottom w:val="single" w:sz="8" w:color="0C479D"/>
            </w:tcBorders>
            <w:shd w:val="clear" w:color="auto" w:fill="0C479D"/>
          </w:tcPr>
          <w:p>
            <w:pPr>
              <w:spacing w:after="0"/>
              <w:rPr>
                <w:sz w:val="15"/>
                <w:szCs w:val="15"/>
                <w:color w:val="auto"/>
              </w:rPr>
            </w:pPr>
          </w:p>
        </w:tc>
        <w:tc>
          <w:tcPr>
            <w:tcW w:w="600" w:type="dxa"/>
            <w:vAlign w:val="bottom"/>
            <w:tcBorders>
              <w:bottom w:val="single" w:sz="8" w:color="0C479D"/>
            </w:tcBorders>
            <w:vMerge w:val="continue"/>
            <w:shd w:val="clear" w:color="auto" w:fill="0C479D"/>
          </w:tcPr>
          <w:p>
            <w:pPr>
              <w:spacing w:after="0"/>
              <w:rPr>
                <w:sz w:val="15"/>
                <w:szCs w:val="15"/>
                <w:color w:val="auto"/>
              </w:rPr>
            </w:pPr>
          </w:p>
        </w:tc>
        <w:tc>
          <w:tcPr>
            <w:tcW w:w="0" w:type="dxa"/>
            <w:vAlign w:val="bottom"/>
          </w:tcPr>
          <w:p>
            <w:pPr>
              <w:spacing w:after="0"/>
              <w:rPr>
                <w:sz w:val="1"/>
                <w:szCs w:val="1"/>
                <w:color w:val="auto"/>
              </w:rPr>
            </w:pPr>
          </w:p>
        </w:tc>
      </w:tr>
      <w:tr>
        <w:trPr>
          <w:trHeight w:val="338"/>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C479D"/>
              </w:rPr>
              <w:t>Change in plan assets</w:t>
            </w:r>
          </w:p>
        </w:tc>
        <w:tc>
          <w:tcPr>
            <w:tcW w:w="840" w:type="dxa"/>
            <w:vAlign w:val="bottom"/>
            <w:tcBorders>
              <w:right w:val="single" w:sz="8" w:color="F0F0F0"/>
            </w:tcBorders>
            <w:shd w:val="clear" w:color="auto" w:fill="F0F0F0"/>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40" w:type="dxa"/>
            <w:vAlign w:val="bottom"/>
            <w:tcBorders>
              <w:right w:val="single" w:sz="8" w:color="F0F0F0"/>
            </w:tcBorders>
            <w:shd w:val="clear" w:color="auto" w:fill="F0F0F0"/>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Borders>
              <w:right w:val="single" w:sz="8" w:color="F0F0F0"/>
            </w:tcBorders>
            <w:shd w:val="clear" w:color="auto" w:fill="F0F0F0"/>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January 1</w:t>
            </w:r>
          </w:p>
        </w:tc>
        <w:tc>
          <w:tcPr>
            <w:tcW w:w="840" w:type="dxa"/>
            <w:vAlign w:val="bottom"/>
            <w:tcBorders>
              <w:right w:val="single" w:sz="8" w:color="F0F0F0"/>
            </w:tcBorders>
            <w:shd w:val="clear" w:color="auto" w:fill="F0F0F0"/>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11,367</w:t>
            </w:r>
          </w:p>
        </w:tc>
        <w:tc>
          <w:tcPr>
            <w:tcW w:w="300" w:type="dxa"/>
            <w:vAlign w:val="bottom"/>
          </w:tcPr>
          <w:p>
            <w:pPr>
              <w:spacing w:after="0"/>
              <w:rPr>
                <w:sz w:val="24"/>
                <w:szCs w:val="24"/>
                <w:color w:val="auto"/>
              </w:rPr>
            </w:pPr>
          </w:p>
        </w:tc>
        <w:tc>
          <w:tcPr>
            <w:tcW w:w="820" w:type="dxa"/>
            <w:vAlign w:val="bottom"/>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10,989</w:t>
            </w:r>
          </w:p>
        </w:tc>
        <w:tc>
          <w:tcPr>
            <w:tcW w:w="84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18,431</w:t>
            </w:r>
          </w:p>
        </w:tc>
        <w:tc>
          <w:tcPr>
            <w:tcW w:w="3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16,757</w:t>
            </w:r>
          </w:p>
        </w:tc>
        <w:tc>
          <w:tcPr>
            <w:tcW w:w="140" w:type="dxa"/>
            <w:vAlign w:val="bottom"/>
          </w:tcPr>
          <w:p>
            <w:pPr>
              <w:spacing w:after="0"/>
              <w:rPr>
                <w:sz w:val="24"/>
                <w:szCs w:val="24"/>
                <w:color w:val="auto"/>
              </w:rPr>
            </w:pPr>
          </w:p>
        </w:tc>
        <w:tc>
          <w:tcPr>
            <w:tcW w:w="82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371</w:t>
            </w:r>
          </w:p>
        </w:tc>
        <w:tc>
          <w:tcPr>
            <w:tcW w:w="3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348</w:t>
            </w:r>
          </w:p>
        </w:tc>
        <w:tc>
          <w:tcPr>
            <w:tcW w:w="0" w:type="dxa"/>
            <w:vAlign w:val="bottom"/>
          </w:tcPr>
          <w:p>
            <w:pPr>
              <w:spacing w:after="0"/>
              <w:rPr>
                <w:sz w:val="1"/>
                <w:szCs w:val="1"/>
                <w:color w:val="auto"/>
              </w:rPr>
            </w:pPr>
          </w:p>
        </w:tc>
      </w:tr>
      <w:tr>
        <w:trPr>
          <w:trHeight w:val="27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840" w:type="dxa"/>
            <w:vAlign w:val="bottom"/>
            <w:tcBorders>
              <w:right w:val="single" w:sz="8" w:color="F0F0F0"/>
            </w:tcBorders>
            <w:shd w:val="clear" w:color="auto" w:fill="F0F0F0"/>
          </w:tcPr>
          <w:p>
            <w:pPr>
              <w:jc w:val="right"/>
              <w:ind w:right="14"/>
              <w:spacing w:after="0"/>
              <w:rPr>
                <w:sz w:val="20"/>
                <w:szCs w:val="20"/>
                <w:color w:val="auto"/>
              </w:rPr>
            </w:pPr>
            <w:r>
              <w:rPr>
                <w:rFonts w:ascii="Times New Roman" w:cs="Times New Roman" w:eastAsia="Times New Roman" w:hAnsi="Times New Roman"/>
                <w:sz w:val="18"/>
                <w:szCs w:val="18"/>
                <w:color w:val="auto"/>
              </w:rPr>
              <w:t>286</w:t>
            </w:r>
          </w:p>
        </w:tc>
        <w:tc>
          <w:tcPr>
            <w:tcW w:w="300" w:type="dxa"/>
            <w:vAlign w:val="bottom"/>
          </w:tcPr>
          <w:p>
            <w:pPr>
              <w:spacing w:after="0"/>
              <w:rPr>
                <w:sz w:val="23"/>
                <w:szCs w:val="23"/>
                <w:color w:val="auto"/>
              </w:rPr>
            </w:pPr>
          </w:p>
        </w:tc>
        <w:tc>
          <w:tcPr>
            <w:tcW w:w="8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1,121</w:t>
            </w:r>
          </w:p>
        </w:tc>
        <w:tc>
          <w:tcPr>
            <w:tcW w:w="84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3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40" w:type="dxa"/>
            <w:vAlign w:val="bottom"/>
          </w:tcPr>
          <w:p>
            <w:pPr>
              <w:spacing w:after="0"/>
              <w:rPr>
                <w:sz w:val="23"/>
                <w:szCs w:val="23"/>
                <w:color w:val="auto"/>
              </w:rPr>
            </w:pPr>
          </w:p>
        </w:tc>
        <w:tc>
          <w:tcPr>
            <w:tcW w:w="82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7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rate changes</w:t>
            </w:r>
          </w:p>
        </w:tc>
        <w:tc>
          <w:tcPr>
            <w:tcW w:w="840" w:type="dxa"/>
            <w:vAlign w:val="bottom"/>
            <w:tcBorders>
              <w:right w:val="single" w:sz="8" w:color="F0F0F0"/>
            </w:tcBorders>
            <w:shd w:val="clear" w:color="auto" w:fill="F0F0F0"/>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3"/>
                <w:szCs w:val="23"/>
                <w:color w:val="auto"/>
              </w:rPr>
            </w:pPr>
          </w:p>
        </w:tc>
        <w:tc>
          <w:tcPr>
            <w:tcW w:w="8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3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40" w:type="dxa"/>
            <w:vAlign w:val="bottom"/>
          </w:tcPr>
          <w:p>
            <w:pPr>
              <w:spacing w:after="0"/>
              <w:rPr>
                <w:sz w:val="23"/>
                <w:szCs w:val="23"/>
                <w:color w:val="auto"/>
              </w:rPr>
            </w:pPr>
          </w:p>
        </w:tc>
        <w:tc>
          <w:tcPr>
            <w:tcW w:w="82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contribution</w:t>
            </w:r>
          </w:p>
        </w:tc>
        <w:tc>
          <w:tcPr>
            <w:tcW w:w="840" w:type="dxa"/>
            <w:vAlign w:val="bottom"/>
            <w:tcBorders>
              <w:right w:val="single" w:sz="8" w:color="F0F0F0"/>
            </w:tcBorders>
            <w:shd w:val="clear" w:color="auto" w:fill="F0F0F0"/>
          </w:tcPr>
          <w:p>
            <w:pPr>
              <w:jc w:val="right"/>
              <w:ind w:right="14"/>
              <w:spacing w:after="0"/>
              <w:rPr>
                <w:sz w:val="20"/>
                <w:szCs w:val="20"/>
                <w:color w:val="auto"/>
              </w:rPr>
            </w:pPr>
            <w:r>
              <w:rPr>
                <w:rFonts w:ascii="Times New Roman" w:cs="Times New Roman" w:eastAsia="Times New Roman" w:hAnsi="Times New Roman"/>
                <w:sz w:val="18"/>
                <w:szCs w:val="18"/>
                <w:color w:val="auto"/>
              </w:rPr>
              <w:t>300</w:t>
            </w:r>
          </w:p>
        </w:tc>
        <w:tc>
          <w:tcPr>
            <w:tcW w:w="300" w:type="dxa"/>
            <w:vAlign w:val="bottom"/>
          </w:tcPr>
          <w:p>
            <w:pPr>
              <w:spacing w:after="0"/>
              <w:rPr>
                <w:sz w:val="23"/>
                <w:szCs w:val="23"/>
                <w:color w:val="auto"/>
              </w:rPr>
            </w:pPr>
          </w:p>
        </w:tc>
        <w:tc>
          <w:tcPr>
            <w:tcW w:w="8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3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40" w:type="dxa"/>
            <w:vAlign w:val="bottom"/>
          </w:tcPr>
          <w:p>
            <w:pPr>
              <w:spacing w:after="0"/>
              <w:rPr>
                <w:sz w:val="23"/>
                <w:szCs w:val="23"/>
                <w:color w:val="auto"/>
              </w:rPr>
            </w:pPr>
          </w:p>
        </w:tc>
        <w:tc>
          <w:tcPr>
            <w:tcW w:w="82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7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Benefits paid </w:t>
            </w:r>
            <w:r>
              <w:rPr>
                <w:rFonts w:ascii="Times New Roman" w:cs="Times New Roman" w:eastAsia="Times New Roman" w:hAnsi="Times New Roman"/>
                <w:sz w:val="9"/>
                <w:szCs w:val="9"/>
                <w:i w:val="1"/>
                <w:iCs w:val="1"/>
                <w:color w:val="auto"/>
              </w:rPr>
              <w:t>(1)</w:t>
            </w:r>
          </w:p>
        </w:tc>
        <w:tc>
          <w:tcPr>
            <w:tcW w:w="84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300" w:type="dxa"/>
            <w:vAlign w:val="bottom"/>
          </w:tcPr>
          <w:p>
            <w:pPr>
              <w:spacing w:after="0"/>
              <w:rPr>
                <w:sz w:val="23"/>
                <w:szCs w:val="23"/>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(743)</w:t>
            </w:r>
          </w:p>
        </w:tc>
        <w:tc>
          <w:tcPr>
            <w:tcW w:w="84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3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40" w:type="dxa"/>
            <w:vAlign w:val="bottom"/>
          </w:tcPr>
          <w:p>
            <w:pPr>
              <w:spacing w:after="0"/>
              <w:rPr>
                <w:sz w:val="23"/>
                <w:szCs w:val="23"/>
                <w:color w:val="auto"/>
              </w:rPr>
            </w:pPr>
          </w:p>
        </w:tc>
        <w:tc>
          <w:tcPr>
            <w:tcW w:w="82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70"/>
        </w:trPr>
        <w:tc>
          <w:tcPr>
            <w:tcW w:w="402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tcBorders>
              <w:bottom w:val="single" w:sz="8" w:color="0C479D"/>
              <w:right w:val="single" w:sz="8" w:color="F0F0F0"/>
            </w:tcBorders>
            <w:shd w:val="clear" w:color="auto" w:fill="F0F0F0"/>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0C479D"/>
            </w:tcBorders>
          </w:tcPr>
          <w:p>
            <w:pPr>
              <w:spacing w:after="0"/>
              <w:rPr>
                <w:sz w:val="23"/>
                <w:szCs w:val="23"/>
                <w:color w:val="auto"/>
              </w:rPr>
            </w:pPr>
          </w:p>
        </w:tc>
        <w:tc>
          <w:tcPr>
            <w:tcW w:w="820" w:type="dxa"/>
            <w:vAlign w:val="bottom"/>
            <w:tcBorders>
              <w:bottom w:val="single" w:sz="8" w:color="0C479D"/>
            </w:tcBorders>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0C479D"/>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380" w:type="dxa"/>
            <w:vAlign w:val="bottom"/>
            <w:tcBorders>
              <w:bottom w:val="single" w:sz="8" w:color="0C479D"/>
            </w:tcBorders>
          </w:tcPr>
          <w:p>
            <w:pPr>
              <w:spacing w:after="0"/>
              <w:rPr>
                <w:sz w:val="23"/>
                <w:szCs w:val="23"/>
                <w:color w:val="auto"/>
              </w:rPr>
            </w:pPr>
          </w:p>
        </w:tc>
        <w:tc>
          <w:tcPr>
            <w:tcW w:w="6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Borders>
              <w:bottom w:val="single" w:sz="8" w:color="0C479D"/>
            </w:tcBorders>
          </w:tcPr>
          <w:p>
            <w:pPr>
              <w:spacing w:after="0"/>
              <w:rPr>
                <w:sz w:val="23"/>
                <w:szCs w:val="23"/>
                <w:color w:val="auto"/>
              </w:rPr>
            </w:pPr>
          </w:p>
        </w:tc>
        <w:tc>
          <w:tcPr>
            <w:tcW w:w="820" w:type="dxa"/>
            <w:vAlign w:val="bottom"/>
            <w:tcBorders>
              <w:bottom w:val="single" w:sz="8" w:color="0C479D"/>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0C479D"/>
            </w:tcBorders>
          </w:tcPr>
          <w:p>
            <w:pPr>
              <w:spacing w:after="0"/>
              <w:rPr>
                <w:sz w:val="23"/>
                <w:szCs w:val="23"/>
                <w:color w:val="auto"/>
              </w:rPr>
            </w:pPr>
          </w:p>
        </w:tc>
        <w:tc>
          <w:tcPr>
            <w:tcW w:w="6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02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w:t>
            </w:r>
          </w:p>
        </w:tc>
        <w:tc>
          <w:tcPr>
            <w:tcW w:w="840" w:type="dxa"/>
            <w:vAlign w:val="bottom"/>
            <w:tcBorders>
              <w:bottom w:val="single" w:sz="8" w:color="0C479D"/>
              <w:right w:val="single" w:sz="8" w:color="F0F0F0"/>
            </w:tcBorders>
            <w:shd w:val="clear" w:color="auto" w:fill="F0F0F0"/>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11,244</w:t>
            </w:r>
          </w:p>
        </w:tc>
        <w:tc>
          <w:tcPr>
            <w:tcW w:w="300" w:type="dxa"/>
            <w:vAlign w:val="bottom"/>
            <w:tcBorders>
              <w:bottom w:val="single" w:sz="8" w:color="0C479D"/>
            </w:tcBorders>
          </w:tcPr>
          <w:p>
            <w:pPr>
              <w:spacing w:after="0"/>
              <w:rPr>
                <w:sz w:val="21"/>
                <w:szCs w:val="21"/>
                <w:color w:val="auto"/>
              </w:rPr>
            </w:pPr>
          </w:p>
        </w:tc>
        <w:tc>
          <w:tcPr>
            <w:tcW w:w="820" w:type="dxa"/>
            <w:vAlign w:val="bottom"/>
            <w:tcBorders>
              <w:bottom w:val="single" w:sz="8" w:color="0C479D"/>
            </w:tcBorders>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11,367</w:t>
            </w:r>
          </w:p>
        </w:tc>
        <w:tc>
          <w:tcPr>
            <w:tcW w:w="840" w:type="dxa"/>
            <w:vAlign w:val="bottom"/>
            <w:tcBorders>
              <w:bottom w:val="single" w:sz="8" w:color="0C479D"/>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17,378</w:t>
            </w:r>
          </w:p>
        </w:tc>
        <w:tc>
          <w:tcPr>
            <w:tcW w:w="380" w:type="dxa"/>
            <w:vAlign w:val="bottom"/>
            <w:tcBorders>
              <w:bottom w:val="single" w:sz="8" w:color="0C479D"/>
            </w:tcBorders>
          </w:tcPr>
          <w:p>
            <w:pPr>
              <w:spacing w:after="0"/>
              <w:rPr>
                <w:sz w:val="21"/>
                <w:szCs w:val="21"/>
                <w:color w:val="auto"/>
              </w:rPr>
            </w:pPr>
          </w:p>
        </w:tc>
        <w:tc>
          <w:tcPr>
            <w:tcW w:w="6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18,431</w:t>
            </w:r>
          </w:p>
        </w:tc>
        <w:tc>
          <w:tcPr>
            <w:tcW w:w="140" w:type="dxa"/>
            <w:vAlign w:val="bottom"/>
            <w:tcBorders>
              <w:bottom w:val="single" w:sz="8" w:color="0C479D"/>
            </w:tcBorders>
          </w:tcPr>
          <w:p>
            <w:pPr>
              <w:spacing w:after="0"/>
              <w:rPr>
                <w:sz w:val="21"/>
                <w:szCs w:val="21"/>
                <w:color w:val="auto"/>
              </w:rPr>
            </w:pPr>
          </w:p>
        </w:tc>
        <w:tc>
          <w:tcPr>
            <w:tcW w:w="820" w:type="dxa"/>
            <w:vAlign w:val="bottom"/>
            <w:tcBorders>
              <w:bottom w:val="single" w:sz="8" w:color="0C479D"/>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364</w:t>
            </w:r>
          </w:p>
        </w:tc>
        <w:tc>
          <w:tcPr>
            <w:tcW w:w="360" w:type="dxa"/>
            <w:vAlign w:val="bottom"/>
            <w:tcBorders>
              <w:bottom w:val="single" w:sz="8" w:color="0C479D"/>
            </w:tcBorders>
          </w:tcPr>
          <w:p>
            <w:pPr>
              <w:spacing w:after="0"/>
              <w:rPr>
                <w:sz w:val="21"/>
                <w:szCs w:val="21"/>
                <w:color w:val="auto"/>
              </w:rPr>
            </w:pPr>
          </w:p>
        </w:tc>
        <w:tc>
          <w:tcPr>
            <w:tcW w:w="6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371</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i w:val="1"/>
          <w:iCs w:val="1"/>
          <w:color w:val="auto"/>
          <w:vertAlign w:val="superscript"/>
        </w:rPr>
        <w:t>(1)</w:t>
      </w:r>
      <w:r>
        <w:rPr>
          <w:rFonts w:ascii="Times New Roman" w:cs="Times New Roman" w:eastAsia="Times New Roman" w:hAnsi="Times New Roman"/>
          <w:sz w:val="14"/>
          <w:szCs w:val="14"/>
          <w:i w:val="1"/>
          <w:iCs w:val="1"/>
          <w:color w:val="auto"/>
        </w:rPr>
        <w:t xml:space="preserve"> Benefit payments for funded plans.</w:t>
      </w:r>
    </w:p>
    <w:p>
      <w:pPr>
        <w:sectPr>
          <w:pgSz w:w="11900" w:h="16838" w:orient="portrait"/>
          <w:cols w:equalWidth="0" w:num="1">
            <w:col w:w="11240"/>
          </w:cols>
          <w:pgMar w:left="320" w:top="216" w:right="339" w:bottom="1440" w:gutter="0" w:footer="0" w:header="0"/>
          <w:type w:val="continuous"/>
        </w:sect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22"/>
          <w:szCs w:val="22"/>
          <w:b w:val="1"/>
          <w:bCs w:val="1"/>
          <w:color w:val="0C479D"/>
        </w:rPr>
        <w:t>NOTES TO CONSOLIDATED FINANCIAL STATEMENTS</w:t>
      </w:r>
    </w:p>
    <w:p>
      <w:pPr>
        <w:spacing w:after="0" w:line="200" w:lineRule="exact"/>
        <w:rPr>
          <w:sz w:val="20"/>
          <w:szCs w:val="20"/>
          <w:color w:val="auto"/>
        </w:rPr>
      </w:pPr>
    </w:p>
    <w:p>
      <w:pPr>
        <w:spacing w:after="0" w:line="2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funding levels of all qualified pension plans are in compliance with standards set by applicable law or regulation. As shown in the table below, certain smaller U.S. pension plans and a number of non-U.S. pension plans are not funded because local applicable tax rules and regulatory practices do not encourage funding of these plans. All defined benefit pension obligations, regardless of the funding status of the underlying plans, are fully supported by the financial strength of the Corporation or the respective sponsoring affiliate.</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190"/>
        </w:trPr>
        <w:tc>
          <w:tcPr>
            <w:tcW w:w="5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4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0C479D"/>
              </w:rPr>
              <w:t>Pension Benefits</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5880" w:type="dxa"/>
            <w:vAlign w:val="bottom"/>
          </w:tcPr>
          <w:p>
            <w:pPr>
              <w:spacing w:after="0"/>
              <w:rPr>
                <w:sz w:val="5"/>
                <w:szCs w:val="5"/>
                <w:color w:val="auto"/>
              </w:rPr>
            </w:pPr>
          </w:p>
        </w:tc>
        <w:tc>
          <w:tcPr>
            <w:tcW w:w="860" w:type="dxa"/>
            <w:vAlign w:val="bottom"/>
            <w:tcBorders>
              <w:bottom w:val="single" w:sz="8" w:color="0C479D"/>
            </w:tcBorders>
          </w:tcPr>
          <w:p>
            <w:pPr>
              <w:spacing w:after="0"/>
              <w:rPr>
                <w:sz w:val="5"/>
                <w:szCs w:val="5"/>
                <w:color w:val="auto"/>
              </w:rPr>
            </w:pPr>
          </w:p>
        </w:tc>
        <w:tc>
          <w:tcPr>
            <w:tcW w:w="300" w:type="dxa"/>
            <w:vAlign w:val="bottom"/>
            <w:tcBorders>
              <w:bottom w:val="single" w:sz="8" w:color="0C479D"/>
            </w:tcBorders>
          </w:tcPr>
          <w:p>
            <w:pPr>
              <w:spacing w:after="0"/>
              <w:rPr>
                <w:sz w:val="5"/>
                <w:szCs w:val="5"/>
                <w:color w:val="auto"/>
              </w:rPr>
            </w:pPr>
          </w:p>
        </w:tc>
        <w:tc>
          <w:tcPr>
            <w:tcW w:w="820" w:type="dxa"/>
            <w:vAlign w:val="bottom"/>
            <w:tcBorders>
              <w:bottom w:val="single" w:sz="8" w:color="0C479D"/>
            </w:tcBorders>
          </w:tcPr>
          <w:p>
            <w:pPr>
              <w:spacing w:after="0"/>
              <w:rPr>
                <w:sz w:val="5"/>
                <w:szCs w:val="5"/>
                <w:color w:val="auto"/>
              </w:rPr>
            </w:pPr>
          </w:p>
        </w:tc>
        <w:tc>
          <w:tcPr>
            <w:tcW w:w="860" w:type="dxa"/>
            <w:vAlign w:val="bottom"/>
            <w:tcBorders>
              <w:bottom w:val="single" w:sz="8" w:color="0C479D"/>
            </w:tcBorders>
          </w:tcPr>
          <w:p>
            <w:pPr>
              <w:spacing w:after="0"/>
              <w:rPr>
                <w:sz w:val="5"/>
                <w:szCs w:val="5"/>
                <w:color w:val="auto"/>
              </w:rPr>
            </w:pPr>
          </w:p>
        </w:tc>
        <w:tc>
          <w:tcPr>
            <w:tcW w:w="360" w:type="dxa"/>
            <w:vAlign w:val="bottom"/>
            <w:tcBorders>
              <w:bottom w:val="single" w:sz="8" w:color="0C479D"/>
            </w:tcBorders>
          </w:tcPr>
          <w:p>
            <w:pPr>
              <w:spacing w:after="0"/>
              <w:rPr>
                <w:sz w:val="5"/>
                <w:szCs w:val="5"/>
                <w:color w:val="auto"/>
              </w:rPr>
            </w:pPr>
          </w:p>
        </w:tc>
        <w:tc>
          <w:tcPr>
            <w:tcW w:w="620" w:type="dxa"/>
            <w:vAlign w:val="bottom"/>
            <w:tcBorders>
              <w:bottom w:val="single" w:sz="8" w:color="0C479D"/>
            </w:tcBorders>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5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880" w:type="dxa"/>
            <w:vAlign w:val="bottom"/>
            <w:vMerge w:val="restart"/>
            <w:shd w:val="clear" w:color="auto" w:fill="0C479D"/>
          </w:tcPr>
          <w:p>
            <w:pPr>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1160" w:type="dxa"/>
            <w:vAlign w:val="bottom"/>
            <w:gridSpan w:val="2"/>
            <w:shd w:val="clear" w:color="auto" w:fill="0C479D"/>
          </w:tcPr>
          <w:p>
            <w:pPr>
              <w:ind w:left="800"/>
              <w:spacing w:after="0"/>
              <w:rPr>
                <w:sz w:val="20"/>
                <w:szCs w:val="20"/>
                <w:color w:val="auto"/>
              </w:rPr>
            </w:pPr>
            <w:r>
              <w:rPr>
                <w:rFonts w:ascii="Times New Roman" w:cs="Times New Roman" w:eastAsia="Times New Roman" w:hAnsi="Times New Roman"/>
                <w:sz w:val="14"/>
                <w:szCs w:val="14"/>
                <w:b w:val="1"/>
                <w:bCs w:val="1"/>
                <w:color w:val="FFFFFF"/>
              </w:rPr>
              <w:t>U.S.</w:t>
            </w:r>
          </w:p>
        </w:tc>
        <w:tc>
          <w:tcPr>
            <w:tcW w:w="820" w:type="dxa"/>
            <w:vAlign w:val="bottom"/>
            <w:shd w:val="clear" w:color="auto" w:fill="0C479D"/>
          </w:tcPr>
          <w:p>
            <w:pPr>
              <w:spacing w:after="0"/>
              <w:rPr>
                <w:sz w:val="17"/>
                <w:szCs w:val="17"/>
                <w:color w:val="auto"/>
              </w:rPr>
            </w:pPr>
          </w:p>
        </w:tc>
        <w:tc>
          <w:tcPr>
            <w:tcW w:w="1220" w:type="dxa"/>
            <w:vAlign w:val="bottom"/>
            <w:gridSpan w:val="2"/>
            <w:shd w:val="clear" w:color="auto" w:fill="0C479D"/>
          </w:tcPr>
          <w:p>
            <w:pPr>
              <w:ind w:left="640"/>
              <w:spacing w:after="0"/>
              <w:rPr>
                <w:sz w:val="20"/>
                <w:szCs w:val="20"/>
                <w:color w:val="auto"/>
              </w:rPr>
            </w:pPr>
            <w:r>
              <w:rPr>
                <w:rFonts w:ascii="Times New Roman" w:cs="Times New Roman" w:eastAsia="Times New Roman" w:hAnsi="Times New Roman"/>
                <w:sz w:val="14"/>
                <w:szCs w:val="14"/>
                <w:b w:val="1"/>
                <w:bCs w:val="1"/>
                <w:color w:val="FFFFFF"/>
              </w:rPr>
              <w:t>Non-U.S.</w:t>
            </w:r>
          </w:p>
        </w:tc>
        <w:tc>
          <w:tcPr>
            <w:tcW w:w="620" w:type="dxa"/>
            <w:vAlign w:val="bottom"/>
            <w:shd w:val="clear" w:color="auto" w:fill="0C479D"/>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5880" w:type="dxa"/>
            <w:vAlign w:val="bottom"/>
            <w:vMerge w:val="continue"/>
            <w:shd w:val="clear" w:color="auto" w:fill="0C479D"/>
          </w:tcPr>
          <w:p>
            <w:pPr>
              <w:spacing w:after="0"/>
              <w:rPr>
                <w:sz w:val="11"/>
                <w:szCs w:val="11"/>
                <w:color w:val="auto"/>
              </w:rPr>
            </w:pPr>
          </w:p>
        </w:tc>
        <w:tc>
          <w:tcPr>
            <w:tcW w:w="860" w:type="dxa"/>
            <w:vAlign w:val="bottom"/>
            <w:tcBorders>
              <w:right w:val="single" w:sz="8" w:color="0C479D"/>
            </w:tcBorders>
            <w:vMerge w:val="restart"/>
            <w:shd w:val="clear" w:color="auto" w:fill="0C479D"/>
          </w:tcPr>
          <w:p>
            <w:pPr>
              <w:jc w:val="right"/>
              <w:ind w:right="197"/>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300" w:type="dxa"/>
            <w:vAlign w:val="bottom"/>
            <w:shd w:val="clear" w:color="auto" w:fill="0C479D"/>
          </w:tcPr>
          <w:p>
            <w:pPr>
              <w:spacing w:after="0"/>
              <w:rPr>
                <w:sz w:val="11"/>
                <w:szCs w:val="11"/>
                <w:color w:val="auto"/>
              </w:rPr>
            </w:pPr>
          </w:p>
        </w:tc>
        <w:tc>
          <w:tcPr>
            <w:tcW w:w="820" w:type="dxa"/>
            <w:vAlign w:val="bottom"/>
            <w:vMerge w:val="restart"/>
            <w:shd w:val="clear" w:color="auto" w:fill="0C479D"/>
          </w:tcPr>
          <w:p>
            <w:pPr>
              <w:jc w:val="right"/>
              <w:ind w:right="337"/>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860" w:type="dxa"/>
            <w:vAlign w:val="bottom"/>
            <w:tcBorders>
              <w:right w:val="single" w:sz="8" w:color="0C479D"/>
            </w:tcBorders>
            <w:vMerge w:val="restart"/>
            <w:shd w:val="clear" w:color="auto" w:fill="0C479D"/>
          </w:tcPr>
          <w:p>
            <w:pPr>
              <w:ind w:left="280"/>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360" w:type="dxa"/>
            <w:vAlign w:val="bottom"/>
            <w:shd w:val="clear" w:color="auto" w:fill="0C479D"/>
          </w:tcPr>
          <w:p>
            <w:pPr>
              <w:spacing w:after="0"/>
              <w:rPr>
                <w:sz w:val="11"/>
                <w:szCs w:val="11"/>
                <w:color w:val="auto"/>
              </w:rPr>
            </w:pPr>
          </w:p>
        </w:tc>
        <w:tc>
          <w:tcPr>
            <w:tcW w:w="620" w:type="dxa"/>
            <w:vAlign w:val="bottom"/>
            <w:vMerge w:val="restart"/>
            <w:shd w:val="clear" w:color="auto" w:fill="0C479D"/>
          </w:tcPr>
          <w:p>
            <w:pPr>
              <w:ind w:left="40"/>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0" w:type="dxa"/>
            <w:vAlign w:val="bottom"/>
          </w:tcPr>
          <w:p>
            <w:pPr>
              <w:spacing w:after="0"/>
              <w:rPr>
                <w:sz w:val="1"/>
                <w:szCs w:val="1"/>
                <w:color w:val="auto"/>
              </w:rPr>
            </w:pPr>
          </w:p>
        </w:tc>
      </w:tr>
      <w:tr>
        <w:trPr>
          <w:trHeight w:val="135"/>
        </w:trPr>
        <w:tc>
          <w:tcPr>
            <w:tcW w:w="5880" w:type="dxa"/>
            <w:vAlign w:val="bottom"/>
            <w:shd w:val="clear" w:color="auto" w:fill="0C479D"/>
          </w:tcPr>
          <w:p>
            <w:pPr>
              <w:spacing w:after="0"/>
              <w:rPr>
                <w:sz w:val="11"/>
                <w:szCs w:val="11"/>
                <w:color w:val="auto"/>
              </w:rPr>
            </w:pPr>
          </w:p>
        </w:tc>
        <w:tc>
          <w:tcPr>
            <w:tcW w:w="860" w:type="dxa"/>
            <w:vAlign w:val="bottom"/>
            <w:tcBorders>
              <w:right w:val="single" w:sz="8" w:color="0C479D"/>
            </w:tcBorders>
            <w:vMerge w:val="continue"/>
            <w:shd w:val="clear" w:color="auto" w:fill="0C479D"/>
          </w:tcPr>
          <w:p>
            <w:pPr>
              <w:spacing w:after="0"/>
              <w:rPr>
                <w:sz w:val="11"/>
                <w:szCs w:val="11"/>
                <w:color w:val="auto"/>
              </w:rPr>
            </w:pPr>
          </w:p>
        </w:tc>
        <w:tc>
          <w:tcPr>
            <w:tcW w:w="300" w:type="dxa"/>
            <w:vAlign w:val="bottom"/>
            <w:shd w:val="clear" w:color="auto" w:fill="0C479D"/>
          </w:tcPr>
          <w:p>
            <w:pPr>
              <w:spacing w:after="0"/>
              <w:rPr>
                <w:sz w:val="11"/>
                <w:szCs w:val="11"/>
                <w:color w:val="auto"/>
              </w:rPr>
            </w:pPr>
          </w:p>
        </w:tc>
        <w:tc>
          <w:tcPr>
            <w:tcW w:w="820" w:type="dxa"/>
            <w:vAlign w:val="bottom"/>
            <w:vMerge w:val="continue"/>
            <w:shd w:val="clear" w:color="auto" w:fill="0C479D"/>
          </w:tcPr>
          <w:p>
            <w:pPr>
              <w:spacing w:after="0"/>
              <w:rPr>
                <w:sz w:val="11"/>
                <w:szCs w:val="11"/>
                <w:color w:val="auto"/>
              </w:rPr>
            </w:pPr>
          </w:p>
        </w:tc>
        <w:tc>
          <w:tcPr>
            <w:tcW w:w="860" w:type="dxa"/>
            <w:vAlign w:val="bottom"/>
            <w:tcBorders>
              <w:right w:val="single" w:sz="8" w:color="0C479D"/>
            </w:tcBorders>
            <w:vMerge w:val="continue"/>
            <w:shd w:val="clear" w:color="auto" w:fill="0C479D"/>
          </w:tcPr>
          <w:p>
            <w:pPr>
              <w:spacing w:after="0"/>
              <w:rPr>
                <w:sz w:val="11"/>
                <w:szCs w:val="11"/>
                <w:color w:val="auto"/>
              </w:rPr>
            </w:pPr>
          </w:p>
        </w:tc>
        <w:tc>
          <w:tcPr>
            <w:tcW w:w="360" w:type="dxa"/>
            <w:vAlign w:val="bottom"/>
            <w:shd w:val="clear" w:color="auto" w:fill="0C479D"/>
          </w:tcPr>
          <w:p>
            <w:pPr>
              <w:spacing w:after="0"/>
              <w:rPr>
                <w:sz w:val="11"/>
                <w:szCs w:val="11"/>
                <w:color w:val="auto"/>
              </w:rPr>
            </w:pPr>
          </w:p>
        </w:tc>
        <w:tc>
          <w:tcPr>
            <w:tcW w:w="620" w:type="dxa"/>
            <w:vAlign w:val="bottom"/>
            <w:vMerge w:val="continue"/>
            <w:shd w:val="clear" w:color="auto" w:fill="0C479D"/>
          </w:tcPr>
          <w:p>
            <w:pPr>
              <w:spacing w:after="0"/>
              <w:rPr>
                <w:sz w:val="11"/>
                <w:szCs w:val="11"/>
                <w:color w:val="auto"/>
              </w:rPr>
            </w:pPr>
          </w:p>
        </w:tc>
        <w:tc>
          <w:tcPr>
            <w:tcW w:w="0" w:type="dxa"/>
            <w:vAlign w:val="bottom"/>
          </w:tcPr>
          <w:p>
            <w:pPr>
              <w:spacing w:after="0"/>
              <w:rPr>
                <w:sz w:val="1"/>
                <w:szCs w:val="1"/>
                <w:color w:val="auto"/>
              </w:rPr>
            </w:pPr>
          </w:p>
        </w:tc>
      </w:tr>
      <w:tr>
        <w:trPr>
          <w:trHeight w:val="64"/>
        </w:trPr>
        <w:tc>
          <w:tcPr>
            <w:tcW w:w="5880" w:type="dxa"/>
            <w:vAlign w:val="bottom"/>
            <w:shd w:val="clear" w:color="auto" w:fill="0C479D"/>
          </w:tcPr>
          <w:p>
            <w:pPr>
              <w:spacing w:after="0"/>
              <w:rPr>
                <w:sz w:val="5"/>
                <w:szCs w:val="5"/>
                <w:color w:val="auto"/>
              </w:rPr>
            </w:pPr>
          </w:p>
        </w:tc>
        <w:tc>
          <w:tcPr>
            <w:tcW w:w="860" w:type="dxa"/>
            <w:vAlign w:val="bottom"/>
            <w:tcBorders>
              <w:right w:val="single" w:sz="8" w:color="0C479D"/>
            </w:tcBorders>
            <w:shd w:val="clear" w:color="auto" w:fill="0C479D"/>
          </w:tcPr>
          <w:p>
            <w:pPr>
              <w:spacing w:after="0"/>
              <w:rPr>
                <w:sz w:val="5"/>
                <w:szCs w:val="5"/>
                <w:color w:val="auto"/>
              </w:rPr>
            </w:pPr>
          </w:p>
        </w:tc>
        <w:tc>
          <w:tcPr>
            <w:tcW w:w="300" w:type="dxa"/>
            <w:vAlign w:val="bottom"/>
            <w:shd w:val="clear" w:color="auto" w:fill="0C479D"/>
          </w:tcPr>
          <w:p>
            <w:pPr>
              <w:spacing w:after="0"/>
              <w:rPr>
                <w:sz w:val="5"/>
                <w:szCs w:val="5"/>
                <w:color w:val="auto"/>
              </w:rPr>
            </w:pPr>
          </w:p>
        </w:tc>
        <w:tc>
          <w:tcPr>
            <w:tcW w:w="820" w:type="dxa"/>
            <w:vAlign w:val="bottom"/>
            <w:shd w:val="clear" w:color="auto" w:fill="0C479D"/>
          </w:tcPr>
          <w:p>
            <w:pPr>
              <w:spacing w:after="0"/>
              <w:rPr>
                <w:sz w:val="5"/>
                <w:szCs w:val="5"/>
                <w:color w:val="auto"/>
              </w:rPr>
            </w:pPr>
          </w:p>
        </w:tc>
        <w:tc>
          <w:tcPr>
            <w:tcW w:w="860" w:type="dxa"/>
            <w:vAlign w:val="bottom"/>
            <w:tcBorders>
              <w:right w:val="single" w:sz="8" w:color="0C479D"/>
            </w:tcBorders>
            <w:shd w:val="clear" w:color="auto" w:fill="0C479D"/>
          </w:tcPr>
          <w:p>
            <w:pPr>
              <w:spacing w:after="0"/>
              <w:rPr>
                <w:sz w:val="5"/>
                <w:szCs w:val="5"/>
                <w:color w:val="auto"/>
              </w:rPr>
            </w:pPr>
          </w:p>
        </w:tc>
        <w:tc>
          <w:tcPr>
            <w:tcW w:w="360" w:type="dxa"/>
            <w:vAlign w:val="bottom"/>
            <w:shd w:val="clear" w:color="auto" w:fill="0C479D"/>
          </w:tcPr>
          <w:p>
            <w:pPr>
              <w:spacing w:after="0"/>
              <w:rPr>
                <w:sz w:val="5"/>
                <w:szCs w:val="5"/>
                <w:color w:val="auto"/>
              </w:rPr>
            </w:pPr>
          </w:p>
        </w:tc>
        <w:tc>
          <w:tcPr>
            <w:tcW w:w="620" w:type="dxa"/>
            <w:vAlign w:val="bottom"/>
            <w:shd w:val="clear" w:color="auto" w:fill="0C479D"/>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5880" w:type="dxa"/>
            <w:vAlign w:val="bottom"/>
          </w:tcPr>
          <w:p>
            <w:pPr>
              <w:spacing w:after="0"/>
              <w:rPr>
                <w:sz w:val="20"/>
                <w:szCs w:val="20"/>
                <w:color w:val="auto"/>
              </w:rPr>
            </w:pPr>
            <w:r>
              <w:rPr>
                <w:rFonts w:ascii="Times New Roman" w:cs="Times New Roman" w:eastAsia="Times New Roman" w:hAnsi="Times New Roman"/>
                <w:sz w:val="18"/>
                <w:szCs w:val="18"/>
                <w:b w:val="1"/>
                <w:bCs w:val="1"/>
                <w:color w:val="0C479D"/>
              </w:rPr>
              <w:t>Assets in excess of/(less than) benefit obligation</w:t>
            </w:r>
          </w:p>
        </w:tc>
        <w:tc>
          <w:tcPr>
            <w:tcW w:w="860" w:type="dxa"/>
            <w:vAlign w:val="bottom"/>
            <w:tcBorders>
              <w:right w:val="single" w:sz="8" w:color="F0F0F0"/>
            </w:tcBorders>
            <w:shd w:val="clear" w:color="auto" w:fill="F0F0F0"/>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Borders>
              <w:right w:val="single" w:sz="8" w:color="F0F0F0"/>
            </w:tcBorders>
            <w:shd w:val="clear" w:color="auto" w:fill="F0F0F0"/>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w:t>
            </w:r>
          </w:p>
        </w:tc>
        <w:tc>
          <w:tcPr>
            <w:tcW w:w="860" w:type="dxa"/>
            <w:vAlign w:val="bottom"/>
            <w:tcBorders>
              <w:right w:val="single" w:sz="8" w:color="F0F0F0"/>
            </w:tcBorders>
            <w:shd w:val="clear" w:color="auto" w:fill="F0F0F0"/>
          </w:tcPr>
          <w:p>
            <w:pPr>
              <w:spacing w:after="0"/>
              <w:rPr>
                <w:sz w:val="23"/>
                <w:szCs w:val="23"/>
                <w:color w:val="auto"/>
              </w:rPr>
            </w:pP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60" w:type="dxa"/>
            <w:vAlign w:val="bottom"/>
            <w:tcBorders>
              <w:right w:val="single" w:sz="8" w:color="F0F0F0"/>
            </w:tcBorders>
            <w:shd w:val="clear" w:color="auto" w:fill="F0F0F0"/>
          </w:tcPr>
          <w:p>
            <w:pPr>
              <w:spacing w:after="0"/>
              <w:rPr>
                <w:sz w:val="23"/>
                <w:szCs w:val="23"/>
                <w:color w:val="auto"/>
              </w:rPr>
            </w:pPr>
          </w:p>
        </w:tc>
        <w:tc>
          <w:tcPr>
            <w:tcW w:w="3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Funded plans</w:t>
            </w:r>
          </w:p>
        </w:tc>
        <w:tc>
          <w:tcPr>
            <w:tcW w:w="86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300" w:type="dxa"/>
            <w:vAlign w:val="bottom"/>
          </w:tcPr>
          <w:p>
            <w:pPr>
              <w:spacing w:after="0"/>
              <w:rPr>
                <w:sz w:val="24"/>
                <w:szCs w:val="24"/>
                <w:color w:val="auto"/>
              </w:rPr>
            </w:pPr>
          </w:p>
        </w:tc>
        <w:tc>
          <w:tcPr>
            <w:tcW w:w="82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(271)</w:t>
            </w:r>
          </w:p>
        </w:tc>
        <w:tc>
          <w:tcPr>
            <w:tcW w:w="860" w:type="dxa"/>
            <w:vAlign w:val="bottom"/>
            <w:tcBorders>
              <w:right w:val="single" w:sz="8" w:color="F0F0F0"/>
            </w:tcBorders>
            <w:shd w:val="clear" w:color="auto" w:fill="F0F0F0"/>
          </w:tcPr>
          <w:p>
            <w:pPr>
              <w:jc w:val="right"/>
              <w:ind w:right="17"/>
              <w:spacing w:after="0"/>
              <w:rPr>
                <w:sz w:val="20"/>
                <w:szCs w:val="20"/>
                <w:color w:val="auto"/>
              </w:rPr>
            </w:pPr>
            <w:r>
              <w:rPr>
                <w:rFonts w:ascii="Times New Roman" w:cs="Times New Roman" w:eastAsia="Times New Roman" w:hAnsi="Times New Roman"/>
                <w:sz w:val="18"/>
                <w:szCs w:val="18"/>
                <w:color w:val="auto"/>
              </w:rPr>
              <w:t>1,679</w:t>
            </w:r>
          </w:p>
        </w:tc>
        <w:tc>
          <w:tcPr>
            <w:tcW w:w="3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0" w:type="dxa"/>
            <w:vAlign w:val="bottom"/>
          </w:tcPr>
          <w:p>
            <w:pPr>
              <w:spacing w:after="0"/>
              <w:rPr>
                <w:sz w:val="1"/>
                <w:szCs w:val="1"/>
                <w:color w:val="auto"/>
              </w:rPr>
            </w:pPr>
          </w:p>
        </w:tc>
      </w:tr>
      <w:tr>
        <w:trPr>
          <w:trHeight w:val="270"/>
        </w:trPr>
        <w:tc>
          <w:tcPr>
            <w:tcW w:w="588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color w:val="auto"/>
              </w:rPr>
              <w:t>Unfunded plans</w:t>
            </w:r>
          </w:p>
        </w:tc>
        <w:tc>
          <w:tcPr>
            <w:tcW w:w="860" w:type="dxa"/>
            <w:vAlign w:val="bottom"/>
            <w:tcBorders>
              <w:bottom w:val="single" w:sz="8" w:color="0C479D"/>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300" w:type="dxa"/>
            <w:vAlign w:val="bottom"/>
            <w:tcBorders>
              <w:bottom w:val="single" w:sz="8" w:color="0C479D"/>
            </w:tcBorders>
          </w:tcPr>
          <w:p>
            <w:pPr>
              <w:spacing w:after="0"/>
              <w:rPr>
                <w:sz w:val="23"/>
                <w:szCs w:val="23"/>
                <w:color w:val="auto"/>
              </w:rPr>
            </w:pPr>
          </w:p>
        </w:tc>
        <w:tc>
          <w:tcPr>
            <w:tcW w:w="820" w:type="dxa"/>
            <w:vAlign w:val="bottom"/>
            <w:tcBorders>
              <w:bottom w:val="single" w:sz="8" w:color="0C479D"/>
            </w:tcBorders>
          </w:tcPr>
          <w:p>
            <w:pPr>
              <w:jc w:val="right"/>
              <w:ind w:right="97"/>
              <w:spacing w:after="0"/>
              <w:rPr>
                <w:sz w:val="20"/>
                <w:szCs w:val="20"/>
                <w:color w:val="auto"/>
              </w:rPr>
            </w:pPr>
            <w:r>
              <w:rPr>
                <w:rFonts w:ascii="Times New Roman" w:cs="Times New Roman" w:eastAsia="Times New Roman" w:hAnsi="Times New Roman"/>
                <w:sz w:val="18"/>
                <w:szCs w:val="18"/>
                <w:color w:val="auto"/>
              </w:rPr>
              <w:t>(1,505)</w:t>
            </w:r>
          </w:p>
        </w:tc>
        <w:tc>
          <w:tcPr>
            <w:tcW w:w="860" w:type="dxa"/>
            <w:vAlign w:val="bottom"/>
            <w:tcBorders>
              <w:bottom w:val="single" w:sz="8" w:color="0C479D"/>
              <w:right w:val="single" w:sz="8" w:color="F0F0F0"/>
            </w:tcBorders>
            <w:shd w:val="clear" w:color="auto" w:fill="F0F0F0"/>
          </w:tcPr>
          <w:p>
            <w:pPr>
              <w:ind w:left="280"/>
              <w:spacing w:after="0"/>
              <w:rPr>
                <w:sz w:val="20"/>
                <w:szCs w:val="20"/>
                <w:color w:val="auto"/>
              </w:rPr>
            </w:pPr>
            <w:r>
              <w:rPr>
                <w:rFonts w:ascii="Times New Roman" w:cs="Times New Roman" w:eastAsia="Times New Roman" w:hAnsi="Times New Roman"/>
                <w:sz w:val="18"/>
                <w:szCs w:val="18"/>
                <w:color w:val="auto"/>
              </w:rPr>
              <w:t>(3,499)</w:t>
            </w:r>
          </w:p>
        </w:tc>
        <w:tc>
          <w:tcPr>
            <w:tcW w:w="360" w:type="dxa"/>
            <w:vAlign w:val="bottom"/>
            <w:tcBorders>
              <w:bottom w:val="single" w:sz="8" w:color="0C479D"/>
            </w:tcBorders>
          </w:tcPr>
          <w:p>
            <w:pPr>
              <w:spacing w:after="0"/>
              <w:rPr>
                <w:sz w:val="23"/>
                <w:szCs w:val="23"/>
                <w:color w:val="auto"/>
              </w:rPr>
            </w:pPr>
          </w:p>
        </w:tc>
        <w:tc>
          <w:tcPr>
            <w:tcW w:w="62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color w:val="auto"/>
              </w:rPr>
              <w:t>(3,924)</w:t>
            </w:r>
          </w:p>
        </w:tc>
        <w:tc>
          <w:tcPr>
            <w:tcW w:w="0" w:type="dxa"/>
            <w:vAlign w:val="bottom"/>
          </w:tcPr>
          <w:p>
            <w:pPr>
              <w:spacing w:after="0"/>
              <w:rPr>
                <w:sz w:val="1"/>
                <w:szCs w:val="1"/>
                <w:color w:val="auto"/>
              </w:rPr>
            </w:pPr>
          </w:p>
        </w:tc>
      </w:tr>
      <w:tr>
        <w:trPr>
          <w:trHeight w:val="243"/>
        </w:trPr>
        <w:tc>
          <w:tcPr>
            <w:tcW w:w="588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tcBorders>
              <w:bottom w:val="single" w:sz="8" w:color="0C479D"/>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(1,755)</w:t>
            </w:r>
          </w:p>
        </w:tc>
        <w:tc>
          <w:tcPr>
            <w:tcW w:w="300" w:type="dxa"/>
            <w:vAlign w:val="bottom"/>
            <w:tcBorders>
              <w:bottom w:val="single" w:sz="8" w:color="0C479D"/>
            </w:tcBorders>
          </w:tcPr>
          <w:p>
            <w:pPr>
              <w:spacing w:after="0"/>
              <w:rPr>
                <w:sz w:val="21"/>
                <w:szCs w:val="21"/>
                <w:color w:val="auto"/>
              </w:rPr>
            </w:pPr>
          </w:p>
        </w:tc>
        <w:tc>
          <w:tcPr>
            <w:tcW w:w="820" w:type="dxa"/>
            <w:vAlign w:val="bottom"/>
            <w:tcBorders>
              <w:bottom w:val="single" w:sz="8" w:color="0C479D"/>
            </w:tcBorders>
          </w:tcPr>
          <w:p>
            <w:pPr>
              <w:jc w:val="right"/>
              <w:ind w:right="97"/>
              <w:spacing w:after="0"/>
              <w:rPr>
                <w:sz w:val="20"/>
                <w:szCs w:val="20"/>
                <w:color w:val="auto"/>
              </w:rPr>
            </w:pPr>
            <w:r>
              <w:rPr>
                <w:rFonts w:ascii="Times New Roman" w:cs="Times New Roman" w:eastAsia="Times New Roman" w:hAnsi="Times New Roman"/>
                <w:sz w:val="18"/>
                <w:szCs w:val="18"/>
                <w:b w:val="1"/>
                <w:bCs w:val="1"/>
                <w:color w:val="auto"/>
              </w:rPr>
              <w:t>(1,776)</w:t>
            </w:r>
          </w:p>
        </w:tc>
        <w:tc>
          <w:tcPr>
            <w:tcW w:w="860" w:type="dxa"/>
            <w:vAlign w:val="bottom"/>
            <w:tcBorders>
              <w:bottom w:val="single" w:sz="8" w:color="0C479D"/>
              <w:right w:val="single" w:sz="8" w:color="F0F0F0"/>
            </w:tcBorders>
            <w:shd w:val="clear" w:color="auto" w:fill="F0F0F0"/>
          </w:tcPr>
          <w:p>
            <w:pPr>
              <w:ind w:left="280"/>
              <w:spacing w:after="0"/>
              <w:rPr>
                <w:sz w:val="20"/>
                <w:szCs w:val="20"/>
                <w:color w:val="auto"/>
              </w:rPr>
            </w:pPr>
            <w:r>
              <w:rPr>
                <w:rFonts w:ascii="Times New Roman" w:cs="Times New Roman" w:eastAsia="Times New Roman" w:hAnsi="Times New Roman"/>
                <w:sz w:val="18"/>
                <w:szCs w:val="18"/>
                <w:b w:val="1"/>
                <w:bCs w:val="1"/>
                <w:color w:val="auto"/>
              </w:rPr>
              <w:t>(1,820)</w:t>
            </w:r>
          </w:p>
        </w:tc>
        <w:tc>
          <w:tcPr>
            <w:tcW w:w="360" w:type="dxa"/>
            <w:vAlign w:val="bottom"/>
            <w:tcBorders>
              <w:bottom w:val="single" w:sz="8" w:color="0C479D"/>
            </w:tcBorders>
          </w:tcPr>
          <w:p>
            <w:pPr>
              <w:spacing w:after="0"/>
              <w:rPr>
                <w:sz w:val="21"/>
                <w:szCs w:val="21"/>
                <w:color w:val="auto"/>
              </w:rPr>
            </w:pPr>
          </w:p>
        </w:tc>
        <w:tc>
          <w:tcPr>
            <w:tcW w:w="620" w:type="dxa"/>
            <w:vAlign w:val="bottom"/>
            <w:tcBorders>
              <w:bottom w:val="single" w:sz="8" w:color="0C479D"/>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(2,896)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authoritative guidance for defined benefit pension and other postretirement plans requires an employer to recognize the overfunded or underfunded status of a defined benefit postretirement plan as an asset or liability in its Consolidated Balance Sheet and to recognize changes in that funded status in the year in which the changes occur through other comprehensive income.</w:t>
      </w:r>
    </w:p>
    <w:p>
      <w:pPr>
        <w:spacing w:after="0" w:line="87"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0C479D"/>
              </w:rPr>
              <w:t>Pension Benefits</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0C479D"/>
              </w:rPr>
              <w:t>Other Postretirement</w:t>
            </w:r>
          </w:p>
        </w:tc>
        <w:tc>
          <w:tcPr>
            <w:tcW w:w="0" w:type="dxa"/>
            <w:vAlign w:val="bottom"/>
          </w:tcPr>
          <w:p>
            <w:pPr>
              <w:spacing w:after="0"/>
              <w:rPr>
                <w:sz w:val="1"/>
                <w:szCs w:val="1"/>
                <w:color w:val="auto"/>
              </w:rPr>
            </w:pPr>
          </w:p>
        </w:tc>
      </w:tr>
      <w:tr>
        <w:trPr>
          <w:trHeight w:val="112"/>
        </w:trPr>
        <w:tc>
          <w:tcPr>
            <w:tcW w:w="40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0" w:type="dxa"/>
            <w:vAlign w:val="bottom"/>
            <w:gridSpan w:val="3"/>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restart"/>
          </w:tcPr>
          <w:p>
            <w:pPr>
              <w:jc w:val="center"/>
              <w:ind w:left="515"/>
              <w:spacing w:after="0"/>
              <w:rPr>
                <w:sz w:val="20"/>
                <w:szCs w:val="20"/>
                <w:color w:val="auto"/>
              </w:rPr>
            </w:pPr>
            <w:r>
              <w:rPr>
                <w:rFonts w:ascii="Times New Roman" w:cs="Times New Roman" w:eastAsia="Times New Roman" w:hAnsi="Times New Roman"/>
                <w:sz w:val="14"/>
                <w:szCs w:val="14"/>
                <w:b w:val="1"/>
                <w:bCs w:val="1"/>
                <w:color w:val="0C479D"/>
              </w:rPr>
              <w:t>Benefits</w:t>
            </w: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40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4060" w:type="dxa"/>
            <w:vAlign w:val="bottom"/>
          </w:tcPr>
          <w:p>
            <w:pPr>
              <w:spacing w:after="0"/>
              <w:rPr>
                <w:sz w:val="2"/>
                <w:szCs w:val="2"/>
                <w:color w:val="auto"/>
              </w:rPr>
            </w:pPr>
          </w:p>
        </w:tc>
        <w:tc>
          <w:tcPr>
            <w:tcW w:w="840" w:type="dxa"/>
            <w:vAlign w:val="bottom"/>
            <w:tcBorders>
              <w:bottom w:val="single" w:sz="8" w:color="0C479D"/>
            </w:tcBorders>
          </w:tcPr>
          <w:p>
            <w:pPr>
              <w:spacing w:after="0"/>
              <w:rPr>
                <w:sz w:val="2"/>
                <w:szCs w:val="2"/>
                <w:color w:val="auto"/>
              </w:rPr>
            </w:pPr>
          </w:p>
        </w:tc>
        <w:tc>
          <w:tcPr>
            <w:tcW w:w="280" w:type="dxa"/>
            <w:vAlign w:val="bottom"/>
            <w:tcBorders>
              <w:bottom w:val="single" w:sz="8" w:color="0C479D"/>
            </w:tcBorders>
          </w:tcPr>
          <w:p>
            <w:pPr>
              <w:spacing w:after="0"/>
              <w:rPr>
                <w:sz w:val="2"/>
                <w:szCs w:val="2"/>
                <w:color w:val="auto"/>
              </w:rPr>
            </w:pPr>
          </w:p>
        </w:tc>
        <w:tc>
          <w:tcPr>
            <w:tcW w:w="800" w:type="dxa"/>
            <w:vAlign w:val="bottom"/>
            <w:tcBorders>
              <w:bottom w:val="single" w:sz="8" w:color="0C479D"/>
            </w:tcBorders>
          </w:tcPr>
          <w:p>
            <w:pPr>
              <w:spacing w:after="0"/>
              <w:rPr>
                <w:sz w:val="2"/>
                <w:szCs w:val="2"/>
                <w:color w:val="auto"/>
              </w:rPr>
            </w:pPr>
          </w:p>
        </w:tc>
        <w:tc>
          <w:tcPr>
            <w:tcW w:w="840" w:type="dxa"/>
            <w:vAlign w:val="bottom"/>
            <w:tcBorders>
              <w:bottom w:val="single" w:sz="8" w:color="0C479D"/>
            </w:tcBorders>
          </w:tcPr>
          <w:p>
            <w:pPr>
              <w:spacing w:after="0"/>
              <w:rPr>
                <w:sz w:val="2"/>
                <w:szCs w:val="2"/>
                <w:color w:val="auto"/>
              </w:rPr>
            </w:pPr>
          </w:p>
        </w:tc>
        <w:tc>
          <w:tcPr>
            <w:tcW w:w="360" w:type="dxa"/>
            <w:vAlign w:val="bottom"/>
            <w:tcBorders>
              <w:bottom w:val="single" w:sz="8" w:color="0C479D"/>
            </w:tcBorders>
          </w:tcPr>
          <w:p>
            <w:pPr>
              <w:spacing w:after="0"/>
              <w:rPr>
                <w:sz w:val="2"/>
                <w:szCs w:val="2"/>
                <w:color w:val="auto"/>
              </w:rPr>
            </w:pPr>
          </w:p>
        </w:tc>
        <w:tc>
          <w:tcPr>
            <w:tcW w:w="600" w:type="dxa"/>
            <w:vAlign w:val="bottom"/>
            <w:tcBorders>
              <w:bottom w:val="single" w:sz="8" w:color="0C479D"/>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0C479D"/>
            </w:tcBorders>
          </w:tcPr>
          <w:p>
            <w:pPr>
              <w:spacing w:after="0"/>
              <w:rPr>
                <w:sz w:val="2"/>
                <w:szCs w:val="2"/>
                <w:color w:val="auto"/>
              </w:rPr>
            </w:pPr>
          </w:p>
        </w:tc>
        <w:tc>
          <w:tcPr>
            <w:tcW w:w="340" w:type="dxa"/>
            <w:vAlign w:val="bottom"/>
            <w:tcBorders>
              <w:bottom w:val="single" w:sz="8" w:color="0C479D"/>
            </w:tcBorders>
          </w:tcPr>
          <w:p>
            <w:pPr>
              <w:spacing w:after="0"/>
              <w:rPr>
                <w:sz w:val="2"/>
                <w:szCs w:val="2"/>
                <w:color w:val="auto"/>
              </w:rPr>
            </w:pPr>
          </w:p>
        </w:tc>
        <w:tc>
          <w:tcPr>
            <w:tcW w:w="620" w:type="dxa"/>
            <w:vAlign w:val="bottom"/>
            <w:tcBorders>
              <w:bottom w:val="single" w:sz="8" w:color="0C479D"/>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4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060" w:type="dxa"/>
            <w:vAlign w:val="bottom"/>
            <w:vMerge w:val="restart"/>
            <w:shd w:val="clear" w:color="auto" w:fill="0C479D"/>
          </w:tcPr>
          <w:p>
            <w:pPr>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1120" w:type="dxa"/>
            <w:vAlign w:val="bottom"/>
            <w:gridSpan w:val="2"/>
            <w:shd w:val="clear" w:color="auto" w:fill="0C479D"/>
          </w:tcPr>
          <w:p>
            <w:pPr>
              <w:ind w:left="760"/>
              <w:spacing w:after="0"/>
              <w:rPr>
                <w:sz w:val="20"/>
                <w:szCs w:val="20"/>
                <w:color w:val="auto"/>
              </w:rPr>
            </w:pPr>
            <w:r>
              <w:rPr>
                <w:rFonts w:ascii="Times New Roman" w:cs="Times New Roman" w:eastAsia="Times New Roman" w:hAnsi="Times New Roman"/>
                <w:sz w:val="14"/>
                <w:szCs w:val="14"/>
                <w:b w:val="1"/>
                <w:bCs w:val="1"/>
                <w:color w:val="FFFFFF"/>
              </w:rPr>
              <w:t>U.S.</w:t>
            </w:r>
          </w:p>
        </w:tc>
        <w:tc>
          <w:tcPr>
            <w:tcW w:w="800" w:type="dxa"/>
            <w:vAlign w:val="bottom"/>
            <w:shd w:val="clear" w:color="auto" w:fill="0C479D"/>
          </w:tcPr>
          <w:p>
            <w:pPr>
              <w:spacing w:after="0"/>
              <w:rPr>
                <w:sz w:val="17"/>
                <w:szCs w:val="17"/>
                <w:color w:val="auto"/>
              </w:rPr>
            </w:pPr>
          </w:p>
        </w:tc>
        <w:tc>
          <w:tcPr>
            <w:tcW w:w="1200" w:type="dxa"/>
            <w:vAlign w:val="bottom"/>
            <w:gridSpan w:val="2"/>
            <w:shd w:val="clear" w:color="auto" w:fill="0C479D"/>
          </w:tcPr>
          <w:p>
            <w:pPr>
              <w:ind w:left="600"/>
              <w:spacing w:after="0"/>
              <w:rPr>
                <w:sz w:val="20"/>
                <w:szCs w:val="20"/>
                <w:color w:val="auto"/>
              </w:rPr>
            </w:pPr>
            <w:r>
              <w:rPr>
                <w:rFonts w:ascii="Times New Roman" w:cs="Times New Roman" w:eastAsia="Times New Roman" w:hAnsi="Times New Roman"/>
                <w:sz w:val="14"/>
                <w:szCs w:val="14"/>
                <w:b w:val="1"/>
                <w:bCs w:val="1"/>
                <w:color w:val="FFFFFF"/>
              </w:rPr>
              <w:t>Non-U.S.</w:t>
            </w:r>
          </w:p>
        </w:tc>
        <w:tc>
          <w:tcPr>
            <w:tcW w:w="600" w:type="dxa"/>
            <w:vAlign w:val="bottom"/>
            <w:shd w:val="clear" w:color="auto" w:fill="0C479D"/>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Borders>
              <w:right w:val="single" w:sz="8" w:color="0C479D"/>
            </w:tcBorders>
            <w:shd w:val="clear" w:color="auto" w:fill="0C479D"/>
          </w:tcPr>
          <w:p>
            <w:pPr>
              <w:spacing w:after="0"/>
              <w:rPr>
                <w:sz w:val="17"/>
                <w:szCs w:val="17"/>
                <w:color w:val="auto"/>
              </w:rPr>
            </w:pPr>
          </w:p>
        </w:tc>
        <w:tc>
          <w:tcPr>
            <w:tcW w:w="340" w:type="dxa"/>
            <w:vAlign w:val="bottom"/>
            <w:shd w:val="clear" w:color="auto" w:fill="0C479D"/>
          </w:tcPr>
          <w:p>
            <w:pPr>
              <w:spacing w:after="0"/>
              <w:rPr>
                <w:sz w:val="17"/>
                <w:szCs w:val="17"/>
                <w:color w:val="auto"/>
              </w:rPr>
            </w:pPr>
          </w:p>
        </w:tc>
        <w:tc>
          <w:tcPr>
            <w:tcW w:w="620" w:type="dxa"/>
            <w:vAlign w:val="bottom"/>
            <w:shd w:val="clear" w:color="auto" w:fill="0C479D"/>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4060" w:type="dxa"/>
            <w:vAlign w:val="bottom"/>
            <w:vMerge w:val="continue"/>
            <w:shd w:val="clear" w:color="auto" w:fill="0C479D"/>
          </w:tcPr>
          <w:p>
            <w:pPr>
              <w:spacing w:after="0"/>
              <w:rPr>
                <w:sz w:val="11"/>
                <w:szCs w:val="11"/>
                <w:color w:val="auto"/>
              </w:rPr>
            </w:pPr>
          </w:p>
        </w:tc>
        <w:tc>
          <w:tcPr>
            <w:tcW w:w="840" w:type="dxa"/>
            <w:vAlign w:val="bottom"/>
            <w:tcBorders>
              <w:right w:val="single" w:sz="8" w:color="0C479D"/>
            </w:tcBorders>
            <w:vMerge w:val="restart"/>
            <w:shd w:val="clear" w:color="auto" w:fill="0C479D"/>
          </w:tcPr>
          <w:p>
            <w:pPr>
              <w:jc w:val="right"/>
              <w:ind w:right="194"/>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280" w:type="dxa"/>
            <w:vAlign w:val="bottom"/>
            <w:shd w:val="clear" w:color="auto" w:fill="0C479D"/>
          </w:tcPr>
          <w:p>
            <w:pPr>
              <w:spacing w:after="0"/>
              <w:rPr>
                <w:sz w:val="11"/>
                <w:szCs w:val="11"/>
                <w:color w:val="auto"/>
              </w:rPr>
            </w:pPr>
          </w:p>
        </w:tc>
        <w:tc>
          <w:tcPr>
            <w:tcW w:w="800" w:type="dxa"/>
            <w:vAlign w:val="bottom"/>
            <w:vMerge w:val="restart"/>
            <w:shd w:val="clear" w:color="auto" w:fill="0C479D"/>
          </w:tcPr>
          <w:p>
            <w:pPr>
              <w:jc w:val="right"/>
              <w:ind w:right="314"/>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840" w:type="dxa"/>
            <w:vAlign w:val="bottom"/>
            <w:tcBorders>
              <w:right w:val="single" w:sz="8" w:color="0C479D"/>
            </w:tcBorders>
            <w:vMerge w:val="restart"/>
            <w:shd w:val="clear" w:color="auto" w:fill="0C479D"/>
          </w:tcPr>
          <w:p>
            <w:pPr>
              <w:jc w:val="right"/>
              <w:ind w:right="194"/>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360" w:type="dxa"/>
            <w:vAlign w:val="bottom"/>
            <w:shd w:val="clear" w:color="auto" w:fill="0C479D"/>
          </w:tcPr>
          <w:p>
            <w:pPr>
              <w:spacing w:after="0"/>
              <w:rPr>
                <w:sz w:val="11"/>
                <w:szCs w:val="11"/>
                <w:color w:val="auto"/>
              </w:rPr>
            </w:pPr>
          </w:p>
        </w:tc>
        <w:tc>
          <w:tcPr>
            <w:tcW w:w="600" w:type="dxa"/>
            <w:vAlign w:val="bottom"/>
            <w:vMerge w:val="restart"/>
            <w:shd w:val="clear" w:color="auto" w:fill="0C479D"/>
          </w:tcPr>
          <w:p>
            <w:pPr>
              <w:jc w:val="right"/>
              <w:ind w:right="192"/>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120" w:type="dxa"/>
            <w:vAlign w:val="bottom"/>
          </w:tcPr>
          <w:p>
            <w:pPr>
              <w:spacing w:after="0"/>
              <w:rPr>
                <w:sz w:val="11"/>
                <w:szCs w:val="11"/>
                <w:color w:val="auto"/>
              </w:rPr>
            </w:pPr>
          </w:p>
        </w:tc>
        <w:tc>
          <w:tcPr>
            <w:tcW w:w="840" w:type="dxa"/>
            <w:vAlign w:val="bottom"/>
            <w:tcBorders>
              <w:right w:val="single" w:sz="8" w:color="0C479D"/>
            </w:tcBorders>
            <w:vMerge w:val="restart"/>
            <w:shd w:val="clear" w:color="auto" w:fill="0C479D"/>
          </w:tcPr>
          <w:p>
            <w:pPr>
              <w:jc w:val="right"/>
              <w:ind w:right="195"/>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340" w:type="dxa"/>
            <w:vAlign w:val="bottom"/>
            <w:shd w:val="clear" w:color="auto" w:fill="0C479D"/>
          </w:tcPr>
          <w:p>
            <w:pPr>
              <w:spacing w:after="0"/>
              <w:rPr>
                <w:sz w:val="11"/>
                <w:szCs w:val="11"/>
                <w:color w:val="auto"/>
              </w:rPr>
            </w:pPr>
          </w:p>
        </w:tc>
        <w:tc>
          <w:tcPr>
            <w:tcW w:w="620" w:type="dxa"/>
            <w:vAlign w:val="bottom"/>
            <w:vMerge w:val="restart"/>
            <w:shd w:val="clear" w:color="auto" w:fill="0C479D"/>
          </w:tcPr>
          <w:p>
            <w:pPr>
              <w:jc w:val="right"/>
              <w:ind w:right="192"/>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0" w:type="dxa"/>
            <w:vAlign w:val="bottom"/>
          </w:tcPr>
          <w:p>
            <w:pPr>
              <w:spacing w:after="0"/>
              <w:rPr>
                <w:sz w:val="1"/>
                <w:szCs w:val="1"/>
                <w:color w:val="auto"/>
              </w:rPr>
            </w:pPr>
          </w:p>
        </w:tc>
      </w:tr>
      <w:tr>
        <w:trPr>
          <w:trHeight w:val="179"/>
        </w:trPr>
        <w:tc>
          <w:tcPr>
            <w:tcW w:w="4060" w:type="dxa"/>
            <w:vAlign w:val="bottom"/>
            <w:tcBorders>
              <w:bottom w:val="single" w:sz="8" w:color="0C479D"/>
            </w:tcBorders>
            <w:shd w:val="clear" w:color="auto" w:fill="0C479D"/>
          </w:tcPr>
          <w:p>
            <w:pPr>
              <w:spacing w:after="0"/>
              <w:rPr>
                <w:sz w:val="15"/>
                <w:szCs w:val="15"/>
                <w:color w:val="auto"/>
              </w:rPr>
            </w:pPr>
          </w:p>
        </w:tc>
        <w:tc>
          <w:tcPr>
            <w:tcW w:w="840" w:type="dxa"/>
            <w:vAlign w:val="bottom"/>
            <w:tcBorders>
              <w:bottom w:val="single" w:sz="8" w:color="0C479D"/>
              <w:right w:val="single" w:sz="8" w:color="0C479D"/>
            </w:tcBorders>
            <w:vMerge w:val="continue"/>
            <w:shd w:val="clear" w:color="auto" w:fill="0C479D"/>
          </w:tcPr>
          <w:p>
            <w:pPr>
              <w:spacing w:after="0"/>
              <w:rPr>
                <w:sz w:val="15"/>
                <w:szCs w:val="15"/>
                <w:color w:val="auto"/>
              </w:rPr>
            </w:pPr>
          </w:p>
        </w:tc>
        <w:tc>
          <w:tcPr>
            <w:tcW w:w="280" w:type="dxa"/>
            <w:vAlign w:val="bottom"/>
            <w:tcBorders>
              <w:bottom w:val="single" w:sz="8" w:color="0C479D"/>
            </w:tcBorders>
            <w:shd w:val="clear" w:color="auto" w:fill="0C479D"/>
          </w:tcPr>
          <w:p>
            <w:pPr>
              <w:spacing w:after="0"/>
              <w:rPr>
                <w:sz w:val="15"/>
                <w:szCs w:val="15"/>
                <w:color w:val="auto"/>
              </w:rPr>
            </w:pPr>
          </w:p>
        </w:tc>
        <w:tc>
          <w:tcPr>
            <w:tcW w:w="800" w:type="dxa"/>
            <w:vAlign w:val="bottom"/>
            <w:tcBorders>
              <w:bottom w:val="single" w:sz="8" w:color="0C479D"/>
            </w:tcBorders>
            <w:vMerge w:val="continue"/>
            <w:shd w:val="clear" w:color="auto" w:fill="0C479D"/>
          </w:tcPr>
          <w:p>
            <w:pPr>
              <w:spacing w:after="0"/>
              <w:rPr>
                <w:sz w:val="15"/>
                <w:szCs w:val="15"/>
                <w:color w:val="auto"/>
              </w:rPr>
            </w:pPr>
          </w:p>
        </w:tc>
        <w:tc>
          <w:tcPr>
            <w:tcW w:w="840" w:type="dxa"/>
            <w:vAlign w:val="bottom"/>
            <w:tcBorders>
              <w:bottom w:val="single" w:sz="8" w:color="0C479D"/>
              <w:right w:val="single" w:sz="8" w:color="0C479D"/>
            </w:tcBorders>
            <w:vMerge w:val="continue"/>
            <w:shd w:val="clear" w:color="auto" w:fill="0C479D"/>
          </w:tcPr>
          <w:p>
            <w:pPr>
              <w:spacing w:after="0"/>
              <w:rPr>
                <w:sz w:val="15"/>
                <w:szCs w:val="15"/>
                <w:color w:val="auto"/>
              </w:rPr>
            </w:pPr>
          </w:p>
        </w:tc>
        <w:tc>
          <w:tcPr>
            <w:tcW w:w="360" w:type="dxa"/>
            <w:vAlign w:val="bottom"/>
            <w:tcBorders>
              <w:bottom w:val="single" w:sz="8" w:color="0C479D"/>
            </w:tcBorders>
            <w:shd w:val="clear" w:color="auto" w:fill="0C479D"/>
          </w:tcPr>
          <w:p>
            <w:pPr>
              <w:spacing w:after="0"/>
              <w:rPr>
                <w:sz w:val="15"/>
                <w:szCs w:val="15"/>
                <w:color w:val="auto"/>
              </w:rPr>
            </w:pPr>
          </w:p>
        </w:tc>
        <w:tc>
          <w:tcPr>
            <w:tcW w:w="600" w:type="dxa"/>
            <w:vAlign w:val="bottom"/>
            <w:tcBorders>
              <w:bottom w:val="single" w:sz="8" w:color="0C479D"/>
            </w:tcBorders>
            <w:vMerge w:val="continue"/>
            <w:shd w:val="clear" w:color="auto" w:fill="0C479D"/>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Borders>
              <w:bottom w:val="single" w:sz="8" w:color="0C479D"/>
              <w:right w:val="single" w:sz="8" w:color="0C479D"/>
            </w:tcBorders>
            <w:vMerge w:val="continue"/>
            <w:shd w:val="clear" w:color="auto" w:fill="0C479D"/>
          </w:tcPr>
          <w:p>
            <w:pPr>
              <w:spacing w:after="0"/>
              <w:rPr>
                <w:sz w:val="15"/>
                <w:szCs w:val="15"/>
                <w:color w:val="auto"/>
              </w:rPr>
            </w:pPr>
          </w:p>
        </w:tc>
        <w:tc>
          <w:tcPr>
            <w:tcW w:w="340" w:type="dxa"/>
            <w:vAlign w:val="bottom"/>
            <w:tcBorders>
              <w:bottom w:val="single" w:sz="8" w:color="0C479D"/>
            </w:tcBorders>
            <w:shd w:val="clear" w:color="auto" w:fill="0C479D"/>
          </w:tcPr>
          <w:p>
            <w:pPr>
              <w:spacing w:after="0"/>
              <w:rPr>
                <w:sz w:val="15"/>
                <w:szCs w:val="15"/>
                <w:color w:val="auto"/>
              </w:rPr>
            </w:pPr>
          </w:p>
        </w:tc>
        <w:tc>
          <w:tcPr>
            <w:tcW w:w="620" w:type="dxa"/>
            <w:vAlign w:val="bottom"/>
            <w:tcBorders>
              <w:bottom w:val="single" w:sz="8" w:color="0C479D"/>
            </w:tcBorders>
            <w:vMerge w:val="continue"/>
            <w:shd w:val="clear" w:color="auto" w:fill="0C479D"/>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0C479D"/>
              </w:rPr>
              <w:t>Assets in excess of/(less than) benefit obligation</w:t>
            </w:r>
          </w:p>
        </w:tc>
        <w:tc>
          <w:tcPr>
            <w:tcW w:w="840" w:type="dxa"/>
            <w:vAlign w:val="bottom"/>
            <w:tcBorders>
              <w:right w:val="single" w:sz="8" w:color="F0F0F0"/>
            </w:tcBorders>
            <w:shd w:val="clear" w:color="auto" w:fill="F0F0F0"/>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Borders>
              <w:right w:val="single" w:sz="8" w:color="F0F0F0"/>
            </w:tcBorders>
            <w:shd w:val="clear" w:color="auto" w:fill="F0F0F0"/>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Borders>
              <w:right w:val="single" w:sz="8" w:color="F0F0F0"/>
            </w:tcBorders>
            <w:shd w:val="clear" w:color="auto" w:fill="F0F0F0"/>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406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color w:val="auto"/>
              </w:rPr>
              <w:t xml:space="preserve">Balance at December 31 </w:t>
            </w:r>
            <w:r>
              <w:rPr>
                <w:rFonts w:ascii="Times New Roman" w:cs="Times New Roman" w:eastAsia="Times New Roman" w:hAnsi="Times New Roman"/>
                <w:sz w:val="9"/>
                <w:szCs w:val="9"/>
                <w:i w:val="1"/>
                <w:iCs w:val="1"/>
                <w:color w:val="auto"/>
              </w:rPr>
              <w:t>(1)</w:t>
            </w:r>
          </w:p>
        </w:tc>
        <w:tc>
          <w:tcPr>
            <w:tcW w:w="840" w:type="dxa"/>
            <w:vAlign w:val="bottom"/>
            <w:tcBorders>
              <w:bottom w:val="single" w:sz="8" w:color="0C479D"/>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280" w:type="dxa"/>
            <w:vAlign w:val="bottom"/>
            <w:tcBorders>
              <w:bottom w:val="single" w:sz="8" w:color="0C479D"/>
            </w:tcBorders>
          </w:tcPr>
          <w:p>
            <w:pPr>
              <w:spacing w:after="0"/>
              <w:rPr>
                <w:sz w:val="24"/>
                <w:szCs w:val="24"/>
                <w:color w:val="auto"/>
              </w:rPr>
            </w:pPr>
          </w:p>
        </w:tc>
        <w:tc>
          <w:tcPr>
            <w:tcW w:w="800" w:type="dxa"/>
            <w:vAlign w:val="bottom"/>
            <w:tcBorders>
              <w:bottom w:val="single" w:sz="8" w:color="0C479D"/>
            </w:tcBorders>
          </w:tcPr>
          <w:p>
            <w:pPr>
              <w:jc w:val="right"/>
              <w:ind w:right="94"/>
              <w:spacing w:after="0"/>
              <w:rPr>
                <w:sz w:val="20"/>
                <w:szCs w:val="20"/>
                <w:color w:val="auto"/>
              </w:rPr>
            </w:pPr>
            <w:r>
              <w:rPr>
                <w:rFonts w:ascii="Times New Roman" w:cs="Times New Roman" w:eastAsia="Times New Roman" w:hAnsi="Times New Roman"/>
                <w:sz w:val="18"/>
                <w:szCs w:val="18"/>
                <w:color w:val="auto"/>
              </w:rPr>
              <w:t>(1,776)</w:t>
            </w:r>
          </w:p>
        </w:tc>
        <w:tc>
          <w:tcPr>
            <w:tcW w:w="840" w:type="dxa"/>
            <w:vAlign w:val="bottom"/>
            <w:tcBorders>
              <w:bottom w:val="single" w:sz="8" w:color="0C479D"/>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360" w:type="dxa"/>
            <w:vAlign w:val="bottom"/>
            <w:tcBorders>
              <w:bottom w:val="single" w:sz="8" w:color="0C479D"/>
            </w:tcBorders>
          </w:tcPr>
          <w:p>
            <w:pPr>
              <w:spacing w:after="0"/>
              <w:rPr>
                <w:sz w:val="24"/>
                <w:szCs w:val="24"/>
                <w:color w:val="auto"/>
              </w:rPr>
            </w:pPr>
          </w:p>
        </w:tc>
        <w:tc>
          <w:tcPr>
            <w:tcW w:w="6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w w:val="98"/>
              </w:rPr>
              <w:t>(2,896)</w:t>
            </w:r>
          </w:p>
        </w:tc>
        <w:tc>
          <w:tcPr>
            <w:tcW w:w="120" w:type="dxa"/>
            <w:vAlign w:val="bottom"/>
            <w:tcBorders>
              <w:bottom w:val="single" w:sz="8" w:color="0C479D"/>
            </w:tcBorders>
          </w:tcPr>
          <w:p>
            <w:pPr>
              <w:spacing w:after="0"/>
              <w:rPr>
                <w:sz w:val="24"/>
                <w:szCs w:val="24"/>
                <w:color w:val="auto"/>
              </w:rPr>
            </w:pPr>
          </w:p>
        </w:tc>
        <w:tc>
          <w:tcPr>
            <w:tcW w:w="840" w:type="dxa"/>
            <w:vAlign w:val="bottom"/>
            <w:tcBorders>
              <w:bottom w:val="single" w:sz="8" w:color="0C479D"/>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(4,427)</w:t>
            </w:r>
          </w:p>
        </w:tc>
        <w:tc>
          <w:tcPr>
            <w:tcW w:w="340" w:type="dxa"/>
            <w:vAlign w:val="bottom"/>
            <w:tcBorders>
              <w:bottom w:val="single" w:sz="8" w:color="0C479D"/>
            </w:tcBorders>
          </w:tcPr>
          <w:p>
            <w:pPr>
              <w:spacing w:after="0"/>
              <w:rPr>
                <w:sz w:val="24"/>
                <w:szCs w:val="24"/>
                <w:color w:val="auto"/>
              </w:rPr>
            </w:pPr>
          </w:p>
        </w:tc>
        <w:tc>
          <w:tcPr>
            <w:tcW w:w="6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(4,643)</w:t>
            </w:r>
          </w:p>
        </w:tc>
        <w:tc>
          <w:tcPr>
            <w:tcW w:w="0" w:type="dxa"/>
            <w:vAlign w:val="bottom"/>
          </w:tcPr>
          <w:p>
            <w:pPr>
              <w:spacing w:after="0"/>
              <w:rPr>
                <w:sz w:val="1"/>
                <w:szCs w:val="1"/>
                <w:color w:val="auto"/>
              </w:rPr>
            </w:pPr>
          </w:p>
        </w:tc>
      </w:tr>
      <w:tr>
        <w:trPr>
          <w:trHeight w:val="250"/>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0C479D"/>
              </w:rPr>
              <w:t>Amounts recorded in the Consolidated Balance</w:t>
            </w:r>
          </w:p>
        </w:tc>
        <w:tc>
          <w:tcPr>
            <w:tcW w:w="840" w:type="dxa"/>
            <w:vAlign w:val="bottom"/>
            <w:tcBorders>
              <w:right w:val="single" w:sz="8" w:color="F0F0F0"/>
            </w:tcBorders>
            <w:shd w:val="clear" w:color="auto" w:fill="F0F0F0"/>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Borders>
              <w:right w:val="single" w:sz="8" w:color="F0F0F0"/>
            </w:tcBorders>
            <w:shd w:val="clear" w:color="auto" w:fill="F0F0F0"/>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Borders>
              <w:right w:val="single" w:sz="8" w:color="F0F0F0"/>
            </w:tcBorders>
            <w:shd w:val="clear" w:color="auto" w:fill="F0F0F0"/>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0C479D"/>
              </w:rPr>
              <w:t>Sheet consist of:</w:t>
            </w:r>
          </w:p>
        </w:tc>
        <w:tc>
          <w:tcPr>
            <w:tcW w:w="840" w:type="dxa"/>
            <w:vAlign w:val="bottom"/>
            <w:tcBorders>
              <w:right w:val="single" w:sz="8" w:color="F0F0F0"/>
            </w:tcBorders>
            <w:shd w:val="clear" w:color="auto" w:fill="F0F0F0"/>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Borders>
              <w:right w:val="single" w:sz="8" w:color="F0F0F0"/>
            </w:tcBorders>
            <w:shd w:val="clear" w:color="auto" w:fill="F0F0F0"/>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right w:val="single" w:sz="8" w:color="F0F0F0"/>
            </w:tcBorders>
            <w:shd w:val="clear" w:color="auto" w:fill="F0F0F0"/>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840" w:type="dxa"/>
            <w:vAlign w:val="bottom"/>
            <w:tcBorders>
              <w:right w:val="single" w:sz="8" w:color="F0F0F0"/>
            </w:tcBorders>
            <w:shd w:val="clear" w:color="auto" w:fill="F0F0F0"/>
          </w:tcPr>
          <w:p>
            <w:pPr>
              <w:jc w:val="right"/>
              <w:ind w:right="14"/>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23"/>
                <w:szCs w:val="23"/>
                <w:color w:val="auto"/>
              </w:rPr>
            </w:pPr>
          </w:p>
        </w:tc>
        <w:tc>
          <w:tcPr>
            <w:tcW w:w="8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F0F0F0"/>
            </w:tcBorders>
            <w:shd w:val="clear" w:color="auto" w:fill="F0F0F0"/>
          </w:tcPr>
          <w:p>
            <w:pPr>
              <w:jc w:val="right"/>
              <w:ind w:right="14"/>
              <w:spacing w:after="0"/>
              <w:rPr>
                <w:sz w:val="20"/>
                <w:szCs w:val="20"/>
                <w:color w:val="auto"/>
              </w:rPr>
            </w:pPr>
            <w:r>
              <w:rPr>
                <w:rFonts w:ascii="Times New Roman" w:cs="Times New Roman" w:eastAsia="Times New Roman" w:hAnsi="Times New Roman"/>
                <w:sz w:val="18"/>
                <w:szCs w:val="18"/>
                <w:color w:val="auto"/>
              </w:rPr>
              <w:t>2,399</w:t>
            </w:r>
          </w:p>
        </w:tc>
        <w:tc>
          <w:tcPr>
            <w:tcW w:w="360" w:type="dxa"/>
            <w:vAlign w:val="bottom"/>
          </w:tcPr>
          <w:p>
            <w:pPr>
              <w:spacing w:after="0"/>
              <w:rPr>
                <w:sz w:val="23"/>
                <w:szCs w:val="23"/>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1,895</w:t>
            </w:r>
          </w:p>
        </w:tc>
        <w:tc>
          <w:tcPr>
            <w:tcW w:w="120" w:type="dxa"/>
            <w:vAlign w:val="bottom"/>
          </w:tcPr>
          <w:p>
            <w:pPr>
              <w:spacing w:after="0"/>
              <w:rPr>
                <w:sz w:val="23"/>
                <w:szCs w:val="23"/>
                <w:color w:val="auto"/>
              </w:rPr>
            </w:pPr>
          </w:p>
        </w:tc>
        <w:tc>
          <w:tcPr>
            <w:tcW w:w="840" w:type="dxa"/>
            <w:vAlign w:val="bottom"/>
            <w:tcBorders>
              <w:right w:val="single" w:sz="8" w:color="F0F0F0"/>
            </w:tcBorders>
            <w:shd w:val="clear" w:color="auto" w:fill="F0F0F0"/>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4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80" w:type="dxa"/>
            <w:vAlign w:val="bottom"/>
          </w:tcPr>
          <w:p>
            <w:pPr>
              <w:spacing w:after="0"/>
              <w:rPr>
                <w:sz w:val="23"/>
                <w:szCs w:val="23"/>
                <w:color w:val="auto"/>
              </w:rPr>
            </w:pPr>
          </w:p>
        </w:tc>
        <w:tc>
          <w:tcPr>
            <w:tcW w:w="8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(201)</w:t>
            </w:r>
          </w:p>
        </w:tc>
        <w:tc>
          <w:tcPr>
            <w:tcW w:w="84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3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Pr>
          <w:p>
            <w:pPr>
              <w:spacing w:after="0"/>
              <w:rPr>
                <w:sz w:val="23"/>
                <w:szCs w:val="23"/>
                <w:color w:val="auto"/>
              </w:rPr>
            </w:pPr>
          </w:p>
        </w:tc>
        <w:tc>
          <w:tcPr>
            <w:tcW w:w="84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3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70"/>
        </w:trPr>
        <w:tc>
          <w:tcPr>
            <w:tcW w:w="406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color w:val="auto"/>
              </w:rPr>
              <w:t>Postretirement benefits reserves</w:t>
            </w:r>
          </w:p>
        </w:tc>
        <w:tc>
          <w:tcPr>
            <w:tcW w:w="840" w:type="dxa"/>
            <w:vAlign w:val="bottom"/>
            <w:tcBorders>
              <w:bottom w:val="single" w:sz="8" w:color="0C479D"/>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280" w:type="dxa"/>
            <w:vAlign w:val="bottom"/>
            <w:tcBorders>
              <w:bottom w:val="single" w:sz="8" w:color="0C479D"/>
            </w:tcBorders>
          </w:tcPr>
          <w:p>
            <w:pPr>
              <w:spacing w:after="0"/>
              <w:rPr>
                <w:sz w:val="23"/>
                <w:szCs w:val="23"/>
                <w:color w:val="auto"/>
              </w:rPr>
            </w:pPr>
          </w:p>
        </w:tc>
        <w:tc>
          <w:tcPr>
            <w:tcW w:w="800" w:type="dxa"/>
            <w:vAlign w:val="bottom"/>
            <w:tcBorders>
              <w:bottom w:val="single" w:sz="8" w:color="0C479D"/>
            </w:tcBorders>
          </w:tcPr>
          <w:p>
            <w:pPr>
              <w:jc w:val="right"/>
              <w:ind w:right="94"/>
              <w:spacing w:after="0"/>
              <w:rPr>
                <w:sz w:val="20"/>
                <w:szCs w:val="20"/>
                <w:color w:val="auto"/>
              </w:rPr>
            </w:pPr>
            <w:r>
              <w:rPr>
                <w:rFonts w:ascii="Times New Roman" w:cs="Times New Roman" w:eastAsia="Times New Roman" w:hAnsi="Times New Roman"/>
                <w:sz w:val="18"/>
                <w:szCs w:val="18"/>
                <w:color w:val="auto"/>
              </w:rPr>
              <w:t>(1,575)</w:t>
            </w:r>
          </w:p>
        </w:tc>
        <w:tc>
          <w:tcPr>
            <w:tcW w:w="840" w:type="dxa"/>
            <w:vAlign w:val="bottom"/>
            <w:tcBorders>
              <w:bottom w:val="single" w:sz="8" w:color="0C479D"/>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(4,012)</w:t>
            </w:r>
          </w:p>
        </w:tc>
        <w:tc>
          <w:tcPr>
            <w:tcW w:w="360" w:type="dxa"/>
            <w:vAlign w:val="bottom"/>
            <w:tcBorders>
              <w:bottom w:val="single" w:sz="8" w:color="0C479D"/>
            </w:tcBorders>
          </w:tcPr>
          <w:p>
            <w:pPr>
              <w:spacing w:after="0"/>
              <w:rPr>
                <w:sz w:val="23"/>
                <w:szCs w:val="23"/>
                <w:color w:val="auto"/>
              </w:rPr>
            </w:pPr>
          </w:p>
        </w:tc>
        <w:tc>
          <w:tcPr>
            <w:tcW w:w="6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w w:val="98"/>
              </w:rPr>
              <w:t>(4,566)</w:t>
            </w:r>
          </w:p>
        </w:tc>
        <w:tc>
          <w:tcPr>
            <w:tcW w:w="120" w:type="dxa"/>
            <w:vAlign w:val="bottom"/>
            <w:tcBorders>
              <w:bottom w:val="single" w:sz="8" w:color="0C479D"/>
            </w:tcBorders>
          </w:tcPr>
          <w:p>
            <w:pPr>
              <w:spacing w:after="0"/>
              <w:rPr>
                <w:sz w:val="23"/>
                <w:szCs w:val="23"/>
                <w:color w:val="auto"/>
              </w:rPr>
            </w:pPr>
          </w:p>
        </w:tc>
        <w:tc>
          <w:tcPr>
            <w:tcW w:w="840" w:type="dxa"/>
            <w:vAlign w:val="bottom"/>
            <w:tcBorders>
              <w:bottom w:val="single" w:sz="8" w:color="0C479D"/>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(4,144)</w:t>
            </w:r>
          </w:p>
        </w:tc>
        <w:tc>
          <w:tcPr>
            <w:tcW w:w="340" w:type="dxa"/>
            <w:vAlign w:val="bottom"/>
            <w:tcBorders>
              <w:bottom w:val="single" w:sz="8" w:color="0C479D"/>
            </w:tcBorders>
          </w:tcPr>
          <w:p>
            <w:pPr>
              <w:spacing w:after="0"/>
              <w:rPr>
                <w:sz w:val="23"/>
                <w:szCs w:val="23"/>
                <w:color w:val="auto"/>
              </w:rPr>
            </w:pPr>
          </w:p>
        </w:tc>
        <w:tc>
          <w:tcPr>
            <w:tcW w:w="6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(4,355)</w:t>
            </w:r>
          </w:p>
        </w:tc>
        <w:tc>
          <w:tcPr>
            <w:tcW w:w="0" w:type="dxa"/>
            <w:vAlign w:val="bottom"/>
          </w:tcPr>
          <w:p>
            <w:pPr>
              <w:spacing w:after="0"/>
              <w:rPr>
                <w:sz w:val="1"/>
                <w:szCs w:val="1"/>
                <w:color w:val="auto"/>
              </w:rPr>
            </w:pPr>
          </w:p>
        </w:tc>
      </w:tr>
      <w:tr>
        <w:trPr>
          <w:trHeight w:val="250"/>
        </w:trPr>
        <w:tc>
          <w:tcPr>
            <w:tcW w:w="406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b w:val="1"/>
                <w:bCs w:val="1"/>
                <w:color w:val="auto"/>
              </w:rPr>
              <w:t>Total recorded</w:t>
            </w:r>
          </w:p>
        </w:tc>
        <w:tc>
          <w:tcPr>
            <w:tcW w:w="840" w:type="dxa"/>
            <w:vAlign w:val="bottom"/>
            <w:tcBorders>
              <w:bottom w:val="single" w:sz="8" w:color="0C479D"/>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(1,755)</w:t>
            </w:r>
          </w:p>
        </w:tc>
        <w:tc>
          <w:tcPr>
            <w:tcW w:w="280" w:type="dxa"/>
            <w:vAlign w:val="bottom"/>
            <w:tcBorders>
              <w:bottom w:val="single" w:sz="8" w:color="0C479D"/>
            </w:tcBorders>
          </w:tcPr>
          <w:p>
            <w:pPr>
              <w:spacing w:after="0"/>
              <w:rPr>
                <w:sz w:val="21"/>
                <w:szCs w:val="21"/>
                <w:color w:val="auto"/>
              </w:rPr>
            </w:pPr>
          </w:p>
        </w:tc>
        <w:tc>
          <w:tcPr>
            <w:tcW w:w="800" w:type="dxa"/>
            <w:vAlign w:val="bottom"/>
            <w:tcBorders>
              <w:bottom w:val="single" w:sz="8" w:color="0C479D"/>
            </w:tcBorders>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(1,776)</w:t>
            </w:r>
          </w:p>
        </w:tc>
        <w:tc>
          <w:tcPr>
            <w:tcW w:w="840" w:type="dxa"/>
            <w:vAlign w:val="bottom"/>
            <w:tcBorders>
              <w:bottom w:val="single" w:sz="8" w:color="0C479D"/>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(1,820)</w:t>
            </w:r>
          </w:p>
        </w:tc>
        <w:tc>
          <w:tcPr>
            <w:tcW w:w="360" w:type="dxa"/>
            <w:vAlign w:val="bottom"/>
            <w:tcBorders>
              <w:bottom w:val="single" w:sz="8" w:color="0C479D"/>
            </w:tcBorders>
          </w:tcPr>
          <w:p>
            <w:pPr>
              <w:spacing w:after="0"/>
              <w:rPr>
                <w:sz w:val="21"/>
                <w:szCs w:val="21"/>
                <w:color w:val="auto"/>
              </w:rPr>
            </w:pPr>
          </w:p>
        </w:tc>
        <w:tc>
          <w:tcPr>
            <w:tcW w:w="6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(2,896)</w:t>
            </w:r>
          </w:p>
        </w:tc>
        <w:tc>
          <w:tcPr>
            <w:tcW w:w="120" w:type="dxa"/>
            <w:vAlign w:val="bottom"/>
            <w:tcBorders>
              <w:bottom w:val="single" w:sz="8" w:color="0C479D"/>
            </w:tcBorders>
          </w:tcPr>
          <w:p>
            <w:pPr>
              <w:spacing w:after="0"/>
              <w:rPr>
                <w:sz w:val="21"/>
                <w:szCs w:val="21"/>
                <w:color w:val="auto"/>
              </w:rPr>
            </w:pPr>
          </w:p>
        </w:tc>
        <w:tc>
          <w:tcPr>
            <w:tcW w:w="840" w:type="dxa"/>
            <w:vAlign w:val="bottom"/>
            <w:tcBorders>
              <w:bottom w:val="single" w:sz="8" w:color="0C479D"/>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(4,427)</w:t>
            </w:r>
          </w:p>
        </w:tc>
        <w:tc>
          <w:tcPr>
            <w:tcW w:w="340" w:type="dxa"/>
            <w:vAlign w:val="bottom"/>
            <w:tcBorders>
              <w:bottom w:val="single" w:sz="8" w:color="0C479D"/>
            </w:tcBorders>
          </w:tcPr>
          <w:p>
            <w:pPr>
              <w:spacing w:after="0"/>
              <w:rPr>
                <w:sz w:val="21"/>
                <w:szCs w:val="21"/>
                <w:color w:val="auto"/>
              </w:rPr>
            </w:pPr>
          </w:p>
        </w:tc>
        <w:tc>
          <w:tcPr>
            <w:tcW w:w="6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(4,643)</w:t>
            </w:r>
          </w:p>
        </w:tc>
        <w:tc>
          <w:tcPr>
            <w:tcW w:w="0" w:type="dxa"/>
            <w:vAlign w:val="bottom"/>
          </w:tcPr>
          <w:p>
            <w:pPr>
              <w:spacing w:after="0"/>
              <w:rPr>
                <w:sz w:val="1"/>
                <w:szCs w:val="1"/>
                <w:color w:val="auto"/>
              </w:rPr>
            </w:pPr>
          </w:p>
        </w:tc>
      </w:tr>
      <w:tr>
        <w:trPr>
          <w:trHeight w:val="250"/>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0C479D"/>
              </w:rPr>
              <w:t>Amounts recorded in accumulated other</w:t>
            </w:r>
          </w:p>
        </w:tc>
        <w:tc>
          <w:tcPr>
            <w:tcW w:w="840" w:type="dxa"/>
            <w:vAlign w:val="bottom"/>
            <w:tcBorders>
              <w:right w:val="single" w:sz="8" w:color="F0F0F0"/>
            </w:tcBorders>
            <w:shd w:val="clear" w:color="auto" w:fill="F0F0F0"/>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Borders>
              <w:right w:val="single" w:sz="8" w:color="F0F0F0"/>
            </w:tcBorders>
            <w:shd w:val="clear" w:color="auto" w:fill="F0F0F0"/>
          </w:tcPr>
          <w:p>
            <w:pPr>
              <w:spacing w:after="0"/>
              <w:rPr>
                <w:sz w:val="21"/>
                <w:szCs w:val="21"/>
                <w:color w:val="auto"/>
              </w:rPr>
            </w:pPr>
          </w:p>
        </w:tc>
        <w:tc>
          <w:tcPr>
            <w:tcW w:w="3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Borders>
              <w:right w:val="single" w:sz="8" w:color="F0F0F0"/>
            </w:tcBorders>
            <w:shd w:val="clear" w:color="auto" w:fill="F0F0F0"/>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0C479D"/>
              </w:rPr>
              <w:t>comprehensive income consist of:</w:t>
            </w:r>
          </w:p>
        </w:tc>
        <w:tc>
          <w:tcPr>
            <w:tcW w:w="840" w:type="dxa"/>
            <w:vAlign w:val="bottom"/>
            <w:tcBorders>
              <w:right w:val="single" w:sz="8" w:color="F0F0F0"/>
            </w:tcBorders>
            <w:shd w:val="clear" w:color="auto" w:fill="F0F0F0"/>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Borders>
              <w:right w:val="single" w:sz="8" w:color="F0F0F0"/>
            </w:tcBorders>
            <w:shd w:val="clear" w:color="auto" w:fill="F0F0F0"/>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right w:val="single" w:sz="8" w:color="F0F0F0"/>
            </w:tcBorders>
            <w:shd w:val="clear" w:color="auto" w:fill="F0F0F0"/>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Net actuarial loss/(gain)</w:t>
            </w:r>
          </w:p>
        </w:tc>
        <w:tc>
          <w:tcPr>
            <w:tcW w:w="840" w:type="dxa"/>
            <w:vAlign w:val="bottom"/>
            <w:tcBorders>
              <w:right w:val="single" w:sz="8" w:color="F0F0F0"/>
            </w:tcBorders>
            <w:shd w:val="clear" w:color="auto" w:fill="F0F0F0"/>
          </w:tcPr>
          <w:p>
            <w:pPr>
              <w:jc w:val="right"/>
              <w:ind w:right="14"/>
              <w:spacing w:after="0"/>
              <w:rPr>
                <w:sz w:val="20"/>
                <w:szCs w:val="20"/>
                <w:color w:val="auto"/>
              </w:rPr>
            </w:pPr>
            <w:r>
              <w:rPr>
                <w:rFonts w:ascii="Times New Roman" w:cs="Times New Roman" w:eastAsia="Times New Roman" w:hAnsi="Times New Roman"/>
                <w:sz w:val="18"/>
                <w:szCs w:val="18"/>
                <w:color w:val="auto"/>
              </w:rPr>
              <w:t>631</w:t>
            </w:r>
          </w:p>
        </w:tc>
        <w:tc>
          <w:tcPr>
            <w:tcW w:w="280" w:type="dxa"/>
            <w:vAlign w:val="bottom"/>
          </w:tcPr>
          <w:p>
            <w:pPr>
              <w:spacing w:after="0"/>
              <w:rPr>
                <w:sz w:val="23"/>
                <w:szCs w:val="23"/>
                <w:color w:val="auto"/>
              </w:rPr>
            </w:pPr>
          </w:p>
        </w:tc>
        <w:tc>
          <w:tcPr>
            <w:tcW w:w="8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744</w:t>
            </w:r>
          </w:p>
        </w:tc>
        <w:tc>
          <w:tcPr>
            <w:tcW w:w="840" w:type="dxa"/>
            <w:vAlign w:val="bottom"/>
            <w:tcBorders>
              <w:right w:val="single" w:sz="8" w:color="F0F0F0"/>
            </w:tcBorders>
            <w:shd w:val="clear" w:color="auto" w:fill="F0F0F0"/>
          </w:tcPr>
          <w:p>
            <w:pPr>
              <w:jc w:val="right"/>
              <w:ind w:right="14"/>
              <w:spacing w:after="0"/>
              <w:rPr>
                <w:sz w:val="20"/>
                <w:szCs w:val="20"/>
                <w:color w:val="auto"/>
              </w:rPr>
            </w:pPr>
            <w:r>
              <w:rPr>
                <w:rFonts w:ascii="Times New Roman" w:cs="Times New Roman" w:eastAsia="Times New Roman" w:hAnsi="Times New Roman"/>
                <w:sz w:val="18"/>
                <w:szCs w:val="18"/>
                <w:color w:val="auto"/>
              </w:rPr>
              <w:t>557</w:t>
            </w:r>
          </w:p>
        </w:tc>
        <w:tc>
          <w:tcPr>
            <w:tcW w:w="360" w:type="dxa"/>
            <w:vAlign w:val="bottom"/>
          </w:tcPr>
          <w:p>
            <w:pPr>
              <w:spacing w:after="0"/>
              <w:rPr>
                <w:sz w:val="23"/>
                <w:szCs w:val="23"/>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1,364</w:t>
            </w:r>
          </w:p>
        </w:tc>
        <w:tc>
          <w:tcPr>
            <w:tcW w:w="120" w:type="dxa"/>
            <w:vAlign w:val="bottom"/>
          </w:tcPr>
          <w:p>
            <w:pPr>
              <w:spacing w:after="0"/>
              <w:rPr>
                <w:sz w:val="23"/>
                <w:szCs w:val="23"/>
                <w:color w:val="auto"/>
              </w:rPr>
            </w:pPr>
          </w:p>
        </w:tc>
        <w:tc>
          <w:tcPr>
            <w:tcW w:w="84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3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0" w:type="dxa"/>
            <w:vAlign w:val="bottom"/>
          </w:tcPr>
          <w:p>
            <w:pPr>
              <w:spacing w:after="0"/>
              <w:rPr>
                <w:sz w:val="1"/>
                <w:szCs w:val="1"/>
                <w:color w:val="auto"/>
              </w:rPr>
            </w:pPr>
          </w:p>
        </w:tc>
      </w:tr>
      <w:tr>
        <w:trPr>
          <w:trHeight w:val="270"/>
        </w:trPr>
        <w:tc>
          <w:tcPr>
            <w:tcW w:w="406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color w:val="auto"/>
              </w:rPr>
              <w:t>Prior service cost</w:t>
            </w:r>
          </w:p>
        </w:tc>
        <w:tc>
          <w:tcPr>
            <w:tcW w:w="840" w:type="dxa"/>
            <w:vAlign w:val="bottom"/>
            <w:tcBorders>
              <w:bottom w:val="single" w:sz="8" w:color="0C479D"/>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80" w:type="dxa"/>
            <w:vAlign w:val="bottom"/>
            <w:tcBorders>
              <w:bottom w:val="single" w:sz="8" w:color="0C479D"/>
            </w:tcBorders>
          </w:tcPr>
          <w:p>
            <w:pPr>
              <w:spacing w:after="0"/>
              <w:rPr>
                <w:sz w:val="23"/>
                <w:szCs w:val="23"/>
                <w:color w:val="auto"/>
              </w:rPr>
            </w:pPr>
          </w:p>
        </w:tc>
        <w:tc>
          <w:tcPr>
            <w:tcW w:w="800" w:type="dxa"/>
            <w:vAlign w:val="bottom"/>
            <w:tcBorders>
              <w:bottom w:val="single" w:sz="8" w:color="0C479D"/>
            </w:tcBorders>
          </w:tcPr>
          <w:p>
            <w:pPr>
              <w:jc w:val="right"/>
              <w:ind w:right="94"/>
              <w:spacing w:after="0"/>
              <w:rPr>
                <w:sz w:val="20"/>
                <w:szCs w:val="20"/>
                <w:color w:val="auto"/>
              </w:rPr>
            </w:pPr>
            <w:r>
              <w:rPr>
                <w:rFonts w:ascii="Times New Roman" w:cs="Times New Roman" w:eastAsia="Times New Roman" w:hAnsi="Times New Roman"/>
                <w:sz w:val="18"/>
                <w:szCs w:val="18"/>
                <w:color w:val="auto"/>
              </w:rPr>
              <w:t>(283)</w:t>
            </w:r>
          </w:p>
        </w:tc>
        <w:tc>
          <w:tcPr>
            <w:tcW w:w="840" w:type="dxa"/>
            <w:vAlign w:val="bottom"/>
            <w:tcBorders>
              <w:bottom w:val="single" w:sz="8" w:color="0C479D"/>
              <w:right w:val="single" w:sz="8" w:color="F0F0F0"/>
            </w:tcBorders>
            <w:shd w:val="clear" w:color="auto" w:fill="F0F0F0"/>
          </w:tcPr>
          <w:p>
            <w:pPr>
              <w:jc w:val="right"/>
              <w:ind w:right="14"/>
              <w:spacing w:after="0"/>
              <w:rPr>
                <w:sz w:val="20"/>
                <w:szCs w:val="20"/>
                <w:color w:val="auto"/>
              </w:rPr>
            </w:pPr>
            <w:r>
              <w:rPr>
                <w:rFonts w:ascii="Times New Roman" w:cs="Times New Roman" w:eastAsia="Times New Roman" w:hAnsi="Times New Roman"/>
                <w:sz w:val="18"/>
                <w:szCs w:val="18"/>
                <w:color w:val="auto"/>
              </w:rPr>
              <w:t>420</w:t>
            </w:r>
          </w:p>
        </w:tc>
        <w:tc>
          <w:tcPr>
            <w:tcW w:w="360" w:type="dxa"/>
            <w:vAlign w:val="bottom"/>
            <w:tcBorders>
              <w:bottom w:val="single" w:sz="8" w:color="0C479D"/>
            </w:tcBorders>
          </w:tcPr>
          <w:p>
            <w:pPr>
              <w:spacing w:after="0"/>
              <w:rPr>
                <w:sz w:val="23"/>
                <w:szCs w:val="23"/>
                <w:color w:val="auto"/>
              </w:rPr>
            </w:pPr>
          </w:p>
        </w:tc>
        <w:tc>
          <w:tcPr>
            <w:tcW w:w="600" w:type="dxa"/>
            <w:vAlign w:val="bottom"/>
            <w:tcBorders>
              <w:bottom w:val="single" w:sz="8" w:color="0C479D"/>
            </w:tcBorders>
          </w:tcPr>
          <w:p>
            <w:pPr>
              <w:jc w:val="right"/>
              <w:ind w:right="12"/>
              <w:spacing w:after="0"/>
              <w:rPr>
                <w:sz w:val="20"/>
                <w:szCs w:val="20"/>
                <w:color w:val="auto"/>
              </w:rPr>
            </w:pPr>
            <w:r>
              <w:rPr>
                <w:rFonts w:ascii="Times New Roman" w:cs="Times New Roman" w:eastAsia="Times New Roman" w:hAnsi="Times New Roman"/>
                <w:sz w:val="18"/>
                <w:szCs w:val="18"/>
                <w:color w:val="auto"/>
              </w:rPr>
              <w:t>401</w:t>
            </w:r>
          </w:p>
        </w:tc>
        <w:tc>
          <w:tcPr>
            <w:tcW w:w="120" w:type="dxa"/>
            <w:vAlign w:val="bottom"/>
            <w:tcBorders>
              <w:bottom w:val="single" w:sz="8" w:color="0C479D"/>
            </w:tcBorders>
          </w:tcPr>
          <w:p>
            <w:pPr>
              <w:spacing w:after="0"/>
              <w:rPr>
                <w:sz w:val="23"/>
                <w:szCs w:val="23"/>
                <w:color w:val="auto"/>
              </w:rPr>
            </w:pPr>
          </w:p>
        </w:tc>
        <w:tc>
          <w:tcPr>
            <w:tcW w:w="840" w:type="dxa"/>
            <w:vAlign w:val="bottom"/>
            <w:tcBorders>
              <w:bottom w:val="single" w:sz="8" w:color="0C479D"/>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340" w:type="dxa"/>
            <w:vAlign w:val="bottom"/>
            <w:tcBorders>
              <w:bottom w:val="single" w:sz="8" w:color="0C479D"/>
            </w:tcBorders>
          </w:tcPr>
          <w:p>
            <w:pPr>
              <w:spacing w:after="0"/>
              <w:rPr>
                <w:sz w:val="23"/>
                <w:szCs w:val="23"/>
                <w:color w:val="auto"/>
              </w:rPr>
            </w:pPr>
          </w:p>
        </w:tc>
        <w:tc>
          <w:tcPr>
            <w:tcW w:w="6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169"/>
        </w:trPr>
        <w:tc>
          <w:tcPr>
            <w:tcW w:w="4060" w:type="dxa"/>
            <w:vAlign w:val="bottom"/>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Total recorded in accumulated other comprehensive</w:t>
            </w:r>
          </w:p>
        </w:tc>
        <w:tc>
          <w:tcPr>
            <w:tcW w:w="840" w:type="dxa"/>
            <w:vAlign w:val="bottom"/>
            <w:tcBorders>
              <w:right w:val="single" w:sz="8" w:color="F0F0F0"/>
            </w:tcBorders>
            <w:vMerge w:val="restart"/>
            <w:shd w:val="clear" w:color="auto" w:fill="F0F0F0"/>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379</w:t>
            </w:r>
          </w:p>
        </w:tc>
        <w:tc>
          <w:tcPr>
            <w:tcW w:w="280" w:type="dxa"/>
            <w:vAlign w:val="bottom"/>
          </w:tcPr>
          <w:p>
            <w:pPr>
              <w:spacing w:after="0"/>
              <w:rPr>
                <w:sz w:val="14"/>
                <w:szCs w:val="14"/>
                <w:color w:val="auto"/>
              </w:rPr>
            </w:pPr>
          </w:p>
        </w:tc>
        <w:tc>
          <w:tcPr>
            <w:tcW w:w="800" w:type="dxa"/>
            <w:vAlign w:val="bottom"/>
            <w:vMerge w:val="restart"/>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461</w:t>
            </w:r>
          </w:p>
        </w:tc>
        <w:tc>
          <w:tcPr>
            <w:tcW w:w="840" w:type="dxa"/>
            <w:vAlign w:val="bottom"/>
            <w:tcBorders>
              <w:right w:val="single" w:sz="8" w:color="F0F0F0"/>
            </w:tcBorders>
            <w:vMerge w:val="restart"/>
            <w:shd w:val="clear" w:color="auto" w:fill="F0F0F0"/>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977</w:t>
            </w:r>
          </w:p>
        </w:tc>
        <w:tc>
          <w:tcPr>
            <w:tcW w:w="360" w:type="dxa"/>
            <w:vAlign w:val="bottom"/>
          </w:tcPr>
          <w:p>
            <w:pPr>
              <w:spacing w:after="0"/>
              <w:rPr>
                <w:sz w:val="14"/>
                <w:szCs w:val="14"/>
                <w:color w:val="auto"/>
              </w:rPr>
            </w:pPr>
          </w:p>
        </w:tc>
        <w:tc>
          <w:tcPr>
            <w:tcW w:w="60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1,765</w:t>
            </w:r>
          </w:p>
        </w:tc>
        <w:tc>
          <w:tcPr>
            <w:tcW w:w="120" w:type="dxa"/>
            <w:vAlign w:val="bottom"/>
          </w:tcPr>
          <w:p>
            <w:pPr>
              <w:spacing w:after="0"/>
              <w:rPr>
                <w:sz w:val="14"/>
                <w:szCs w:val="14"/>
                <w:color w:val="auto"/>
              </w:rPr>
            </w:pPr>
          </w:p>
        </w:tc>
        <w:tc>
          <w:tcPr>
            <w:tcW w:w="840" w:type="dxa"/>
            <w:vAlign w:val="bottom"/>
            <w:tcBorders>
              <w:right w:val="single" w:sz="8" w:color="F0F0F0"/>
            </w:tcBorders>
            <w:vMerge w:val="restart"/>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(1,826)</w:t>
            </w:r>
          </w:p>
        </w:tc>
        <w:tc>
          <w:tcPr>
            <w:tcW w:w="34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(1,912)</w:t>
            </w:r>
          </w:p>
        </w:tc>
        <w:tc>
          <w:tcPr>
            <w:tcW w:w="0" w:type="dxa"/>
            <w:vAlign w:val="bottom"/>
          </w:tcPr>
          <w:p>
            <w:pPr>
              <w:spacing w:after="0"/>
              <w:rPr>
                <w:sz w:val="1"/>
                <w:szCs w:val="1"/>
                <w:color w:val="auto"/>
              </w:rPr>
            </w:pPr>
          </w:p>
        </w:tc>
      </w:tr>
      <w:tr>
        <w:trPr>
          <w:trHeight w:val="250"/>
        </w:trPr>
        <w:tc>
          <w:tcPr>
            <w:tcW w:w="406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840" w:type="dxa"/>
            <w:vAlign w:val="bottom"/>
            <w:tcBorders>
              <w:bottom w:val="single" w:sz="8" w:color="0C479D"/>
              <w:right w:val="single" w:sz="8" w:color="F0F0F0"/>
            </w:tcBorders>
            <w:vMerge w:val="continue"/>
            <w:shd w:val="clear" w:color="auto" w:fill="F0F0F0"/>
          </w:tcPr>
          <w:p>
            <w:pPr>
              <w:spacing w:after="0"/>
              <w:rPr>
                <w:sz w:val="21"/>
                <w:szCs w:val="21"/>
                <w:color w:val="auto"/>
              </w:rPr>
            </w:pPr>
          </w:p>
        </w:tc>
        <w:tc>
          <w:tcPr>
            <w:tcW w:w="280" w:type="dxa"/>
            <w:vAlign w:val="bottom"/>
            <w:tcBorders>
              <w:bottom w:val="single" w:sz="8" w:color="0C479D"/>
            </w:tcBorders>
          </w:tcPr>
          <w:p>
            <w:pPr>
              <w:spacing w:after="0"/>
              <w:rPr>
                <w:sz w:val="21"/>
                <w:szCs w:val="21"/>
                <w:color w:val="auto"/>
              </w:rPr>
            </w:pPr>
          </w:p>
        </w:tc>
        <w:tc>
          <w:tcPr>
            <w:tcW w:w="800" w:type="dxa"/>
            <w:vAlign w:val="bottom"/>
            <w:tcBorders>
              <w:bottom w:val="single" w:sz="8" w:color="0C479D"/>
            </w:tcBorders>
            <w:vMerge w:val="continue"/>
          </w:tcPr>
          <w:p>
            <w:pPr>
              <w:spacing w:after="0"/>
              <w:rPr>
                <w:sz w:val="21"/>
                <w:szCs w:val="21"/>
                <w:color w:val="auto"/>
              </w:rPr>
            </w:pPr>
          </w:p>
        </w:tc>
        <w:tc>
          <w:tcPr>
            <w:tcW w:w="840" w:type="dxa"/>
            <w:vAlign w:val="bottom"/>
            <w:tcBorders>
              <w:bottom w:val="single" w:sz="8" w:color="0C479D"/>
              <w:right w:val="single" w:sz="8" w:color="F0F0F0"/>
            </w:tcBorders>
            <w:vMerge w:val="continue"/>
            <w:shd w:val="clear" w:color="auto" w:fill="F0F0F0"/>
          </w:tcPr>
          <w:p>
            <w:pPr>
              <w:spacing w:after="0"/>
              <w:rPr>
                <w:sz w:val="21"/>
                <w:szCs w:val="21"/>
                <w:color w:val="auto"/>
              </w:rPr>
            </w:pPr>
          </w:p>
        </w:tc>
        <w:tc>
          <w:tcPr>
            <w:tcW w:w="360" w:type="dxa"/>
            <w:vAlign w:val="bottom"/>
            <w:tcBorders>
              <w:bottom w:val="single" w:sz="8" w:color="0C479D"/>
            </w:tcBorders>
          </w:tcPr>
          <w:p>
            <w:pPr>
              <w:spacing w:after="0"/>
              <w:rPr>
                <w:sz w:val="21"/>
                <w:szCs w:val="21"/>
                <w:color w:val="auto"/>
              </w:rPr>
            </w:pPr>
          </w:p>
        </w:tc>
        <w:tc>
          <w:tcPr>
            <w:tcW w:w="600" w:type="dxa"/>
            <w:vAlign w:val="bottom"/>
            <w:tcBorders>
              <w:bottom w:val="single" w:sz="8" w:color="0C479D"/>
            </w:tcBorders>
            <w:vMerge w:val="continue"/>
          </w:tcPr>
          <w:p>
            <w:pPr>
              <w:spacing w:after="0"/>
              <w:rPr>
                <w:sz w:val="21"/>
                <w:szCs w:val="21"/>
                <w:color w:val="auto"/>
              </w:rPr>
            </w:pPr>
          </w:p>
        </w:tc>
        <w:tc>
          <w:tcPr>
            <w:tcW w:w="120" w:type="dxa"/>
            <w:vAlign w:val="bottom"/>
            <w:tcBorders>
              <w:bottom w:val="single" w:sz="8" w:color="0C479D"/>
            </w:tcBorders>
          </w:tcPr>
          <w:p>
            <w:pPr>
              <w:spacing w:after="0"/>
              <w:rPr>
                <w:sz w:val="21"/>
                <w:szCs w:val="21"/>
                <w:color w:val="auto"/>
              </w:rPr>
            </w:pPr>
          </w:p>
        </w:tc>
        <w:tc>
          <w:tcPr>
            <w:tcW w:w="840" w:type="dxa"/>
            <w:vAlign w:val="bottom"/>
            <w:tcBorders>
              <w:bottom w:val="single" w:sz="8" w:color="0C479D"/>
              <w:right w:val="single" w:sz="8" w:color="F0F0F0"/>
            </w:tcBorders>
            <w:vMerge w:val="continue"/>
            <w:shd w:val="clear" w:color="auto" w:fill="F0F0F0"/>
          </w:tcPr>
          <w:p>
            <w:pPr>
              <w:spacing w:after="0"/>
              <w:rPr>
                <w:sz w:val="21"/>
                <w:szCs w:val="21"/>
                <w:color w:val="auto"/>
              </w:rPr>
            </w:pPr>
          </w:p>
        </w:tc>
        <w:tc>
          <w:tcPr>
            <w:tcW w:w="340" w:type="dxa"/>
            <w:vAlign w:val="bottom"/>
            <w:tcBorders>
              <w:bottom w:val="single" w:sz="8" w:color="0C479D"/>
            </w:tcBorders>
          </w:tcPr>
          <w:p>
            <w:pPr>
              <w:spacing w:after="0"/>
              <w:rPr>
                <w:sz w:val="21"/>
                <w:szCs w:val="21"/>
                <w:color w:val="auto"/>
              </w:rPr>
            </w:pPr>
          </w:p>
        </w:tc>
        <w:tc>
          <w:tcPr>
            <w:tcW w:w="620" w:type="dxa"/>
            <w:vAlign w:val="bottom"/>
            <w:tcBorders>
              <w:bottom w:val="single" w:sz="8" w:color="0C479D"/>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920" w:hanging="131"/>
        <w:spacing w:after="0"/>
        <w:tabs>
          <w:tab w:leader="none" w:pos="920" w:val="left"/>
        </w:tabs>
        <w:numPr>
          <w:ilvl w:val="0"/>
          <w:numId w:val="56"/>
        </w:numPr>
        <w:rPr>
          <w:rFonts w:ascii="Times New Roman" w:cs="Times New Roman" w:eastAsia="Times New Roman" w:hAnsi="Times New Roman"/>
          <w:sz w:val="16"/>
          <w:szCs w:val="16"/>
          <w:i w:val="1"/>
          <w:iCs w:val="1"/>
          <w:color w:val="auto"/>
          <w:vertAlign w:val="superscript"/>
        </w:rPr>
      </w:pPr>
      <w:r>
        <w:rPr>
          <w:rFonts w:ascii="Times New Roman" w:cs="Times New Roman" w:eastAsia="Times New Roman" w:hAnsi="Times New Roman"/>
          <w:sz w:val="12"/>
          <w:szCs w:val="12"/>
          <w:i w:val="1"/>
          <w:iCs w:val="1"/>
          <w:color w:val="auto"/>
        </w:rPr>
        <w:t>Fair value of assets less benefit obligation shown on the preceding page.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22"/>
          <w:szCs w:val="22"/>
          <w:b w:val="1"/>
          <w:bCs w:val="1"/>
          <w:color w:val="0C479D"/>
        </w:rPr>
        <w:t>NOTES TO CONSOLIDATED FINANCIAL STATEMENTS</w:t>
      </w:r>
    </w:p>
    <w:p>
      <w:pPr>
        <w:spacing w:after="0" w:line="200" w:lineRule="exact"/>
        <w:rPr>
          <w:sz w:val="20"/>
          <w:szCs w:val="20"/>
          <w:color w:val="auto"/>
        </w:rPr>
      </w:pPr>
    </w:p>
    <w:p>
      <w:pPr>
        <w:spacing w:after="0" w:line="2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long-term expected rate of return on funded assets shown below is established for each benefit plan by developing a forward-looking, long-term return assumption for each asset class, taking into account factors such as the expected real return for the specific asset class and inflation. A single, long-term rate of return is then calculated as the weighted-average of the target asset allocation percentages and the long-term return assumption for each asset class.</w:t>
      </w:r>
    </w:p>
    <w:p>
      <w:pPr>
        <w:spacing w:after="0" w:line="143"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0C479D"/>
              </w:rPr>
              <w:t>Pension Benefits</w:t>
            </w: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gridSpan w:val="3"/>
          </w:tcPr>
          <w:p>
            <w:pPr>
              <w:jc w:val="right"/>
              <w:ind w:right="271"/>
              <w:spacing w:after="0"/>
              <w:rPr>
                <w:sz w:val="20"/>
                <w:szCs w:val="20"/>
                <w:color w:val="auto"/>
              </w:rPr>
            </w:pPr>
            <w:r>
              <w:rPr>
                <w:rFonts w:ascii="Times New Roman" w:cs="Times New Roman" w:eastAsia="Times New Roman" w:hAnsi="Times New Roman"/>
                <w:sz w:val="14"/>
                <w:szCs w:val="14"/>
                <w:b w:val="1"/>
                <w:bCs w:val="1"/>
                <w:color w:val="0C479D"/>
              </w:rPr>
              <w:t>Other Postretirement</w:t>
            </w:r>
          </w:p>
        </w:tc>
        <w:tc>
          <w:tcPr>
            <w:tcW w:w="0" w:type="dxa"/>
            <w:vAlign w:val="bottom"/>
          </w:tcPr>
          <w:p>
            <w:pPr>
              <w:spacing w:after="0"/>
              <w:rPr>
                <w:sz w:val="1"/>
                <w:szCs w:val="1"/>
                <w:color w:val="auto"/>
              </w:rPr>
            </w:pPr>
          </w:p>
        </w:tc>
      </w:tr>
      <w:tr>
        <w:trPr>
          <w:trHeight w:val="109"/>
        </w:trPr>
        <w:tc>
          <w:tcPr>
            <w:tcW w:w="3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0C479D"/>
              </w:rPr>
              <w:t>Benefits</w:t>
            </w: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4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3420" w:type="dxa"/>
            <w:vAlign w:val="bottom"/>
          </w:tcPr>
          <w:p>
            <w:pPr>
              <w:spacing w:after="0"/>
              <w:rPr>
                <w:sz w:val="2"/>
                <w:szCs w:val="2"/>
                <w:color w:val="auto"/>
              </w:rPr>
            </w:pPr>
          </w:p>
        </w:tc>
        <w:tc>
          <w:tcPr>
            <w:tcW w:w="580" w:type="dxa"/>
            <w:vAlign w:val="bottom"/>
            <w:tcBorders>
              <w:bottom w:val="single" w:sz="8" w:color="0C479D"/>
            </w:tcBorders>
          </w:tcPr>
          <w:p>
            <w:pPr>
              <w:spacing w:after="0"/>
              <w:rPr>
                <w:sz w:val="2"/>
                <w:szCs w:val="2"/>
                <w:color w:val="auto"/>
              </w:rPr>
            </w:pPr>
          </w:p>
        </w:tc>
        <w:tc>
          <w:tcPr>
            <w:tcW w:w="740" w:type="dxa"/>
            <w:vAlign w:val="bottom"/>
            <w:tcBorders>
              <w:bottom w:val="single" w:sz="8" w:color="0C479D"/>
            </w:tcBorders>
          </w:tcPr>
          <w:p>
            <w:pPr>
              <w:spacing w:after="0"/>
              <w:rPr>
                <w:sz w:val="2"/>
                <w:szCs w:val="2"/>
                <w:color w:val="auto"/>
              </w:rPr>
            </w:pPr>
          </w:p>
        </w:tc>
        <w:tc>
          <w:tcPr>
            <w:tcW w:w="760" w:type="dxa"/>
            <w:vAlign w:val="bottom"/>
            <w:tcBorders>
              <w:bottom w:val="single" w:sz="8" w:color="0C479D"/>
            </w:tcBorders>
          </w:tcPr>
          <w:p>
            <w:pPr>
              <w:spacing w:after="0"/>
              <w:rPr>
                <w:sz w:val="2"/>
                <w:szCs w:val="2"/>
                <w:color w:val="auto"/>
              </w:rPr>
            </w:pPr>
          </w:p>
        </w:tc>
        <w:tc>
          <w:tcPr>
            <w:tcW w:w="580" w:type="dxa"/>
            <w:vAlign w:val="bottom"/>
            <w:tcBorders>
              <w:bottom w:val="single" w:sz="8" w:color="0C479D"/>
            </w:tcBorders>
          </w:tcPr>
          <w:p>
            <w:pPr>
              <w:spacing w:after="0"/>
              <w:rPr>
                <w:sz w:val="2"/>
                <w:szCs w:val="2"/>
                <w:color w:val="auto"/>
              </w:rPr>
            </w:pPr>
          </w:p>
        </w:tc>
        <w:tc>
          <w:tcPr>
            <w:tcW w:w="820" w:type="dxa"/>
            <w:vAlign w:val="bottom"/>
            <w:tcBorders>
              <w:bottom w:val="single" w:sz="8" w:color="0C479D"/>
            </w:tcBorders>
          </w:tcPr>
          <w:p>
            <w:pPr>
              <w:spacing w:after="0"/>
              <w:rPr>
                <w:sz w:val="2"/>
                <w:szCs w:val="2"/>
                <w:color w:val="auto"/>
              </w:rPr>
            </w:pPr>
          </w:p>
        </w:tc>
        <w:tc>
          <w:tcPr>
            <w:tcW w:w="660" w:type="dxa"/>
            <w:vAlign w:val="bottom"/>
            <w:tcBorders>
              <w:bottom w:val="single" w:sz="8" w:color="0C479D"/>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0C479D"/>
            </w:tcBorders>
          </w:tcPr>
          <w:p>
            <w:pPr>
              <w:spacing w:after="0"/>
              <w:rPr>
                <w:sz w:val="2"/>
                <w:szCs w:val="2"/>
                <w:color w:val="auto"/>
              </w:rPr>
            </w:pPr>
          </w:p>
        </w:tc>
        <w:tc>
          <w:tcPr>
            <w:tcW w:w="800" w:type="dxa"/>
            <w:vAlign w:val="bottom"/>
            <w:tcBorders>
              <w:bottom w:val="single" w:sz="8" w:color="0C479D"/>
            </w:tcBorders>
          </w:tcPr>
          <w:p>
            <w:pPr>
              <w:spacing w:after="0"/>
              <w:rPr>
                <w:sz w:val="2"/>
                <w:szCs w:val="2"/>
                <w:color w:val="auto"/>
              </w:rPr>
            </w:pPr>
          </w:p>
        </w:tc>
        <w:tc>
          <w:tcPr>
            <w:tcW w:w="660" w:type="dxa"/>
            <w:vAlign w:val="bottom"/>
            <w:tcBorders>
              <w:bottom w:val="single" w:sz="8" w:color="0C479D"/>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34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3420" w:type="dxa"/>
            <w:vAlign w:val="bottom"/>
            <w:vMerge w:val="restart"/>
            <w:shd w:val="clear" w:color="auto" w:fill="0C479D"/>
          </w:tcPr>
          <w:p>
            <w:pPr>
              <w:spacing w:after="0"/>
              <w:rPr>
                <w:sz w:val="20"/>
                <w:szCs w:val="20"/>
                <w:color w:val="auto"/>
              </w:rPr>
            </w:pPr>
            <w:r>
              <w:rPr>
                <w:rFonts w:ascii="Times New Roman" w:cs="Times New Roman" w:eastAsia="Times New Roman" w:hAnsi="Times New Roman"/>
                <w:sz w:val="14"/>
                <w:szCs w:val="14"/>
                <w:i w:val="1"/>
                <w:iCs w:val="1"/>
                <w:color w:val="FFFFFF"/>
              </w:rPr>
              <w:t>(millions of dollars, except where stated otherwise)</w:t>
            </w:r>
          </w:p>
        </w:tc>
        <w:tc>
          <w:tcPr>
            <w:tcW w:w="580" w:type="dxa"/>
            <w:vAlign w:val="bottom"/>
            <w:tcBorders>
              <w:right w:val="single" w:sz="8" w:color="0C479D"/>
            </w:tcBorders>
            <w:shd w:val="clear" w:color="auto" w:fill="0C479D"/>
          </w:tcPr>
          <w:p>
            <w:pPr>
              <w:spacing w:after="0"/>
              <w:rPr>
                <w:sz w:val="17"/>
                <w:szCs w:val="17"/>
                <w:color w:val="auto"/>
              </w:rPr>
            </w:pPr>
          </w:p>
        </w:tc>
        <w:tc>
          <w:tcPr>
            <w:tcW w:w="740" w:type="dxa"/>
            <w:vAlign w:val="bottom"/>
            <w:shd w:val="clear" w:color="auto" w:fill="0C479D"/>
          </w:tcPr>
          <w:p>
            <w:pPr>
              <w:jc w:val="right"/>
              <w:ind w:right="132"/>
              <w:spacing w:after="0"/>
              <w:rPr>
                <w:sz w:val="20"/>
                <w:szCs w:val="20"/>
                <w:color w:val="auto"/>
              </w:rPr>
            </w:pPr>
            <w:r>
              <w:rPr>
                <w:rFonts w:ascii="Times New Roman" w:cs="Times New Roman" w:eastAsia="Times New Roman" w:hAnsi="Times New Roman"/>
                <w:sz w:val="14"/>
                <w:szCs w:val="14"/>
                <w:b w:val="1"/>
                <w:bCs w:val="1"/>
                <w:color w:val="FFFFFF"/>
              </w:rPr>
              <w:t>U.S.</w:t>
            </w:r>
          </w:p>
        </w:tc>
        <w:tc>
          <w:tcPr>
            <w:tcW w:w="760" w:type="dxa"/>
            <w:vAlign w:val="bottom"/>
            <w:shd w:val="clear" w:color="auto" w:fill="0C479D"/>
          </w:tcPr>
          <w:p>
            <w:pPr>
              <w:spacing w:after="0"/>
              <w:rPr>
                <w:sz w:val="17"/>
                <w:szCs w:val="17"/>
                <w:color w:val="auto"/>
              </w:rPr>
            </w:pPr>
          </w:p>
        </w:tc>
        <w:tc>
          <w:tcPr>
            <w:tcW w:w="580" w:type="dxa"/>
            <w:vAlign w:val="bottom"/>
            <w:tcBorders>
              <w:right w:val="single" w:sz="8" w:color="0C479D"/>
            </w:tcBorders>
            <w:shd w:val="clear" w:color="auto" w:fill="0C479D"/>
          </w:tcPr>
          <w:p>
            <w:pPr>
              <w:spacing w:after="0"/>
              <w:rPr>
                <w:sz w:val="17"/>
                <w:szCs w:val="17"/>
                <w:color w:val="auto"/>
              </w:rPr>
            </w:pPr>
          </w:p>
        </w:tc>
        <w:tc>
          <w:tcPr>
            <w:tcW w:w="820" w:type="dxa"/>
            <w:vAlign w:val="bottom"/>
            <w:shd w:val="clear" w:color="auto" w:fill="0C479D"/>
          </w:tcPr>
          <w:p>
            <w:pPr>
              <w:jc w:val="right"/>
              <w:ind w:right="12"/>
              <w:spacing w:after="0"/>
              <w:rPr>
                <w:sz w:val="20"/>
                <w:szCs w:val="20"/>
                <w:color w:val="auto"/>
              </w:rPr>
            </w:pPr>
            <w:r>
              <w:rPr>
                <w:rFonts w:ascii="Times New Roman" w:cs="Times New Roman" w:eastAsia="Times New Roman" w:hAnsi="Times New Roman"/>
                <w:sz w:val="14"/>
                <w:szCs w:val="14"/>
                <w:b w:val="1"/>
                <w:bCs w:val="1"/>
                <w:color w:val="FFFFFF"/>
              </w:rPr>
              <w:t>Non-U.S.</w:t>
            </w:r>
          </w:p>
        </w:tc>
        <w:tc>
          <w:tcPr>
            <w:tcW w:w="660" w:type="dxa"/>
            <w:vAlign w:val="bottom"/>
            <w:shd w:val="clear" w:color="auto" w:fill="0C479D"/>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Borders>
              <w:right w:val="single" w:sz="8" w:color="0C479D"/>
            </w:tcBorders>
            <w:shd w:val="clear" w:color="auto" w:fill="0C479D"/>
          </w:tcPr>
          <w:p>
            <w:pPr>
              <w:spacing w:after="0"/>
              <w:rPr>
                <w:sz w:val="17"/>
                <w:szCs w:val="17"/>
                <w:color w:val="auto"/>
              </w:rPr>
            </w:pPr>
          </w:p>
        </w:tc>
        <w:tc>
          <w:tcPr>
            <w:tcW w:w="800" w:type="dxa"/>
            <w:vAlign w:val="bottom"/>
            <w:shd w:val="clear" w:color="auto" w:fill="0C479D"/>
          </w:tcPr>
          <w:p>
            <w:pPr>
              <w:spacing w:after="0"/>
              <w:rPr>
                <w:sz w:val="17"/>
                <w:szCs w:val="17"/>
                <w:color w:val="auto"/>
              </w:rPr>
            </w:pPr>
          </w:p>
        </w:tc>
        <w:tc>
          <w:tcPr>
            <w:tcW w:w="660" w:type="dxa"/>
            <w:vAlign w:val="bottom"/>
            <w:shd w:val="clear" w:color="auto" w:fill="0C479D"/>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420" w:type="dxa"/>
            <w:vAlign w:val="bottom"/>
            <w:vMerge w:val="continue"/>
            <w:shd w:val="clear" w:color="auto" w:fill="0C479D"/>
          </w:tcPr>
          <w:p>
            <w:pPr>
              <w:spacing w:after="0"/>
              <w:rPr>
                <w:sz w:val="11"/>
                <w:szCs w:val="11"/>
                <w:color w:val="auto"/>
              </w:rPr>
            </w:pPr>
          </w:p>
        </w:tc>
        <w:tc>
          <w:tcPr>
            <w:tcW w:w="580" w:type="dxa"/>
            <w:vAlign w:val="bottom"/>
            <w:tcBorders>
              <w:right w:val="single" w:sz="8" w:color="0C479D"/>
            </w:tcBorders>
            <w:vMerge w:val="restart"/>
            <w:shd w:val="clear" w:color="auto" w:fill="0C479D"/>
          </w:tcPr>
          <w:p>
            <w:pPr>
              <w:jc w:val="right"/>
              <w:ind w:right="71"/>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740" w:type="dxa"/>
            <w:vAlign w:val="bottom"/>
            <w:vMerge w:val="restart"/>
            <w:shd w:val="clear" w:color="auto" w:fill="0C479D"/>
          </w:tcPr>
          <w:p>
            <w:pPr>
              <w:jc w:val="right"/>
              <w:ind w:right="132"/>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760" w:type="dxa"/>
            <w:vAlign w:val="bottom"/>
            <w:vMerge w:val="restart"/>
            <w:shd w:val="clear" w:color="auto" w:fill="0C479D"/>
          </w:tcPr>
          <w:p>
            <w:pPr>
              <w:jc w:val="right"/>
              <w:ind w:right="192"/>
              <w:spacing w:after="0"/>
              <w:rPr>
                <w:sz w:val="20"/>
                <w:szCs w:val="20"/>
                <w:color w:val="auto"/>
              </w:rPr>
            </w:pPr>
            <w:r>
              <w:rPr>
                <w:rFonts w:ascii="Times New Roman" w:cs="Times New Roman" w:eastAsia="Times New Roman" w:hAnsi="Times New Roman"/>
                <w:sz w:val="14"/>
                <w:szCs w:val="14"/>
                <w:b w:val="1"/>
                <w:bCs w:val="1"/>
                <w:color w:val="FFFFFF"/>
              </w:rPr>
              <w:t>2022</w:t>
            </w:r>
          </w:p>
        </w:tc>
        <w:tc>
          <w:tcPr>
            <w:tcW w:w="580" w:type="dxa"/>
            <w:vAlign w:val="bottom"/>
            <w:tcBorders>
              <w:right w:val="single" w:sz="8" w:color="0C479D"/>
            </w:tcBorders>
            <w:vMerge w:val="restart"/>
            <w:shd w:val="clear" w:color="auto" w:fill="0C479D"/>
          </w:tcPr>
          <w:p>
            <w:pPr>
              <w:jc w:val="right"/>
              <w:ind w:right="71"/>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820" w:type="dxa"/>
            <w:vAlign w:val="bottom"/>
            <w:vMerge w:val="restart"/>
            <w:shd w:val="clear" w:color="auto" w:fill="0C479D"/>
          </w:tcPr>
          <w:p>
            <w:pPr>
              <w:jc w:val="right"/>
              <w:ind w:right="192"/>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660" w:type="dxa"/>
            <w:vAlign w:val="bottom"/>
            <w:vMerge w:val="restart"/>
            <w:shd w:val="clear" w:color="auto" w:fill="0C479D"/>
          </w:tcPr>
          <w:p>
            <w:pPr>
              <w:jc w:val="right"/>
              <w:ind w:right="91"/>
              <w:spacing w:after="0"/>
              <w:rPr>
                <w:sz w:val="20"/>
                <w:szCs w:val="20"/>
                <w:color w:val="auto"/>
              </w:rPr>
            </w:pPr>
            <w:r>
              <w:rPr>
                <w:rFonts w:ascii="Times New Roman" w:cs="Times New Roman" w:eastAsia="Times New Roman" w:hAnsi="Times New Roman"/>
                <w:sz w:val="14"/>
                <w:szCs w:val="14"/>
                <w:b w:val="1"/>
                <w:bCs w:val="1"/>
                <w:color w:val="FFFFFF"/>
              </w:rPr>
              <w:t>2022</w:t>
            </w:r>
          </w:p>
        </w:tc>
        <w:tc>
          <w:tcPr>
            <w:tcW w:w="120" w:type="dxa"/>
            <w:vAlign w:val="bottom"/>
          </w:tcPr>
          <w:p>
            <w:pPr>
              <w:spacing w:after="0"/>
              <w:rPr>
                <w:sz w:val="11"/>
                <w:szCs w:val="11"/>
                <w:color w:val="auto"/>
              </w:rPr>
            </w:pPr>
          </w:p>
        </w:tc>
        <w:tc>
          <w:tcPr>
            <w:tcW w:w="560" w:type="dxa"/>
            <w:vAlign w:val="bottom"/>
            <w:tcBorders>
              <w:right w:val="single" w:sz="8" w:color="0C479D"/>
            </w:tcBorders>
            <w:vMerge w:val="restart"/>
            <w:shd w:val="clear" w:color="auto" w:fill="0C479D"/>
          </w:tcPr>
          <w:p>
            <w:pPr>
              <w:jc w:val="right"/>
              <w:ind w:right="52"/>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800" w:type="dxa"/>
            <w:vAlign w:val="bottom"/>
            <w:vMerge w:val="restart"/>
            <w:shd w:val="clear" w:color="auto" w:fill="0C479D"/>
          </w:tcPr>
          <w:p>
            <w:pPr>
              <w:jc w:val="right"/>
              <w:ind w:right="172"/>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660" w:type="dxa"/>
            <w:vAlign w:val="bottom"/>
            <w:vMerge w:val="restart"/>
            <w:shd w:val="clear" w:color="auto" w:fill="0C479D"/>
          </w:tcPr>
          <w:p>
            <w:pPr>
              <w:jc w:val="right"/>
              <w:ind w:right="91"/>
              <w:spacing w:after="0"/>
              <w:rPr>
                <w:sz w:val="20"/>
                <w:szCs w:val="20"/>
                <w:color w:val="auto"/>
              </w:rPr>
            </w:pPr>
            <w:r>
              <w:rPr>
                <w:rFonts w:ascii="Times New Roman" w:cs="Times New Roman" w:eastAsia="Times New Roman" w:hAnsi="Times New Roman"/>
                <w:sz w:val="14"/>
                <w:szCs w:val="14"/>
                <w:b w:val="1"/>
                <w:bCs w:val="1"/>
                <w:color w:val="FFFFFF"/>
              </w:rPr>
              <w:t>2022</w:t>
            </w:r>
          </w:p>
        </w:tc>
        <w:tc>
          <w:tcPr>
            <w:tcW w:w="0" w:type="dxa"/>
            <w:vAlign w:val="bottom"/>
          </w:tcPr>
          <w:p>
            <w:pPr>
              <w:spacing w:after="0"/>
              <w:rPr>
                <w:sz w:val="1"/>
                <w:szCs w:val="1"/>
                <w:color w:val="auto"/>
              </w:rPr>
            </w:pPr>
          </w:p>
        </w:tc>
      </w:tr>
      <w:tr>
        <w:trPr>
          <w:trHeight w:val="179"/>
        </w:trPr>
        <w:tc>
          <w:tcPr>
            <w:tcW w:w="3420" w:type="dxa"/>
            <w:vAlign w:val="bottom"/>
            <w:tcBorders>
              <w:bottom w:val="single" w:sz="8" w:color="0C479D"/>
            </w:tcBorders>
            <w:shd w:val="clear" w:color="auto" w:fill="0C479D"/>
          </w:tcPr>
          <w:p>
            <w:pPr>
              <w:spacing w:after="0"/>
              <w:rPr>
                <w:sz w:val="15"/>
                <w:szCs w:val="15"/>
                <w:color w:val="auto"/>
              </w:rPr>
            </w:pPr>
          </w:p>
        </w:tc>
        <w:tc>
          <w:tcPr>
            <w:tcW w:w="580" w:type="dxa"/>
            <w:vAlign w:val="bottom"/>
            <w:tcBorders>
              <w:bottom w:val="single" w:sz="8" w:color="0C479D"/>
              <w:right w:val="single" w:sz="8" w:color="0C479D"/>
            </w:tcBorders>
            <w:vMerge w:val="continue"/>
            <w:shd w:val="clear" w:color="auto" w:fill="0C479D"/>
          </w:tcPr>
          <w:p>
            <w:pPr>
              <w:spacing w:after="0"/>
              <w:rPr>
                <w:sz w:val="15"/>
                <w:szCs w:val="15"/>
                <w:color w:val="auto"/>
              </w:rPr>
            </w:pPr>
          </w:p>
        </w:tc>
        <w:tc>
          <w:tcPr>
            <w:tcW w:w="740" w:type="dxa"/>
            <w:vAlign w:val="bottom"/>
            <w:tcBorders>
              <w:bottom w:val="single" w:sz="8" w:color="0C479D"/>
            </w:tcBorders>
            <w:vMerge w:val="continue"/>
            <w:shd w:val="clear" w:color="auto" w:fill="0C479D"/>
          </w:tcPr>
          <w:p>
            <w:pPr>
              <w:spacing w:after="0"/>
              <w:rPr>
                <w:sz w:val="15"/>
                <w:szCs w:val="15"/>
                <w:color w:val="auto"/>
              </w:rPr>
            </w:pPr>
          </w:p>
        </w:tc>
        <w:tc>
          <w:tcPr>
            <w:tcW w:w="760" w:type="dxa"/>
            <w:vAlign w:val="bottom"/>
            <w:tcBorders>
              <w:bottom w:val="single" w:sz="8" w:color="0C479D"/>
            </w:tcBorders>
            <w:vMerge w:val="continue"/>
            <w:shd w:val="clear" w:color="auto" w:fill="0C479D"/>
          </w:tcPr>
          <w:p>
            <w:pPr>
              <w:spacing w:after="0"/>
              <w:rPr>
                <w:sz w:val="15"/>
                <w:szCs w:val="15"/>
                <w:color w:val="auto"/>
              </w:rPr>
            </w:pPr>
          </w:p>
        </w:tc>
        <w:tc>
          <w:tcPr>
            <w:tcW w:w="580" w:type="dxa"/>
            <w:vAlign w:val="bottom"/>
            <w:tcBorders>
              <w:bottom w:val="single" w:sz="8" w:color="0C479D"/>
              <w:right w:val="single" w:sz="8" w:color="0C479D"/>
            </w:tcBorders>
            <w:vMerge w:val="continue"/>
            <w:shd w:val="clear" w:color="auto" w:fill="0C479D"/>
          </w:tcPr>
          <w:p>
            <w:pPr>
              <w:spacing w:after="0"/>
              <w:rPr>
                <w:sz w:val="15"/>
                <w:szCs w:val="15"/>
                <w:color w:val="auto"/>
              </w:rPr>
            </w:pPr>
          </w:p>
        </w:tc>
        <w:tc>
          <w:tcPr>
            <w:tcW w:w="820" w:type="dxa"/>
            <w:vAlign w:val="bottom"/>
            <w:tcBorders>
              <w:bottom w:val="single" w:sz="8" w:color="0C479D"/>
            </w:tcBorders>
            <w:vMerge w:val="continue"/>
            <w:shd w:val="clear" w:color="auto" w:fill="0C479D"/>
          </w:tcPr>
          <w:p>
            <w:pPr>
              <w:spacing w:after="0"/>
              <w:rPr>
                <w:sz w:val="15"/>
                <w:szCs w:val="15"/>
                <w:color w:val="auto"/>
              </w:rPr>
            </w:pPr>
          </w:p>
        </w:tc>
        <w:tc>
          <w:tcPr>
            <w:tcW w:w="660" w:type="dxa"/>
            <w:vAlign w:val="bottom"/>
            <w:tcBorders>
              <w:bottom w:val="single" w:sz="8" w:color="0C479D"/>
            </w:tcBorders>
            <w:vMerge w:val="continue"/>
            <w:shd w:val="clear" w:color="auto" w:fill="0C479D"/>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Borders>
              <w:bottom w:val="single" w:sz="8" w:color="0C479D"/>
              <w:right w:val="single" w:sz="8" w:color="0C479D"/>
            </w:tcBorders>
            <w:vMerge w:val="continue"/>
            <w:shd w:val="clear" w:color="auto" w:fill="0C479D"/>
          </w:tcPr>
          <w:p>
            <w:pPr>
              <w:spacing w:after="0"/>
              <w:rPr>
                <w:sz w:val="15"/>
                <w:szCs w:val="15"/>
                <w:color w:val="auto"/>
              </w:rPr>
            </w:pPr>
          </w:p>
        </w:tc>
        <w:tc>
          <w:tcPr>
            <w:tcW w:w="800" w:type="dxa"/>
            <w:vAlign w:val="bottom"/>
            <w:tcBorders>
              <w:bottom w:val="single" w:sz="8" w:color="0C479D"/>
            </w:tcBorders>
            <w:vMerge w:val="continue"/>
            <w:shd w:val="clear" w:color="auto" w:fill="0C479D"/>
          </w:tcPr>
          <w:p>
            <w:pPr>
              <w:spacing w:after="0"/>
              <w:rPr>
                <w:sz w:val="15"/>
                <w:szCs w:val="15"/>
                <w:color w:val="auto"/>
              </w:rPr>
            </w:pPr>
          </w:p>
        </w:tc>
        <w:tc>
          <w:tcPr>
            <w:tcW w:w="660" w:type="dxa"/>
            <w:vAlign w:val="bottom"/>
            <w:tcBorders>
              <w:bottom w:val="single" w:sz="8" w:color="0C479D"/>
            </w:tcBorders>
            <w:vMerge w:val="continue"/>
            <w:shd w:val="clear" w:color="auto" w:fill="0C479D"/>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17"/>
                <w:szCs w:val="17"/>
                <w:b w:val="1"/>
                <w:bCs w:val="1"/>
                <w:color w:val="0C479D"/>
              </w:rPr>
              <w:t>Weighted-average assumptions used to</w:t>
            </w:r>
          </w:p>
        </w:tc>
        <w:tc>
          <w:tcPr>
            <w:tcW w:w="580" w:type="dxa"/>
            <w:vAlign w:val="bottom"/>
            <w:tcBorders>
              <w:right w:val="single" w:sz="8" w:color="F0F0F0"/>
            </w:tcBorders>
            <w:shd w:val="clear" w:color="auto" w:fill="F0F0F0"/>
          </w:tcPr>
          <w:p>
            <w:pPr>
              <w:spacing w:after="0"/>
              <w:rPr>
                <w:sz w:val="22"/>
                <w:szCs w:val="22"/>
                <w:color w:val="auto"/>
              </w:rPr>
            </w:pPr>
          </w:p>
        </w:tc>
        <w:tc>
          <w:tcPr>
            <w:tcW w:w="7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80" w:type="dxa"/>
            <w:vAlign w:val="bottom"/>
            <w:tcBorders>
              <w:right w:val="single" w:sz="8" w:color="F0F0F0"/>
            </w:tcBorders>
            <w:shd w:val="clear" w:color="auto" w:fill="F0F0F0"/>
          </w:tcPr>
          <w:p>
            <w:pPr>
              <w:spacing w:after="0"/>
              <w:rPr>
                <w:sz w:val="22"/>
                <w:szCs w:val="22"/>
                <w:color w:val="auto"/>
              </w:rPr>
            </w:pPr>
          </w:p>
        </w:tc>
        <w:tc>
          <w:tcPr>
            <w:tcW w:w="8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Borders>
              <w:right w:val="single" w:sz="8" w:color="F0F0F0"/>
            </w:tcBorders>
            <w:shd w:val="clear" w:color="auto" w:fill="F0F0F0"/>
          </w:tcPr>
          <w:p>
            <w:pPr>
              <w:spacing w:after="0"/>
              <w:rPr>
                <w:sz w:val="22"/>
                <w:szCs w:val="22"/>
                <w:color w:val="auto"/>
              </w:rPr>
            </w:pPr>
          </w:p>
        </w:tc>
        <w:tc>
          <w:tcPr>
            <w:tcW w:w="8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4"/>
        </w:trPr>
        <w:tc>
          <w:tcPr>
            <w:tcW w:w="3420" w:type="dxa"/>
            <w:vAlign w:val="bottom"/>
          </w:tcPr>
          <w:p>
            <w:pPr>
              <w:spacing w:after="0" w:line="174" w:lineRule="exact"/>
              <w:rPr>
                <w:sz w:val="20"/>
                <w:szCs w:val="20"/>
                <w:color w:val="auto"/>
              </w:rPr>
            </w:pPr>
            <w:r>
              <w:rPr>
                <w:rFonts w:ascii="Times New Roman" w:cs="Times New Roman" w:eastAsia="Times New Roman" w:hAnsi="Times New Roman"/>
                <w:sz w:val="17"/>
                <w:szCs w:val="17"/>
                <w:b w:val="1"/>
                <w:bCs w:val="1"/>
                <w:color w:val="0C479D"/>
              </w:rPr>
              <w:t>determine net periodic benefit cost for years</w:t>
            </w:r>
          </w:p>
        </w:tc>
        <w:tc>
          <w:tcPr>
            <w:tcW w:w="580" w:type="dxa"/>
            <w:vAlign w:val="bottom"/>
            <w:tcBorders>
              <w:right w:val="single" w:sz="8" w:color="F0F0F0"/>
            </w:tcBorders>
            <w:shd w:val="clear" w:color="auto" w:fill="F0F0F0"/>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Borders>
              <w:right w:val="single" w:sz="8" w:color="F0F0F0"/>
            </w:tcBorders>
            <w:shd w:val="clear" w:color="auto" w:fill="F0F0F0"/>
          </w:tcPr>
          <w:p>
            <w:pPr>
              <w:spacing w:after="0"/>
              <w:rPr>
                <w:sz w:val="15"/>
                <w:szCs w:val="15"/>
                <w:color w:val="auto"/>
              </w:rPr>
            </w:pP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Borders>
              <w:right w:val="single" w:sz="8" w:color="F0F0F0"/>
            </w:tcBorders>
            <w:shd w:val="clear" w:color="auto" w:fill="F0F0F0"/>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3420" w:type="dxa"/>
            <w:vAlign w:val="bottom"/>
          </w:tcPr>
          <w:p>
            <w:pPr>
              <w:spacing w:after="0"/>
              <w:rPr>
                <w:sz w:val="20"/>
                <w:szCs w:val="20"/>
                <w:color w:val="auto"/>
              </w:rPr>
            </w:pPr>
            <w:r>
              <w:rPr>
                <w:rFonts w:ascii="Times New Roman" w:cs="Times New Roman" w:eastAsia="Times New Roman" w:hAnsi="Times New Roman"/>
                <w:sz w:val="17"/>
                <w:szCs w:val="17"/>
                <w:b w:val="1"/>
                <w:bCs w:val="1"/>
                <w:color w:val="0C479D"/>
              </w:rPr>
              <w:t>ended December 31</w:t>
            </w:r>
          </w:p>
        </w:tc>
        <w:tc>
          <w:tcPr>
            <w:tcW w:w="580" w:type="dxa"/>
            <w:vAlign w:val="bottom"/>
            <w:tcBorders>
              <w:right w:val="single" w:sz="8" w:color="F0F0F0"/>
            </w:tcBorders>
            <w:shd w:val="clear" w:color="auto" w:fill="F0F0F0"/>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Borders>
              <w:right w:val="single" w:sz="8" w:color="F0F0F0"/>
            </w:tcBorders>
            <w:shd w:val="clear" w:color="auto" w:fill="F0F0F0"/>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right w:val="single" w:sz="8" w:color="F0F0F0"/>
            </w:tcBorders>
            <w:shd w:val="clear" w:color="auto" w:fill="F0F0F0"/>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Discount rate </w:t>
            </w:r>
            <w:r>
              <w:rPr>
                <w:rFonts w:ascii="Times New Roman" w:cs="Times New Roman" w:eastAsia="Times New Roman" w:hAnsi="Times New Roman"/>
                <w:sz w:val="18"/>
                <w:szCs w:val="18"/>
                <w:i w:val="1"/>
                <w:iCs w:val="1"/>
                <w:color w:val="auto"/>
              </w:rPr>
              <w:t>(percent)</w:t>
            </w:r>
          </w:p>
        </w:tc>
        <w:tc>
          <w:tcPr>
            <w:tcW w:w="580" w:type="dxa"/>
            <w:vAlign w:val="bottom"/>
            <w:tcBorders>
              <w:right w:val="single" w:sz="8" w:color="F0F0F0"/>
            </w:tcBorders>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5.30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5.60</w:t>
            </w: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3.00</w:t>
            </w:r>
          </w:p>
        </w:tc>
        <w:tc>
          <w:tcPr>
            <w:tcW w:w="580" w:type="dxa"/>
            <w:vAlign w:val="bottom"/>
            <w:tcBorders>
              <w:right w:val="single" w:sz="8" w:color="F0F0F0"/>
            </w:tcBorders>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4.30</w:t>
            </w:r>
          </w:p>
        </w:tc>
        <w:tc>
          <w:tcPr>
            <w:tcW w:w="8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4.90</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Pr>
          <w:p>
            <w:pPr>
              <w:spacing w:after="0"/>
              <w:rPr>
                <w:sz w:val="23"/>
                <w:szCs w:val="23"/>
                <w:color w:val="auto"/>
              </w:rPr>
            </w:pPr>
          </w:p>
        </w:tc>
        <w:tc>
          <w:tcPr>
            <w:tcW w:w="56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5.60</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176"/>
        </w:trPr>
        <w:tc>
          <w:tcPr>
            <w:tcW w:w="34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Long-term rate of return on funded assets</w:t>
            </w:r>
          </w:p>
        </w:tc>
        <w:tc>
          <w:tcPr>
            <w:tcW w:w="580" w:type="dxa"/>
            <w:vAlign w:val="bottom"/>
            <w:tcBorders>
              <w:right w:val="single" w:sz="8" w:color="F0F0F0"/>
            </w:tcBorders>
            <w:shd w:val="clear" w:color="auto" w:fill="F0F0F0"/>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Borders>
              <w:right w:val="single" w:sz="8" w:color="F0F0F0"/>
            </w:tcBorders>
            <w:shd w:val="clear" w:color="auto" w:fill="F0F0F0"/>
          </w:tcPr>
          <w:p>
            <w:pPr>
              <w:spacing w:after="0"/>
              <w:rPr>
                <w:sz w:val="15"/>
                <w:szCs w:val="15"/>
                <w:color w:val="auto"/>
              </w:rPr>
            </w:pP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Borders>
              <w:right w:val="single" w:sz="8" w:color="F0F0F0"/>
            </w:tcBorders>
            <w:shd w:val="clear" w:color="auto" w:fill="F0F0F0"/>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4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(percent)</w:t>
            </w:r>
          </w:p>
        </w:tc>
        <w:tc>
          <w:tcPr>
            <w:tcW w:w="580" w:type="dxa"/>
            <w:vAlign w:val="bottom"/>
            <w:tcBorders>
              <w:right w:val="single" w:sz="8" w:color="F0F0F0"/>
            </w:tcBorders>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6.80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5.20</w:t>
            </w: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4.60</w:t>
            </w:r>
          </w:p>
        </w:tc>
        <w:tc>
          <w:tcPr>
            <w:tcW w:w="580" w:type="dxa"/>
            <w:vAlign w:val="bottom"/>
            <w:tcBorders>
              <w:right w:val="single" w:sz="8" w:color="F0F0F0"/>
            </w:tcBorders>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5.50</w:t>
            </w:r>
          </w:p>
        </w:tc>
        <w:tc>
          <w:tcPr>
            <w:tcW w:w="8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4.20</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tcPr>
          <w:p>
            <w:pPr>
              <w:spacing w:after="0"/>
              <w:rPr>
                <w:sz w:val="20"/>
                <w:szCs w:val="20"/>
                <w:color w:val="auto"/>
              </w:rPr>
            </w:pPr>
          </w:p>
        </w:tc>
        <w:tc>
          <w:tcPr>
            <w:tcW w:w="56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4.70</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180"/>
        </w:trPr>
        <w:tc>
          <w:tcPr>
            <w:tcW w:w="34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Long-term rate of compensation increase</w:t>
            </w:r>
          </w:p>
        </w:tc>
        <w:tc>
          <w:tcPr>
            <w:tcW w:w="580" w:type="dxa"/>
            <w:vAlign w:val="bottom"/>
            <w:tcBorders>
              <w:right w:val="single" w:sz="8" w:color="F0F0F0"/>
            </w:tcBorders>
            <w:shd w:val="clear" w:color="auto" w:fill="F0F0F0"/>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Borders>
              <w:right w:val="single" w:sz="8" w:color="F0F0F0"/>
            </w:tcBorders>
            <w:shd w:val="clear" w:color="auto" w:fill="F0F0F0"/>
          </w:tcPr>
          <w:p>
            <w:pPr>
              <w:spacing w:after="0"/>
              <w:rPr>
                <w:sz w:val="15"/>
                <w:szCs w:val="15"/>
                <w:color w:val="auto"/>
              </w:rPr>
            </w:pP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Borders>
              <w:right w:val="single" w:sz="8" w:color="F0F0F0"/>
            </w:tcBorders>
            <w:shd w:val="clear" w:color="auto" w:fill="F0F0F0"/>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(percent)</w:t>
            </w:r>
          </w:p>
        </w:tc>
        <w:tc>
          <w:tcPr>
            <w:tcW w:w="580" w:type="dxa"/>
            <w:vAlign w:val="bottom"/>
            <w:tcBorders>
              <w:right w:val="single" w:sz="8" w:color="F0F0F0"/>
            </w:tcBorders>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4.50</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4.50</w:t>
            </w: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4.50</w:t>
            </w:r>
          </w:p>
        </w:tc>
        <w:tc>
          <w:tcPr>
            <w:tcW w:w="580" w:type="dxa"/>
            <w:vAlign w:val="bottom"/>
            <w:tcBorders>
              <w:right w:val="single" w:sz="8" w:color="F0F0F0"/>
            </w:tcBorders>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4.50</w:t>
            </w:r>
          </w:p>
        </w:tc>
        <w:tc>
          <w:tcPr>
            <w:tcW w:w="8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5.20</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Pr>
          <w:p>
            <w:pPr>
              <w:spacing w:after="0"/>
              <w:rPr>
                <w:sz w:val="21"/>
                <w:szCs w:val="21"/>
                <w:color w:val="auto"/>
              </w:rPr>
            </w:pPr>
          </w:p>
        </w:tc>
        <w:tc>
          <w:tcPr>
            <w:tcW w:w="56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4.50</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364"/>
        </w:trPr>
        <w:tc>
          <w:tcPr>
            <w:tcW w:w="3420" w:type="dxa"/>
            <w:vAlign w:val="bottom"/>
          </w:tcPr>
          <w:p>
            <w:pPr>
              <w:spacing w:after="0"/>
              <w:rPr>
                <w:sz w:val="20"/>
                <w:szCs w:val="20"/>
                <w:color w:val="auto"/>
              </w:rPr>
            </w:pPr>
            <w:r>
              <w:rPr>
                <w:rFonts w:ascii="Times New Roman" w:cs="Times New Roman" w:eastAsia="Times New Roman" w:hAnsi="Times New Roman"/>
                <w:sz w:val="18"/>
                <w:szCs w:val="18"/>
                <w:b w:val="1"/>
                <w:bCs w:val="1"/>
                <w:color w:val="0C479D"/>
              </w:rPr>
              <w:t>Components of net periodic benefit cost</w:t>
            </w:r>
          </w:p>
        </w:tc>
        <w:tc>
          <w:tcPr>
            <w:tcW w:w="580" w:type="dxa"/>
            <w:vAlign w:val="bottom"/>
            <w:tcBorders>
              <w:right w:val="single" w:sz="8" w:color="F0F0F0"/>
            </w:tcBorders>
            <w:shd w:val="clear" w:color="auto" w:fill="F0F0F0"/>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Borders>
              <w:right w:val="single" w:sz="8" w:color="F0F0F0"/>
            </w:tcBorders>
            <w:shd w:val="clear" w:color="auto" w:fill="F0F0F0"/>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right w:val="single" w:sz="8" w:color="F0F0F0"/>
            </w:tcBorders>
            <w:shd w:val="clear" w:color="auto" w:fill="F0F0F0"/>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580" w:type="dxa"/>
            <w:vAlign w:val="bottom"/>
            <w:tcBorders>
              <w:right w:val="single" w:sz="8" w:color="F0F0F0"/>
            </w:tcBorders>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499</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466</w:t>
            </w: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712</w:t>
            </w:r>
          </w:p>
        </w:tc>
        <w:tc>
          <w:tcPr>
            <w:tcW w:w="580" w:type="dxa"/>
            <w:vAlign w:val="bottom"/>
            <w:tcBorders>
              <w:right w:val="single" w:sz="8" w:color="F0F0F0"/>
            </w:tcBorders>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338</w:t>
            </w:r>
          </w:p>
        </w:tc>
        <w:tc>
          <w:tcPr>
            <w:tcW w:w="8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323</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570</w:t>
            </w:r>
          </w:p>
        </w:tc>
        <w:tc>
          <w:tcPr>
            <w:tcW w:w="120" w:type="dxa"/>
            <w:vAlign w:val="bottom"/>
          </w:tcPr>
          <w:p>
            <w:pPr>
              <w:spacing w:after="0"/>
              <w:rPr>
                <w:sz w:val="23"/>
                <w:szCs w:val="23"/>
                <w:color w:val="auto"/>
              </w:rPr>
            </w:pPr>
          </w:p>
        </w:tc>
        <w:tc>
          <w:tcPr>
            <w:tcW w:w="56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78</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7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580" w:type="dxa"/>
            <w:vAlign w:val="bottom"/>
            <w:tcBorders>
              <w:right w:val="single" w:sz="8" w:color="F0F0F0"/>
            </w:tcBorders>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671</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664</w:t>
            </w: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518</w:t>
            </w:r>
          </w:p>
        </w:tc>
        <w:tc>
          <w:tcPr>
            <w:tcW w:w="580" w:type="dxa"/>
            <w:vAlign w:val="bottom"/>
            <w:tcBorders>
              <w:right w:val="single" w:sz="8" w:color="F0F0F0"/>
            </w:tcBorders>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823</w:t>
            </w:r>
          </w:p>
        </w:tc>
        <w:tc>
          <w:tcPr>
            <w:tcW w:w="8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922</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614</w:t>
            </w:r>
          </w:p>
        </w:tc>
        <w:tc>
          <w:tcPr>
            <w:tcW w:w="120" w:type="dxa"/>
            <w:vAlign w:val="bottom"/>
          </w:tcPr>
          <w:p>
            <w:pPr>
              <w:spacing w:after="0"/>
              <w:rPr>
                <w:sz w:val="23"/>
                <w:szCs w:val="23"/>
                <w:color w:val="auto"/>
              </w:rPr>
            </w:pPr>
          </w:p>
        </w:tc>
        <w:tc>
          <w:tcPr>
            <w:tcW w:w="56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276</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7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58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(532)</w:t>
            </w: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(560)</w:t>
            </w:r>
          </w:p>
        </w:tc>
        <w:tc>
          <w:tcPr>
            <w:tcW w:w="58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(688)</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20" w:type="dxa"/>
            <w:vAlign w:val="bottom"/>
          </w:tcPr>
          <w:p>
            <w:pPr>
              <w:spacing w:after="0"/>
              <w:rPr>
                <w:sz w:val="23"/>
                <w:szCs w:val="23"/>
                <w:color w:val="auto"/>
              </w:rPr>
            </w:pPr>
          </w:p>
        </w:tc>
        <w:tc>
          <w:tcPr>
            <w:tcW w:w="56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(14)</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actuarial loss/(gain)</w:t>
            </w:r>
          </w:p>
        </w:tc>
        <w:tc>
          <w:tcPr>
            <w:tcW w:w="580" w:type="dxa"/>
            <w:vAlign w:val="bottom"/>
            <w:tcBorders>
              <w:right w:val="single" w:sz="8" w:color="F0F0F0"/>
            </w:tcBorders>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83</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85</w:t>
            </w: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156</w:t>
            </w:r>
          </w:p>
        </w:tc>
        <w:tc>
          <w:tcPr>
            <w:tcW w:w="580" w:type="dxa"/>
            <w:vAlign w:val="bottom"/>
            <w:tcBorders>
              <w:right w:val="single" w:sz="8" w:color="F0F0F0"/>
            </w:tcBorders>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97</w:t>
            </w:r>
          </w:p>
        </w:tc>
        <w:tc>
          <w:tcPr>
            <w:tcW w:w="8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108</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Pr>
          <w:p>
            <w:pPr>
              <w:spacing w:after="0"/>
              <w:rPr>
                <w:sz w:val="23"/>
                <w:szCs w:val="23"/>
                <w:color w:val="auto"/>
              </w:rPr>
            </w:pPr>
          </w:p>
        </w:tc>
        <w:tc>
          <w:tcPr>
            <w:tcW w:w="56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(122)</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65"/>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58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w:t>
            </w: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(29)</w:t>
            </w:r>
          </w:p>
        </w:tc>
        <w:tc>
          <w:tcPr>
            <w:tcW w:w="580" w:type="dxa"/>
            <w:vAlign w:val="bottom"/>
            <w:tcBorders>
              <w:right w:val="single" w:sz="8" w:color="F0F0F0"/>
            </w:tcBorders>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50</w:t>
            </w:r>
          </w:p>
        </w:tc>
        <w:tc>
          <w:tcPr>
            <w:tcW w:w="8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52</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3"/>
                <w:szCs w:val="23"/>
                <w:color w:val="auto"/>
              </w:rPr>
            </w:pPr>
          </w:p>
        </w:tc>
        <w:tc>
          <w:tcPr>
            <w:tcW w:w="56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(42)</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80"/>
        </w:trPr>
        <w:tc>
          <w:tcPr>
            <w:tcW w:w="34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Net pension enhancement and</w:t>
            </w:r>
          </w:p>
        </w:tc>
        <w:tc>
          <w:tcPr>
            <w:tcW w:w="580" w:type="dxa"/>
            <w:vAlign w:val="bottom"/>
            <w:tcBorders>
              <w:right w:val="single" w:sz="8" w:color="F0F0F0"/>
            </w:tcBorders>
            <w:shd w:val="clear" w:color="auto" w:fill="F0F0F0"/>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Borders>
              <w:right w:val="single" w:sz="8" w:color="F0F0F0"/>
            </w:tcBorders>
            <w:shd w:val="clear" w:color="auto" w:fill="F0F0F0"/>
          </w:tcPr>
          <w:p>
            <w:pPr>
              <w:spacing w:after="0"/>
              <w:rPr>
                <w:sz w:val="15"/>
                <w:szCs w:val="15"/>
                <w:color w:val="auto"/>
              </w:rPr>
            </w:pPr>
          </w:p>
        </w:tc>
        <w:tc>
          <w:tcPr>
            <w:tcW w:w="8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Borders>
              <w:right w:val="single" w:sz="8" w:color="F0F0F0"/>
            </w:tcBorders>
            <w:shd w:val="clear" w:color="auto" w:fill="F0F0F0"/>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2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color w:val="auto"/>
              </w:rPr>
              <w:t>curtailment/settlement cost</w:t>
            </w:r>
          </w:p>
        </w:tc>
        <w:tc>
          <w:tcPr>
            <w:tcW w:w="580" w:type="dxa"/>
            <w:vAlign w:val="bottom"/>
            <w:tcBorders>
              <w:bottom w:val="single" w:sz="8" w:color="0C479D"/>
              <w:right w:val="single" w:sz="8" w:color="F0F0F0"/>
            </w:tcBorders>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27</w:t>
            </w:r>
          </w:p>
        </w:tc>
        <w:tc>
          <w:tcPr>
            <w:tcW w:w="740" w:type="dxa"/>
            <w:vAlign w:val="bottom"/>
            <w:tcBorders>
              <w:bottom w:val="single" w:sz="8" w:color="0C479D"/>
            </w:tcBorders>
          </w:tcPr>
          <w:p>
            <w:pPr>
              <w:jc w:val="right"/>
              <w:ind w:right="72"/>
              <w:spacing w:after="0"/>
              <w:rPr>
                <w:sz w:val="20"/>
                <w:szCs w:val="20"/>
                <w:color w:val="auto"/>
              </w:rPr>
            </w:pPr>
            <w:r>
              <w:rPr>
                <w:rFonts w:ascii="Times New Roman" w:cs="Times New Roman" w:eastAsia="Times New Roman" w:hAnsi="Times New Roman"/>
                <w:sz w:val="18"/>
                <w:szCs w:val="18"/>
                <w:color w:val="auto"/>
              </w:rPr>
              <w:t>29</w:t>
            </w:r>
          </w:p>
        </w:tc>
        <w:tc>
          <w:tcPr>
            <w:tcW w:w="760" w:type="dxa"/>
            <w:vAlign w:val="bottom"/>
            <w:tcBorders>
              <w:bottom w:val="single" w:sz="8" w:color="0C479D"/>
            </w:tcBorders>
          </w:tcPr>
          <w:p>
            <w:pPr>
              <w:jc w:val="right"/>
              <w:ind w:right="132"/>
              <w:spacing w:after="0"/>
              <w:rPr>
                <w:sz w:val="20"/>
                <w:szCs w:val="20"/>
                <w:color w:val="auto"/>
              </w:rPr>
            </w:pPr>
            <w:r>
              <w:rPr>
                <w:rFonts w:ascii="Times New Roman" w:cs="Times New Roman" w:eastAsia="Times New Roman" w:hAnsi="Times New Roman"/>
                <w:sz w:val="18"/>
                <w:szCs w:val="18"/>
                <w:color w:val="auto"/>
              </w:rPr>
              <w:t>205</w:t>
            </w:r>
          </w:p>
        </w:tc>
        <w:tc>
          <w:tcPr>
            <w:tcW w:w="580" w:type="dxa"/>
            <w:vAlign w:val="bottom"/>
            <w:tcBorders>
              <w:bottom w:val="single" w:sz="8" w:color="0C479D"/>
              <w:right w:val="single" w:sz="8" w:color="F0F0F0"/>
            </w:tcBorders>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c>
          <w:tcPr>
            <w:tcW w:w="820" w:type="dxa"/>
            <w:vAlign w:val="bottom"/>
            <w:tcBorders>
              <w:bottom w:val="single" w:sz="8" w:color="0C479D"/>
            </w:tcBorders>
          </w:tcPr>
          <w:p>
            <w:pPr>
              <w:jc w:val="right"/>
              <w:ind w:right="112"/>
              <w:spacing w:after="0"/>
              <w:rPr>
                <w:sz w:val="20"/>
                <w:szCs w:val="20"/>
                <w:color w:val="auto"/>
              </w:rPr>
            </w:pPr>
            <w:r>
              <w:rPr>
                <w:rFonts w:ascii="Times New Roman" w:cs="Times New Roman" w:eastAsia="Times New Roman" w:hAnsi="Times New Roman"/>
                <w:sz w:val="18"/>
                <w:szCs w:val="18"/>
                <w:color w:val="auto"/>
              </w:rPr>
              <w:t>5</w:t>
            </w:r>
          </w:p>
        </w:tc>
        <w:tc>
          <w:tcPr>
            <w:tcW w:w="660" w:type="dxa"/>
            <w:vAlign w:val="bottom"/>
            <w:tcBorders>
              <w:bottom w:val="single" w:sz="8" w:color="0C479D"/>
            </w:tcBorders>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0C479D"/>
            </w:tcBorders>
          </w:tcPr>
          <w:p>
            <w:pPr>
              <w:spacing w:after="0"/>
              <w:rPr>
                <w:sz w:val="21"/>
                <w:szCs w:val="21"/>
                <w:color w:val="auto"/>
              </w:rPr>
            </w:pPr>
          </w:p>
        </w:tc>
        <w:tc>
          <w:tcPr>
            <w:tcW w:w="560" w:type="dxa"/>
            <w:vAlign w:val="bottom"/>
            <w:tcBorders>
              <w:bottom w:val="single" w:sz="8" w:color="0C479D"/>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0C479D"/>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42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b w:val="1"/>
                <w:bCs w:val="1"/>
                <w:color w:val="auto"/>
              </w:rPr>
              <w:t>Net periodic benefit cost</w:t>
            </w:r>
          </w:p>
        </w:tc>
        <w:tc>
          <w:tcPr>
            <w:tcW w:w="580" w:type="dxa"/>
            <w:vAlign w:val="bottom"/>
            <w:tcBorders>
              <w:bottom w:val="single" w:sz="8" w:color="0C479D"/>
              <w:right w:val="single" w:sz="8" w:color="F0F0F0"/>
            </w:tcBorders>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525</w:t>
            </w:r>
          </w:p>
        </w:tc>
        <w:tc>
          <w:tcPr>
            <w:tcW w:w="740" w:type="dxa"/>
            <w:vAlign w:val="bottom"/>
            <w:tcBorders>
              <w:bottom w:val="single" w:sz="8" w:color="0C479D"/>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683</w:t>
            </w:r>
          </w:p>
        </w:tc>
        <w:tc>
          <w:tcPr>
            <w:tcW w:w="760" w:type="dxa"/>
            <w:vAlign w:val="bottom"/>
            <w:tcBorders>
              <w:bottom w:val="single" w:sz="8" w:color="0C479D"/>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1,002</w:t>
            </w:r>
          </w:p>
        </w:tc>
        <w:tc>
          <w:tcPr>
            <w:tcW w:w="580" w:type="dxa"/>
            <w:vAlign w:val="bottom"/>
            <w:tcBorders>
              <w:bottom w:val="single" w:sz="8" w:color="0C479D"/>
              <w:right w:val="single" w:sz="8" w:color="F0F0F0"/>
            </w:tcBorders>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369</w:t>
            </w:r>
          </w:p>
        </w:tc>
        <w:tc>
          <w:tcPr>
            <w:tcW w:w="820" w:type="dxa"/>
            <w:vAlign w:val="bottom"/>
            <w:tcBorders>
              <w:bottom w:val="single" w:sz="8" w:color="0C479D"/>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722</w:t>
            </w:r>
          </w:p>
        </w:tc>
        <w:tc>
          <w:tcPr>
            <w:tcW w:w="660" w:type="dxa"/>
            <w:vAlign w:val="bottom"/>
            <w:tcBorders>
              <w:bottom w:val="single" w:sz="8" w:color="0C479D"/>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596</w:t>
            </w:r>
          </w:p>
        </w:tc>
        <w:tc>
          <w:tcPr>
            <w:tcW w:w="120" w:type="dxa"/>
            <w:vAlign w:val="bottom"/>
            <w:tcBorders>
              <w:bottom w:val="single" w:sz="8" w:color="0C479D"/>
            </w:tcBorders>
          </w:tcPr>
          <w:p>
            <w:pPr>
              <w:spacing w:after="0"/>
              <w:rPr>
                <w:sz w:val="21"/>
                <w:szCs w:val="21"/>
                <w:color w:val="auto"/>
              </w:rPr>
            </w:pPr>
          </w:p>
        </w:tc>
        <w:tc>
          <w:tcPr>
            <w:tcW w:w="560" w:type="dxa"/>
            <w:vAlign w:val="bottom"/>
            <w:tcBorders>
              <w:bottom w:val="single" w:sz="8" w:color="0C479D"/>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145</w:t>
            </w:r>
          </w:p>
        </w:tc>
        <w:tc>
          <w:tcPr>
            <w:tcW w:w="800" w:type="dxa"/>
            <w:vAlign w:val="bottom"/>
            <w:tcBorders>
              <w:bottom w:val="single" w:sz="8" w:color="0C479D"/>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176</w:t>
            </w:r>
          </w:p>
        </w:tc>
        <w:tc>
          <w:tcPr>
            <w:tcW w:w="6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w:t>
            </w:r>
          </w:p>
        </w:tc>
        <w:tc>
          <w:tcPr>
            <w:tcW w:w="0" w:type="dxa"/>
            <w:vAlign w:val="bottom"/>
          </w:tcPr>
          <w:p>
            <w:pPr>
              <w:spacing w:after="0"/>
              <w:rPr>
                <w:sz w:val="1"/>
                <w:szCs w:val="1"/>
                <w:color w:val="auto"/>
              </w:rPr>
            </w:pPr>
          </w:p>
        </w:tc>
      </w:tr>
      <w:tr>
        <w:trPr>
          <w:trHeight w:val="250"/>
        </w:trPr>
        <w:tc>
          <w:tcPr>
            <w:tcW w:w="3420" w:type="dxa"/>
            <w:vAlign w:val="bottom"/>
          </w:tcPr>
          <w:p>
            <w:pPr>
              <w:spacing w:after="0"/>
              <w:rPr>
                <w:sz w:val="20"/>
                <w:szCs w:val="20"/>
                <w:color w:val="auto"/>
              </w:rPr>
            </w:pPr>
            <w:r>
              <w:rPr>
                <w:rFonts w:ascii="Times New Roman" w:cs="Times New Roman" w:eastAsia="Times New Roman" w:hAnsi="Times New Roman"/>
                <w:sz w:val="18"/>
                <w:szCs w:val="18"/>
                <w:b w:val="1"/>
                <w:bCs w:val="1"/>
                <w:color w:val="0C479D"/>
              </w:rPr>
              <w:t>Changes in amounts recorded in</w:t>
            </w:r>
          </w:p>
        </w:tc>
        <w:tc>
          <w:tcPr>
            <w:tcW w:w="580" w:type="dxa"/>
            <w:vAlign w:val="bottom"/>
            <w:tcBorders>
              <w:right w:val="single" w:sz="8" w:color="F0F0F0"/>
            </w:tcBorders>
            <w:shd w:val="clear" w:color="auto" w:fill="F0F0F0"/>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80" w:type="dxa"/>
            <w:vAlign w:val="bottom"/>
            <w:tcBorders>
              <w:right w:val="single" w:sz="8" w:color="F0F0F0"/>
            </w:tcBorders>
            <w:shd w:val="clear" w:color="auto" w:fill="F0F0F0"/>
          </w:tcPr>
          <w:p>
            <w:pPr>
              <w:spacing w:after="0"/>
              <w:rPr>
                <w:sz w:val="21"/>
                <w:szCs w:val="21"/>
                <w:color w:val="auto"/>
              </w:rPr>
            </w:pPr>
          </w:p>
        </w:tc>
        <w:tc>
          <w:tcPr>
            <w:tcW w:w="8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Borders>
              <w:right w:val="single" w:sz="8" w:color="F0F0F0"/>
            </w:tcBorders>
            <w:shd w:val="clear" w:color="auto" w:fill="F0F0F0"/>
          </w:tcPr>
          <w:p>
            <w:pPr>
              <w:spacing w:after="0"/>
              <w:rPr>
                <w:sz w:val="21"/>
                <w:szCs w:val="21"/>
                <w:color w:val="auto"/>
              </w:rPr>
            </w:pPr>
          </w:p>
        </w:tc>
        <w:tc>
          <w:tcPr>
            <w:tcW w:w="8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420" w:type="dxa"/>
            <w:vAlign w:val="bottom"/>
          </w:tcPr>
          <w:p>
            <w:pPr>
              <w:spacing w:after="0"/>
              <w:rPr>
                <w:sz w:val="20"/>
                <w:szCs w:val="20"/>
                <w:color w:val="auto"/>
              </w:rPr>
            </w:pPr>
            <w:r>
              <w:rPr>
                <w:rFonts w:ascii="Times New Roman" w:cs="Times New Roman" w:eastAsia="Times New Roman" w:hAnsi="Times New Roman"/>
                <w:sz w:val="18"/>
                <w:szCs w:val="18"/>
                <w:b w:val="1"/>
                <w:bCs w:val="1"/>
                <w:color w:val="0C479D"/>
              </w:rPr>
              <w:t>accumulated other comprehensive income:</w:t>
            </w:r>
          </w:p>
        </w:tc>
        <w:tc>
          <w:tcPr>
            <w:tcW w:w="580" w:type="dxa"/>
            <w:vAlign w:val="bottom"/>
            <w:tcBorders>
              <w:right w:val="single" w:sz="8" w:color="F0F0F0"/>
            </w:tcBorders>
            <w:shd w:val="clear" w:color="auto" w:fill="F0F0F0"/>
          </w:tcPr>
          <w:p>
            <w:pPr>
              <w:spacing w:after="0"/>
              <w:rPr>
                <w:sz w:val="20"/>
                <w:szCs w:val="20"/>
                <w:color w:val="auto"/>
              </w:rPr>
            </w:pPr>
          </w:p>
        </w:tc>
        <w:tc>
          <w:tcPr>
            <w:tcW w:w="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Borders>
              <w:right w:val="single" w:sz="8" w:color="F0F0F0"/>
            </w:tcBorders>
            <w:shd w:val="clear" w:color="auto" w:fill="F0F0F0"/>
          </w:tcPr>
          <w:p>
            <w:pPr>
              <w:spacing w:after="0"/>
              <w:rPr>
                <w:sz w:val="20"/>
                <w:szCs w:val="20"/>
                <w:color w:val="auto"/>
              </w:rPr>
            </w:pPr>
          </w:p>
        </w:tc>
        <w:tc>
          <w:tcPr>
            <w:tcW w:w="8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right w:val="single" w:sz="8" w:color="F0F0F0"/>
            </w:tcBorders>
            <w:shd w:val="clear" w:color="auto" w:fill="F0F0F0"/>
          </w:tcPr>
          <w:p>
            <w:pPr>
              <w:spacing w:after="0"/>
              <w:rPr>
                <w:sz w:val="20"/>
                <w:szCs w:val="20"/>
                <w:color w:val="auto"/>
              </w:rPr>
            </w:pPr>
          </w:p>
        </w:tc>
        <w:tc>
          <w:tcPr>
            <w:tcW w:w="8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Net actuarial loss/(gain)</w:t>
            </w:r>
          </w:p>
        </w:tc>
        <w:tc>
          <w:tcPr>
            <w:tcW w:w="58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w:t>
            </w: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(607)</w:t>
            </w:r>
          </w:p>
        </w:tc>
        <w:tc>
          <w:tcPr>
            <w:tcW w:w="58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8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602</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120" w:type="dxa"/>
            <w:vAlign w:val="bottom"/>
          </w:tcPr>
          <w:p>
            <w:pPr>
              <w:spacing w:after="0"/>
              <w:rPr>
                <w:sz w:val="23"/>
                <w:szCs w:val="23"/>
                <w:color w:val="auto"/>
              </w:rPr>
            </w:pPr>
          </w:p>
        </w:tc>
        <w:tc>
          <w:tcPr>
            <w:tcW w:w="56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154</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0" w:type="dxa"/>
            <w:vAlign w:val="bottom"/>
          </w:tcPr>
          <w:p>
            <w:pPr>
              <w:spacing w:after="0"/>
              <w:rPr>
                <w:sz w:val="1"/>
                <w:szCs w:val="1"/>
                <w:color w:val="auto"/>
              </w:rPr>
            </w:pPr>
          </w:p>
        </w:tc>
      </w:tr>
      <w:tr>
        <w:trPr>
          <w:trHeight w:val="27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actuarial (loss)/gain</w:t>
            </w:r>
          </w:p>
        </w:tc>
        <w:tc>
          <w:tcPr>
            <w:tcW w:w="58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(114)</w:t>
            </w:r>
          </w:p>
        </w:tc>
        <w:tc>
          <w:tcPr>
            <w:tcW w:w="7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(361)</w:t>
            </w:r>
          </w:p>
        </w:tc>
        <w:tc>
          <w:tcPr>
            <w:tcW w:w="58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(108)</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23"/>
                <w:szCs w:val="23"/>
                <w:color w:val="auto"/>
              </w:rPr>
            </w:pPr>
          </w:p>
        </w:tc>
        <w:tc>
          <w:tcPr>
            <w:tcW w:w="56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122</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Prior service cost/(credit)</w:t>
            </w:r>
          </w:p>
        </w:tc>
        <w:tc>
          <w:tcPr>
            <w:tcW w:w="580" w:type="dxa"/>
            <w:vAlign w:val="bottom"/>
            <w:tcBorders>
              <w:right w:val="single" w:sz="8" w:color="F0F0F0"/>
            </w:tcBorders>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w:t>
            </w: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F0F0F0"/>
            </w:tcBorders>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81</w:t>
            </w:r>
          </w:p>
        </w:tc>
        <w:tc>
          <w:tcPr>
            <w:tcW w:w="8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153</w:t>
            </w:r>
          </w:p>
        </w:tc>
        <w:tc>
          <w:tcPr>
            <w:tcW w:w="6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23"/>
                <w:szCs w:val="23"/>
                <w:color w:val="auto"/>
              </w:rPr>
            </w:pPr>
          </w:p>
        </w:tc>
        <w:tc>
          <w:tcPr>
            <w:tcW w:w="56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(312)</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prior service (cost)/credit</w:t>
            </w:r>
          </w:p>
        </w:tc>
        <w:tc>
          <w:tcPr>
            <w:tcW w:w="580" w:type="dxa"/>
            <w:vAlign w:val="bottom"/>
            <w:tcBorders>
              <w:right w:val="single" w:sz="8" w:color="F0F0F0"/>
            </w:tcBorders>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31</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29</w:t>
            </w: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29</w:t>
            </w:r>
          </w:p>
        </w:tc>
        <w:tc>
          <w:tcPr>
            <w:tcW w:w="58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(52)</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3"/>
                <w:szCs w:val="23"/>
                <w:color w:val="auto"/>
              </w:rPr>
            </w:pPr>
          </w:p>
        </w:tc>
        <w:tc>
          <w:tcPr>
            <w:tcW w:w="56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42</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70"/>
        </w:trPr>
        <w:tc>
          <w:tcPr>
            <w:tcW w:w="342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color w:val="auto"/>
              </w:rPr>
              <w:t>Foreign exchange rate changes</w:t>
            </w:r>
          </w:p>
        </w:tc>
        <w:tc>
          <w:tcPr>
            <w:tcW w:w="580" w:type="dxa"/>
            <w:vAlign w:val="bottom"/>
            <w:tcBorders>
              <w:bottom w:val="single" w:sz="8" w:color="0C479D"/>
              <w:right w:val="single" w:sz="8" w:color="F0F0F0"/>
            </w:tcBorders>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0C479D"/>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0C479D"/>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0C479D"/>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20" w:type="dxa"/>
            <w:vAlign w:val="bottom"/>
            <w:tcBorders>
              <w:bottom w:val="single" w:sz="8" w:color="0C479D"/>
            </w:tcBorders>
          </w:tcPr>
          <w:p>
            <w:pPr>
              <w:jc w:val="right"/>
              <w:ind w:right="112"/>
              <w:spacing w:after="0"/>
              <w:rPr>
                <w:sz w:val="20"/>
                <w:szCs w:val="20"/>
                <w:color w:val="auto"/>
              </w:rPr>
            </w:pPr>
            <w:r>
              <w:rPr>
                <w:rFonts w:ascii="Times New Roman" w:cs="Times New Roman" w:eastAsia="Times New Roman" w:hAnsi="Times New Roman"/>
                <w:sz w:val="18"/>
                <w:szCs w:val="18"/>
                <w:color w:val="auto"/>
              </w:rPr>
              <w:t>46</w:t>
            </w:r>
          </w:p>
        </w:tc>
        <w:tc>
          <w:tcPr>
            <w:tcW w:w="6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Borders>
              <w:bottom w:val="single" w:sz="8" w:color="0C479D"/>
            </w:tcBorders>
          </w:tcPr>
          <w:p>
            <w:pPr>
              <w:spacing w:after="0"/>
              <w:rPr>
                <w:sz w:val="23"/>
                <w:szCs w:val="23"/>
                <w:color w:val="auto"/>
              </w:rPr>
            </w:pPr>
          </w:p>
        </w:tc>
        <w:tc>
          <w:tcPr>
            <w:tcW w:w="560" w:type="dxa"/>
            <w:vAlign w:val="bottom"/>
            <w:tcBorders>
              <w:bottom w:val="single" w:sz="8" w:color="0C479D"/>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0" w:type="dxa"/>
            <w:vAlign w:val="bottom"/>
            <w:tcBorders>
              <w:bottom w:val="single" w:sz="8" w:color="0C479D"/>
            </w:tcBorders>
          </w:tcPr>
          <w:p>
            <w:pPr>
              <w:jc w:val="right"/>
              <w:ind w:right="72"/>
              <w:spacing w:after="0"/>
              <w:rPr>
                <w:sz w:val="20"/>
                <w:szCs w:val="20"/>
                <w:color w:val="auto"/>
              </w:rPr>
            </w:pPr>
            <w:r>
              <w:rPr>
                <w:rFonts w:ascii="Times New Roman" w:cs="Times New Roman" w:eastAsia="Times New Roman" w:hAnsi="Times New Roman"/>
                <w:sz w:val="18"/>
                <w:szCs w:val="18"/>
                <w:color w:val="auto"/>
              </w:rPr>
              <w:t>(2)</w:t>
            </w:r>
          </w:p>
        </w:tc>
        <w:tc>
          <w:tcPr>
            <w:tcW w:w="6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69"/>
        </w:trPr>
        <w:tc>
          <w:tcPr>
            <w:tcW w:w="3420" w:type="dxa"/>
            <w:vAlign w:val="bottom"/>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Total recorded in other comprehensive</w:t>
            </w:r>
          </w:p>
        </w:tc>
        <w:tc>
          <w:tcPr>
            <w:tcW w:w="580" w:type="dxa"/>
            <w:vAlign w:val="bottom"/>
            <w:tcBorders>
              <w:right w:val="single" w:sz="8" w:color="F0F0F0"/>
            </w:tcBorders>
            <w:vMerge w:val="restart"/>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74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(141)</w:t>
            </w:r>
          </w:p>
        </w:tc>
        <w:tc>
          <w:tcPr>
            <w:tcW w:w="760" w:type="dxa"/>
            <w:vAlign w:val="bottom"/>
            <w:vMerge w:val="restart"/>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(939)</w:t>
            </w:r>
          </w:p>
        </w:tc>
        <w:tc>
          <w:tcPr>
            <w:tcW w:w="580" w:type="dxa"/>
            <w:vAlign w:val="bottom"/>
            <w:tcBorders>
              <w:right w:val="single" w:sz="8" w:color="F0F0F0"/>
            </w:tcBorders>
            <w:vMerge w:val="restart"/>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(788)</w:t>
            </w:r>
          </w:p>
        </w:tc>
        <w:tc>
          <w:tcPr>
            <w:tcW w:w="820" w:type="dxa"/>
            <w:vAlign w:val="bottom"/>
            <w:vMerge w:val="restart"/>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641</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(1,979)</w:t>
            </w:r>
          </w:p>
        </w:tc>
        <w:tc>
          <w:tcPr>
            <w:tcW w:w="120" w:type="dxa"/>
            <w:vAlign w:val="bottom"/>
          </w:tcPr>
          <w:p>
            <w:pPr>
              <w:spacing w:after="0"/>
              <w:rPr>
                <w:sz w:val="14"/>
                <w:szCs w:val="14"/>
                <w:color w:val="auto"/>
              </w:rPr>
            </w:pPr>
          </w:p>
        </w:tc>
        <w:tc>
          <w:tcPr>
            <w:tcW w:w="560" w:type="dxa"/>
            <w:vAlign w:val="bottom"/>
            <w:tcBorders>
              <w:right w:val="single" w:sz="8" w:color="F0F0F0"/>
            </w:tcBorders>
            <w:vMerge w:val="restart"/>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800" w:type="dxa"/>
            <w:vAlign w:val="bottom"/>
            <w:vMerge w:val="restart"/>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4</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(1,881)</w:t>
            </w:r>
          </w:p>
        </w:tc>
        <w:tc>
          <w:tcPr>
            <w:tcW w:w="0" w:type="dxa"/>
            <w:vAlign w:val="bottom"/>
          </w:tcPr>
          <w:p>
            <w:pPr>
              <w:spacing w:after="0"/>
              <w:rPr>
                <w:sz w:val="1"/>
                <w:szCs w:val="1"/>
                <w:color w:val="auto"/>
              </w:rPr>
            </w:pPr>
          </w:p>
        </w:tc>
      </w:tr>
      <w:tr>
        <w:trPr>
          <w:trHeight w:val="243"/>
        </w:trPr>
        <w:tc>
          <w:tcPr>
            <w:tcW w:w="342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580" w:type="dxa"/>
            <w:vAlign w:val="bottom"/>
            <w:tcBorders>
              <w:bottom w:val="single" w:sz="8" w:color="0C479D"/>
              <w:right w:val="single" w:sz="8" w:color="F0F0F0"/>
            </w:tcBorders>
            <w:vMerge w:val="continue"/>
            <w:shd w:val="clear" w:color="auto" w:fill="F0F0F0"/>
          </w:tcPr>
          <w:p>
            <w:pPr>
              <w:spacing w:after="0"/>
              <w:rPr>
                <w:sz w:val="21"/>
                <w:szCs w:val="21"/>
                <w:color w:val="auto"/>
              </w:rPr>
            </w:pPr>
          </w:p>
        </w:tc>
        <w:tc>
          <w:tcPr>
            <w:tcW w:w="740" w:type="dxa"/>
            <w:vAlign w:val="bottom"/>
            <w:tcBorders>
              <w:bottom w:val="single" w:sz="8" w:color="0C479D"/>
            </w:tcBorders>
            <w:vMerge w:val="continue"/>
          </w:tcPr>
          <w:p>
            <w:pPr>
              <w:spacing w:after="0"/>
              <w:rPr>
                <w:sz w:val="21"/>
                <w:szCs w:val="21"/>
                <w:color w:val="auto"/>
              </w:rPr>
            </w:pPr>
          </w:p>
        </w:tc>
        <w:tc>
          <w:tcPr>
            <w:tcW w:w="760" w:type="dxa"/>
            <w:vAlign w:val="bottom"/>
            <w:tcBorders>
              <w:bottom w:val="single" w:sz="8" w:color="0C479D"/>
            </w:tcBorders>
            <w:vMerge w:val="continue"/>
          </w:tcPr>
          <w:p>
            <w:pPr>
              <w:spacing w:after="0"/>
              <w:rPr>
                <w:sz w:val="21"/>
                <w:szCs w:val="21"/>
                <w:color w:val="auto"/>
              </w:rPr>
            </w:pPr>
          </w:p>
        </w:tc>
        <w:tc>
          <w:tcPr>
            <w:tcW w:w="580" w:type="dxa"/>
            <w:vAlign w:val="bottom"/>
            <w:tcBorders>
              <w:bottom w:val="single" w:sz="8" w:color="0C479D"/>
              <w:right w:val="single" w:sz="8" w:color="F0F0F0"/>
            </w:tcBorders>
            <w:vMerge w:val="continue"/>
            <w:shd w:val="clear" w:color="auto" w:fill="F0F0F0"/>
          </w:tcPr>
          <w:p>
            <w:pPr>
              <w:spacing w:after="0"/>
              <w:rPr>
                <w:sz w:val="21"/>
                <w:szCs w:val="21"/>
                <w:color w:val="auto"/>
              </w:rPr>
            </w:pPr>
          </w:p>
        </w:tc>
        <w:tc>
          <w:tcPr>
            <w:tcW w:w="820" w:type="dxa"/>
            <w:vAlign w:val="bottom"/>
            <w:tcBorders>
              <w:bottom w:val="single" w:sz="8" w:color="0C479D"/>
            </w:tcBorders>
            <w:vMerge w:val="continue"/>
          </w:tcPr>
          <w:p>
            <w:pPr>
              <w:spacing w:after="0"/>
              <w:rPr>
                <w:sz w:val="21"/>
                <w:szCs w:val="21"/>
                <w:color w:val="auto"/>
              </w:rPr>
            </w:pPr>
          </w:p>
        </w:tc>
        <w:tc>
          <w:tcPr>
            <w:tcW w:w="660" w:type="dxa"/>
            <w:vAlign w:val="bottom"/>
            <w:tcBorders>
              <w:bottom w:val="single" w:sz="8" w:color="0C479D"/>
            </w:tcBorders>
            <w:vMerge w:val="continue"/>
          </w:tcPr>
          <w:p>
            <w:pPr>
              <w:spacing w:after="0"/>
              <w:rPr>
                <w:sz w:val="21"/>
                <w:szCs w:val="21"/>
                <w:color w:val="auto"/>
              </w:rPr>
            </w:pPr>
          </w:p>
        </w:tc>
        <w:tc>
          <w:tcPr>
            <w:tcW w:w="120" w:type="dxa"/>
            <w:vAlign w:val="bottom"/>
            <w:tcBorders>
              <w:bottom w:val="single" w:sz="8" w:color="0C479D"/>
            </w:tcBorders>
          </w:tcPr>
          <w:p>
            <w:pPr>
              <w:spacing w:after="0"/>
              <w:rPr>
                <w:sz w:val="21"/>
                <w:szCs w:val="21"/>
                <w:color w:val="auto"/>
              </w:rPr>
            </w:pPr>
          </w:p>
        </w:tc>
        <w:tc>
          <w:tcPr>
            <w:tcW w:w="560" w:type="dxa"/>
            <w:vAlign w:val="bottom"/>
            <w:tcBorders>
              <w:bottom w:val="single" w:sz="8" w:color="0C479D"/>
              <w:right w:val="single" w:sz="8" w:color="F0F0F0"/>
            </w:tcBorders>
            <w:vMerge w:val="continue"/>
            <w:shd w:val="clear" w:color="auto" w:fill="F0F0F0"/>
          </w:tcPr>
          <w:p>
            <w:pPr>
              <w:spacing w:after="0"/>
              <w:rPr>
                <w:sz w:val="21"/>
                <w:szCs w:val="21"/>
                <w:color w:val="auto"/>
              </w:rPr>
            </w:pPr>
          </w:p>
        </w:tc>
        <w:tc>
          <w:tcPr>
            <w:tcW w:w="800" w:type="dxa"/>
            <w:vAlign w:val="bottom"/>
            <w:tcBorders>
              <w:bottom w:val="single" w:sz="8" w:color="0C479D"/>
            </w:tcBorders>
            <w:vMerge w:val="continue"/>
          </w:tcPr>
          <w:p>
            <w:pPr>
              <w:spacing w:after="0"/>
              <w:rPr>
                <w:sz w:val="21"/>
                <w:szCs w:val="21"/>
                <w:color w:val="auto"/>
              </w:rPr>
            </w:pPr>
          </w:p>
        </w:tc>
        <w:tc>
          <w:tcPr>
            <w:tcW w:w="660" w:type="dxa"/>
            <w:vAlign w:val="bottom"/>
            <w:tcBorders>
              <w:bottom w:val="single" w:sz="8" w:color="0C479D"/>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3420" w:type="dxa"/>
            <w:vAlign w:val="bottom"/>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Total recorded in net periodic benefit cost</w:t>
            </w:r>
          </w:p>
        </w:tc>
        <w:tc>
          <w:tcPr>
            <w:tcW w:w="580" w:type="dxa"/>
            <w:vAlign w:val="bottom"/>
            <w:tcBorders>
              <w:right w:val="single" w:sz="8" w:color="F0F0F0"/>
            </w:tcBorders>
            <w:vMerge w:val="restart"/>
            <w:shd w:val="clear" w:color="auto" w:fill="F0F0F0"/>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443</w:t>
            </w:r>
          </w:p>
        </w:tc>
        <w:tc>
          <w:tcPr>
            <w:tcW w:w="740" w:type="dxa"/>
            <w:vAlign w:val="bottom"/>
            <w:vMerge w:val="restart"/>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542</w:t>
            </w:r>
          </w:p>
        </w:tc>
        <w:tc>
          <w:tcPr>
            <w:tcW w:w="76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63</w:t>
            </w:r>
          </w:p>
        </w:tc>
        <w:tc>
          <w:tcPr>
            <w:tcW w:w="580" w:type="dxa"/>
            <w:vAlign w:val="bottom"/>
            <w:tcBorders>
              <w:right w:val="single" w:sz="8" w:color="F0F0F0"/>
            </w:tcBorders>
            <w:vMerge w:val="restart"/>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(419)</w:t>
            </w:r>
          </w:p>
        </w:tc>
        <w:tc>
          <w:tcPr>
            <w:tcW w:w="820" w:type="dxa"/>
            <w:vAlign w:val="bottom"/>
            <w:vMerge w:val="restart"/>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1,363</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(1,383)</w:t>
            </w:r>
          </w:p>
        </w:tc>
        <w:tc>
          <w:tcPr>
            <w:tcW w:w="120" w:type="dxa"/>
            <w:vAlign w:val="bottom"/>
          </w:tcPr>
          <w:p>
            <w:pPr>
              <w:spacing w:after="0"/>
              <w:rPr>
                <w:sz w:val="14"/>
                <w:szCs w:val="14"/>
                <w:color w:val="auto"/>
              </w:rPr>
            </w:pPr>
          </w:p>
        </w:tc>
        <w:tc>
          <w:tcPr>
            <w:tcW w:w="560" w:type="dxa"/>
            <w:vAlign w:val="bottom"/>
            <w:tcBorders>
              <w:right w:val="single" w:sz="8" w:color="F0F0F0"/>
            </w:tcBorders>
            <w:vMerge w:val="restart"/>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c>
          <w:tcPr>
            <w:tcW w:w="800" w:type="dxa"/>
            <w:vAlign w:val="bottom"/>
            <w:vMerge w:val="restart"/>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180</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(1,577)</w:t>
            </w:r>
          </w:p>
        </w:tc>
        <w:tc>
          <w:tcPr>
            <w:tcW w:w="0" w:type="dxa"/>
            <w:vAlign w:val="bottom"/>
          </w:tcPr>
          <w:p>
            <w:pPr>
              <w:spacing w:after="0"/>
              <w:rPr>
                <w:sz w:val="1"/>
                <w:szCs w:val="1"/>
                <w:color w:val="auto"/>
              </w:rPr>
            </w:pPr>
          </w:p>
        </w:tc>
      </w:tr>
      <w:tr>
        <w:trPr>
          <w:trHeight w:val="250"/>
        </w:trPr>
        <w:tc>
          <w:tcPr>
            <w:tcW w:w="342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b w:val="1"/>
                <w:bCs w:val="1"/>
                <w:color w:val="auto"/>
              </w:rPr>
              <w:t>and other comprehensive income, before tax</w:t>
            </w:r>
          </w:p>
        </w:tc>
        <w:tc>
          <w:tcPr>
            <w:tcW w:w="580" w:type="dxa"/>
            <w:vAlign w:val="bottom"/>
            <w:tcBorders>
              <w:bottom w:val="single" w:sz="8" w:color="0C479D"/>
              <w:right w:val="single" w:sz="8" w:color="F0F0F0"/>
            </w:tcBorders>
            <w:vMerge w:val="continue"/>
            <w:shd w:val="clear" w:color="auto" w:fill="F0F0F0"/>
          </w:tcPr>
          <w:p>
            <w:pPr>
              <w:spacing w:after="0"/>
              <w:rPr>
                <w:sz w:val="21"/>
                <w:szCs w:val="21"/>
                <w:color w:val="auto"/>
              </w:rPr>
            </w:pPr>
          </w:p>
        </w:tc>
        <w:tc>
          <w:tcPr>
            <w:tcW w:w="740" w:type="dxa"/>
            <w:vAlign w:val="bottom"/>
            <w:tcBorders>
              <w:bottom w:val="single" w:sz="8" w:color="0C479D"/>
            </w:tcBorders>
            <w:vMerge w:val="continue"/>
          </w:tcPr>
          <w:p>
            <w:pPr>
              <w:spacing w:after="0"/>
              <w:rPr>
                <w:sz w:val="21"/>
                <w:szCs w:val="21"/>
                <w:color w:val="auto"/>
              </w:rPr>
            </w:pPr>
          </w:p>
        </w:tc>
        <w:tc>
          <w:tcPr>
            <w:tcW w:w="760" w:type="dxa"/>
            <w:vAlign w:val="bottom"/>
            <w:tcBorders>
              <w:bottom w:val="single" w:sz="8" w:color="0C479D"/>
            </w:tcBorders>
            <w:vMerge w:val="continue"/>
          </w:tcPr>
          <w:p>
            <w:pPr>
              <w:spacing w:after="0"/>
              <w:rPr>
                <w:sz w:val="21"/>
                <w:szCs w:val="21"/>
                <w:color w:val="auto"/>
              </w:rPr>
            </w:pPr>
          </w:p>
        </w:tc>
        <w:tc>
          <w:tcPr>
            <w:tcW w:w="580" w:type="dxa"/>
            <w:vAlign w:val="bottom"/>
            <w:tcBorders>
              <w:bottom w:val="single" w:sz="8" w:color="0C479D"/>
              <w:right w:val="single" w:sz="8" w:color="F0F0F0"/>
            </w:tcBorders>
            <w:vMerge w:val="continue"/>
            <w:shd w:val="clear" w:color="auto" w:fill="F0F0F0"/>
          </w:tcPr>
          <w:p>
            <w:pPr>
              <w:spacing w:after="0"/>
              <w:rPr>
                <w:sz w:val="21"/>
                <w:szCs w:val="21"/>
                <w:color w:val="auto"/>
              </w:rPr>
            </w:pPr>
          </w:p>
        </w:tc>
        <w:tc>
          <w:tcPr>
            <w:tcW w:w="820" w:type="dxa"/>
            <w:vAlign w:val="bottom"/>
            <w:tcBorders>
              <w:bottom w:val="single" w:sz="8" w:color="0C479D"/>
            </w:tcBorders>
            <w:vMerge w:val="continue"/>
          </w:tcPr>
          <w:p>
            <w:pPr>
              <w:spacing w:after="0"/>
              <w:rPr>
                <w:sz w:val="21"/>
                <w:szCs w:val="21"/>
                <w:color w:val="auto"/>
              </w:rPr>
            </w:pPr>
          </w:p>
        </w:tc>
        <w:tc>
          <w:tcPr>
            <w:tcW w:w="660" w:type="dxa"/>
            <w:vAlign w:val="bottom"/>
            <w:tcBorders>
              <w:bottom w:val="single" w:sz="8" w:color="0C479D"/>
            </w:tcBorders>
            <w:vMerge w:val="continue"/>
          </w:tcPr>
          <w:p>
            <w:pPr>
              <w:spacing w:after="0"/>
              <w:rPr>
                <w:sz w:val="21"/>
                <w:szCs w:val="21"/>
                <w:color w:val="auto"/>
              </w:rPr>
            </w:pPr>
          </w:p>
        </w:tc>
        <w:tc>
          <w:tcPr>
            <w:tcW w:w="120" w:type="dxa"/>
            <w:vAlign w:val="bottom"/>
            <w:tcBorders>
              <w:bottom w:val="single" w:sz="8" w:color="0C479D"/>
            </w:tcBorders>
          </w:tcPr>
          <w:p>
            <w:pPr>
              <w:spacing w:after="0"/>
              <w:rPr>
                <w:sz w:val="21"/>
                <w:szCs w:val="21"/>
                <w:color w:val="auto"/>
              </w:rPr>
            </w:pPr>
          </w:p>
        </w:tc>
        <w:tc>
          <w:tcPr>
            <w:tcW w:w="560" w:type="dxa"/>
            <w:vAlign w:val="bottom"/>
            <w:tcBorders>
              <w:bottom w:val="single" w:sz="8" w:color="0C479D"/>
              <w:right w:val="single" w:sz="8" w:color="F0F0F0"/>
            </w:tcBorders>
            <w:vMerge w:val="continue"/>
            <w:shd w:val="clear" w:color="auto" w:fill="F0F0F0"/>
          </w:tcPr>
          <w:p>
            <w:pPr>
              <w:spacing w:after="0"/>
              <w:rPr>
                <w:sz w:val="21"/>
                <w:szCs w:val="21"/>
                <w:color w:val="auto"/>
              </w:rPr>
            </w:pPr>
          </w:p>
        </w:tc>
        <w:tc>
          <w:tcPr>
            <w:tcW w:w="800" w:type="dxa"/>
            <w:vAlign w:val="bottom"/>
            <w:tcBorders>
              <w:bottom w:val="single" w:sz="8" w:color="0C479D"/>
            </w:tcBorders>
            <w:vMerge w:val="continue"/>
          </w:tcPr>
          <w:p>
            <w:pPr>
              <w:spacing w:after="0"/>
              <w:rPr>
                <w:sz w:val="21"/>
                <w:szCs w:val="21"/>
                <w:color w:val="auto"/>
              </w:rPr>
            </w:pPr>
          </w:p>
        </w:tc>
        <w:tc>
          <w:tcPr>
            <w:tcW w:w="660" w:type="dxa"/>
            <w:vAlign w:val="bottom"/>
            <w:tcBorders>
              <w:bottom w:val="single" w:sz="8" w:color="0C479D"/>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for defined contribution plans were $415 million, $383 million, and $365 million in 2024, 2023, and 2022, respectively.</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22"/>
          <w:szCs w:val="22"/>
          <w:b w:val="1"/>
          <w:bCs w:val="1"/>
          <w:color w:val="0C479D"/>
        </w:rPr>
        <w:t>NOTES TO CONSOLIDATED FINANCIAL STATEMENTS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change in accumulated other comprehensive income is shown in the table below:</w:t>
      </w:r>
    </w:p>
    <w:p>
      <w:pPr>
        <w:spacing w:after="0" w:line="219"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4"/>
          <w:szCs w:val="14"/>
          <w:b w:val="1"/>
          <w:bCs w:val="1"/>
          <w:color w:val="0C479D"/>
        </w:rPr>
        <w:t>Total Pension and Other Postretirement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85090</wp:posOffset>
            </wp:positionV>
            <wp:extent cx="24688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68" w:lineRule="exact"/>
        <w:rPr>
          <w:sz w:val="20"/>
          <w:szCs w:val="20"/>
          <w:color w:val="auto"/>
        </w:rPr>
      </w:pPr>
    </w:p>
    <w:tbl>
      <w:tblPr>
        <w:tblLayout w:type="fixed"/>
        <w:tblInd w:w="760" w:type="dxa"/>
        <w:tblCellMar>
          <w:top w:w="0" w:type="dxa"/>
          <w:left w:w="0" w:type="dxa"/>
          <w:bottom w:w="0" w:type="dxa"/>
          <w:right w:w="0" w:type="dxa"/>
        </w:tblCellMar>
      </w:tblPr>
      <w:tr>
        <w:trPr>
          <w:trHeight w:val="250"/>
        </w:trPr>
        <w:tc>
          <w:tcPr>
            <w:tcW w:w="5840" w:type="dxa"/>
            <w:vAlign w:val="bottom"/>
            <w:tcBorders>
              <w:bottom w:val="single" w:sz="8" w:color="0C479D"/>
            </w:tcBorders>
            <w:shd w:val="clear" w:color="auto" w:fill="0C479D"/>
          </w:tcPr>
          <w:p>
            <w:pPr>
              <w:ind w:left="60"/>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1200" w:type="dxa"/>
            <w:vAlign w:val="bottom"/>
            <w:tcBorders>
              <w:bottom w:val="single" w:sz="8" w:color="0C479D"/>
              <w:right w:val="single" w:sz="8" w:color="0C479D"/>
            </w:tcBorders>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1720" w:type="dxa"/>
            <w:vAlign w:val="bottom"/>
            <w:tcBorders>
              <w:bottom w:val="single" w:sz="8" w:color="0C479D"/>
            </w:tcBorders>
            <w:shd w:val="clear" w:color="auto" w:fill="0C479D"/>
          </w:tcPr>
          <w:p>
            <w:pPr>
              <w:jc w:val="right"/>
              <w:ind w:right="312"/>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960" w:type="dxa"/>
            <w:vAlign w:val="bottom"/>
            <w:tcBorders>
              <w:bottom w:val="single" w:sz="8" w:color="0C479D"/>
            </w:tcBorders>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2022</w:t>
            </w:r>
          </w:p>
        </w:tc>
        <w:tc>
          <w:tcPr>
            <w:tcW w:w="0" w:type="dxa"/>
            <w:vAlign w:val="bottom"/>
          </w:tcPr>
          <w:p>
            <w:pPr>
              <w:spacing w:after="0"/>
              <w:rPr>
                <w:sz w:val="1"/>
                <w:szCs w:val="1"/>
                <w:color w:val="auto"/>
              </w:rPr>
            </w:pPr>
          </w:p>
        </w:tc>
      </w:tr>
      <w:tr>
        <w:trPr>
          <w:trHeight w:val="473"/>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C479D"/>
              </w:rPr>
              <w:t>(Charge)/credit to other comprehensive income, before tax</w:t>
            </w:r>
          </w:p>
        </w:tc>
        <w:tc>
          <w:tcPr>
            <w:tcW w:w="1200" w:type="dxa"/>
            <w:vAlign w:val="bottom"/>
            <w:tcBorders>
              <w:right w:val="single" w:sz="8" w:color="F0F0F0"/>
            </w:tcBorders>
            <w:shd w:val="clear" w:color="auto" w:fill="F0F0F0"/>
          </w:tcPr>
          <w:p>
            <w:pPr>
              <w:spacing w:after="0"/>
              <w:rPr>
                <w:sz w:val="24"/>
                <w:szCs w:val="24"/>
                <w:color w:val="auto"/>
              </w:rPr>
            </w:pPr>
          </w:p>
        </w:tc>
        <w:tc>
          <w:tcPr>
            <w:tcW w:w="1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pension</w:t>
            </w:r>
          </w:p>
        </w:tc>
        <w:tc>
          <w:tcPr>
            <w:tcW w:w="120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7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141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0" w:type="dxa"/>
            <w:vAlign w:val="bottom"/>
          </w:tcPr>
          <w:p>
            <w:pPr>
              <w:spacing w:after="0"/>
              <w:rPr>
                <w:sz w:val="1"/>
                <w:szCs w:val="1"/>
                <w:color w:val="auto"/>
              </w:rPr>
            </w:pPr>
          </w:p>
        </w:tc>
      </w:tr>
      <w:tr>
        <w:trPr>
          <w:trHeight w:val="27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Non-U.S. pension</w:t>
            </w:r>
          </w:p>
        </w:tc>
        <w:tc>
          <w:tcPr>
            <w:tcW w:w="120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72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(641)</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0" w:type="dxa"/>
            <w:vAlign w:val="bottom"/>
          </w:tcPr>
          <w:p>
            <w:pPr>
              <w:spacing w:after="0"/>
              <w:rPr>
                <w:sz w:val="1"/>
                <w:szCs w:val="1"/>
                <w:color w:val="auto"/>
              </w:rPr>
            </w:pPr>
          </w:p>
        </w:tc>
      </w:tr>
      <w:tr>
        <w:trPr>
          <w:trHeight w:val="270"/>
        </w:trPr>
        <w:tc>
          <w:tcPr>
            <w:tcW w:w="584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Other postretirement benefits</w:t>
            </w:r>
          </w:p>
        </w:tc>
        <w:tc>
          <w:tcPr>
            <w:tcW w:w="1200" w:type="dxa"/>
            <w:vAlign w:val="bottom"/>
            <w:tcBorders>
              <w:bottom w:val="single" w:sz="8" w:color="0C479D"/>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720" w:type="dxa"/>
            <w:vAlign w:val="bottom"/>
            <w:tcBorders>
              <w:bottom w:val="single" w:sz="8" w:color="0C479D"/>
            </w:tcBorders>
          </w:tcPr>
          <w:p>
            <w:pPr>
              <w:jc w:val="right"/>
              <w:ind w:right="332"/>
              <w:spacing w:after="0"/>
              <w:rPr>
                <w:sz w:val="20"/>
                <w:szCs w:val="20"/>
                <w:color w:val="auto"/>
              </w:rPr>
            </w:pPr>
            <w:r>
              <w:rPr>
                <w:rFonts w:ascii="Times New Roman" w:cs="Times New Roman" w:eastAsia="Times New Roman" w:hAnsi="Times New Roman"/>
                <w:sz w:val="18"/>
                <w:szCs w:val="18"/>
                <w:color w:val="auto"/>
              </w:rPr>
              <w:t>(4)</w:t>
            </w:r>
          </w:p>
        </w:tc>
        <w:tc>
          <w:tcPr>
            <w:tcW w:w="9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0" w:type="dxa"/>
            <w:vAlign w:val="bottom"/>
          </w:tcPr>
          <w:p>
            <w:pPr>
              <w:spacing w:after="0"/>
              <w:rPr>
                <w:sz w:val="1"/>
                <w:szCs w:val="1"/>
                <w:color w:val="auto"/>
              </w:rPr>
            </w:pPr>
          </w:p>
        </w:tc>
      </w:tr>
      <w:tr>
        <w:trPr>
          <w:trHeight w:val="250"/>
        </w:trPr>
        <w:tc>
          <w:tcPr>
            <w:tcW w:w="584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(charge)/credit to other comprehensive income, before tax</w:t>
            </w:r>
          </w:p>
        </w:tc>
        <w:tc>
          <w:tcPr>
            <w:tcW w:w="1200" w:type="dxa"/>
            <w:vAlign w:val="bottom"/>
            <w:tcBorders>
              <w:bottom w:val="single" w:sz="8" w:color="0C479D"/>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784</w:t>
            </w:r>
          </w:p>
        </w:tc>
        <w:tc>
          <w:tcPr>
            <w:tcW w:w="1720" w:type="dxa"/>
            <w:vAlign w:val="bottom"/>
            <w:tcBorders>
              <w:bottom w:val="single" w:sz="8" w:color="0C479D"/>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(504)</w:t>
            </w:r>
          </w:p>
        </w:tc>
        <w:tc>
          <w:tcPr>
            <w:tcW w:w="9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4,799</w:t>
            </w:r>
          </w:p>
        </w:tc>
        <w:tc>
          <w:tcPr>
            <w:tcW w:w="0" w:type="dxa"/>
            <w:vAlign w:val="bottom"/>
          </w:tcPr>
          <w:p>
            <w:pPr>
              <w:spacing w:after="0"/>
              <w:rPr>
                <w:sz w:val="1"/>
                <w:szCs w:val="1"/>
                <w:color w:val="auto"/>
              </w:rPr>
            </w:pPr>
          </w:p>
        </w:tc>
      </w:tr>
      <w:tr>
        <w:trPr>
          <w:trHeight w:val="25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(Charge)/credit to income tax (see </w:t>
            </w:r>
            <w:r>
              <w:rPr>
                <w:rFonts w:ascii="Times New Roman" w:cs="Times New Roman" w:eastAsia="Times New Roman" w:hAnsi="Times New Roman"/>
                <w:sz w:val="18"/>
                <w:szCs w:val="18"/>
                <w:color w:val="0000FF"/>
              </w:rPr>
              <w:t>Note 4</w:t>
            </w:r>
            <w:r>
              <w:rPr>
                <w:rFonts w:ascii="Times New Roman" w:cs="Times New Roman" w:eastAsia="Times New Roman" w:hAnsi="Times New Roman"/>
                <w:sz w:val="18"/>
                <w:szCs w:val="18"/>
                <w:color w:val="auto"/>
              </w:rPr>
              <w:t>)</w:t>
            </w:r>
          </w:p>
        </w:tc>
        <w:tc>
          <w:tcPr>
            <w:tcW w:w="120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72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rPr>
              <w:t>180</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0" w:type="dxa"/>
            <w:vAlign w:val="bottom"/>
          </w:tcPr>
          <w:p>
            <w:pPr>
              <w:spacing w:after="0"/>
              <w:rPr>
                <w:sz w:val="1"/>
                <w:szCs w:val="1"/>
                <w:color w:val="auto"/>
              </w:rPr>
            </w:pPr>
          </w:p>
        </w:tc>
      </w:tr>
      <w:tr>
        <w:trPr>
          <w:trHeight w:val="270"/>
        </w:trPr>
        <w:tc>
          <w:tcPr>
            <w:tcW w:w="584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(Charge)/credit to investment in equity companies</w:t>
            </w:r>
          </w:p>
        </w:tc>
        <w:tc>
          <w:tcPr>
            <w:tcW w:w="1200" w:type="dxa"/>
            <w:vAlign w:val="bottom"/>
            <w:tcBorders>
              <w:bottom w:val="single" w:sz="8" w:color="0C479D"/>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720" w:type="dxa"/>
            <w:vAlign w:val="bottom"/>
            <w:tcBorders>
              <w:bottom w:val="single" w:sz="8" w:color="0C479D"/>
            </w:tcBorders>
          </w:tcPr>
          <w:p>
            <w:pPr>
              <w:jc w:val="right"/>
              <w:ind w:right="392"/>
              <w:spacing w:after="0"/>
              <w:rPr>
                <w:sz w:val="20"/>
                <w:szCs w:val="20"/>
                <w:color w:val="auto"/>
              </w:rPr>
            </w:pPr>
            <w:r>
              <w:rPr>
                <w:rFonts w:ascii="Times New Roman" w:cs="Times New Roman" w:eastAsia="Times New Roman" w:hAnsi="Times New Roman"/>
                <w:sz w:val="18"/>
                <w:szCs w:val="18"/>
                <w:color w:val="auto"/>
              </w:rPr>
              <w:t>16</w:t>
            </w:r>
          </w:p>
        </w:tc>
        <w:tc>
          <w:tcPr>
            <w:tcW w:w="9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169"/>
        </w:trPr>
        <w:tc>
          <w:tcPr>
            <w:tcW w:w="58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(Charge)/credit to other comprehensive income including noncontrolling</w:t>
            </w:r>
          </w:p>
        </w:tc>
        <w:tc>
          <w:tcPr>
            <w:tcW w:w="1200" w:type="dxa"/>
            <w:vAlign w:val="bottom"/>
            <w:tcBorders>
              <w:right w:val="single" w:sz="8" w:color="F0F0F0"/>
            </w:tcBorders>
            <w:vMerge w:val="restart"/>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600</w:t>
            </w:r>
          </w:p>
        </w:tc>
        <w:tc>
          <w:tcPr>
            <w:tcW w:w="1720" w:type="dxa"/>
            <w:vAlign w:val="bottom"/>
            <w:vMerge w:val="restart"/>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(308)</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3,798</w:t>
            </w:r>
          </w:p>
        </w:tc>
        <w:tc>
          <w:tcPr>
            <w:tcW w:w="0" w:type="dxa"/>
            <w:vAlign w:val="bottom"/>
          </w:tcPr>
          <w:p>
            <w:pPr>
              <w:spacing w:after="0"/>
              <w:rPr>
                <w:sz w:val="1"/>
                <w:szCs w:val="1"/>
                <w:color w:val="auto"/>
              </w:rPr>
            </w:pPr>
          </w:p>
        </w:tc>
      </w:tr>
      <w:tr>
        <w:trPr>
          <w:trHeight w:val="243"/>
        </w:trPr>
        <w:tc>
          <w:tcPr>
            <w:tcW w:w="584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interests, after tax</w:t>
            </w:r>
          </w:p>
        </w:tc>
        <w:tc>
          <w:tcPr>
            <w:tcW w:w="1200" w:type="dxa"/>
            <w:vAlign w:val="bottom"/>
            <w:tcBorders>
              <w:bottom w:val="single" w:sz="8" w:color="0C479D"/>
              <w:right w:val="single" w:sz="8" w:color="F0F0F0"/>
            </w:tcBorders>
            <w:vMerge w:val="continue"/>
            <w:shd w:val="clear" w:color="auto" w:fill="F0F0F0"/>
          </w:tcPr>
          <w:p>
            <w:pPr>
              <w:spacing w:after="0"/>
              <w:rPr>
                <w:sz w:val="21"/>
                <w:szCs w:val="21"/>
                <w:color w:val="auto"/>
              </w:rPr>
            </w:pPr>
          </w:p>
        </w:tc>
        <w:tc>
          <w:tcPr>
            <w:tcW w:w="1720" w:type="dxa"/>
            <w:vAlign w:val="bottom"/>
            <w:tcBorders>
              <w:bottom w:val="single" w:sz="8" w:color="0C479D"/>
            </w:tcBorders>
            <w:vMerge w:val="continue"/>
          </w:tcPr>
          <w:p>
            <w:pPr>
              <w:spacing w:after="0"/>
              <w:rPr>
                <w:sz w:val="21"/>
                <w:szCs w:val="21"/>
                <w:color w:val="auto"/>
              </w:rPr>
            </w:pPr>
          </w:p>
        </w:tc>
        <w:tc>
          <w:tcPr>
            <w:tcW w:w="960" w:type="dxa"/>
            <w:vAlign w:val="bottom"/>
            <w:tcBorders>
              <w:bottom w:val="single" w:sz="8" w:color="0C479D"/>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84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Charge/(credit) to equity of noncontrolling interests</w:t>
            </w:r>
          </w:p>
        </w:tc>
        <w:tc>
          <w:tcPr>
            <w:tcW w:w="1200" w:type="dxa"/>
            <w:vAlign w:val="bottom"/>
            <w:tcBorders>
              <w:bottom w:val="single" w:sz="8" w:color="0C479D"/>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720" w:type="dxa"/>
            <w:vAlign w:val="bottom"/>
            <w:tcBorders>
              <w:bottom w:val="single" w:sz="8" w:color="0C479D"/>
            </w:tcBorders>
          </w:tcPr>
          <w:p>
            <w:pPr>
              <w:jc w:val="right"/>
              <w:ind w:right="392"/>
              <w:spacing w:after="0"/>
              <w:rPr>
                <w:sz w:val="20"/>
                <w:szCs w:val="20"/>
                <w:color w:val="auto"/>
              </w:rPr>
            </w:pPr>
            <w:r>
              <w:rPr>
                <w:rFonts w:ascii="Times New Roman" w:cs="Times New Roman" w:eastAsia="Times New Roman" w:hAnsi="Times New Roman"/>
                <w:sz w:val="18"/>
                <w:szCs w:val="18"/>
                <w:color w:val="auto"/>
              </w:rPr>
              <w:t>54</w:t>
            </w:r>
          </w:p>
        </w:tc>
        <w:tc>
          <w:tcPr>
            <w:tcW w:w="9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43"/>
        </w:trPr>
        <w:tc>
          <w:tcPr>
            <w:tcW w:w="584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(Charge)/credit to other comprehensive income attributable to ExxonMobil</w:t>
            </w:r>
          </w:p>
        </w:tc>
        <w:tc>
          <w:tcPr>
            <w:tcW w:w="1200" w:type="dxa"/>
            <w:vAlign w:val="bottom"/>
            <w:tcBorders>
              <w:bottom w:val="single" w:sz="8" w:color="0C479D"/>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480</w:t>
            </w:r>
          </w:p>
        </w:tc>
        <w:tc>
          <w:tcPr>
            <w:tcW w:w="1720" w:type="dxa"/>
            <w:vAlign w:val="bottom"/>
            <w:tcBorders>
              <w:bottom w:val="single" w:sz="8" w:color="0C479D"/>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(254)</w:t>
            </w:r>
          </w:p>
        </w:tc>
        <w:tc>
          <w:tcPr>
            <w:tcW w:w="9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3,586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Corporation’s investment strategy for benefit plan assets reflects a long-term view, a careful assessment of the risks inherent in plan assets and liabilities, and broad diversification to reduce the risk of the portfolio. The benefit plan assets are primarily invested in passive global equity and local currency fixed income index funds to diversify risk while minimizing costs. The equity funds hold ExxonMobil stock only to the extent necessary to replicate the relevant equity index. The fixed income funds are largely invested in investment-grade corporate and government debt securities with interest rate sensitivity designed to approximate the interest rate sensitivity of plan liabilities.</w:t>
      </w:r>
    </w:p>
    <w:p>
      <w:pPr>
        <w:spacing w:after="0" w:line="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Target asset allocations for benefit plans are reviewed periodically and set based on considerations such as risk, diversification, liquidity, and funding level. The target asset allocations for the major benefit plans range from 15 to 40 percent in equity securities and the remainder in fixed income securities. The equity allocation for the U.S. plan includes a target allocation of 10 percent to limited partnerships that focus on the venture capital, growth and buyout sectors of the private equity market. Certain non-U.S. plans include small allocations to private equity partnerships that primarily focus on early-stage venture capital.</w:t>
      </w:r>
    </w:p>
    <w:p>
      <w:pPr>
        <w:spacing w:after="0" w:line="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measurement levels are accounting terms that refer to different methods of valuing assets. The terms do not represent the relative risk or credit quality of an investment.</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22"/>
          <w:szCs w:val="22"/>
          <w:b w:val="1"/>
          <w:bCs w:val="1"/>
          <w:color w:val="0C479D"/>
        </w:rPr>
        <w:t>NOTES TO CONSOLIDATED FINANCIAL STATEMENTS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2024 fair value of the benefit plan assets, including the level within the fair value hierarchy, is shown in the tables below:</w:t>
      </w:r>
    </w:p>
    <w:p>
      <w:pPr>
        <w:spacing w:after="0" w:line="151" w:lineRule="exact"/>
        <w:rPr>
          <w:sz w:val="20"/>
          <w:szCs w:val="20"/>
          <w:color w:val="auto"/>
        </w:rPr>
      </w:pPr>
    </w:p>
    <w:tbl>
      <w:tblPr>
        <w:tblLayout w:type="fixed"/>
        <w:tblInd w:w="800" w:type="dxa"/>
        <w:tblCellMar>
          <w:top w:w="0" w:type="dxa"/>
          <w:left w:w="0" w:type="dxa"/>
          <w:bottom w:w="0" w:type="dxa"/>
          <w:right w:w="0" w:type="dxa"/>
        </w:tblCellMar>
      </w:tblPr>
      <w:tr>
        <w:trPr>
          <w:trHeight w:val="190"/>
        </w:trPr>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0C479D"/>
              </w:rPr>
              <w:t>U.S. Pension</w:t>
            </w:r>
          </w:p>
        </w:tc>
        <w:tc>
          <w:tcPr>
            <w:tcW w:w="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C479D"/>
              </w:rPr>
              <w:t>Non-U.S. Pension</w:t>
            </w: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0C479D"/>
            </w:tcBorders>
          </w:tcPr>
          <w:p>
            <w:pPr>
              <w:spacing w:after="0"/>
              <w:rPr>
                <w:sz w:val="2"/>
                <w:szCs w:val="2"/>
                <w:color w:val="auto"/>
              </w:rPr>
            </w:pPr>
          </w:p>
        </w:tc>
        <w:tc>
          <w:tcPr>
            <w:tcW w:w="1820" w:type="dxa"/>
            <w:vAlign w:val="bottom"/>
            <w:tcBorders>
              <w:bottom w:val="single" w:sz="8" w:color="0C479D"/>
            </w:tcBorders>
            <w:gridSpan w:val="3"/>
          </w:tcPr>
          <w:p>
            <w:pPr>
              <w:spacing w:after="0"/>
              <w:rPr>
                <w:sz w:val="2"/>
                <w:szCs w:val="2"/>
                <w:color w:val="auto"/>
              </w:rPr>
            </w:pPr>
          </w:p>
        </w:tc>
        <w:tc>
          <w:tcPr>
            <w:tcW w:w="600" w:type="dxa"/>
            <w:vAlign w:val="bottom"/>
            <w:tcBorders>
              <w:bottom w:val="single" w:sz="8" w:color="0C479D"/>
            </w:tcBorders>
          </w:tcPr>
          <w:p>
            <w:pPr>
              <w:spacing w:after="0"/>
              <w:rPr>
                <w:sz w:val="2"/>
                <w:szCs w:val="2"/>
                <w:color w:val="auto"/>
              </w:rPr>
            </w:pPr>
          </w:p>
        </w:tc>
        <w:tc>
          <w:tcPr>
            <w:tcW w:w="720" w:type="dxa"/>
            <w:vAlign w:val="bottom"/>
            <w:tcBorders>
              <w:bottom w:val="single" w:sz="8" w:color="0C479D"/>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0C479D"/>
            </w:tcBorders>
          </w:tcPr>
          <w:p>
            <w:pPr>
              <w:spacing w:after="0"/>
              <w:rPr>
                <w:sz w:val="2"/>
                <w:szCs w:val="2"/>
                <w:color w:val="auto"/>
              </w:rPr>
            </w:pPr>
          </w:p>
        </w:tc>
        <w:tc>
          <w:tcPr>
            <w:tcW w:w="220" w:type="dxa"/>
            <w:vAlign w:val="bottom"/>
            <w:tcBorders>
              <w:bottom w:val="single" w:sz="8" w:color="0C479D"/>
            </w:tcBorders>
          </w:tcPr>
          <w:p>
            <w:pPr>
              <w:spacing w:after="0"/>
              <w:rPr>
                <w:sz w:val="2"/>
                <w:szCs w:val="2"/>
                <w:color w:val="auto"/>
              </w:rPr>
            </w:pPr>
          </w:p>
        </w:tc>
        <w:tc>
          <w:tcPr>
            <w:tcW w:w="1860" w:type="dxa"/>
            <w:vAlign w:val="bottom"/>
            <w:tcBorders>
              <w:bottom w:val="single" w:sz="8" w:color="0C479D"/>
            </w:tcBorders>
            <w:gridSpan w:val="3"/>
          </w:tcPr>
          <w:p>
            <w:pPr>
              <w:spacing w:after="0"/>
              <w:rPr>
                <w:sz w:val="2"/>
                <w:szCs w:val="2"/>
                <w:color w:val="auto"/>
              </w:rPr>
            </w:pPr>
          </w:p>
        </w:tc>
        <w:tc>
          <w:tcPr>
            <w:tcW w:w="740" w:type="dxa"/>
            <w:vAlign w:val="bottom"/>
            <w:tcBorders>
              <w:bottom w:val="single" w:sz="8" w:color="0C479D"/>
            </w:tcBorders>
          </w:tcPr>
          <w:p>
            <w:pPr>
              <w:spacing w:after="0"/>
              <w:rPr>
                <w:sz w:val="2"/>
                <w:szCs w:val="2"/>
                <w:color w:val="auto"/>
              </w:rPr>
            </w:pPr>
          </w:p>
        </w:tc>
        <w:tc>
          <w:tcPr>
            <w:tcW w:w="700" w:type="dxa"/>
            <w:vAlign w:val="bottom"/>
            <w:tcBorders>
              <w:bottom w:val="single" w:sz="8" w:color="0C479D"/>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1680" w:type="dxa"/>
            <w:vAlign w:val="bottom"/>
            <w:shd w:val="clear" w:color="auto" w:fill="0C479D"/>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shd w:val="clear" w:color="auto" w:fill="0C479D"/>
          </w:tcPr>
          <w:p>
            <w:pPr>
              <w:spacing w:after="0"/>
              <w:rPr>
                <w:sz w:val="14"/>
                <w:szCs w:val="14"/>
                <w:color w:val="auto"/>
              </w:rPr>
            </w:pPr>
          </w:p>
        </w:tc>
        <w:tc>
          <w:tcPr>
            <w:tcW w:w="1820" w:type="dxa"/>
            <w:vAlign w:val="bottom"/>
            <w:gridSpan w:val="3"/>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Fair Value Measurement at</w:t>
            </w:r>
          </w:p>
        </w:tc>
        <w:tc>
          <w:tcPr>
            <w:tcW w:w="600" w:type="dxa"/>
            <w:vAlign w:val="bottom"/>
            <w:shd w:val="clear" w:color="auto" w:fill="0C479D"/>
          </w:tcPr>
          <w:p>
            <w:pPr>
              <w:spacing w:after="0"/>
              <w:rPr>
                <w:sz w:val="14"/>
                <w:szCs w:val="14"/>
                <w:color w:val="auto"/>
              </w:rPr>
            </w:pPr>
          </w:p>
        </w:tc>
        <w:tc>
          <w:tcPr>
            <w:tcW w:w="720" w:type="dxa"/>
            <w:vAlign w:val="bottom"/>
            <w:shd w:val="clear" w:color="auto" w:fill="0C479D"/>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shd w:val="clear" w:color="auto" w:fill="0C479D"/>
          </w:tcPr>
          <w:p>
            <w:pPr>
              <w:spacing w:after="0"/>
              <w:rPr>
                <w:sz w:val="14"/>
                <w:szCs w:val="14"/>
                <w:color w:val="auto"/>
              </w:rPr>
            </w:pPr>
          </w:p>
        </w:tc>
        <w:tc>
          <w:tcPr>
            <w:tcW w:w="220" w:type="dxa"/>
            <w:vAlign w:val="bottom"/>
            <w:shd w:val="clear" w:color="auto" w:fill="0C479D"/>
          </w:tcPr>
          <w:p>
            <w:pPr>
              <w:spacing w:after="0"/>
              <w:rPr>
                <w:sz w:val="14"/>
                <w:szCs w:val="14"/>
                <w:color w:val="auto"/>
              </w:rPr>
            </w:pPr>
          </w:p>
        </w:tc>
        <w:tc>
          <w:tcPr>
            <w:tcW w:w="1860" w:type="dxa"/>
            <w:vAlign w:val="bottom"/>
            <w:gridSpan w:val="3"/>
            <w:shd w:val="clear" w:color="auto" w:fill="0C479D"/>
          </w:tcPr>
          <w:p>
            <w:pPr>
              <w:jc w:val="center"/>
              <w:ind w:right="12"/>
              <w:spacing w:after="0"/>
              <w:rPr>
                <w:sz w:val="20"/>
                <w:szCs w:val="20"/>
                <w:color w:val="auto"/>
              </w:rPr>
            </w:pPr>
            <w:r>
              <w:rPr>
                <w:rFonts w:ascii="Times New Roman" w:cs="Times New Roman" w:eastAsia="Times New Roman" w:hAnsi="Times New Roman"/>
                <w:sz w:val="14"/>
                <w:szCs w:val="14"/>
                <w:b w:val="1"/>
                <w:bCs w:val="1"/>
                <w:color w:val="FFFFFF"/>
              </w:rPr>
              <w:t>Fair Value Measurement at</w:t>
            </w:r>
          </w:p>
        </w:tc>
        <w:tc>
          <w:tcPr>
            <w:tcW w:w="740" w:type="dxa"/>
            <w:vAlign w:val="bottom"/>
            <w:shd w:val="clear" w:color="auto" w:fill="0C479D"/>
          </w:tcPr>
          <w:p>
            <w:pPr>
              <w:spacing w:after="0"/>
              <w:rPr>
                <w:sz w:val="14"/>
                <w:szCs w:val="14"/>
                <w:color w:val="auto"/>
              </w:rPr>
            </w:pPr>
          </w:p>
        </w:tc>
        <w:tc>
          <w:tcPr>
            <w:tcW w:w="700" w:type="dxa"/>
            <w:vAlign w:val="bottom"/>
            <w:shd w:val="clear" w:color="auto" w:fill="0C479D"/>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680" w:type="dxa"/>
            <w:vAlign w:val="bottom"/>
            <w:vMerge w:val="restart"/>
            <w:shd w:val="clear" w:color="auto" w:fill="0C479D"/>
          </w:tcPr>
          <w:p>
            <w:pPr>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120" w:type="dxa"/>
            <w:vAlign w:val="bottom"/>
          </w:tcPr>
          <w:p>
            <w:pPr>
              <w:spacing w:after="0"/>
              <w:rPr>
                <w:sz w:val="16"/>
                <w:szCs w:val="16"/>
                <w:color w:val="auto"/>
              </w:rPr>
            </w:pPr>
          </w:p>
        </w:tc>
        <w:tc>
          <w:tcPr>
            <w:tcW w:w="580" w:type="dxa"/>
            <w:vAlign w:val="bottom"/>
            <w:shd w:val="clear" w:color="auto" w:fill="0C479D"/>
          </w:tcPr>
          <w:p>
            <w:pPr>
              <w:spacing w:after="0"/>
              <w:rPr>
                <w:sz w:val="16"/>
                <w:szCs w:val="16"/>
                <w:color w:val="auto"/>
              </w:rPr>
            </w:pPr>
          </w:p>
        </w:tc>
        <w:tc>
          <w:tcPr>
            <w:tcW w:w="1820" w:type="dxa"/>
            <w:vAlign w:val="bottom"/>
            <w:gridSpan w:val="3"/>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December 31, 2024, Using:</w:t>
            </w:r>
          </w:p>
        </w:tc>
        <w:tc>
          <w:tcPr>
            <w:tcW w:w="600" w:type="dxa"/>
            <w:vAlign w:val="bottom"/>
            <w:vMerge w:val="restart"/>
            <w:shd w:val="clear" w:color="auto" w:fill="0C479D"/>
          </w:tcPr>
          <w:p>
            <w:pPr>
              <w:jc w:val="center"/>
              <w:ind w:right="54"/>
              <w:spacing w:after="0"/>
              <w:rPr>
                <w:sz w:val="20"/>
                <w:szCs w:val="20"/>
                <w:color w:val="auto"/>
              </w:rPr>
            </w:pPr>
            <w:r>
              <w:rPr>
                <w:rFonts w:ascii="Times New Roman" w:cs="Times New Roman" w:eastAsia="Times New Roman" w:hAnsi="Times New Roman"/>
                <w:sz w:val="14"/>
                <w:szCs w:val="14"/>
                <w:b w:val="1"/>
                <w:bCs w:val="1"/>
                <w:color w:val="FFFFFF"/>
              </w:rPr>
              <w:t>Net</w:t>
            </w:r>
          </w:p>
        </w:tc>
        <w:tc>
          <w:tcPr>
            <w:tcW w:w="720" w:type="dxa"/>
            <w:vAlign w:val="bottom"/>
            <w:shd w:val="clear" w:color="auto" w:fill="0C479D"/>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shd w:val="clear" w:color="auto" w:fill="0C479D"/>
          </w:tcPr>
          <w:p>
            <w:pPr>
              <w:spacing w:after="0"/>
              <w:rPr>
                <w:sz w:val="16"/>
                <w:szCs w:val="16"/>
                <w:color w:val="auto"/>
              </w:rPr>
            </w:pPr>
          </w:p>
        </w:tc>
        <w:tc>
          <w:tcPr>
            <w:tcW w:w="220" w:type="dxa"/>
            <w:vAlign w:val="bottom"/>
            <w:shd w:val="clear" w:color="auto" w:fill="0C479D"/>
          </w:tcPr>
          <w:p>
            <w:pPr>
              <w:spacing w:after="0"/>
              <w:rPr>
                <w:sz w:val="16"/>
                <w:szCs w:val="16"/>
                <w:color w:val="auto"/>
              </w:rPr>
            </w:pPr>
          </w:p>
        </w:tc>
        <w:tc>
          <w:tcPr>
            <w:tcW w:w="1860" w:type="dxa"/>
            <w:vAlign w:val="bottom"/>
            <w:gridSpan w:val="3"/>
            <w:shd w:val="clear" w:color="auto" w:fill="0C479D"/>
          </w:tcPr>
          <w:p>
            <w:pPr>
              <w:jc w:val="center"/>
              <w:ind w:right="12"/>
              <w:spacing w:after="0"/>
              <w:rPr>
                <w:sz w:val="20"/>
                <w:szCs w:val="20"/>
                <w:color w:val="auto"/>
              </w:rPr>
            </w:pPr>
            <w:r>
              <w:rPr>
                <w:rFonts w:ascii="Times New Roman" w:cs="Times New Roman" w:eastAsia="Times New Roman" w:hAnsi="Times New Roman"/>
                <w:sz w:val="14"/>
                <w:szCs w:val="14"/>
                <w:b w:val="1"/>
                <w:bCs w:val="1"/>
                <w:color w:val="FFFFFF"/>
              </w:rPr>
              <w:t>December 31, 2024, Using:</w:t>
            </w:r>
          </w:p>
        </w:tc>
        <w:tc>
          <w:tcPr>
            <w:tcW w:w="740" w:type="dxa"/>
            <w:vAlign w:val="bottom"/>
            <w:shd w:val="clear" w:color="auto" w:fill="0C479D"/>
          </w:tcPr>
          <w:p>
            <w:pPr>
              <w:spacing w:after="0"/>
              <w:rPr>
                <w:sz w:val="16"/>
                <w:szCs w:val="16"/>
                <w:color w:val="auto"/>
              </w:rPr>
            </w:pPr>
          </w:p>
        </w:tc>
        <w:tc>
          <w:tcPr>
            <w:tcW w:w="700" w:type="dxa"/>
            <w:vAlign w:val="bottom"/>
            <w:shd w:val="clear" w:color="auto" w:fill="0C479D"/>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680" w:type="dxa"/>
            <w:vAlign w:val="bottom"/>
            <w:vMerge w:val="continue"/>
            <w:shd w:val="clear" w:color="auto" w:fill="0C479D"/>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shd w:val="clear" w:color="auto" w:fill="0C479D"/>
          </w:tcPr>
          <w:p>
            <w:pPr>
              <w:ind w:left="40"/>
              <w:spacing w:after="0"/>
              <w:rPr>
                <w:sz w:val="20"/>
                <w:szCs w:val="20"/>
                <w:color w:val="auto"/>
              </w:rPr>
            </w:pPr>
            <w:r>
              <w:rPr>
                <w:rFonts w:ascii="Times New Roman" w:cs="Times New Roman" w:eastAsia="Times New Roman" w:hAnsi="Times New Roman"/>
                <w:sz w:val="14"/>
                <w:szCs w:val="14"/>
                <w:b w:val="1"/>
                <w:bCs w:val="1"/>
                <w:color w:val="FFFFFF"/>
              </w:rPr>
              <w:t>Level 1</w:t>
            </w:r>
          </w:p>
        </w:tc>
        <w:tc>
          <w:tcPr>
            <w:tcW w:w="660" w:type="dxa"/>
            <w:vAlign w:val="bottom"/>
            <w:vMerge w:val="restart"/>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Level 2</w:t>
            </w:r>
          </w:p>
        </w:tc>
        <w:tc>
          <w:tcPr>
            <w:tcW w:w="200" w:type="dxa"/>
            <w:vAlign w:val="bottom"/>
            <w:shd w:val="clear" w:color="auto" w:fill="0C479D"/>
          </w:tcPr>
          <w:p>
            <w:pPr>
              <w:spacing w:after="0"/>
              <w:rPr>
                <w:sz w:val="12"/>
                <w:szCs w:val="12"/>
                <w:color w:val="auto"/>
              </w:rPr>
            </w:pPr>
          </w:p>
        </w:tc>
        <w:tc>
          <w:tcPr>
            <w:tcW w:w="960" w:type="dxa"/>
            <w:vAlign w:val="bottom"/>
            <w:vMerge w:val="restart"/>
            <w:shd w:val="clear" w:color="auto" w:fill="0C479D"/>
          </w:tcPr>
          <w:p>
            <w:pPr>
              <w:ind w:left="260"/>
              <w:spacing w:after="0"/>
              <w:rPr>
                <w:sz w:val="20"/>
                <w:szCs w:val="20"/>
                <w:color w:val="auto"/>
              </w:rPr>
            </w:pPr>
            <w:r>
              <w:rPr>
                <w:rFonts w:ascii="Times New Roman" w:cs="Times New Roman" w:eastAsia="Times New Roman" w:hAnsi="Times New Roman"/>
                <w:sz w:val="14"/>
                <w:szCs w:val="14"/>
                <w:b w:val="1"/>
                <w:bCs w:val="1"/>
                <w:color w:val="FFFFFF"/>
              </w:rPr>
              <w:t>Level 3</w:t>
            </w:r>
          </w:p>
        </w:tc>
        <w:tc>
          <w:tcPr>
            <w:tcW w:w="600" w:type="dxa"/>
            <w:vAlign w:val="bottom"/>
            <w:vMerge w:val="continue"/>
            <w:shd w:val="clear" w:color="auto" w:fill="0C479D"/>
          </w:tcPr>
          <w:p>
            <w:pPr>
              <w:spacing w:after="0"/>
              <w:rPr>
                <w:sz w:val="12"/>
                <w:szCs w:val="12"/>
                <w:color w:val="auto"/>
              </w:rPr>
            </w:pPr>
          </w:p>
        </w:tc>
        <w:tc>
          <w:tcPr>
            <w:tcW w:w="720" w:type="dxa"/>
            <w:vAlign w:val="bottom"/>
            <w:vMerge w:val="restart"/>
            <w:shd w:val="clear" w:color="auto" w:fill="0C479D"/>
          </w:tcPr>
          <w:p>
            <w:pPr>
              <w:jc w:val="right"/>
              <w:ind w:right="91"/>
              <w:spacing w:after="0"/>
              <w:rPr>
                <w:sz w:val="20"/>
                <w:szCs w:val="20"/>
                <w:color w:val="auto"/>
              </w:rPr>
            </w:pPr>
            <w:r>
              <w:rPr>
                <w:rFonts w:ascii="Times New Roman" w:cs="Times New Roman" w:eastAsia="Times New Roman" w:hAnsi="Times New Roman"/>
                <w:sz w:val="14"/>
                <w:szCs w:val="14"/>
                <w:b w:val="1"/>
                <w:bCs w:val="1"/>
                <w:color w:val="FFFFFF"/>
              </w:rPr>
              <w:t>Total</w:t>
            </w:r>
          </w:p>
        </w:tc>
        <w:tc>
          <w:tcPr>
            <w:tcW w:w="120" w:type="dxa"/>
            <w:vAlign w:val="bottom"/>
          </w:tcPr>
          <w:p>
            <w:pPr>
              <w:spacing w:after="0"/>
              <w:rPr>
                <w:sz w:val="12"/>
                <w:szCs w:val="12"/>
                <w:color w:val="auto"/>
              </w:rPr>
            </w:pPr>
          </w:p>
        </w:tc>
        <w:tc>
          <w:tcPr>
            <w:tcW w:w="520" w:type="dxa"/>
            <w:vAlign w:val="bottom"/>
            <w:vMerge w:val="restart"/>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Level 1</w:t>
            </w:r>
          </w:p>
        </w:tc>
        <w:tc>
          <w:tcPr>
            <w:tcW w:w="220" w:type="dxa"/>
            <w:vAlign w:val="bottom"/>
            <w:shd w:val="clear" w:color="auto" w:fill="0C479D"/>
          </w:tcPr>
          <w:p>
            <w:pPr>
              <w:spacing w:after="0"/>
              <w:rPr>
                <w:sz w:val="12"/>
                <w:szCs w:val="12"/>
                <w:color w:val="auto"/>
              </w:rPr>
            </w:pPr>
          </w:p>
        </w:tc>
        <w:tc>
          <w:tcPr>
            <w:tcW w:w="720" w:type="dxa"/>
            <w:vAlign w:val="bottom"/>
            <w:vMerge w:val="restart"/>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Level 2</w:t>
            </w:r>
          </w:p>
        </w:tc>
        <w:tc>
          <w:tcPr>
            <w:tcW w:w="360" w:type="dxa"/>
            <w:vAlign w:val="bottom"/>
            <w:shd w:val="clear" w:color="auto" w:fill="0C479D"/>
          </w:tcPr>
          <w:p>
            <w:pPr>
              <w:spacing w:after="0"/>
              <w:rPr>
                <w:sz w:val="12"/>
                <w:szCs w:val="12"/>
                <w:color w:val="auto"/>
              </w:rPr>
            </w:pPr>
          </w:p>
        </w:tc>
        <w:tc>
          <w:tcPr>
            <w:tcW w:w="780" w:type="dxa"/>
            <w:vAlign w:val="bottom"/>
            <w:vMerge w:val="restart"/>
            <w:shd w:val="clear" w:color="auto" w:fill="0C479D"/>
          </w:tcPr>
          <w:p>
            <w:pPr>
              <w:ind w:left="160"/>
              <w:spacing w:after="0"/>
              <w:rPr>
                <w:sz w:val="20"/>
                <w:szCs w:val="20"/>
                <w:color w:val="auto"/>
              </w:rPr>
            </w:pPr>
            <w:r>
              <w:rPr>
                <w:rFonts w:ascii="Times New Roman" w:cs="Times New Roman" w:eastAsia="Times New Roman" w:hAnsi="Times New Roman"/>
                <w:sz w:val="14"/>
                <w:szCs w:val="14"/>
                <w:b w:val="1"/>
                <w:bCs w:val="1"/>
                <w:color w:val="FFFFFF"/>
              </w:rPr>
              <w:t>Level 3</w:t>
            </w:r>
          </w:p>
        </w:tc>
        <w:tc>
          <w:tcPr>
            <w:tcW w:w="740" w:type="dxa"/>
            <w:vAlign w:val="bottom"/>
            <w:vMerge w:val="restart"/>
            <w:shd w:val="clear" w:color="auto" w:fill="0C479D"/>
          </w:tcPr>
          <w:p>
            <w:pPr>
              <w:jc w:val="right"/>
              <w:ind w:right="33"/>
              <w:spacing w:after="0"/>
              <w:rPr>
                <w:sz w:val="20"/>
                <w:szCs w:val="20"/>
                <w:color w:val="auto"/>
              </w:rPr>
            </w:pPr>
            <w:r>
              <w:rPr>
                <w:rFonts w:ascii="Times New Roman" w:cs="Times New Roman" w:eastAsia="Times New Roman" w:hAnsi="Times New Roman"/>
                <w:sz w:val="14"/>
                <w:szCs w:val="14"/>
                <w:b w:val="1"/>
                <w:bCs w:val="1"/>
                <w:color w:val="FFFFFF"/>
              </w:rPr>
              <w:t>Net Asset</w:t>
            </w:r>
          </w:p>
        </w:tc>
        <w:tc>
          <w:tcPr>
            <w:tcW w:w="700" w:type="dxa"/>
            <w:vAlign w:val="bottom"/>
            <w:vMerge w:val="restart"/>
            <w:shd w:val="clear" w:color="auto" w:fill="0C479D"/>
          </w:tcPr>
          <w:p>
            <w:pPr>
              <w:jc w:val="right"/>
              <w:ind w:right="91"/>
              <w:spacing w:after="0"/>
              <w:rPr>
                <w:sz w:val="20"/>
                <w:szCs w:val="20"/>
                <w:color w:val="auto"/>
              </w:rPr>
            </w:pPr>
            <w:r>
              <w:rPr>
                <w:rFonts w:ascii="Times New Roman" w:cs="Times New Roman" w:eastAsia="Times New Roman" w:hAnsi="Times New Roman"/>
                <w:sz w:val="14"/>
                <w:szCs w:val="14"/>
                <w:b w:val="1"/>
                <w:bCs w:val="1"/>
                <w:color w:val="FFFFFF"/>
              </w:rPr>
              <w:t>Total</w:t>
            </w:r>
          </w:p>
        </w:tc>
        <w:tc>
          <w:tcPr>
            <w:tcW w:w="0" w:type="dxa"/>
            <w:vAlign w:val="bottom"/>
          </w:tcPr>
          <w:p>
            <w:pPr>
              <w:spacing w:after="0"/>
              <w:rPr>
                <w:sz w:val="1"/>
                <w:szCs w:val="1"/>
                <w:color w:val="auto"/>
              </w:rPr>
            </w:pPr>
          </w:p>
        </w:tc>
      </w:tr>
      <w:tr>
        <w:trPr>
          <w:trHeight w:val="68"/>
        </w:trPr>
        <w:tc>
          <w:tcPr>
            <w:tcW w:w="1680" w:type="dxa"/>
            <w:vAlign w:val="bottom"/>
            <w:shd w:val="clear" w:color="auto" w:fill="0C479D"/>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shd w:val="clear" w:color="auto" w:fill="0C479D"/>
          </w:tcPr>
          <w:p>
            <w:pPr>
              <w:spacing w:after="0"/>
              <w:rPr>
                <w:sz w:val="5"/>
                <w:szCs w:val="5"/>
                <w:color w:val="auto"/>
              </w:rPr>
            </w:pPr>
          </w:p>
        </w:tc>
        <w:tc>
          <w:tcPr>
            <w:tcW w:w="660" w:type="dxa"/>
            <w:vAlign w:val="bottom"/>
            <w:vMerge w:val="continue"/>
            <w:shd w:val="clear" w:color="auto" w:fill="0C479D"/>
          </w:tcPr>
          <w:p>
            <w:pPr>
              <w:spacing w:after="0"/>
              <w:rPr>
                <w:sz w:val="5"/>
                <w:szCs w:val="5"/>
                <w:color w:val="auto"/>
              </w:rPr>
            </w:pPr>
          </w:p>
        </w:tc>
        <w:tc>
          <w:tcPr>
            <w:tcW w:w="200" w:type="dxa"/>
            <w:vAlign w:val="bottom"/>
            <w:shd w:val="clear" w:color="auto" w:fill="0C479D"/>
          </w:tcPr>
          <w:p>
            <w:pPr>
              <w:spacing w:after="0"/>
              <w:rPr>
                <w:sz w:val="5"/>
                <w:szCs w:val="5"/>
                <w:color w:val="auto"/>
              </w:rPr>
            </w:pPr>
          </w:p>
        </w:tc>
        <w:tc>
          <w:tcPr>
            <w:tcW w:w="960" w:type="dxa"/>
            <w:vAlign w:val="bottom"/>
            <w:vMerge w:val="continue"/>
            <w:shd w:val="clear" w:color="auto" w:fill="0C479D"/>
          </w:tcPr>
          <w:p>
            <w:pPr>
              <w:spacing w:after="0"/>
              <w:rPr>
                <w:sz w:val="5"/>
                <w:szCs w:val="5"/>
                <w:color w:val="auto"/>
              </w:rPr>
            </w:pPr>
          </w:p>
        </w:tc>
        <w:tc>
          <w:tcPr>
            <w:tcW w:w="600" w:type="dxa"/>
            <w:vAlign w:val="bottom"/>
            <w:vMerge w:val="restart"/>
            <w:shd w:val="clear" w:color="auto" w:fill="0C479D"/>
          </w:tcPr>
          <w:p>
            <w:pPr>
              <w:jc w:val="center"/>
              <w:ind w:right="54"/>
              <w:spacing w:after="0" w:line="146" w:lineRule="exact"/>
              <w:rPr>
                <w:sz w:val="20"/>
                <w:szCs w:val="20"/>
                <w:color w:val="auto"/>
              </w:rPr>
            </w:pPr>
            <w:r>
              <w:rPr>
                <w:rFonts w:ascii="Times New Roman" w:cs="Times New Roman" w:eastAsia="Times New Roman" w:hAnsi="Times New Roman"/>
                <w:sz w:val="14"/>
                <w:szCs w:val="14"/>
                <w:b w:val="1"/>
                <w:bCs w:val="1"/>
                <w:color w:val="FFFFFF"/>
              </w:rPr>
              <w:t>Asset</w:t>
            </w:r>
          </w:p>
        </w:tc>
        <w:tc>
          <w:tcPr>
            <w:tcW w:w="720" w:type="dxa"/>
            <w:vAlign w:val="bottom"/>
            <w:vMerge w:val="continue"/>
            <w:shd w:val="clear" w:color="auto" w:fill="0C479D"/>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vMerge w:val="continue"/>
            <w:shd w:val="clear" w:color="auto" w:fill="0C479D"/>
          </w:tcPr>
          <w:p>
            <w:pPr>
              <w:spacing w:after="0"/>
              <w:rPr>
                <w:sz w:val="5"/>
                <w:szCs w:val="5"/>
                <w:color w:val="auto"/>
              </w:rPr>
            </w:pPr>
          </w:p>
        </w:tc>
        <w:tc>
          <w:tcPr>
            <w:tcW w:w="220" w:type="dxa"/>
            <w:vAlign w:val="bottom"/>
            <w:shd w:val="clear" w:color="auto" w:fill="0C479D"/>
          </w:tcPr>
          <w:p>
            <w:pPr>
              <w:spacing w:after="0"/>
              <w:rPr>
                <w:sz w:val="5"/>
                <w:szCs w:val="5"/>
                <w:color w:val="auto"/>
              </w:rPr>
            </w:pPr>
          </w:p>
        </w:tc>
        <w:tc>
          <w:tcPr>
            <w:tcW w:w="720" w:type="dxa"/>
            <w:vAlign w:val="bottom"/>
            <w:vMerge w:val="continue"/>
            <w:shd w:val="clear" w:color="auto" w:fill="0C479D"/>
          </w:tcPr>
          <w:p>
            <w:pPr>
              <w:spacing w:after="0"/>
              <w:rPr>
                <w:sz w:val="5"/>
                <w:szCs w:val="5"/>
                <w:color w:val="auto"/>
              </w:rPr>
            </w:pPr>
          </w:p>
        </w:tc>
        <w:tc>
          <w:tcPr>
            <w:tcW w:w="360" w:type="dxa"/>
            <w:vAlign w:val="bottom"/>
            <w:shd w:val="clear" w:color="auto" w:fill="0C479D"/>
          </w:tcPr>
          <w:p>
            <w:pPr>
              <w:spacing w:after="0"/>
              <w:rPr>
                <w:sz w:val="5"/>
                <w:szCs w:val="5"/>
                <w:color w:val="auto"/>
              </w:rPr>
            </w:pPr>
          </w:p>
        </w:tc>
        <w:tc>
          <w:tcPr>
            <w:tcW w:w="780" w:type="dxa"/>
            <w:vAlign w:val="bottom"/>
            <w:vMerge w:val="continue"/>
            <w:shd w:val="clear" w:color="auto" w:fill="0C479D"/>
          </w:tcPr>
          <w:p>
            <w:pPr>
              <w:spacing w:after="0"/>
              <w:rPr>
                <w:sz w:val="5"/>
                <w:szCs w:val="5"/>
                <w:color w:val="auto"/>
              </w:rPr>
            </w:pPr>
          </w:p>
        </w:tc>
        <w:tc>
          <w:tcPr>
            <w:tcW w:w="740" w:type="dxa"/>
            <w:vAlign w:val="bottom"/>
            <w:vMerge w:val="continue"/>
            <w:shd w:val="clear" w:color="auto" w:fill="0C479D"/>
          </w:tcPr>
          <w:p>
            <w:pPr>
              <w:spacing w:after="0"/>
              <w:rPr>
                <w:sz w:val="5"/>
                <w:szCs w:val="5"/>
                <w:color w:val="auto"/>
              </w:rPr>
            </w:pPr>
          </w:p>
        </w:tc>
        <w:tc>
          <w:tcPr>
            <w:tcW w:w="700" w:type="dxa"/>
            <w:vAlign w:val="bottom"/>
            <w:vMerge w:val="continue"/>
            <w:shd w:val="clear" w:color="auto" w:fill="0C479D"/>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1680" w:type="dxa"/>
            <w:vAlign w:val="bottom"/>
            <w:shd w:val="clear" w:color="auto" w:fill="0C479D"/>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shd w:val="clear" w:color="auto" w:fill="0C479D"/>
          </w:tcPr>
          <w:p>
            <w:pPr>
              <w:spacing w:after="0"/>
              <w:rPr>
                <w:sz w:val="6"/>
                <w:szCs w:val="6"/>
                <w:color w:val="auto"/>
              </w:rPr>
            </w:pPr>
          </w:p>
        </w:tc>
        <w:tc>
          <w:tcPr>
            <w:tcW w:w="660" w:type="dxa"/>
            <w:vAlign w:val="bottom"/>
            <w:vMerge w:val="continue"/>
            <w:shd w:val="clear" w:color="auto" w:fill="0C479D"/>
          </w:tcPr>
          <w:p>
            <w:pPr>
              <w:spacing w:after="0"/>
              <w:rPr>
                <w:sz w:val="6"/>
                <w:szCs w:val="6"/>
                <w:color w:val="auto"/>
              </w:rPr>
            </w:pPr>
          </w:p>
        </w:tc>
        <w:tc>
          <w:tcPr>
            <w:tcW w:w="200" w:type="dxa"/>
            <w:vAlign w:val="bottom"/>
            <w:shd w:val="clear" w:color="auto" w:fill="0C479D"/>
          </w:tcPr>
          <w:p>
            <w:pPr>
              <w:spacing w:after="0"/>
              <w:rPr>
                <w:sz w:val="6"/>
                <w:szCs w:val="6"/>
                <w:color w:val="auto"/>
              </w:rPr>
            </w:pPr>
          </w:p>
        </w:tc>
        <w:tc>
          <w:tcPr>
            <w:tcW w:w="960" w:type="dxa"/>
            <w:vAlign w:val="bottom"/>
            <w:vMerge w:val="continue"/>
            <w:shd w:val="clear" w:color="auto" w:fill="0C479D"/>
          </w:tcPr>
          <w:p>
            <w:pPr>
              <w:spacing w:after="0"/>
              <w:rPr>
                <w:sz w:val="6"/>
                <w:szCs w:val="6"/>
                <w:color w:val="auto"/>
              </w:rPr>
            </w:pPr>
          </w:p>
        </w:tc>
        <w:tc>
          <w:tcPr>
            <w:tcW w:w="600" w:type="dxa"/>
            <w:vAlign w:val="bottom"/>
            <w:vMerge w:val="continue"/>
            <w:shd w:val="clear" w:color="auto" w:fill="0C479D"/>
          </w:tcPr>
          <w:p>
            <w:pPr>
              <w:spacing w:after="0"/>
              <w:rPr>
                <w:sz w:val="6"/>
                <w:szCs w:val="6"/>
                <w:color w:val="auto"/>
              </w:rPr>
            </w:pPr>
          </w:p>
        </w:tc>
        <w:tc>
          <w:tcPr>
            <w:tcW w:w="720" w:type="dxa"/>
            <w:vAlign w:val="bottom"/>
            <w:vMerge w:val="continue"/>
            <w:shd w:val="clear" w:color="auto" w:fill="0C479D"/>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vMerge w:val="continue"/>
            <w:shd w:val="clear" w:color="auto" w:fill="0C479D"/>
          </w:tcPr>
          <w:p>
            <w:pPr>
              <w:spacing w:after="0"/>
              <w:rPr>
                <w:sz w:val="6"/>
                <w:szCs w:val="6"/>
                <w:color w:val="auto"/>
              </w:rPr>
            </w:pPr>
          </w:p>
        </w:tc>
        <w:tc>
          <w:tcPr>
            <w:tcW w:w="220" w:type="dxa"/>
            <w:vAlign w:val="bottom"/>
            <w:shd w:val="clear" w:color="auto" w:fill="0C479D"/>
          </w:tcPr>
          <w:p>
            <w:pPr>
              <w:spacing w:after="0"/>
              <w:rPr>
                <w:sz w:val="6"/>
                <w:szCs w:val="6"/>
                <w:color w:val="auto"/>
              </w:rPr>
            </w:pPr>
          </w:p>
        </w:tc>
        <w:tc>
          <w:tcPr>
            <w:tcW w:w="720" w:type="dxa"/>
            <w:vAlign w:val="bottom"/>
            <w:vMerge w:val="continue"/>
            <w:shd w:val="clear" w:color="auto" w:fill="0C479D"/>
          </w:tcPr>
          <w:p>
            <w:pPr>
              <w:spacing w:after="0"/>
              <w:rPr>
                <w:sz w:val="6"/>
                <w:szCs w:val="6"/>
                <w:color w:val="auto"/>
              </w:rPr>
            </w:pPr>
          </w:p>
        </w:tc>
        <w:tc>
          <w:tcPr>
            <w:tcW w:w="360" w:type="dxa"/>
            <w:vAlign w:val="bottom"/>
            <w:shd w:val="clear" w:color="auto" w:fill="0C479D"/>
          </w:tcPr>
          <w:p>
            <w:pPr>
              <w:spacing w:after="0"/>
              <w:rPr>
                <w:sz w:val="6"/>
                <w:szCs w:val="6"/>
                <w:color w:val="auto"/>
              </w:rPr>
            </w:pPr>
          </w:p>
        </w:tc>
        <w:tc>
          <w:tcPr>
            <w:tcW w:w="780" w:type="dxa"/>
            <w:vAlign w:val="bottom"/>
            <w:vMerge w:val="continue"/>
            <w:shd w:val="clear" w:color="auto" w:fill="0C479D"/>
          </w:tcPr>
          <w:p>
            <w:pPr>
              <w:spacing w:after="0"/>
              <w:rPr>
                <w:sz w:val="6"/>
                <w:szCs w:val="6"/>
                <w:color w:val="auto"/>
              </w:rPr>
            </w:pPr>
          </w:p>
        </w:tc>
        <w:tc>
          <w:tcPr>
            <w:tcW w:w="740" w:type="dxa"/>
            <w:vAlign w:val="bottom"/>
            <w:vMerge w:val="restart"/>
            <w:shd w:val="clear" w:color="auto" w:fill="0C479D"/>
          </w:tcPr>
          <w:p>
            <w:pPr>
              <w:jc w:val="right"/>
              <w:ind w:right="153"/>
              <w:spacing w:after="0"/>
              <w:rPr>
                <w:sz w:val="20"/>
                <w:szCs w:val="20"/>
                <w:color w:val="auto"/>
              </w:rPr>
            </w:pPr>
            <w:r>
              <w:rPr>
                <w:rFonts w:ascii="Times New Roman" w:cs="Times New Roman" w:eastAsia="Times New Roman" w:hAnsi="Times New Roman"/>
                <w:sz w:val="14"/>
                <w:szCs w:val="14"/>
                <w:b w:val="1"/>
                <w:bCs w:val="1"/>
                <w:color w:val="FFFFFF"/>
              </w:rPr>
              <w:t>Value</w:t>
            </w:r>
          </w:p>
        </w:tc>
        <w:tc>
          <w:tcPr>
            <w:tcW w:w="700" w:type="dxa"/>
            <w:vAlign w:val="bottom"/>
            <w:vMerge w:val="continue"/>
            <w:shd w:val="clear" w:color="auto" w:fill="0C479D"/>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1680" w:type="dxa"/>
            <w:vAlign w:val="bottom"/>
            <w:shd w:val="clear" w:color="auto" w:fill="0C479D"/>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shd w:val="clear" w:color="auto" w:fill="0C479D"/>
          </w:tcPr>
          <w:p>
            <w:pPr>
              <w:spacing w:after="0"/>
              <w:rPr>
                <w:sz w:val="9"/>
                <w:szCs w:val="9"/>
                <w:color w:val="auto"/>
              </w:rPr>
            </w:pPr>
          </w:p>
        </w:tc>
        <w:tc>
          <w:tcPr>
            <w:tcW w:w="660" w:type="dxa"/>
            <w:vAlign w:val="bottom"/>
            <w:shd w:val="clear" w:color="auto" w:fill="0C479D"/>
          </w:tcPr>
          <w:p>
            <w:pPr>
              <w:spacing w:after="0"/>
              <w:rPr>
                <w:sz w:val="9"/>
                <w:szCs w:val="9"/>
                <w:color w:val="auto"/>
              </w:rPr>
            </w:pPr>
          </w:p>
        </w:tc>
        <w:tc>
          <w:tcPr>
            <w:tcW w:w="200" w:type="dxa"/>
            <w:vAlign w:val="bottom"/>
            <w:shd w:val="clear" w:color="auto" w:fill="0C479D"/>
          </w:tcPr>
          <w:p>
            <w:pPr>
              <w:spacing w:after="0"/>
              <w:rPr>
                <w:sz w:val="9"/>
                <w:szCs w:val="9"/>
                <w:color w:val="auto"/>
              </w:rPr>
            </w:pPr>
          </w:p>
        </w:tc>
        <w:tc>
          <w:tcPr>
            <w:tcW w:w="960" w:type="dxa"/>
            <w:vAlign w:val="bottom"/>
            <w:shd w:val="clear" w:color="auto" w:fill="0C479D"/>
          </w:tcPr>
          <w:p>
            <w:pPr>
              <w:spacing w:after="0"/>
              <w:rPr>
                <w:sz w:val="9"/>
                <w:szCs w:val="9"/>
                <w:color w:val="auto"/>
              </w:rPr>
            </w:pPr>
          </w:p>
        </w:tc>
        <w:tc>
          <w:tcPr>
            <w:tcW w:w="600" w:type="dxa"/>
            <w:vAlign w:val="bottom"/>
            <w:vMerge w:val="restart"/>
            <w:shd w:val="clear" w:color="auto" w:fill="0C479D"/>
          </w:tcPr>
          <w:p>
            <w:pPr>
              <w:jc w:val="center"/>
              <w:ind w:right="54"/>
              <w:spacing w:after="0"/>
              <w:rPr>
                <w:sz w:val="20"/>
                <w:szCs w:val="20"/>
                <w:color w:val="auto"/>
              </w:rPr>
            </w:pPr>
            <w:r>
              <w:rPr>
                <w:rFonts w:ascii="Times New Roman" w:cs="Times New Roman" w:eastAsia="Times New Roman" w:hAnsi="Times New Roman"/>
                <w:sz w:val="14"/>
                <w:szCs w:val="14"/>
                <w:b w:val="1"/>
                <w:bCs w:val="1"/>
                <w:color w:val="FFFFFF"/>
                <w:w w:val="97"/>
              </w:rPr>
              <w:t>Value</w:t>
            </w:r>
          </w:p>
        </w:tc>
        <w:tc>
          <w:tcPr>
            <w:tcW w:w="720" w:type="dxa"/>
            <w:vAlign w:val="bottom"/>
            <w:shd w:val="clear" w:color="auto" w:fill="0C479D"/>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shd w:val="clear" w:color="auto" w:fill="0C479D"/>
          </w:tcPr>
          <w:p>
            <w:pPr>
              <w:spacing w:after="0"/>
              <w:rPr>
                <w:sz w:val="9"/>
                <w:szCs w:val="9"/>
                <w:color w:val="auto"/>
              </w:rPr>
            </w:pPr>
          </w:p>
        </w:tc>
        <w:tc>
          <w:tcPr>
            <w:tcW w:w="220" w:type="dxa"/>
            <w:vAlign w:val="bottom"/>
            <w:shd w:val="clear" w:color="auto" w:fill="0C479D"/>
          </w:tcPr>
          <w:p>
            <w:pPr>
              <w:spacing w:after="0"/>
              <w:rPr>
                <w:sz w:val="9"/>
                <w:szCs w:val="9"/>
                <w:color w:val="auto"/>
              </w:rPr>
            </w:pPr>
          </w:p>
        </w:tc>
        <w:tc>
          <w:tcPr>
            <w:tcW w:w="720" w:type="dxa"/>
            <w:vAlign w:val="bottom"/>
            <w:shd w:val="clear" w:color="auto" w:fill="0C479D"/>
          </w:tcPr>
          <w:p>
            <w:pPr>
              <w:spacing w:after="0"/>
              <w:rPr>
                <w:sz w:val="9"/>
                <w:szCs w:val="9"/>
                <w:color w:val="auto"/>
              </w:rPr>
            </w:pPr>
          </w:p>
        </w:tc>
        <w:tc>
          <w:tcPr>
            <w:tcW w:w="360" w:type="dxa"/>
            <w:vAlign w:val="bottom"/>
            <w:shd w:val="clear" w:color="auto" w:fill="0C479D"/>
          </w:tcPr>
          <w:p>
            <w:pPr>
              <w:spacing w:after="0"/>
              <w:rPr>
                <w:sz w:val="9"/>
                <w:szCs w:val="9"/>
                <w:color w:val="auto"/>
              </w:rPr>
            </w:pPr>
          </w:p>
        </w:tc>
        <w:tc>
          <w:tcPr>
            <w:tcW w:w="780" w:type="dxa"/>
            <w:vAlign w:val="bottom"/>
            <w:shd w:val="clear" w:color="auto" w:fill="0C479D"/>
          </w:tcPr>
          <w:p>
            <w:pPr>
              <w:spacing w:after="0"/>
              <w:rPr>
                <w:sz w:val="9"/>
                <w:szCs w:val="9"/>
                <w:color w:val="auto"/>
              </w:rPr>
            </w:pPr>
          </w:p>
        </w:tc>
        <w:tc>
          <w:tcPr>
            <w:tcW w:w="740" w:type="dxa"/>
            <w:vAlign w:val="bottom"/>
            <w:vMerge w:val="continue"/>
            <w:shd w:val="clear" w:color="auto" w:fill="0C479D"/>
          </w:tcPr>
          <w:p>
            <w:pPr>
              <w:spacing w:after="0"/>
              <w:rPr>
                <w:sz w:val="9"/>
                <w:szCs w:val="9"/>
                <w:color w:val="auto"/>
              </w:rPr>
            </w:pPr>
          </w:p>
        </w:tc>
        <w:tc>
          <w:tcPr>
            <w:tcW w:w="700" w:type="dxa"/>
            <w:vAlign w:val="bottom"/>
            <w:shd w:val="clear" w:color="auto" w:fill="0C479D"/>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1680" w:type="dxa"/>
            <w:vAlign w:val="bottom"/>
            <w:shd w:val="clear" w:color="auto" w:fill="0C479D"/>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shd w:val="clear" w:color="auto" w:fill="0C479D"/>
          </w:tcPr>
          <w:p>
            <w:pPr>
              <w:spacing w:after="0"/>
              <w:rPr>
                <w:sz w:val="7"/>
                <w:szCs w:val="7"/>
                <w:color w:val="auto"/>
              </w:rPr>
            </w:pPr>
          </w:p>
        </w:tc>
        <w:tc>
          <w:tcPr>
            <w:tcW w:w="660" w:type="dxa"/>
            <w:vAlign w:val="bottom"/>
            <w:shd w:val="clear" w:color="auto" w:fill="0C479D"/>
          </w:tcPr>
          <w:p>
            <w:pPr>
              <w:spacing w:after="0"/>
              <w:rPr>
                <w:sz w:val="7"/>
                <w:szCs w:val="7"/>
                <w:color w:val="auto"/>
              </w:rPr>
            </w:pPr>
          </w:p>
        </w:tc>
        <w:tc>
          <w:tcPr>
            <w:tcW w:w="200" w:type="dxa"/>
            <w:vAlign w:val="bottom"/>
            <w:shd w:val="clear" w:color="auto" w:fill="0C479D"/>
          </w:tcPr>
          <w:p>
            <w:pPr>
              <w:spacing w:after="0"/>
              <w:rPr>
                <w:sz w:val="7"/>
                <w:szCs w:val="7"/>
                <w:color w:val="auto"/>
              </w:rPr>
            </w:pPr>
          </w:p>
        </w:tc>
        <w:tc>
          <w:tcPr>
            <w:tcW w:w="960" w:type="dxa"/>
            <w:vAlign w:val="bottom"/>
            <w:shd w:val="clear" w:color="auto" w:fill="0C479D"/>
          </w:tcPr>
          <w:p>
            <w:pPr>
              <w:spacing w:after="0"/>
              <w:rPr>
                <w:sz w:val="7"/>
                <w:szCs w:val="7"/>
                <w:color w:val="auto"/>
              </w:rPr>
            </w:pPr>
          </w:p>
        </w:tc>
        <w:tc>
          <w:tcPr>
            <w:tcW w:w="600" w:type="dxa"/>
            <w:vAlign w:val="bottom"/>
            <w:vMerge w:val="continue"/>
            <w:shd w:val="clear" w:color="auto" w:fill="0C479D"/>
          </w:tcPr>
          <w:p>
            <w:pPr>
              <w:spacing w:after="0"/>
              <w:rPr>
                <w:sz w:val="7"/>
                <w:szCs w:val="7"/>
                <w:color w:val="auto"/>
              </w:rPr>
            </w:pPr>
          </w:p>
        </w:tc>
        <w:tc>
          <w:tcPr>
            <w:tcW w:w="720" w:type="dxa"/>
            <w:vAlign w:val="bottom"/>
            <w:shd w:val="clear" w:color="auto" w:fill="0C479D"/>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shd w:val="clear" w:color="auto" w:fill="0C479D"/>
          </w:tcPr>
          <w:p>
            <w:pPr>
              <w:spacing w:after="0"/>
              <w:rPr>
                <w:sz w:val="7"/>
                <w:szCs w:val="7"/>
                <w:color w:val="auto"/>
              </w:rPr>
            </w:pPr>
          </w:p>
        </w:tc>
        <w:tc>
          <w:tcPr>
            <w:tcW w:w="220" w:type="dxa"/>
            <w:vAlign w:val="bottom"/>
            <w:shd w:val="clear" w:color="auto" w:fill="0C479D"/>
          </w:tcPr>
          <w:p>
            <w:pPr>
              <w:spacing w:after="0"/>
              <w:rPr>
                <w:sz w:val="7"/>
                <w:szCs w:val="7"/>
                <w:color w:val="auto"/>
              </w:rPr>
            </w:pPr>
          </w:p>
        </w:tc>
        <w:tc>
          <w:tcPr>
            <w:tcW w:w="720" w:type="dxa"/>
            <w:vAlign w:val="bottom"/>
            <w:shd w:val="clear" w:color="auto" w:fill="0C479D"/>
          </w:tcPr>
          <w:p>
            <w:pPr>
              <w:spacing w:after="0"/>
              <w:rPr>
                <w:sz w:val="7"/>
                <w:szCs w:val="7"/>
                <w:color w:val="auto"/>
              </w:rPr>
            </w:pPr>
          </w:p>
        </w:tc>
        <w:tc>
          <w:tcPr>
            <w:tcW w:w="360" w:type="dxa"/>
            <w:vAlign w:val="bottom"/>
            <w:shd w:val="clear" w:color="auto" w:fill="0C479D"/>
          </w:tcPr>
          <w:p>
            <w:pPr>
              <w:spacing w:after="0"/>
              <w:rPr>
                <w:sz w:val="7"/>
                <w:szCs w:val="7"/>
                <w:color w:val="auto"/>
              </w:rPr>
            </w:pPr>
          </w:p>
        </w:tc>
        <w:tc>
          <w:tcPr>
            <w:tcW w:w="780" w:type="dxa"/>
            <w:vAlign w:val="bottom"/>
            <w:shd w:val="clear" w:color="auto" w:fill="0C479D"/>
          </w:tcPr>
          <w:p>
            <w:pPr>
              <w:spacing w:after="0"/>
              <w:rPr>
                <w:sz w:val="7"/>
                <w:szCs w:val="7"/>
                <w:color w:val="auto"/>
              </w:rPr>
            </w:pPr>
          </w:p>
        </w:tc>
        <w:tc>
          <w:tcPr>
            <w:tcW w:w="740" w:type="dxa"/>
            <w:vAlign w:val="bottom"/>
            <w:shd w:val="clear" w:color="auto" w:fill="0C479D"/>
          </w:tcPr>
          <w:p>
            <w:pPr>
              <w:spacing w:after="0"/>
              <w:rPr>
                <w:sz w:val="7"/>
                <w:szCs w:val="7"/>
                <w:color w:val="auto"/>
              </w:rPr>
            </w:pPr>
          </w:p>
        </w:tc>
        <w:tc>
          <w:tcPr>
            <w:tcW w:w="700" w:type="dxa"/>
            <w:vAlign w:val="bottom"/>
            <w:shd w:val="clear" w:color="auto" w:fill="0C479D"/>
          </w:tcPr>
          <w:p>
            <w:pPr>
              <w:spacing w:after="0"/>
              <w:rPr>
                <w:sz w:val="7"/>
                <w:szCs w:val="7"/>
                <w:color w:val="auto"/>
              </w:rPr>
            </w:pPr>
          </w:p>
        </w:tc>
        <w:tc>
          <w:tcPr>
            <w:tcW w:w="0" w:type="dxa"/>
            <w:vAlign w:val="bottom"/>
          </w:tcPr>
          <w:p>
            <w:pPr>
              <w:spacing w:after="0"/>
              <w:rPr>
                <w:sz w:val="1"/>
                <w:szCs w:val="1"/>
                <w:color w:val="auto"/>
              </w:rPr>
            </w:pPr>
          </w:p>
        </w:tc>
      </w:tr>
      <w:tr>
        <w:trPr>
          <w:trHeight w:val="486"/>
        </w:trPr>
        <w:tc>
          <w:tcPr>
            <w:tcW w:w="1680" w:type="dxa"/>
            <w:vAlign w:val="bottom"/>
          </w:tcPr>
          <w:p>
            <w:pPr>
              <w:spacing w:after="0"/>
              <w:rPr>
                <w:sz w:val="20"/>
                <w:szCs w:val="20"/>
                <w:color w:val="auto"/>
              </w:rPr>
            </w:pPr>
            <w:r>
              <w:rPr>
                <w:rFonts w:ascii="Times New Roman" w:cs="Times New Roman" w:eastAsia="Times New Roman" w:hAnsi="Times New Roman"/>
                <w:sz w:val="18"/>
                <w:szCs w:val="18"/>
                <w:b w:val="1"/>
                <w:bCs w:val="1"/>
                <w:color w:val="0C479D"/>
              </w:rPr>
              <w:t>Asset category:</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tcPr>
          <w:p>
            <w:pPr>
              <w:spacing w:after="0"/>
              <w:rPr>
                <w:sz w:val="23"/>
                <w:szCs w:val="23"/>
                <w:color w:val="auto"/>
              </w:rPr>
            </w:pPr>
          </w:p>
        </w:tc>
        <w:tc>
          <w:tcPr>
            <w:tcW w:w="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2,263</w:t>
            </w: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2,263</w:t>
            </w: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i w:val="1"/>
                <w:iCs w:val="1"/>
                <w:color w:val="auto"/>
              </w:rPr>
              <w:t>(1)</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2,865</w:t>
            </w: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2,865</w:t>
            </w:r>
          </w:p>
        </w:tc>
        <w:tc>
          <w:tcPr>
            <w:tcW w:w="0" w:type="dxa"/>
            <w:vAlign w:val="bottom"/>
          </w:tcPr>
          <w:p>
            <w:pPr>
              <w:spacing w:after="0"/>
              <w:rPr>
                <w:sz w:val="1"/>
                <w:szCs w:val="1"/>
                <w:color w:val="auto"/>
              </w:rPr>
            </w:pPr>
          </w:p>
        </w:tc>
      </w:tr>
      <w:tr>
        <w:trPr>
          <w:trHeight w:val="270"/>
        </w:trPr>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Non-U.S.</w:t>
            </w:r>
          </w:p>
        </w:tc>
        <w:tc>
          <w:tcPr>
            <w:tcW w:w="120" w:type="dxa"/>
            <w:vAlign w:val="bottom"/>
          </w:tcPr>
          <w:p>
            <w:pPr>
              <w:spacing w:after="0"/>
              <w:rPr>
                <w:sz w:val="23"/>
                <w:szCs w:val="23"/>
                <w:color w:val="auto"/>
              </w:rPr>
            </w:pPr>
          </w:p>
        </w:tc>
        <w:tc>
          <w:tcPr>
            <w:tcW w:w="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1,225</w:t>
            </w: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1,225</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vMerge w:val="continue"/>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1,560</w:t>
            </w: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1,603</w:t>
            </w:r>
          </w:p>
        </w:tc>
        <w:tc>
          <w:tcPr>
            <w:tcW w:w="0" w:type="dxa"/>
            <w:vAlign w:val="bottom"/>
          </w:tcPr>
          <w:p>
            <w:pPr>
              <w:spacing w:after="0"/>
              <w:rPr>
                <w:sz w:val="1"/>
                <w:szCs w:val="1"/>
                <w:color w:val="auto"/>
              </w:rPr>
            </w:pPr>
          </w:p>
        </w:tc>
      </w:tr>
      <w:tr>
        <w:trPr>
          <w:trHeight w:val="270"/>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Private equity</w:t>
            </w:r>
          </w:p>
        </w:tc>
        <w:tc>
          <w:tcPr>
            <w:tcW w:w="120" w:type="dxa"/>
            <w:vAlign w:val="bottom"/>
          </w:tcPr>
          <w:p>
            <w:pPr>
              <w:spacing w:after="0"/>
              <w:rPr>
                <w:sz w:val="23"/>
                <w:szCs w:val="23"/>
                <w:color w:val="auto"/>
              </w:rPr>
            </w:pPr>
          </w:p>
        </w:tc>
        <w:tc>
          <w:tcPr>
            <w:tcW w:w="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439</w:t>
            </w: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291</w:t>
            </w: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70"/>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Debt securities</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i w:val="1"/>
                <w:iCs w:val="1"/>
                <w:color w:val="auto"/>
              </w:rPr>
              <w:t>(2)</w:t>
            </w:r>
          </w:p>
        </w:tc>
        <w:tc>
          <w:tcPr>
            <w:tcW w:w="9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60" w:type="dxa"/>
            <w:vAlign w:val="bottom"/>
            <w:vMerge w:val="restart"/>
          </w:tcPr>
          <w:p>
            <w:pPr>
              <w:jc w:val="right"/>
              <w:ind w:right="102"/>
              <w:spacing w:after="0"/>
              <w:rPr>
                <w:sz w:val="20"/>
                <w:szCs w:val="20"/>
                <w:color w:val="auto"/>
              </w:rPr>
            </w:pPr>
            <w:r>
              <w:rPr>
                <w:rFonts w:ascii="Times New Roman" w:cs="Times New Roman" w:eastAsia="Times New Roman" w:hAnsi="Times New Roman"/>
                <w:sz w:val="11"/>
                <w:szCs w:val="11"/>
                <w:i w:val="1"/>
                <w:iCs w:val="1"/>
                <w:color w:val="auto"/>
              </w:rPr>
              <w:t>(2)</w:t>
            </w: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w:t>
            </w:r>
          </w:p>
        </w:tc>
        <w:tc>
          <w:tcPr>
            <w:tcW w:w="120" w:type="dxa"/>
            <w:vAlign w:val="bottom"/>
          </w:tcPr>
          <w:p>
            <w:pPr>
              <w:spacing w:after="0"/>
              <w:rPr>
                <w:sz w:val="23"/>
                <w:szCs w:val="23"/>
                <w:color w:val="auto"/>
              </w:rPr>
            </w:pPr>
          </w:p>
        </w:tc>
        <w:tc>
          <w:tcPr>
            <w:tcW w:w="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200" w:type="dxa"/>
            <w:vAlign w:val="bottom"/>
            <w:vMerge w:val="continue"/>
          </w:tcPr>
          <w:p>
            <w:pPr>
              <w:spacing w:after="0"/>
              <w:rPr>
                <w:sz w:val="23"/>
                <w:szCs w:val="23"/>
                <w:color w:val="auto"/>
              </w:rPr>
            </w:pPr>
          </w:p>
        </w:tc>
        <w:tc>
          <w:tcPr>
            <w:tcW w:w="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4,498</w:t>
            </w: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5,469</w:t>
            </w: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60" w:type="dxa"/>
            <w:vAlign w:val="bottom"/>
            <w:vMerge w:val="continue"/>
          </w:tcPr>
          <w:p>
            <w:pPr>
              <w:spacing w:after="0"/>
              <w:rPr>
                <w:sz w:val="23"/>
                <w:szCs w:val="23"/>
                <w:color w:val="auto"/>
              </w:rPr>
            </w:pPr>
          </w:p>
        </w:tc>
        <w:tc>
          <w:tcPr>
            <w:tcW w:w="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3,650</w:t>
            </w: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3,699</w:t>
            </w:r>
          </w:p>
        </w:tc>
        <w:tc>
          <w:tcPr>
            <w:tcW w:w="0" w:type="dxa"/>
            <w:vAlign w:val="bottom"/>
          </w:tcPr>
          <w:p>
            <w:pPr>
              <w:spacing w:after="0"/>
              <w:rPr>
                <w:sz w:val="1"/>
                <w:szCs w:val="1"/>
                <w:color w:val="auto"/>
              </w:rPr>
            </w:pPr>
          </w:p>
        </w:tc>
      </w:tr>
      <w:tr>
        <w:trPr>
          <w:trHeight w:val="270"/>
        </w:trPr>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Government</w:t>
            </w:r>
          </w:p>
        </w:tc>
        <w:tc>
          <w:tcPr>
            <w:tcW w:w="120" w:type="dxa"/>
            <w:vAlign w:val="bottom"/>
          </w:tcPr>
          <w:p>
            <w:pPr>
              <w:spacing w:after="0"/>
              <w:rPr>
                <w:sz w:val="23"/>
                <w:szCs w:val="23"/>
                <w:color w:val="auto"/>
              </w:rPr>
            </w:pPr>
          </w:p>
        </w:tc>
        <w:tc>
          <w:tcPr>
            <w:tcW w:w="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i w:val="1"/>
                <w:iCs w:val="1"/>
                <w:color w:val="auto"/>
              </w:rPr>
              <w:t>(2)</w:t>
            </w:r>
          </w:p>
        </w:tc>
        <w:tc>
          <w:tcPr>
            <w:tcW w:w="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1,126</w:t>
            </w: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1,718</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tcPr>
          <w:p>
            <w:pPr>
              <w:jc w:val="right"/>
              <w:ind w:right="6"/>
              <w:spacing w:after="0"/>
              <w:rPr>
                <w:sz w:val="20"/>
                <w:szCs w:val="20"/>
                <w:color w:val="auto"/>
              </w:rPr>
            </w:pPr>
            <w:r>
              <w:rPr>
                <w:rFonts w:ascii="Times New Roman" w:cs="Times New Roman" w:eastAsia="Times New Roman" w:hAnsi="Times New Roman"/>
                <w:sz w:val="11"/>
                <w:szCs w:val="11"/>
                <w:i w:val="1"/>
                <w:iCs w:val="1"/>
                <w:color w:val="auto"/>
              </w:rPr>
              <w:t>(3)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360" w:type="dxa"/>
            <w:vAlign w:val="bottom"/>
          </w:tcPr>
          <w:p>
            <w:pPr>
              <w:jc w:val="right"/>
              <w:ind w:right="102"/>
              <w:spacing w:after="0"/>
              <w:rPr>
                <w:sz w:val="20"/>
                <w:szCs w:val="20"/>
                <w:color w:val="auto"/>
              </w:rPr>
            </w:pPr>
            <w:r>
              <w:rPr>
                <w:rFonts w:ascii="Times New Roman" w:cs="Times New Roman" w:eastAsia="Times New Roman" w:hAnsi="Times New Roman"/>
                <w:sz w:val="11"/>
                <w:szCs w:val="11"/>
                <w:i w:val="1"/>
                <w:iCs w:val="1"/>
                <w:color w:val="auto"/>
              </w:rPr>
              <w:t>(2)</w:t>
            </w:r>
          </w:p>
        </w:tc>
        <w:tc>
          <w:tcPr>
            <w:tcW w:w="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8,222</w:t>
            </w: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8,440</w:t>
            </w:r>
          </w:p>
        </w:tc>
        <w:tc>
          <w:tcPr>
            <w:tcW w:w="0" w:type="dxa"/>
            <w:vAlign w:val="bottom"/>
          </w:tcPr>
          <w:p>
            <w:pPr>
              <w:spacing w:after="0"/>
              <w:rPr>
                <w:sz w:val="1"/>
                <w:szCs w:val="1"/>
                <w:color w:val="auto"/>
              </w:rPr>
            </w:pPr>
          </w:p>
        </w:tc>
      </w:tr>
      <w:tr>
        <w:trPr>
          <w:trHeight w:val="272"/>
        </w:trPr>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Asset-backed</w:t>
            </w:r>
          </w:p>
        </w:tc>
        <w:tc>
          <w:tcPr>
            <w:tcW w:w="120" w:type="dxa"/>
            <w:vAlign w:val="bottom"/>
          </w:tcPr>
          <w:p>
            <w:pPr>
              <w:spacing w:after="0"/>
              <w:rPr>
                <w:sz w:val="23"/>
                <w:szCs w:val="23"/>
                <w:color w:val="auto"/>
              </w:rPr>
            </w:pPr>
          </w:p>
        </w:tc>
        <w:tc>
          <w:tcPr>
            <w:tcW w:w="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w:t>
            </w: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60" w:type="dxa"/>
            <w:vAlign w:val="bottom"/>
          </w:tcPr>
          <w:p>
            <w:pPr>
              <w:jc w:val="right"/>
              <w:ind w:right="102"/>
              <w:spacing w:after="0"/>
              <w:rPr>
                <w:sz w:val="20"/>
                <w:szCs w:val="20"/>
                <w:color w:val="auto"/>
              </w:rPr>
            </w:pPr>
            <w:r>
              <w:rPr>
                <w:rFonts w:ascii="Times New Roman" w:cs="Times New Roman" w:eastAsia="Times New Roman" w:hAnsi="Times New Roman"/>
                <w:sz w:val="11"/>
                <w:szCs w:val="11"/>
                <w:i w:val="1"/>
                <w:iCs w:val="1"/>
                <w:color w:val="auto"/>
              </w:rPr>
              <w:t>(2)</w:t>
            </w:r>
          </w:p>
        </w:tc>
        <w:tc>
          <w:tcPr>
            <w:tcW w:w="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180</w:t>
            </w: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70"/>
        </w:trPr>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23"/>
                <w:szCs w:val="23"/>
                <w:color w:val="auto"/>
              </w:rPr>
            </w:pPr>
          </w:p>
        </w:tc>
        <w:tc>
          <w:tcPr>
            <w:tcW w:w="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13</w:t>
            </w: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70"/>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20" w:type="dxa"/>
            <w:vAlign w:val="bottom"/>
          </w:tcPr>
          <w:p>
            <w:pPr>
              <w:spacing w:after="0"/>
              <w:rPr>
                <w:sz w:val="23"/>
                <w:szCs w:val="23"/>
                <w:color w:val="auto"/>
              </w:rPr>
            </w:pPr>
          </w:p>
        </w:tc>
        <w:tc>
          <w:tcPr>
            <w:tcW w:w="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vMerge w:val="restart"/>
          </w:tcPr>
          <w:p>
            <w:pPr>
              <w:jc w:val="right"/>
              <w:ind w:right="102"/>
              <w:spacing w:after="0"/>
              <w:rPr>
                <w:sz w:val="20"/>
                <w:szCs w:val="20"/>
                <w:color w:val="auto"/>
              </w:rPr>
            </w:pPr>
            <w:r>
              <w:rPr>
                <w:rFonts w:ascii="Times New Roman" w:cs="Times New Roman" w:eastAsia="Times New Roman" w:hAnsi="Times New Roman"/>
                <w:sz w:val="11"/>
                <w:szCs w:val="11"/>
                <w:i w:val="1"/>
                <w:iCs w:val="1"/>
                <w:color w:val="auto"/>
              </w:rPr>
              <w:t>(4)</w:t>
            </w:r>
          </w:p>
        </w:tc>
        <w:tc>
          <w:tcPr>
            <w:tcW w:w="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107</w:t>
            </w: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70"/>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tcPr>
          <w:p>
            <w:pPr>
              <w:spacing w:after="0"/>
              <w:rPr>
                <w:sz w:val="23"/>
                <w:szCs w:val="23"/>
                <w:color w:val="auto"/>
              </w:rPr>
            </w:pPr>
          </w:p>
        </w:tc>
        <w:tc>
          <w:tcPr>
            <w:tcW w:w="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9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113</w:t>
            </w: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113</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vMerge w:val="continue"/>
          </w:tcPr>
          <w:p>
            <w:pPr>
              <w:spacing w:after="0"/>
              <w:rPr>
                <w:sz w:val="23"/>
                <w:szCs w:val="23"/>
                <w:color w:val="auto"/>
              </w:rPr>
            </w:pPr>
          </w:p>
        </w:tc>
        <w:tc>
          <w:tcPr>
            <w:tcW w:w="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69</w:t>
            </w: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70"/>
        </w:trPr>
        <w:tc>
          <w:tcPr>
            <w:tcW w:w="168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0C479D"/>
            </w:tcBorders>
          </w:tcPr>
          <w:p>
            <w:pPr>
              <w:spacing w:after="0"/>
              <w:rPr>
                <w:sz w:val="23"/>
                <w:szCs w:val="23"/>
                <w:color w:val="auto"/>
              </w:rPr>
            </w:pPr>
          </w:p>
        </w:tc>
        <w:tc>
          <w:tcPr>
            <w:tcW w:w="580" w:type="dxa"/>
            <w:vAlign w:val="bottom"/>
            <w:tcBorders>
              <w:bottom w:val="single" w:sz="8" w:color="0C479D"/>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Borders>
              <w:bottom w:val="single" w:sz="8" w:color="0C479D"/>
            </w:tcBorders>
          </w:tcPr>
          <w:p>
            <w:pPr>
              <w:spacing w:after="0"/>
              <w:rPr>
                <w:sz w:val="23"/>
                <w:szCs w:val="23"/>
                <w:color w:val="auto"/>
              </w:rPr>
            </w:pPr>
          </w:p>
        </w:tc>
        <w:tc>
          <w:tcPr>
            <w:tcW w:w="960" w:type="dxa"/>
            <w:vAlign w:val="bottom"/>
            <w:tcBorders>
              <w:bottom w:val="single" w:sz="8" w:color="0C479D"/>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0C479D"/>
            </w:tcBorders>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0C479D"/>
            </w:tcBorders>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0C479D"/>
            </w:tcBorders>
          </w:tcPr>
          <w:p>
            <w:pPr>
              <w:spacing w:after="0"/>
              <w:rPr>
                <w:sz w:val="23"/>
                <w:szCs w:val="23"/>
                <w:color w:val="auto"/>
              </w:rPr>
            </w:pPr>
          </w:p>
        </w:tc>
        <w:tc>
          <w:tcPr>
            <w:tcW w:w="5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0C479D"/>
            </w:tcBorders>
          </w:tcPr>
          <w:p>
            <w:pPr>
              <w:spacing w:after="0"/>
              <w:rPr>
                <w:sz w:val="23"/>
                <w:szCs w:val="23"/>
                <w:color w:val="auto"/>
              </w:rPr>
            </w:pPr>
          </w:p>
        </w:tc>
        <w:tc>
          <w:tcPr>
            <w:tcW w:w="7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0C479D"/>
            </w:tcBorders>
          </w:tcPr>
          <w:p>
            <w:pPr>
              <w:spacing w:after="0"/>
              <w:rPr>
                <w:sz w:val="23"/>
                <w:szCs w:val="23"/>
                <w:color w:val="auto"/>
              </w:rPr>
            </w:pPr>
          </w:p>
        </w:tc>
        <w:tc>
          <w:tcPr>
            <w:tcW w:w="780" w:type="dxa"/>
            <w:vAlign w:val="bottom"/>
            <w:tcBorders>
              <w:bottom w:val="single" w:sz="8" w:color="0C479D"/>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0C479D"/>
            </w:tcBorders>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0C479D"/>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168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b w:val="1"/>
                <w:bCs w:val="1"/>
                <w:color w:val="auto"/>
              </w:rPr>
              <w:t>Total at fair value</w:t>
            </w:r>
          </w:p>
        </w:tc>
        <w:tc>
          <w:tcPr>
            <w:tcW w:w="120" w:type="dxa"/>
            <w:vAlign w:val="bottom"/>
            <w:tcBorders>
              <w:bottom w:val="single" w:sz="8" w:color="0C479D"/>
            </w:tcBorders>
          </w:tcPr>
          <w:p>
            <w:pPr>
              <w:spacing w:after="0"/>
              <w:rPr>
                <w:sz w:val="21"/>
                <w:szCs w:val="21"/>
                <w:color w:val="auto"/>
              </w:rPr>
            </w:pPr>
          </w:p>
        </w:tc>
        <w:tc>
          <w:tcPr>
            <w:tcW w:w="580" w:type="dxa"/>
            <w:vAlign w:val="bottom"/>
            <w:tcBorders>
              <w:bottom w:val="single" w:sz="8" w:color="0C479D"/>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1,577</w:t>
            </w:r>
          </w:p>
        </w:tc>
        <w:tc>
          <w:tcPr>
            <w:tcW w:w="200" w:type="dxa"/>
            <w:vAlign w:val="bottom"/>
            <w:tcBorders>
              <w:bottom w:val="single" w:sz="8" w:color="0C479D"/>
            </w:tcBorders>
          </w:tcPr>
          <w:p>
            <w:pPr>
              <w:spacing w:after="0"/>
              <w:rPr>
                <w:sz w:val="21"/>
                <w:szCs w:val="21"/>
                <w:color w:val="auto"/>
              </w:rPr>
            </w:pPr>
          </w:p>
        </w:tc>
        <w:tc>
          <w:tcPr>
            <w:tcW w:w="960" w:type="dxa"/>
            <w:vAlign w:val="bottom"/>
            <w:tcBorders>
              <w:bottom w:val="single" w:sz="8" w:color="0C479D"/>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0C479D"/>
            </w:tcBorders>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9,665</w:t>
            </w:r>
          </w:p>
        </w:tc>
        <w:tc>
          <w:tcPr>
            <w:tcW w:w="720" w:type="dxa"/>
            <w:vAlign w:val="bottom"/>
            <w:tcBorders>
              <w:bottom w:val="single" w:sz="8" w:color="0C479D"/>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11,242</w:t>
            </w:r>
          </w:p>
        </w:tc>
        <w:tc>
          <w:tcPr>
            <w:tcW w:w="640" w:type="dxa"/>
            <w:vAlign w:val="bottom"/>
            <w:tcBorders>
              <w:bottom w:val="single" w:sz="8" w:color="0C479D"/>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198</w:t>
            </w:r>
          </w:p>
        </w:tc>
        <w:tc>
          <w:tcPr>
            <w:tcW w:w="220" w:type="dxa"/>
            <w:vAlign w:val="bottom"/>
            <w:tcBorders>
              <w:bottom w:val="single" w:sz="8" w:color="0C479D"/>
            </w:tcBorders>
          </w:tcPr>
          <w:p>
            <w:pPr>
              <w:spacing w:after="0"/>
              <w:rPr>
                <w:sz w:val="21"/>
                <w:szCs w:val="21"/>
                <w:color w:val="auto"/>
              </w:rPr>
            </w:pPr>
          </w:p>
        </w:tc>
        <w:tc>
          <w:tcPr>
            <w:tcW w:w="7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w:t>
            </w:r>
          </w:p>
        </w:tc>
        <w:tc>
          <w:tcPr>
            <w:tcW w:w="360" w:type="dxa"/>
            <w:vAlign w:val="bottom"/>
            <w:tcBorders>
              <w:bottom w:val="single" w:sz="8" w:color="0C479D"/>
            </w:tcBorders>
          </w:tcPr>
          <w:p>
            <w:pPr>
              <w:spacing w:after="0"/>
              <w:rPr>
                <w:sz w:val="21"/>
                <w:szCs w:val="21"/>
                <w:color w:val="auto"/>
              </w:rPr>
            </w:pPr>
          </w:p>
        </w:tc>
        <w:tc>
          <w:tcPr>
            <w:tcW w:w="780" w:type="dxa"/>
            <w:vAlign w:val="bottom"/>
            <w:tcBorders>
              <w:bottom w:val="single" w:sz="8" w:color="0C479D"/>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0C479D"/>
            </w:tcBorders>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16,957</w:t>
            </w:r>
          </w:p>
        </w:tc>
        <w:tc>
          <w:tcPr>
            <w:tcW w:w="700" w:type="dxa"/>
            <w:vAlign w:val="bottom"/>
            <w:tcBorders>
              <w:bottom w:val="single" w:sz="8" w:color="0C479D"/>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17,363</w:t>
            </w:r>
          </w:p>
        </w:tc>
        <w:tc>
          <w:tcPr>
            <w:tcW w:w="0" w:type="dxa"/>
            <w:vAlign w:val="bottom"/>
          </w:tcPr>
          <w:p>
            <w:pPr>
              <w:spacing w:after="0"/>
              <w:rPr>
                <w:sz w:val="1"/>
                <w:szCs w:val="1"/>
                <w:color w:val="auto"/>
              </w:rPr>
            </w:pPr>
          </w:p>
        </w:tc>
      </w:tr>
      <w:tr>
        <w:trPr>
          <w:trHeight w:val="169"/>
        </w:trPr>
        <w:tc>
          <w:tcPr>
            <w:tcW w:w="168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Insurance contracts at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68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color w:val="auto"/>
              </w:rPr>
              <w:t>contract value</w:t>
            </w:r>
          </w:p>
        </w:tc>
        <w:tc>
          <w:tcPr>
            <w:tcW w:w="120" w:type="dxa"/>
            <w:vAlign w:val="bottom"/>
            <w:tcBorders>
              <w:bottom w:val="single" w:sz="8" w:color="0C479D"/>
            </w:tcBorders>
          </w:tcPr>
          <w:p>
            <w:pPr>
              <w:spacing w:after="0"/>
              <w:rPr>
                <w:sz w:val="21"/>
                <w:szCs w:val="21"/>
                <w:color w:val="auto"/>
              </w:rPr>
            </w:pPr>
          </w:p>
        </w:tc>
        <w:tc>
          <w:tcPr>
            <w:tcW w:w="580" w:type="dxa"/>
            <w:vAlign w:val="bottom"/>
            <w:tcBorders>
              <w:bottom w:val="single" w:sz="8" w:color="0C479D"/>
            </w:tcBorders>
          </w:tcPr>
          <w:p>
            <w:pPr>
              <w:spacing w:after="0"/>
              <w:rPr>
                <w:sz w:val="21"/>
                <w:szCs w:val="21"/>
                <w:color w:val="auto"/>
              </w:rPr>
            </w:pPr>
          </w:p>
        </w:tc>
        <w:tc>
          <w:tcPr>
            <w:tcW w:w="660" w:type="dxa"/>
            <w:vAlign w:val="bottom"/>
            <w:tcBorders>
              <w:bottom w:val="single" w:sz="8" w:color="0C479D"/>
            </w:tcBorders>
          </w:tcPr>
          <w:p>
            <w:pPr>
              <w:spacing w:after="0"/>
              <w:rPr>
                <w:sz w:val="21"/>
                <w:szCs w:val="21"/>
                <w:color w:val="auto"/>
              </w:rPr>
            </w:pPr>
          </w:p>
        </w:tc>
        <w:tc>
          <w:tcPr>
            <w:tcW w:w="200" w:type="dxa"/>
            <w:vAlign w:val="bottom"/>
            <w:tcBorders>
              <w:bottom w:val="single" w:sz="8" w:color="0C479D"/>
            </w:tcBorders>
          </w:tcPr>
          <w:p>
            <w:pPr>
              <w:spacing w:after="0"/>
              <w:rPr>
                <w:sz w:val="21"/>
                <w:szCs w:val="21"/>
                <w:color w:val="auto"/>
              </w:rPr>
            </w:pPr>
          </w:p>
        </w:tc>
        <w:tc>
          <w:tcPr>
            <w:tcW w:w="960" w:type="dxa"/>
            <w:vAlign w:val="bottom"/>
            <w:tcBorders>
              <w:bottom w:val="single" w:sz="8" w:color="0C479D"/>
            </w:tcBorders>
          </w:tcPr>
          <w:p>
            <w:pPr>
              <w:spacing w:after="0"/>
              <w:rPr>
                <w:sz w:val="21"/>
                <w:szCs w:val="21"/>
                <w:color w:val="auto"/>
              </w:rPr>
            </w:pPr>
          </w:p>
        </w:tc>
        <w:tc>
          <w:tcPr>
            <w:tcW w:w="600" w:type="dxa"/>
            <w:vAlign w:val="bottom"/>
            <w:tcBorders>
              <w:bottom w:val="single" w:sz="8" w:color="0C479D"/>
            </w:tcBorders>
          </w:tcPr>
          <w:p>
            <w:pPr>
              <w:spacing w:after="0"/>
              <w:rPr>
                <w:sz w:val="21"/>
                <w:szCs w:val="21"/>
                <w:color w:val="auto"/>
              </w:rPr>
            </w:pPr>
          </w:p>
        </w:tc>
        <w:tc>
          <w:tcPr>
            <w:tcW w:w="720" w:type="dxa"/>
            <w:vAlign w:val="bottom"/>
            <w:tcBorders>
              <w:bottom w:val="single" w:sz="8" w:color="0C479D"/>
            </w:tcBorders>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0C479D"/>
            </w:tcBorders>
          </w:tcPr>
          <w:p>
            <w:pPr>
              <w:spacing w:after="0"/>
              <w:rPr>
                <w:sz w:val="21"/>
                <w:szCs w:val="21"/>
                <w:color w:val="auto"/>
              </w:rPr>
            </w:pPr>
          </w:p>
        </w:tc>
        <w:tc>
          <w:tcPr>
            <w:tcW w:w="520" w:type="dxa"/>
            <w:vAlign w:val="bottom"/>
            <w:tcBorders>
              <w:bottom w:val="single" w:sz="8" w:color="0C479D"/>
            </w:tcBorders>
          </w:tcPr>
          <w:p>
            <w:pPr>
              <w:spacing w:after="0"/>
              <w:rPr>
                <w:sz w:val="21"/>
                <w:szCs w:val="21"/>
                <w:color w:val="auto"/>
              </w:rPr>
            </w:pPr>
          </w:p>
        </w:tc>
        <w:tc>
          <w:tcPr>
            <w:tcW w:w="220" w:type="dxa"/>
            <w:vAlign w:val="bottom"/>
            <w:tcBorders>
              <w:bottom w:val="single" w:sz="8" w:color="0C479D"/>
            </w:tcBorders>
          </w:tcPr>
          <w:p>
            <w:pPr>
              <w:spacing w:after="0"/>
              <w:rPr>
                <w:sz w:val="21"/>
                <w:szCs w:val="21"/>
                <w:color w:val="auto"/>
              </w:rPr>
            </w:pPr>
          </w:p>
        </w:tc>
        <w:tc>
          <w:tcPr>
            <w:tcW w:w="720" w:type="dxa"/>
            <w:vAlign w:val="bottom"/>
            <w:tcBorders>
              <w:bottom w:val="single" w:sz="8" w:color="0C479D"/>
            </w:tcBorders>
          </w:tcPr>
          <w:p>
            <w:pPr>
              <w:spacing w:after="0"/>
              <w:rPr>
                <w:sz w:val="21"/>
                <w:szCs w:val="21"/>
                <w:color w:val="auto"/>
              </w:rPr>
            </w:pPr>
          </w:p>
        </w:tc>
        <w:tc>
          <w:tcPr>
            <w:tcW w:w="360" w:type="dxa"/>
            <w:vAlign w:val="bottom"/>
            <w:tcBorders>
              <w:bottom w:val="single" w:sz="8" w:color="0C479D"/>
            </w:tcBorders>
          </w:tcPr>
          <w:p>
            <w:pPr>
              <w:spacing w:after="0"/>
              <w:rPr>
                <w:sz w:val="21"/>
                <w:szCs w:val="21"/>
                <w:color w:val="auto"/>
              </w:rPr>
            </w:pPr>
          </w:p>
        </w:tc>
        <w:tc>
          <w:tcPr>
            <w:tcW w:w="780" w:type="dxa"/>
            <w:vAlign w:val="bottom"/>
            <w:tcBorders>
              <w:bottom w:val="single" w:sz="8" w:color="0C479D"/>
            </w:tcBorders>
          </w:tcPr>
          <w:p>
            <w:pPr>
              <w:spacing w:after="0"/>
              <w:rPr>
                <w:sz w:val="21"/>
                <w:szCs w:val="21"/>
                <w:color w:val="auto"/>
              </w:rPr>
            </w:pPr>
          </w:p>
        </w:tc>
        <w:tc>
          <w:tcPr>
            <w:tcW w:w="740" w:type="dxa"/>
            <w:vAlign w:val="bottom"/>
            <w:tcBorders>
              <w:bottom w:val="single" w:sz="8" w:color="0C479D"/>
            </w:tcBorders>
          </w:tcPr>
          <w:p>
            <w:pPr>
              <w:spacing w:after="0"/>
              <w:rPr>
                <w:sz w:val="21"/>
                <w:szCs w:val="21"/>
                <w:color w:val="auto"/>
              </w:rPr>
            </w:pPr>
          </w:p>
        </w:tc>
        <w:tc>
          <w:tcPr>
            <w:tcW w:w="700" w:type="dxa"/>
            <w:vAlign w:val="bottom"/>
            <w:tcBorders>
              <w:bottom w:val="single" w:sz="8" w:color="0C479D"/>
            </w:tcBorders>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4"/>
        </w:trPr>
        <w:tc>
          <w:tcPr>
            <w:tcW w:w="168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b w:val="1"/>
                <w:bCs w:val="1"/>
                <w:color w:val="auto"/>
              </w:rPr>
              <w:t>Total plan assets</w:t>
            </w:r>
          </w:p>
        </w:tc>
        <w:tc>
          <w:tcPr>
            <w:tcW w:w="120" w:type="dxa"/>
            <w:vAlign w:val="bottom"/>
            <w:tcBorders>
              <w:bottom w:val="single" w:sz="8" w:color="0C479D"/>
            </w:tcBorders>
          </w:tcPr>
          <w:p>
            <w:pPr>
              <w:spacing w:after="0"/>
              <w:rPr>
                <w:sz w:val="21"/>
                <w:szCs w:val="21"/>
                <w:color w:val="auto"/>
              </w:rPr>
            </w:pPr>
          </w:p>
        </w:tc>
        <w:tc>
          <w:tcPr>
            <w:tcW w:w="580" w:type="dxa"/>
            <w:vAlign w:val="bottom"/>
            <w:tcBorders>
              <w:bottom w:val="single" w:sz="8" w:color="0C479D"/>
            </w:tcBorders>
          </w:tcPr>
          <w:p>
            <w:pPr>
              <w:spacing w:after="0"/>
              <w:rPr>
                <w:sz w:val="21"/>
                <w:szCs w:val="21"/>
                <w:color w:val="auto"/>
              </w:rPr>
            </w:pPr>
          </w:p>
        </w:tc>
        <w:tc>
          <w:tcPr>
            <w:tcW w:w="660" w:type="dxa"/>
            <w:vAlign w:val="bottom"/>
            <w:tcBorders>
              <w:bottom w:val="single" w:sz="8" w:color="0C479D"/>
            </w:tcBorders>
          </w:tcPr>
          <w:p>
            <w:pPr>
              <w:spacing w:after="0"/>
              <w:rPr>
                <w:sz w:val="21"/>
                <w:szCs w:val="21"/>
                <w:color w:val="auto"/>
              </w:rPr>
            </w:pPr>
          </w:p>
        </w:tc>
        <w:tc>
          <w:tcPr>
            <w:tcW w:w="200" w:type="dxa"/>
            <w:vAlign w:val="bottom"/>
            <w:tcBorders>
              <w:bottom w:val="single" w:sz="8" w:color="0C479D"/>
            </w:tcBorders>
          </w:tcPr>
          <w:p>
            <w:pPr>
              <w:spacing w:after="0"/>
              <w:rPr>
                <w:sz w:val="21"/>
                <w:szCs w:val="21"/>
                <w:color w:val="auto"/>
              </w:rPr>
            </w:pPr>
          </w:p>
        </w:tc>
        <w:tc>
          <w:tcPr>
            <w:tcW w:w="960" w:type="dxa"/>
            <w:vAlign w:val="bottom"/>
            <w:tcBorders>
              <w:bottom w:val="single" w:sz="8" w:color="0C479D"/>
            </w:tcBorders>
          </w:tcPr>
          <w:p>
            <w:pPr>
              <w:spacing w:after="0"/>
              <w:rPr>
                <w:sz w:val="21"/>
                <w:szCs w:val="21"/>
                <w:color w:val="auto"/>
              </w:rPr>
            </w:pPr>
          </w:p>
        </w:tc>
        <w:tc>
          <w:tcPr>
            <w:tcW w:w="600" w:type="dxa"/>
            <w:vAlign w:val="bottom"/>
            <w:tcBorders>
              <w:bottom w:val="single" w:sz="8" w:color="0C479D"/>
            </w:tcBorders>
          </w:tcPr>
          <w:p>
            <w:pPr>
              <w:spacing w:after="0"/>
              <w:rPr>
                <w:sz w:val="21"/>
                <w:szCs w:val="21"/>
                <w:color w:val="auto"/>
              </w:rPr>
            </w:pPr>
          </w:p>
        </w:tc>
        <w:tc>
          <w:tcPr>
            <w:tcW w:w="720" w:type="dxa"/>
            <w:vAlign w:val="bottom"/>
            <w:tcBorders>
              <w:bottom w:val="single" w:sz="8" w:color="0C479D"/>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11,244</w:t>
            </w:r>
          </w:p>
        </w:tc>
        <w:tc>
          <w:tcPr>
            <w:tcW w:w="120" w:type="dxa"/>
            <w:vAlign w:val="bottom"/>
            <w:tcBorders>
              <w:bottom w:val="single" w:sz="8" w:color="0C479D"/>
            </w:tcBorders>
          </w:tcPr>
          <w:p>
            <w:pPr>
              <w:spacing w:after="0"/>
              <w:rPr>
                <w:sz w:val="21"/>
                <w:szCs w:val="21"/>
                <w:color w:val="auto"/>
              </w:rPr>
            </w:pPr>
          </w:p>
        </w:tc>
        <w:tc>
          <w:tcPr>
            <w:tcW w:w="520" w:type="dxa"/>
            <w:vAlign w:val="bottom"/>
            <w:tcBorders>
              <w:bottom w:val="single" w:sz="8" w:color="0C479D"/>
            </w:tcBorders>
          </w:tcPr>
          <w:p>
            <w:pPr>
              <w:spacing w:after="0"/>
              <w:rPr>
                <w:sz w:val="21"/>
                <w:szCs w:val="21"/>
                <w:color w:val="auto"/>
              </w:rPr>
            </w:pPr>
          </w:p>
        </w:tc>
        <w:tc>
          <w:tcPr>
            <w:tcW w:w="220" w:type="dxa"/>
            <w:vAlign w:val="bottom"/>
            <w:tcBorders>
              <w:bottom w:val="single" w:sz="8" w:color="0C479D"/>
            </w:tcBorders>
          </w:tcPr>
          <w:p>
            <w:pPr>
              <w:spacing w:after="0"/>
              <w:rPr>
                <w:sz w:val="21"/>
                <w:szCs w:val="21"/>
                <w:color w:val="auto"/>
              </w:rPr>
            </w:pPr>
          </w:p>
        </w:tc>
        <w:tc>
          <w:tcPr>
            <w:tcW w:w="720" w:type="dxa"/>
            <w:vAlign w:val="bottom"/>
            <w:tcBorders>
              <w:bottom w:val="single" w:sz="8" w:color="0C479D"/>
            </w:tcBorders>
          </w:tcPr>
          <w:p>
            <w:pPr>
              <w:spacing w:after="0"/>
              <w:rPr>
                <w:sz w:val="21"/>
                <w:szCs w:val="21"/>
                <w:color w:val="auto"/>
              </w:rPr>
            </w:pPr>
          </w:p>
        </w:tc>
        <w:tc>
          <w:tcPr>
            <w:tcW w:w="360" w:type="dxa"/>
            <w:vAlign w:val="bottom"/>
            <w:tcBorders>
              <w:bottom w:val="single" w:sz="8" w:color="0C479D"/>
            </w:tcBorders>
          </w:tcPr>
          <w:p>
            <w:pPr>
              <w:spacing w:after="0"/>
              <w:rPr>
                <w:sz w:val="21"/>
                <w:szCs w:val="21"/>
                <w:color w:val="auto"/>
              </w:rPr>
            </w:pPr>
          </w:p>
        </w:tc>
        <w:tc>
          <w:tcPr>
            <w:tcW w:w="780" w:type="dxa"/>
            <w:vAlign w:val="bottom"/>
            <w:tcBorders>
              <w:bottom w:val="single" w:sz="8" w:color="0C479D"/>
            </w:tcBorders>
          </w:tcPr>
          <w:p>
            <w:pPr>
              <w:spacing w:after="0"/>
              <w:rPr>
                <w:sz w:val="21"/>
                <w:szCs w:val="21"/>
                <w:color w:val="auto"/>
              </w:rPr>
            </w:pPr>
          </w:p>
        </w:tc>
        <w:tc>
          <w:tcPr>
            <w:tcW w:w="740" w:type="dxa"/>
            <w:vAlign w:val="bottom"/>
            <w:tcBorders>
              <w:bottom w:val="single" w:sz="8" w:color="0C479D"/>
            </w:tcBorders>
          </w:tcPr>
          <w:p>
            <w:pPr>
              <w:spacing w:after="0"/>
              <w:rPr>
                <w:sz w:val="21"/>
                <w:szCs w:val="21"/>
                <w:color w:val="auto"/>
              </w:rPr>
            </w:pPr>
          </w:p>
        </w:tc>
        <w:tc>
          <w:tcPr>
            <w:tcW w:w="700" w:type="dxa"/>
            <w:vAlign w:val="bottom"/>
            <w:tcBorders>
              <w:bottom w:val="single" w:sz="8" w:color="0C479D"/>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17,378</w:t>
            </w: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940" w:hanging="138"/>
        <w:spacing w:after="0"/>
        <w:tabs>
          <w:tab w:leader="none" w:pos="940" w:val="left"/>
        </w:tabs>
        <w:numPr>
          <w:ilvl w:val="0"/>
          <w:numId w:val="57"/>
        </w:numPr>
        <w:rPr>
          <w:rFonts w:ascii="Times New Roman" w:cs="Times New Roman" w:eastAsia="Times New Roman" w:hAnsi="Times New Roman"/>
          <w:sz w:val="17"/>
          <w:szCs w:val="17"/>
          <w:i w:val="1"/>
          <w:iCs w:val="1"/>
          <w:color w:val="auto"/>
          <w:vertAlign w:val="superscript"/>
        </w:rPr>
      </w:pPr>
      <w:r>
        <w:rPr>
          <w:rFonts w:ascii="Times New Roman" w:cs="Times New Roman" w:eastAsia="Times New Roman" w:hAnsi="Times New Roman"/>
          <w:sz w:val="13"/>
          <w:szCs w:val="13"/>
          <w:i w:val="1"/>
          <w:iCs w:val="1"/>
          <w:color w:val="auto"/>
        </w:rPr>
        <w:t>For non-U.S. equity securities held in separate accounts, fair value is based on observable quoted prices on active exchanges.</w:t>
      </w:r>
    </w:p>
    <w:p>
      <w:pPr>
        <w:spacing w:after="0" w:line="55" w:lineRule="exact"/>
        <w:rPr>
          <w:rFonts w:ascii="Times New Roman" w:cs="Times New Roman" w:eastAsia="Times New Roman" w:hAnsi="Times New Roman"/>
          <w:sz w:val="17"/>
          <w:szCs w:val="17"/>
          <w:i w:val="1"/>
          <w:iCs w:val="1"/>
          <w:color w:val="auto"/>
          <w:vertAlign w:val="superscript"/>
        </w:rPr>
      </w:pPr>
    </w:p>
    <w:p>
      <w:pPr>
        <w:ind w:left="940" w:hanging="138"/>
        <w:spacing w:after="0" w:line="214" w:lineRule="auto"/>
        <w:tabs>
          <w:tab w:leader="none" w:pos="940" w:val="left"/>
        </w:tabs>
        <w:numPr>
          <w:ilvl w:val="0"/>
          <w:numId w:val="57"/>
        </w:numPr>
        <w:rPr>
          <w:rFonts w:ascii="Times New Roman" w:cs="Times New Roman" w:eastAsia="Times New Roman" w:hAnsi="Times New Roman"/>
          <w:sz w:val="17"/>
          <w:szCs w:val="17"/>
          <w:i w:val="1"/>
          <w:iCs w:val="1"/>
          <w:color w:val="auto"/>
          <w:vertAlign w:val="superscript"/>
        </w:rPr>
      </w:pPr>
      <w:r>
        <w:rPr>
          <w:rFonts w:ascii="Times New Roman" w:cs="Times New Roman" w:eastAsia="Times New Roman" w:hAnsi="Times New Roman"/>
          <w:sz w:val="13"/>
          <w:szCs w:val="13"/>
          <w:i w:val="1"/>
          <w:iCs w:val="1"/>
          <w:color w:val="auto"/>
        </w:rPr>
        <w:t>For corporate, government and asset-backed debt securities, fair value is based on observable inputs of comparable market transactions.</w:t>
      </w:r>
    </w:p>
    <w:p>
      <w:pPr>
        <w:spacing w:after="0" w:line="55" w:lineRule="exact"/>
        <w:rPr>
          <w:rFonts w:ascii="Times New Roman" w:cs="Times New Roman" w:eastAsia="Times New Roman" w:hAnsi="Times New Roman"/>
          <w:sz w:val="17"/>
          <w:szCs w:val="17"/>
          <w:i w:val="1"/>
          <w:iCs w:val="1"/>
          <w:color w:val="auto"/>
          <w:vertAlign w:val="superscript"/>
        </w:rPr>
      </w:pPr>
    </w:p>
    <w:p>
      <w:pPr>
        <w:ind w:left="940" w:hanging="138"/>
        <w:spacing w:after="0" w:line="214" w:lineRule="auto"/>
        <w:tabs>
          <w:tab w:leader="none" w:pos="940" w:val="left"/>
        </w:tabs>
        <w:numPr>
          <w:ilvl w:val="0"/>
          <w:numId w:val="57"/>
        </w:numPr>
        <w:rPr>
          <w:rFonts w:ascii="Times New Roman" w:cs="Times New Roman" w:eastAsia="Times New Roman" w:hAnsi="Times New Roman"/>
          <w:sz w:val="17"/>
          <w:szCs w:val="17"/>
          <w:i w:val="1"/>
          <w:iCs w:val="1"/>
          <w:color w:val="auto"/>
          <w:vertAlign w:val="superscript"/>
        </w:rPr>
      </w:pPr>
      <w:r>
        <w:rPr>
          <w:rFonts w:ascii="Times New Roman" w:cs="Times New Roman" w:eastAsia="Times New Roman" w:hAnsi="Times New Roman"/>
          <w:sz w:val="13"/>
          <w:szCs w:val="13"/>
          <w:i w:val="1"/>
          <w:iCs w:val="1"/>
          <w:color w:val="auto"/>
        </w:rPr>
        <w:t>For government debt securities that are traded on active exchanges, fair value is based on observable quoted prices.</w:t>
      </w:r>
    </w:p>
    <w:p>
      <w:pPr>
        <w:spacing w:after="0" w:line="55" w:lineRule="exact"/>
        <w:rPr>
          <w:rFonts w:ascii="Times New Roman" w:cs="Times New Roman" w:eastAsia="Times New Roman" w:hAnsi="Times New Roman"/>
          <w:sz w:val="17"/>
          <w:szCs w:val="17"/>
          <w:i w:val="1"/>
          <w:iCs w:val="1"/>
          <w:color w:val="auto"/>
          <w:vertAlign w:val="superscript"/>
        </w:rPr>
      </w:pPr>
    </w:p>
    <w:p>
      <w:pPr>
        <w:ind w:left="940" w:hanging="138"/>
        <w:spacing w:after="0" w:line="214" w:lineRule="auto"/>
        <w:tabs>
          <w:tab w:leader="none" w:pos="940" w:val="left"/>
        </w:tabs>
        <w:numPr>
          <w:ilvl w:val="0"/>
          <w:numId w:val="57"/>
        </w:numPr>
        <w:rPr>
          <w:rFonts w:ascii="Times New Roman" w:cs="Times New Roman" w:eastAsia="Times New Roman" w:hAnsi="Times New Roman"/>
          <w:sz w:val="17"/>
          <w:szCs w:val="17"/>
          <w:i w:val="1"/>
          <w:iCs w:val="1"/>
          <w:color w:val="auto"/>
          <w:vertAlign w:val="superscript"/>
        </w:rPr>
      </w:pPr>
      <w:r>
        <w:rPr>
          <w:rFonts w:ascii="Times New Roman" w:cs="Times New Roman" w:eastAsia="Times New Roman" w:hAnsi="Times New Roman"/>
          <w:sz w:val="13"/>
          <w:szCs w:val="13"/>
          <w:i w:val="1"/>
          <w:iCs w:val="1"/>
          <w:color w:val="auto"/>
        </w:rPr>
        <w:t>For cash balances that are subject to withdrawal penalties or other adjustments, the fair value is treated as a level 2 input.</w:t>
      </w:r>
    </w:p>
    <w:p>
      <w:pPr>
        <w:spacing w:after="0" w:line="200" w:lineRule="exact"/>
        <w:rPr>
          <w:sz w:val="20"/>
          <w:szCs w:val="20"/>
          <w:color w:val="auto"/>
        </w:rPr>
      </w:pPr>
    </w:p>
    <w:p>
      <w:pPr>
        <w:spacing w:after="0" w:line="393" w:lineRule="exact"/>
        <w:rPr>
          <w:sz w:val="20"/>
          <w:szCs w:val="20"/>
          <w:color w:val="auto"/>
        </w:rPr>
      </w:pPr>
    </w:p>
    <w:tbl>
      <w:tblPr>
        <w:tblLayout w:type="fixed"/>
        <w:tblInd w:w="78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9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0C479D"/>
              </w:rPr>
              <w:t>Other Postretirement</w:t>
            </w:r>
          </w:p>
        </w:tc>
        <w:tc>
          <w:tcPr>
            <w:tcW w:w="9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60" w:type="dxa"/>
            <w:vAlign w:val="bottom"/>
          </w:tcPr>
          <w:p>
            <w:pPr>
              <w:spacing w:after="0"/>
              <w:rPr>
                <w:sz w:val="2"/>
                <w:szCs w:val="2"/>
                <w:color w:val="auto"/>
              </w:rPr>
            </w:pPr>
          </w:p>
        </w:tc>
        <w:tc>
          <w:tcPr>
            <w:tcW w:w="740" w:type="dxa"/>
            <w:vAlign w:val="bottom"/>
            <w:tcBorders>
              <w:bottom w:val="single" w:sz="8" w:color="0C479D"/>
            </w:tcBorders>
          </w:tcPr>
          <w:p>
            <w:pPr>
              <w:spacing w:after="0"/>
              <w:rPr>
                <w:sz w:val="2"/>
                <w:szCs w:val="2"/>
                <w:color w:val="auto"/>
              </w:rPr>
            </w:pPr>
          </w:p>
        </w:tc>
        <w:tc>
          <w:tcPr>
            <w:tcW w:w="3400" w:type="dxa"/>
            <w:vAlign w:val="bottom"/>
            <w:tcBorders>
              <w:bottom w:val="single" w:sz="8" w:color="0C479D"/>
            </w:tcBorders>
            <w:gridSpan w:val="2"/>
          </w:tcPr>
          <w:p>
            <w:pPr>
              <w:spacing w:after="0"/>
              <w:rPr>
                <w:sz w:val="2"/>
                <w:szCs w:val="2"/>
                <w:color w:val="auto"/>
              </w:rPr>
            </w:pPr>
          </w:p>
        </w:tc>
        <w:tc>
          <w:tcPr>
            <w:tcW w:w="920" w:type="dxa"/>
            <w:vAlign w:val="bottom"/>
            <w:tcBorders>
              <w:bottom w:val="single" w:sz="8" w:color="0C479D"/>
            </w:tcBorders>
          </w:tcPr>
          <w:p>
            <w:pPr>
              <w:spacing w:after="0"/>
              <w:rPr>
                <w:sz w:val="2"/>
                <w:szCs w:val="2"/>
                <w:color w:val="auto"/>
              </w:rPr>
            </w:pPr>
          </w:p>
        </w:tc>
        <w:tc>
          <w:tcPr>
            <w:tcW w:w="980" w:type="dxa"/>
            <w:vAlign w:val="bottom"/>
            <w:tcBorders>
              <w:bottom w:val="single" w:sz="8" w:color="0C479D"/>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3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4400" w:type="dxa"/>
            <w:vAlign w:val="bottom"/>
            <w:gridSpan w:val="2"/>
            <w:vMerge w:val="restart"/>
            <w:shd w:val="clear" w:color="auto" w:fill="0C479D"/>
          </w:tcPr>
          <w:p>
            <w:pPr>
              <w:ind w:left="20"/>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3400" w:type="dxa"/>
            <w:vAlign w:val="bottom"/>
            <w:gridSpan w:val="2"/>
            <w:shd w:val="clear" w:color="auto" w:fill="0C479D"/>
          </w:tcPr>
          <w:p>
            <w:pPr>
              <w:ind w:left="40"/>
              <w:spacing w:after="0"/>
              <w:rPr>
                <w:sz w:val="20"/>
                <w:szCs w:val="20"/>
                <w:color w:val="auto"/>
              </w:rPr>
            </w:pPr>
            <w:r>
              <w:rPr>
                <w:rFonts w:ascii="Times New Roman" w:cs="Times New Roman" w:eastAsia="Times New Roman" w:hAnsi="Times New Roman"/>
                <w:sz w:val="14"/>
                <w:szCs w:val="14"/>
                <w:b w:val="1"/>
                <w:bCs w:val="1"/>
                <w:color w:val="FFFFFF"/>
              </w:rPr>
              <w:t>Fair Value Measurement at December 31, 2024, Using:</w:t>
            </w:r>
          </w:p>
        </w:tc>
        <w:tc>
          <w:tcPr>
            <w:tcW w:w="920" w:type="dxa"/>
            <w:vAlign w:val="bottom"/>
            <w:shd w:val="clear" w:color="auto" w:fill="0C479D"/>
          </w:tcPr>
          <w:p>
            <w:pPr>
              <w:spacing w:after="0"/>
              <w:rPr>
                <w:sz w:val="21"/>
                <w:szCs w:val="21"/>
                <w:color w:val="auto"/>
              </w:rPr>
            </w:pPr>
          </w:p>
        </w:tc>
        <w:tc>
          <w:tcPr>
            <w:tcW w:w="980" w:type="dxa"/>
            <w:vAlign w:val="bottom"/>
            <w:shd w:val="clear" w:color="auto" w:fill="0C479D"/>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4400" w:type="dxa"/>
            <w:vAlign w:val="bottom"/>
            <w:gridSpan w:val="2"/>
            <w:vMerge w:val="continue"/>
            <w:shd w:val="clear" w:color="auto" w:fill="0C479D"/>
          </w:tcPr>
          <w:p>
            <w:pPr>
              <w:spacing w:after="0"/>
              <w:rPr>
                <w:sz w:val="9"/>
                <w:szCs w:val="9"/>
                <w:color w:val="auto"/>
              </w:rPr>
            </w:pPr>
          </w:p>
        </w:tc>
        <w:tc>
          <w:tcPr>
            <w:tcW w:w="1500" w:type="dxa"/>
            <w:vAlign w:val="bottom"/>
            <w:vMerge w:val="restart"/>
            <w:shd w:val="clear" w:color="auto" w:fill="0C479D"/>
          </w:tcPr>
          <w:p>
            <w:pPr>
              <w:ind w:left="940"/>
              <w:spacing w:after="0"/>
              <w:rPr>
                <w:sz w:val="20"/>
                <w:szCs w:val="20"/>
                <w:color w:val="auto"/>
              </w:rPr>
            </w:pPr>
            <w:r>
              <w:rPr>
                <w:rFonts w:ascii="Times New Roman" w:cs="Times New Roman" w:eastAsia="Times New Roman" w:hAnsi="Times New Roman"/>
                <w:sz w:val="14"/>
                <w:szCs w:val="14"/>
                <w:b w:val="1"/>
                <w:bCs w:val="1"/>
                <w:color w:val="FFFFFF"/>
              </w:rPr>
              <w:t>Level 2</w:t>
            </w:r>
          </w:p>
        </w:tc>
        <w:tc>
          <w:tcPr>
            <w:tcW w:w="1900" w:type="dxa"/>
            <w:vAlign w:val="bottom"/>
            <w:vMerge w:val="restart"/>
            <w:shd w:val="clear" w:color="auto" w:fill="0C479D"/>
          </w:tcPr>
          <w:p>
            <w:pPr>
              <w:ind w:left="860"/>
              <w:spacing w:after="0"/>
              <w:rPr>
                <w:sz w:val="20"/>
                <w:szCs w:val="20"/>
                <w:color w:val="auto"/>
              </w:rPr>
            </w:pPr>
            <w:r>
              <w:rPr>
                <w:rFonts w:ascii="Times New Roman" w:cs="Times New Roman" w:eastAsia="Times New Roman" w:hAnsi="Times New Roman"/>
                <w:sz w:val="14"/>
                <w:szCs w:val="14"/>
                <w:b w:val="1"/>
                <w:bCs w:val="1"/>
                <w:color w:val="FFFFFF"/>
              </w:rPr>
              <w:t>Level 3</w:t>
            </w:r>
          </w:p>
        </w:tc>
        <w:tc>
          <w:tcPr>
            <w:tcW w:w="920" w:type="dxa"/>
            <w:vAlign w:val="bottom"/>
            <w:vMerge w:val="restart"/>
            <w:shd w:val="clear" w:color="auto" w:fill="0C479D"/>
          </w:tcPr>
          <w:p>
            <w:pPr>
              <w:jc w:val="center"/>
              <w:ind w:right="268"/>
              <w:spacing w:after="0"/>
              <w:rPr>
                <w:sz w:val="20"/>
                <w:szCs w:val="20"/>
                <w:color w:val="auto"/>
              </w:rPr>
            </w:pPr>
            <w:r>
              <w:rPr>
                <w:rFonts w:ascii="Times New Roman" w:cs="Times New Roman" w:eastAsia="Times New Roman" w:hAnsi="Times New Roman"/>
                <w:sz w:val="14"/>
                <w:szCs w:val="14"/>
                <w:b w:val="1"/>
                <w:bCs w:val="1"/>
                <w:color w:val="FFFFFF"/>
              </w:rPr>
              <w:t>Net Asset</w:t>
            </w:r>
          </w:p>
        </w:tc>
        <w:tc>
          <w:tcPr>
            <w:tcW w:w="980" w:type="dxa"/>
            <w:vAlign w:val="bottom"/>
            <w:vMerge w:val="restart"/>
            <w:shd w:val="clear" w:color="auto" w:fill="0C479D"/>
          </w:tcPr>
          <w:p>
            <w:pPr>
              <w:ind w:left="320"/>
              <w:spacing w:after="0"/>
              <w:rPr>
                <w:sz w:val="20"/>
                <w:szCs w:val="20"/>
                <w:color w:val="auto"/>
              </w:rPr>
            </w:pPr>
            <w:r>
              <w:rPr>
                <w:rFonts w:ascii="Times New Roman" w:cs="Times New Roman" w:eastAsia="Times New Roman" w:hAnsi="Times New Roman"/>
                <w:sz w:val="14"/>
                <w:szCs w:val="14"/>
                <w:b w:val="1"/>
                <w:bCs w:val="1"/>
                <w:color w:val="FFFFFF"/>
              </w:rPr>
              <w:t>Total</w:t>
            </w:r>
          </w:p>
        </w:tc>
        <w:tc>
          <w:tcPr>
            <w:tcW w:w="0" w:type="dxa"/>
            <w:vAlign w:val="bottom"/>
          </w:tcPr>
          <w:p>
            <w:pPr>
              <w:spacing w:after="0"/>
              <w:rPr>
                <w:sz w:val="1"/>
                <w:szCs w:val="1"/>
                <w:color w:val="auto"/>
              </w:rPr>
            </w:pPr>
          </w:p>
        </w:tc>
      </w:tr>
      <w:tr>
        <w:trPr>
          <w:trHeight w:val="135"/>
        </w:trPr>
        <w:tc>
          <w:tcPr>
            <w:tcW w:w="3660" w:type="dxa"/>
            <w:vAlign w:val="bottom"/>
            <w:shd w:val="clear" w:color="auto" w:fill="0C479D"/>
          </w:tcPr>
          <w:p>
            <w:pPr>
              <w:spacing w:after="0"/>
              <w:rPr>
                <w:sz w:val="11"/>
                <w:szCs w:val="11"/>
                <w:color w:val="auto"/>
              </w:rPr>
            </w:pPr>
          </w:p>
        </w:tc>
        <w:tc>
          <w:tcPr>
            <w:tcW w:w="740" w:type="dxa"/>
            <w:vAlign w:val="bottom"/>
            <w:shd w:val="clear" w:color="auto" w:fill="0C479D"/>
          </w:tcPr>
          <w:p>
            <w:pPr>
              <w:ind w:left="260"/>
              <w:spacing w:after="0" w:line="135" w:lineRule="exact"/>
              <w:rPr>
                <w:sz w:val="20"/>
                <w:szCs w:val="20"/>
                <w:color w:val="auto"/>
              </w:rPr>
            </w:pPr>
            <w:r>
              <w:rPr>
                <w:rFonts w:ascii="Times New Roman" w:cs="Times New Roman" w:eastAsia="Times New Roman" w:hAnsi="Times New Roman"/>
                <w:sz w:val="14"/>
                <w:szCs w:val="14"/>
                <w:b w:val="1"/>
                <w:bCs w:val="1"/>
                <w:color w:val="FFFFFF"/>
              </w:rPr>
              <w:t>Level 1</w:t>
            </w:r>
          </w:p>
        </w:tc>
        <w:tc>
          <w:tcPr>
            <w:tcW w:w="1500" w:type="dxa"/>
            <w:vAlign w:val="bottom"/>
            <w:vMerge w:val="continue"/>
            <w:shd w:val="clear" w:color="auto" w:fill="0C479D"/>
          </w:tcPr>
          <w:p>
            <w:pPr>
              <w:spacing w:after="0"/>
              <w:rPr>
                <w:sz w:val="11"/>
                <w:szCs w:val="11"/>
                <w:color w:val="auto"/>
              </w:rPr>
            </w:pPr>
          </w:p>
        </w:tc>
        <w:tc>
          <w:tcPr>
            <w:tcW w:w="1900" w:type="dxa"/>
            <w:vAlign w:val="bottom"/>
            <w:vMerge w:val="continue"/>
            <w:shd w:val="clear" w:color="auto" w:fill="0C479D"/>
          </w:tcPr>
          <w:p>
            <w:pPr>
              <w:spacing w:after="0"/>
              <w:rPr>
                <w:sz w:val="11"/>
                <w:szCs w:val="11"/>
                <w:color w:val="auto"/>
              </w:rPr>
            </w:pPr>
          </w:p>
        </w:tc>
        <w:tc>
          <w:tcPr>
            <w:tcW w:w="920" w:type="dxa"/>
            <w:vAlign w:val="bottom"/>
            <w:vMerge w:val="continue"/>
            <w:shd w:val="clear" w:color="auto" w:fill="0C479D"/>
          </w:tcPr>
          <w:p>
            <w:pPr>
              <w:spacing w:after="0"/>
              <w:rPr>
                <w:sz w:val="11"/>
                <w:szCs w:val="11"/>
                <w:color w:val="auto"/>
              </w:rPr>
            </w:pPr>
          </w:p>
        </w:tc>
        <w:tc>
          <w:tcPr>
            <w:tcW w:w="980" w:type="dxa"/>
            <w:vAlign w:val="bottom"/>
            <w:vMerge w:val="continue"/>
            <w:shd w:val="clear" w:color="auto" w:fill="0C479D"/>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660" w:type="dxa"/>
            <w:vAlign w:val="bottom"/>
            <w:shd w:val="clear" w:color="auto" w:fill="0C479D"/>
          </w:tcPr>
          <w:p>
            <w:pPr>
              <w:spacing w:after="0"/>
              <w:rPr>
                <w:sz w:val="14"/>
                <w:szCs w:val="14"/>
                <w:color w:val="auto"/>
              </w:rPr>
            </w:pPr>
          </w:p>
        </w:tc>
        <w:tc>
          <w:tcPr>
            <w:tcW w:w="740" w:type="dxa"/>
            <w:vAlign w:val="bottom"/>
            <w:shd w:val="clear" w:color="auto" w:fill="0C479D"/>
          </w:tcPr>
          <w:p>
            <w:pPr>
              <w:spacing w:after="0"/>
              <w:rPr>
                <w:sz w:val="14"/>
                <w:szCs w:val="14"/>
                <w:color w:val="auto"/>
              </w:rPr>
            </w:pPr>
          </w:p>
        </w:tc>
        <w:tc>
          <w:tcPr>
            <w:tcW w:w="1500" w:type="dxa"/>
            <w:vAlign w:val="bottom"/>
            <w:shd w:val="clear" w:color="auto" w:fill="0C479D"/>
          </w:tcPr>
          <w:p>
            <w:pPr>
              <w:spacing w:after="0"/>
              <w:rPr>
                <w:sz w:val="14"/>
                <w:szCs w:val="14"/>
                <w:color w:val="auto"/>
              </w:rPr>
            </w:pPr>
          </w:p>
        </w:tc>
        <w:tc>
          <w:tcPr>
            <w:tcW w:w="1900" w:type="dxa"/>
            <w:vAlign w:val="bottom"/>
            <w:shd w:val="clear" w:color="auto" w:fill="0C479D"/>
          </w:tcPr>
          <w:p>
            <w:pPr>
              <w:spacing w:after="0"/>
              <w:rPr>
                <w:sz w:val="14"/>
                <w:szCs w:val="14"/>
                <w:color w:val="auto"/>
              </w:rPr>
            </w:pPr>
          </w:p>
        </w:tc>
        <w:tc>
          <w:tcPr>
            <w:tcW w:w="920" w:type="dxa"/>
            <w:vAlign w:val="bottom"/>
            <w:shd w:val="clear" w:color="auto" w:fill="0C479D"/>
          </w:tcPr>
          <w:p>
            <w:pPr>
              <w:jc w:val="center"/>
              <w:ind w:right="268"/>
              <w:spacing w:after="0"/>
              <w:rPr>
                <w:sz w:val="20"/>
                <w:szCs w:val="20"/>
                <w:color w:val="auto"/>
              </w:rPr>
            </w:pPr>
            <w:r>
              <w:rPr>
                <w:rFonts w:ascii="Times New Roman" w:cs="Times New Roman" w:eastAsia="Times New Roman" w:hAnsi="Times New Roman"/>
                <w:sz w:val="14"/>
                <w:szCs w:val="14"/>
                <w:b w:val="1"/>
                <w:bCs w:val="1"/>
                <w:color w:val="FFFFFF"/>
                <w:w w:val="97"/>
              </w:rPr>
              <w:t>Value</w:t>
            </w:r>
          </w:p>
        </w:tc>
        <w:tc>
          <w:tcPr>
            <w:tcW w:w="980" w:type="dxa"/>
            <w:vAlign w:val="bottom"/>
            <w:shd w:val="clear" w:color="auto" w:fill="0C479D"/>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480"/>
          </w:cols>
          <w:pgMar w:left="320" w:top="216" w:right="1099" w:bottom="1440" w:gutter="0" w:footer="0" w:header="0"/>
        </w:sectPr>
      </w:pPr>
    </w:p>
    <w:p>
      <w:pPr>
        <w:spacing w:after="0" w:line="61" w:lineRule="exact"/>
        <w:rPr>
          <w:sz w:val="20"/>
          <w:szCs w:val="20"/>
          <w:color w:val="auto"/>
        </w:rPr>
      </w:pPr>
    </w:p>
    <w:tbl>
      <w:tblPr>
        <w:tblLayout w:type="fixed"/>
        <w:tblInd w:w="800" w:type="dxa"/>
        <w:tblCellMar>
          <w:top w:w="0" w:type="dxa"/>
          <w:left w:w="0" w:type="dxa"/>
          <w:bottom w:w="0" w:type="dxa"/>
          <w:right w:w="0" w:type="dxa"/>
        </w:tblCellMar>
      </w:tblPr>
      <w:tr>
        <w:trPr>
          <w:trHeight w:val="238"/>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0C479D"/>
              </w:rPr>
              <w:t>Asset category:</w:t>
            </w:r>
          </w:p>
        </w:tc>
        <w:tc>
          <w:tcPr>
            <w:tcW w:w="1740" w:type="dxa"/>
            <w:vAlign w:val="bottom"/>
          </w:tcPr>
          <w:p>
            <w:pPr>
              <w:spacing w:after="0"/>
              <w:rPr>
                <w:sz w:val="20"/>
                <w:szCs w:val="20"/>
                <w:color w:val="auto"/>
              </w:rPr>
            </w:pPr>
          </w:p>
        </w:tc>
      </w:tr>
      <w:tr>
        <w:trPr>
          <w:trHeight w:val="243"/>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740" w:type="dxa"/>
            <w:vAlign w:val="bottom"/>
          </w:tcPr>
          <w:p>
            <w:pPr>
              <w:spacing w:after="0"/>
              <w:rPr>
                <w:sz w:val="21"/>
                <w:szCs w:val="21"/>
                <w:color w:val="auto"/>
              </w:rPr>
            </w:pPr>
          </w:p>
        </w:tc>
      </w:tr>
      <w:tr>
        <w:trPr>
          <w:trHeight w:val="297"/>
        </w:trPr>
        <w:tc>
          <w:tcPr>
            <w:tcW w:w="2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70"/>
        </w:trPr>
        <w:tc>
          <w:tcPr>
            <w:tcW w:w="2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Non-U.S.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43"/>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Debt securities</w:t>
            </w:r>
          </w:p>
        </w:tc>
        <w:tc>
          <w:tcPr>
            <w:tcW w:w="17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(1)</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7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bl>
    <w:p>
      <w:pPr>
        <w:spacing w:after="0" w:line="267" w:lineRule="exact"/>
        <w:rPr>
          <w:sz w:val="20"/>
          <w:szCs w:val="20"/>
          <w:color w:val="auto"/>
        </w:rPr>
      </w:pPr>
    </w:p>
    <w:p>
      <w:pPr>
        <w:sectPr>
          <w:pgSz w:w="11900" w:h="16838" w:orient="portrait"/>
          <w:cols w:equalWidth="0" w:num="3">
            <w:col w:w="5320" w:space="100"/>
            <w:col w:w="420" w:space="720"/>
            <w:col w:w="3920"/>
          </w:cols>
          <w:pgMar w:left="320" w:top="216" w:right="1099" w:bottom="1440" w:gutter="0" w:footer="0" w:header="0"/>
          <w:type w:val="continuous"/>
        </w:sectPr>
      </w:pPr>
    </w:p>
    <w:tbl>
      <w:tblPr>
        <w:tblLayout w:type="fixed"/>
        <w:tblInd w:w="780" w:type="dxa"/>
        <w:tblCellMar>
          <w:top w:w="0" w:type="dxa"/>
          <w:left w:w="0" w:type="dxa"/>
          <w:bottom w:w="0" w:type="dxa"/>
          <w:right w:w="0" w:type="dxa"/>
        </w:tblCellMar>
      </w:tblPr>
      <w:tr>
        <w:trPr>
          <w:trHeight w:val="270"/>
        </w:trPr>
        <w:tc>
          <w:tcPr>
            <w:tcW w:w="2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23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680" w:type="dxa"/>
            <w:vAlign w:val="bottom"/>
          </w:tcPr>
          <w:p>
            <w:pPr>
              <w:jc w:val="right"/>
              <w:ind w:right="466"/>
              <w:spacing w:after="0"/>
              <w:rPr>
                <w:sz w:val="20"/>
                <w:szCs w:val="20"/>
                <w:color w:val="auto"/>
              </w:rPr>
            </w:pPr>
            <w:r>
              <w:rPr>
                <w:rFonts w:ascii="Times New Roman" w:cs="Times New Roman" w:eastAsia="Times New Roman" w:hAnsi="Times New Roman"/>
                <w:sz w:val="11"/>
                <w:szCs w:val="11"/>
                <w:i w:val="1"/>
                <w:iCs w:val="1"/>
                <w:color w:val="auto"/>
              </w:rPr>
              <w:t>(2)</w:t>
            </w:r>
          </w:p>
        </w:tc>
        <w:tc>
          <w:tcPr>
            <w:tcW w:w="1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r>
      <w:tr>
        <w:trPr>
          <w:trHeight w:val="270"/>
        </w:trPr>
        <w:tc>
          <w:tcPr>
            <w:tcW w:w="2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Government</w:t>
            </w:r>
          </w:p>
        </w:tc>
        <w:tc>
          <w:tcPr>
            <w:tcW w:w="23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680" w:type="dxa"/>
            <w:vAlign w:val="bottom"/>
          </w:tcPr>
          <w:p>
            <w:pPr>
              <w:jc w:val="right"/>
              <w:ind w:right="466"/>
              <w:spacing w:after="0"/>
              <w:rPr>
                <w:sz w:val="20"/>
                <w:szCs w:val="20"/>
                <w:color w:val="auto"/>
              </w:rPr>
            </w:pPr>
            <w:r>
              <w:rPr>
                <w:rFonts w:ascii="Times New Roman" w:cs="Times New Roman" w:eastAsia="Times New Roman" w:hAnsi="Times New Roman"/>
                <w:sz w:val="11"/>
                <w:szCs w:val="11"/>
                <w:i w:val="1"/>
                <w:iCs w:val="1"/>
                <w:color w:val="auto"/>
              </w:rPr>
              <w:t>(2)</w:t>
            </w:r>
          </w:p>
        </w:tc>
        <w:tc>
          <w:tcPr>
            <w:tcW w:w="1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w:t>
            </w:r>
          </w:p>
        </w:tc>
      </w:tr>
      <w:tr>
        <w:trPr>
          <w:trHeight w:val="272"/>
        </w:trPr>
        <w:tc>
          <w:tcPr>
            <w:tcW w:w="2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Asset-backed</w:t>
            </w:r>
          </w:p>
        </w:tc>
        <w:tc>
          <w:tcPr>
            <w:tcW w:w="23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80" w:type="dxa"/>
            <w:vAlign w:val="bottom"/>
          </w:tcPr>
          <w:p>
            <w:pPr>
              <w:jc w:val="right"/>
              <w:ind w:right="466"/>
              <w:spacing w:after="0"/>
              <w:rPr>
                <w:sz w:val="20"/>
                <w:szCs w:val="20"/>
                <w:color w:val="auto"/>
              </w:rPr>
            </w:pPr>
            <w:r>
              <w:rPr>
                <w:rFonts w:ascii="Times New Roman" w:cs="Times New Roman" w:eastAsia="Times New Roman" w:hAnsi="Times New Roman"/>
                <w:sz w:val="11"/>
                <w:szCs w:val="11"/>
                <w:i w:val="1"/>
                <w:iCs w:val="1"/>
                <w:color w:val="auto"/>
              </w:rPr>
              <w:t>(2)</w:t>
            </w:r>
          </w:p>
        </w:tc>
        <w:tc>
          <w:tcPr>
            <w:tcW w:w="1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70"/>
        </w:trPr>
        <w:tc>
          <w:tcPr>
            <w:tcW w:w="282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300" w:type="dxa"/>
            <w:vAlign w:val="bottom"/>
            <w:tcBorders>
              <w:bottom w:val="single" w:sz="8" w:color="0C479D"/>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80" w:type="dxa"/>
            <w:vAlign w:val="bottom"/>
            <w:tcBorders>
              <w:bottom w:val="single" w:sz="8" w:color="0C479D"/>
            </w:tcBorders>
          </w:tcPr>
          <w:p>
            <w:pPr>
              <w:spacing w:after="0"/>
              <w:rPr>
                <w:sz w:val="23"/>
                <w:szCs w:val="23"/>
                <w:color w:val="auto"/>
              </w:rPr>
            </w:pPr>
          </w:p>
        </w:tc>
        <w:tc>
          <w:tcPr>
            <w:tcW w:w="1160" w:type="dxa"/>
            <w:vAlign w:val="bottom"/>
            <w:tcBorders>
              <w:bottom w:val="single" w:sz="8" w:color="0C479D"/>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0C479D"/>
            </w:tcBorders>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0C479D"/>
            </w:tcBorders>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282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at fair value</w:t>
            </w:r>
          </w:p>
        </w:tc>
        <w:tc>
          <w:tcPr>
            <w:tcW w:w="2300" w:type="dxa"/>
            <w:vAlign w:val="bottom"/>
            <w:tcBorders>
              <w:bottom w:val="single" w:sz="8" w:color="0C479D"/>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128</w:t>
            </w:r>
          </w:p>
        </w:tc>
        <w:tc>
          <w:tcPr>
            <w:tcW w:w="9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236</w:t>
            </w:r>
          </w:p>
        </w:tc>
        <w:tc>
          <w:tcPr>
            <w:tcW w:w="680" w:type="dxa"/>
            <w:vAlign w:val="bottom"/>
            <w:tcBorders>
              <w:bottom w:val="single" w:sz="8" w:color="0C479D"/>
            </w:tcBorders>
          </w:tcPr>
          <w:p>
            <w:pPr>
              <w:spacing w:after="0"/>
              <w:rPr>
                <w:sz w:val="21"/>
                <w:szCs w:val="21"/>
                <w:color w:val="auto"/>
              </w:rPr>
            </w:pPr>
          </w:p>
        </w:tc>
        <w:tc>
          <w:tcPr>
            <w:tcW w:w="1160" w:type="dxa"/>
            <w:vAlign w:val="bottom"/>
            <w:tcBorders>
              <w:bottom w:val="single" w:sz="8" w:color="0C479D"/>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0C479D"/>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0C479D"/>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364</w:t>
            </w:r>
          </w:p>
        </w:tc>
      </w:tr>
    </w:tbl>
    <w:p>
      <w:pPr>
        <w:spacing w:after="0" w:line="83" w:lineRule="exact"/>
        <w:rPr>
          <w:sz w:val="20"/>
          <w:szCs w:val="20"/>
          <w:color w:val="auto"/>
        </w:rPr>
      </w:pPr>
    </w:p>
    <w:p>
      <w:pPr>
        <w:ind w:left="940" w:hanging="145"/>
        <w:spacing w:after="0"/>
        <w:tabs>
          <w:tab w:leader="none" w:pos="940" w:val="left"/>
        </w:tabs>
        <w:numPr>
          <w:ilvl w:val="0"/>
          <w:numId w:val="58"/>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For equity securities held in separate accounts, fair value is based on observable quoted prices on active exchanges.</w:t>
      </w:r>
    </w:p>
    <w:p>
      <w:pPr>
        <w:spacing w:after="0" w:line="68" w:lineRule="exact"/>
        <w:rPr>
          <w:rFonts w:ascii="Times New Roman" w:cs="Times New Roman" w:eastAsia="Times New Roman" w:hAnsi="Times New Roman"/>
          <w:sz w:val="9"/>
          <w:szCs w:val="9"/>
          <w:i w:val="1"/>
          <w:iCs w:val="1"/>
          <w:color w:val="auto"/>
        </w:rPr>
      </w:pPr>
    </w:p>
    <w:p>
      <w:pPr>
        <w:ind w:left="920" w:hanging="125"/>
        <w:spacing w:after="0"/>
        <w:tabs>
          <w:tab w:leader="none" w:pos="920" w:val="left"/>
        </w:tabs>
        <w:numPr>
          <w:ilvl w:val="0"/>
          <w:numId w:val="58"/>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For corporate, government and asset-backed debt securities, fair value is based on observable inputs of comparable market transactions.</w:t>
      </w:r>
    </w:p>
    <w:p>
      <w:pPr>
        <w:sectPr>
          <w:pgSz w:w="11900" w:h="16838" w:orient="portrait"/>
          <w:cols w:equalWidth="0" w:num="1">
            <w:col w:w="10480"/>
          </w:cols>
          <w:pgMar w:left="320" w:top="216" w:right="1099" w:bottom="1440" w:gutter="0" w:footer="0" w:header="0"/>
          <w:type w:val="continuous"/>
        </w:sectPr>
      </w:pPr>
    </w:p>
    <w:p>
      <w:pPr>
        <w:spacing w:after="0" w:line="200" w:lineRule="exact"/>
        <w:rPr>
          <w:sz w:val="20"/>
          <w:szCs w:val="20"/>
          <w:color w:val="auto"/>
        </w:rPr>
      </w:pPr>
    </w:p>
    <w:p>
      <w:pPr>
        <w:spacing w:after="0" w:line="37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320" w:top="216" w:right="109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22"/>
          <w:szCs w:val="22"/>
          <w:b w:val="1"/>
          <w:bCs w:val="1"/>
          <w:color w:val="0C479D"/>
        </w:rPr>
        <w:t>NOTES TO CONSOLIDATED FINANCIAL STATEMENTS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2023 fair value of the benefit plan assets, including the level within the fair value hierarchy, is shown in the tables below:</w:t>
      </w:r>
    </w:p>
    <w:p>
      <w:pPr>
        <w:spacing w:after="0" w:line="151" w:lineRule="exact"/>
        <w:rPr>
          <w:sz w:val="20"/>
          <w:szCs w:val="20"/>
          <w:color w:val="auto"/>
        </w:rPr>
      </w:pPr>
    </w:p>
    <w:tbl>
      <w:tblPr>
        <w:tblLayout w:type="fixed"/>
        <w:tblInd w:w="880" w:type="dxa"/>
        <w:tblCellMar>
          <w:top w:w="0" w:type="dxa"/>
          <w:left w:w="0" w:type="dxa"/>
          <w:bottom w:w="0" w:type="dxa"/>
          <w:right w:w="0" w:type="dxa"/>
        </w:tblCellMar>
      </w:tblPr>
      <w:tr>
        <w:trPr>
          <w:trHeight w:val="231"/>
        </w:trPr>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0C479D"/>
              </w:rPr>
              <w:t>U.S. Pension</w:t>
            </w: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0C479D"/>
              </w:rPr>
              <w:t>Non-U.S. Pension</w:t>
            </w: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0C479D"/>
            </w:tcBorders>
          </w:tcPr>
          <w:p>
            <w:pPr>
              <w:spacing w:after="0"/>
              <w:rPr>
                <w:sz w:val="2"/>
                <w:szCs w:val="2"/>
                <w:color w:val="auto"/>
              </w:rPr>
            </w:pPr>
          </w:p>
        </w:tc>
        <w:tc>
          <w:tcPr>
            <w:tcW w:w="1800" w:type="dxa"/>
            <w:vAlign w:val="bottom"/>
            <w:tcBorders>
              <w:bottom w:val="single" w:sz="8" w:color="0C479D"/>
            </w:tcBorders>
            <w:gridSpan w:val="3"/>
          </w:tcPr>
          <w:p>
            <w:pPr>
              <w:spacing w:after="0"/>
              <w:rPr>
                <w:sz w:val="2"/>
                <w:szCs w:val="2"/>
                <w:color w:val="auto"/>
              </w:rPr>
            </w:pPr>
          </w:p>
        </w:tc>
        <w:tc>
          <w:tcPr>
            <w:tcW w:w="600" w:type="dxa"/>
            <w:vAlign w:val="bottom"/>
            <w:tcBorders>
              <w:bottom w:val="single" w:sz="8" w:color="0C479D"/>
            </w:tcBorders>
          </w:tcPr>
          <w:p>
            <w:pPr>
              <w:spacing w:after="0"/>
              <w:rPr>
                <w:sz w:val="2"/>
                <w:szCs w:val="2"/>
                <w:color w:val="auto"/>
              </w:rPr>
            </w:pPr>
          </w:p>
        </w:tc>
        <w:tc>
          <w:tcPr>
            <w:tcW w:w="720" w:type="dxa"/>
            <w:vAlign w:val="bottom"/>
            <w:tcBorders>
              <w:bottom w:val="single" w:sz="8" w:color="0C479D"/>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0C479D"/>
            </w:tcBorders>
          </w:tcPr>
          <w:p>
            <w:pPr>
              <w:spacing w:after="0"/>
              <w:rPr>
                <w:sz w:val="2"/>
                <w:szCs w:val="2"/>
                <w:color w:val="auto"/>
              </w:rPr>
            </w:pPr>
          </w:p>
        </w:tc>
        <w:tc>
          <w:tcPr>
            <w:tcW w:w="200" w:type="dxa"/>
            <w:vAlign w:val="bottom"/>
            <w:tcBorders>
              <w:bottom w:val="single" w:sz="8" w:color="0C479D"/>
            </w:tcBorders>
          </w:tcPr>
          <w:p>
            <w:pPr>
              <w:spacing w:after="0"/>
              <w:rPr>
                <w:sz w:val="2"/>
                <w:szCs w:val="2"/>
                <w:color w:val="auto"/>
              </w:rPr>
            </w:pPr>
          </w:p>
        </w:tc>
        <w:tc>
          <w:tcPr>
            <w:tcW w:w="1860" w:type="dxa"/>
            <w:vAlign w:val="bottom"/>
            <w:tcBorders>
              <w:bottom w:val="single" w:sz="8" w:color="0C479D"/>
            </w:tcBorders>
            <w:gridSpan w:val="3"/>
          </w:tcPr>
          <w:p>
            <w:pPr>
              <w:spacing w:after="0"/>
              <w:rPr>
                <w:sz w:val="2"/>
                <w:szCs w:val="2"/>
                <w:color w:val="auto"/>
              </w:rPr>
            </w:pPr>
          </w:p>
        </w:tc>
        <w:tc>
          <w:tcPr>
            <w:tcW w:w="740" w:type="dxa"/>
            <w:vAlign w:val="bottom"/>
            <w:tcBorders>
              <w:bottom w:val="single" w:sz="8" w:color="0C479D"/>
            </w:tcBorders>
          </w:tcPr>
          <w:p>
            <w:pPr>
              <w:spacing w:after="0"/>
              <w:rPr>
                <w:sz w:val="2"/>
                <w:szCs w:val="2"/>
                <w:color w:val="auto"/>
              </w:rPr>
            </w:pPr>
          </w:p>
        </w:tc>
        <w:tc>
          <w:tcPr>
            <w:tcW w:w="680" w:type="dxa"/>
            <w:vAlign w:val="bottom"/>
            <w:tcBorders>
              <w:bottom w:val="single" w:sz="8" w:color="0C479D"/>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1580" w:type="dxa"/>
            <w:vAlign w:val="bottom"/>
            <w:shd w:val="clear" w:color="auto" w:fill="0C479D"/>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shd w:val="clear" w:color="auto" w:fill="0C479D"/>
          </w:tcPr>
          <w:p>
            <w:pPr>
              <w:spacing w:after="0"/>
              <w:rPr>
                <w:sz w:val="15"/>
                <w:szCs w:val="15"/>
                <w:color w:val="auto"/>
              </w:rPr>
            </w:pPr>
          </w:p>
        </w:tc>
        <w:tc>
          <w:tcPr>
            <w:tcW w:w="1800" w:type="dxa"/>
            <w:vAlign w:val="bottom"/>
            <w:gridSpan w:val="3"/>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Fair Value Measurement at</w:t>
            </w:r>
          </w:p>
        </w:tc>
        <w:tc>
          <w:tcPr>
            <w:tcW w:w="600" w:type="dxa"/>
            <w:vAlign w:val="bottom"/>
            <w:shd w:val="clear" w:color="auto" w:fill="0C479D"/>
          </w:tcPr>
          <w:p>
            <w:pPr>
              <w:spacing w:after="0"/>
              <w:rPr>
                <w:sz w:val="15"/>
                <w:szCs w:val="15"/>
                <w:color w:val="auto"/>
              </w:rPr>
            </w:pPr>
          </w:p>
        </w:tc>
        <w:tc>
          <w:tcPr>
            <w:tcW w:w="720" w:type="dxa"/>
            <w:vAlign w:val="bottom"/>
            <w:shd w:val="clear" w:color="auto" w:fill="0C479D"/>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shd w:val="clear" w:color="auto" w:fill="0C479D"/>
          </w:tcPr>
          <w:p>
            <w:pPr>
              <w:spacing w:after="0"/>
              <w:rPr>
                <w:sz w:val="15"/>
                <w:szCs w:val="15"/>
                <w:color w:val="auto"/>
              </w:rPr>
            </w:pPr>
          </w:p>
        </w:tc>
        <w:tc>
          <w:tcPr>
            <w:tcW w:w="200" w:type="dxa"/>
            <w:vAlign w:val="bottom"/>
            <w:shd w:val="clear" w:color="auto" w:fill="0C479D"/>
          </w:tcPr>
          <w:p>
            <w:pPr>
              <w:spacing w:after="0"/>
              <w:rPr>
                <w:sz w:val="15"/>
                <w:szCs w:val="15"/>
                <w:color w:val="auto"/>
              </w:rPr>
            </w:pPr>
          </w:p>
        </w:tc>
        <w:tc>
          <w:tcPr>
            <w:tcW w:w="1860" w:type="dxa"/>
            <w:vAlign w:val="bottom"/>
            <w:gridSpan w:val="3"/>
            <w:shd w:val="clear" w:color="auto" w:fill="0C479D"/>
          </w:tcPr>
          <w:p>
            <w:pPr>
              <w:jc w:val="center"/>
              <w:ind w:right="12"/>
              <w:spacing w:after="0"/>
              <w:rPr>
                <w:sz w:val="20"/>
                <w:szCs w:val="20"/>
                <w:color w:val="auto"/>
              </w:rPr>
            </w:pPr>
            <w:r>
              <w:rPr>
                <w:rFonts w:ascii="Times New Roman" w:cs="Times New Roman" w:eastAsia="Times New Roman" w:hAnsi="Times New Roman"/>
                <w:sz w:val="14"/>
                <w:szCs w:val="14"/>
                <w:b w:val="1"/>
                <w:bCs w:val="1"/>
                <w:color w:val="FFFFFF"/>
              </w:rPr>
              <w:t>Fair Value Measurement at</w:t>
            </w:r>
          </w:p>
        </w:tc>
        <w:tc>
          <w:tcPr>
            <w:tcW w:w="740" w:type="dxa"/>
            <w:vAlign w:val="bottom"/>
            <w:shd w:val="clear" w:color="auto" w:fill="0C479D"/>
          </w:tcPr>
          <w:p>
            <w:pPr>
              <w:spacing w:after="0"/>
              <w:rPr>
                <w:sz w:val="15"/>
                <w:szCs w:val="15"/>
                <w:color w:val="auto"/>
              </w:rPr>
            </w:pPr>
          </w:p>
        </w:tc>
        <w:tc>
          <w:tcPr>
            <w:tcW w:w="680" w:type="dxa"/>
            <w:vAlign w:val="bottom"/>
            <w:shd w:val="clear" w:color="auto" w:fill="0C479D"/>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580" w:type="dxa"/>
            <w:vAlign w:val="bottom"/>
            <w:vMerge w:val="restart"/>
            <w:shd w:val="clear" w:color="auto" w:fill="0C479D"/>
          </w:tcPr>
          <w:p>
            <w:pPr>
              <w:ind w:left="40"/>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120" w:type="dxa"/>
            <w:vAlign w:val="bottom"/>
          </w:tcPr>
          <w:p>
            <w:pPr>
              <w:spacing w:after="0"/>
              <w:rPr>
                <w:sz w:val="16"/>
                <w:szCs w:val="16"/>
                <w:color w:val="auto"/>
              </w:rPr>
            </w:pPr>
          </w:p>
        </w:tc>
        <w:tc>
          <w:tcPr>
            <w:tcW w:w="540" w:type="dxa"/>
            <w:vAlign w:val="bottom"/>
            <w:shd w:val="clear" w:color="auto" w:fill="0C479D"/>
          </w:tcPr>
          <w:p>
            <w:pPr>
              <w:spacing w:after="0"/>
              <w:rPr>
                <w:sz w:val="16"/>
                <w:szCs w:val="16"/>
                <w:color w:val="auto"/>
              </w:rPr>
            </w:pPr>
          </w:p>
        </w:tc>
        <w:tc>
          <w:tcPr>
            <w:tcW w:w="1800" w:type="dxa"/>
            <w:vAlign w:val="bottom"/>
            <w:gridSpan w:val="3"/>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December 31, 2023, Using:</w:t>
            </w:r>
          </w:p>
        </w:tc>
        <w:tc>
          <w:tcPr>
            <w:tcW w:w="600" w:type="dxa"/>
            <w:vAlign w:val="bottom"/>
            <w:vMerge w:val="restart"/>
            <w:shd w:val="clear" w:color="auto" w:fill="0C479D"/>
          </w:tcPr>
          <w:p>
            <w:pPr>
              <w:jc w:val="center"/>
              <w:ind w:right="14"/>
              <w:spacing w:after="0"/>
              <w:rPr>
                <w:sz w:val="20"/>
                <w:szCs w:val="20"/>
                <w:color w:val="auto"/>
              </w:rPr>
            </w:pPr>
            <w:r>
              <w:rPr>
                <w:rFonts w:ascii="Times New Roman" w:cs="Times New Roman" w:eastAsia="Times New Roman" w:hAnsi="Times New Roman"/>
                <w:sz w:val="14"/>
                <w:szCs w:val="14"/>
                <w:b w:val="1"/>
                <w:bCs w:val="1"/>
                <w:color w:val="FFFFFF"/>
              </w:rPr>
              <w:t>Net</w:t>
            </w:r>
          </w:p>
        </w:tc>
        <w:tc>
          <w:tcPr>
            <w:tcW w:w="720" w:type="dxa"/>
            <w:vAlign w:val="bottom"/>
            <w:shd w:val="clear" w:color="auto" w:fill="0C479D"/>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shd w:val="clear" w:color="auto" w:fill="0C479D"/>
          </w:tcPr>
          <w:p>
            <w:pPr>
              <w:spacing w:after="0"/>
              <w:rPr>
                <w:sz w:val="16"/>
                <w:szCs w:val="16"/>
                <w:color w:val="auto"/>
              </w:rPr>
            </w:pPr>
          </w:p>
        </w:tc>
        <w:tc>
          <w:tcPr>
            <w:tcW w:w="200" w:type="dxa"/>
            <w:vAlign w:val="bottom"/>
            <w:shd w:val="clear" w:color="auto" w:fill="0C479D"/>
          </w:tcPr>
          <w:p>
            <w:pPr>
              <w:spacing w:after="0"/>
              <w:rPr>
                <w:sz w:val="16"/>
                <w:szCs w:val="16"/>
                <w:color w:val="auto"/>
              </w:rPr>
            </w:pPr>
          </w:p>
        </w:tc>
        <w:tc>
          <w:tcPr>
            <w:tcW w:w="1860" w:type="dxa"/>
            <w:vAlign w:val="bottom"/>
            <w:gridSpan w:val="3"/>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December 31, 2023, Using:</w:t>
            </w:r>
          </w:p>
        </w:tc>
        <w:tc>
          <w:tcPr>
            <w:tcW w:w="740" w:type="dxa"/>
            <w:vAlign w:val="bottom"/>
            <w:shd w:val="clear" w:color="auto" w:fill="0C479D"/>
          </w:tcPr>
          <w:p>
            <w:pPr>
              <w:spacing w:after="0"/>
              <w:rPr>
                <w:sz w:val="16"/>
                <w:szCs w:val="16"/>
                <w:color w:val="auto"/>
              </w:rPr>
            </w:pPr>
          </w:p>
        </w:tc>
        <w:tc>
          <w:tcPr>
            <w:tcW w:w="680" w:type="dxa"/>
            <w:vAlign w:val="bottom"/>
            <w:shd w:val="clear" w:color="auto" w:fill="0C479D"/>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580" w:type="dxa"/>
            <w:vAlign w:val="bottom"/>
            <w:vMerge w:val="continue"/>
            <w:shd w:val="clear" w:color="auto" w:fill="0C479D"/>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shd w:val="clear" w:color="auto" w:fill="0C479D"/>
          </w:tcPr>
          <w:p>
            <w:pPr>
              <w:ind w:left="20"/>
              <w:spacing w:after="0"/>
              <w:rPr>
                <w:sz w:val="20"/>
                <w:szCs w:val="20"/>
                <w:color w:val="auto"/>
              </w:rPr>
            </w:pPr>
            <w:r>
              <w:rPr>
                <w:rFonts w:ascii="Times New Roman" w:cs="Times New Roman" w:eastAsia="Times New Roman" w:hAnsi="Times New Roman"/>
                <w:sz w:val="14"/>
                <w:szCs w:val="14"/>
                <w:b w:val="1"/>
                <w:bCs w:val="1"/>
                <w:color w:val="FFFFFF"/>
              </w:rPr>
              <w:t>Level 1</w:t>
            </w:r>
          </w:p>
        </w:tc>
        <w:tc>
          <w:tcPr>
            <w:tcW w:w="660" w:type="dxa"/>
            <w:vAlign w:val="bottom"/>
            <w:vMerge w:val="restart"/>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Level 2</w:t>
            </w:r>
          </w:p>
        </w:tc>
        <w:tc>
          <w:tcPr>
            <w:tcW w:w="200" w:type="dxa"/>
            <w:vAlign w:val="bottom"/>
            <w:shd w:val="clear" w:color="auto" w:fill="0C479D"/>
          </w:tcPr>
          <w:p>
            <w:pPr>
              <w:spacing w:after="0"/>
              <w:rPr>
                <w:sz w:val="12"/>
                <w:szCs w:val="12"/>
                <w:color w:val="auto"/>
              </w:rPr>
            </w:pPr>
          </w:p>
        </w:tc>
        <w:tc>
          <w:tcPr>
            <w:tcW w:w="940" w:type="dxa"/>
            <w:vAlign w:val="bottom"/>
            <w:vMerge w:val="restart"/>
            <w:shd w:val="clear" w:color="auto" w:fill="0C479D"/>
          </w:tcPr>
          <w:p>
            <w:pPr>
              <w:ind w:left="260"/>
              <w:spacing w:after="0"/>
              <w:rPr>
                <w:sz w:val="20"/>
                <w:szCs w:val="20"/>
                <w:color w:val="auto"/>
              </w:rPr>
            </w:pPr>
            <w:r>
              <w:rPr>
                <w:rFonts w:ascii="Times New Roman" w:cs="Times New Roman" w:eastAsia="Times New Roman" w:hAnsi="Times New Roman"/>
                <w:sz w:val="14"/>
                <w:szCs w:val="14"/>
                <w:b w:val="1"/>
                <w:bCs w:val="1"/>
                <w:color w:val="FFFFFF"/>
              </w:rPr>
              <w:t>Level 3</w:t>
            </w:r>
          </w:p>
        </w:tc>
        <w:tc>
          <w:tcPr>
            <w:tcW w:w="600" w:type="dxa"/>
            <w:vAlign w:val="bottom"/>
            <w:vMerge w:val="continue"/>
            <w:shd w:val="clear" w:color="auto" w:fill="0C479D"/>
          </w:tcPr>
          <w:p>
            <w:pPr>
              <w:spacing w:after="0"/>
              <w:rPr>
                <w:sz w:val="12"/>
                <w:szCs w:val="12"/>
                <w:color w:val="auto"/>
              </w:rPr>
            </w:pPr>
          </w:p>
        </w:tc>
        <w:tc>
          <w:tcPr>
            <w:tcW w:w="720" w:type="dxa"/>
            <w:vAlign w:val="bottom"/>
            <w:vMerge w:val="restart"/>
            <w:shd w:val="clear" w:color="auto" w:fill="0C479D"/>
          </w:tcPr>
          <w:p>
            <w:pPr>
              <w:jc w:val="right"/>
              <w:ind w:right="71"/>
              <w:spacing w:after="0"/>
              <w:rPr>
                <w:sz w:val="20"/>
                <w:szCs w:val="20"/>
                <w:color w:val="auto"/>
              </w:rPr>
            </w:pPr>
            <w:r>
              <w:rPr>
                <w:rFonts w:ascii="Times New Roman" w:cs="Times New Roman" w:eastAsia="Times New Roman" w:hAnsi="Times New Roman"/>
                <w:sz w:val="14"/>
                <w:szCs w:val="14"/>
                <w:b w:val="1"/>
                <w:bCs w:val="1"/>
                <w:color w:val="FFFFFF"/>
              </w:rPr>
              <w:t>Total</w:t>
            </w:r>
          </w:p>
        </w:tc>
        <w:tc>
          <w:tcPr>
            <w:tcW w:w="120" w:type="dxa"/>
            <w:vAlign w:val="bottom"/>
          </w:tcPr>
          <w:p>
            <w:pPr>
              <w:spacing w:after="0"/>
              <w:rPr>
                <w:sz w:val="12"/>
                <w:szCs w:val="12"/>
                <w:color w:val="auto"/>
              </w:rPr>
            </w:pPr>
          </w:p>
        </w:tc>
        <w:tc>
          <w:tcPr>
            <w:tcW w:w="540" w:type="dxa"/>
            <w:vAlign w:val="bottom"/>
            <w:vMerge w:val="restart"/>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Level 1</w:t>
            </w:r>
          </w:p>
        </w:tc>
        <w:tc>
          <w:tcPr>
            <w:tcW w:w="200" w:type="dxa"/>
            <w:vAlign w:val="bottom"/>
            <w:shd w:val="clear" w:color="auto" w:fill="0C479D"/>
          </w:tcPr>
          <w:p>
            <w:pPr>
              <w:spacing w:after="0"/>
              <w:rPr>
                <w:sz w:val="12"/>
                <w:szCs w:val="12"/>
                <w:color w:val="auto"/>
              </w:rPr>
            </w:pPr>
          </w:p>
        </w:tc>
        <w:tc>
          <w:tcPr>
            <w:tcW w:w="720" w:type="dxa"/>
            <w:vAlign w:val="bottom"/>
            <w:vMerge w:val="restart"/>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Level 2</w:t>
            </w:r>
          </w:p>
        </w:tc>
        <w:tc>
          <w:tcPr>
            <w:tcW w:w="360" w:type="dxa"/>
            <w:vAlign w:val="bottom"/>
            <w:shd w:val="clear" w:color="auto" w:fill="0C479D"/>
          </w:tcPr>
          <w:p>
            <w:pPr>
              <w:spacing w:after="0"/>
              <w:rPr>
                <w:sz w:val="12"/>
                <w:szCs w:val="12"/>
                <w:color w:val="auto"/>
              </w:rPr>
            </w:pPr>
          </w:p>
        </w:tc>
        <w:tc>
          <w:tcPr>
            <w:tcW w:w="780" w:type="dxa"/>
            <w:vAlign w:val="bottom"/>
            <w:vMerge w:val="restart"/>
            <w:shd w:val="clear" w:color="auto" w:fill="0C479D"/>
          </w:tcPr>
          <w:p>
            <w:pPr>
              <w:ind w:left="160"/>
              <w:spacing w:after="0"/>
              <w:rPr>
                <w:sz w:val="20"/>
                <w:szCs w:val="20"/>
                <w:color w:val="auto"/>
              </w:rPr>
            </w:pPr>
            <w:r>
              <w:rPr>
                <w:rFonts w:ascii="Times New Roman" w:cs="Times New Roman" w:eastAsia="Times New Roman" w:hAnsi="Times New Roman"/>
                <w:sz w:val="14"/>
                <w:szCs w:val="14"/>
                <w:b w:val="1"/>
                <w:bCs w:val="1"/>
                <w:color w:val="FFFFFF"/>
              </w:rPr>
              <w:t>Level 3</w:t>
            </w:r>
          </w:p>
        </w:tc>
        <w:tc>
          <w:tcPr>
            <w:tcW w:w="740" w:type="dxa"/>
            <w:vAlign w:val="bottom"/>
            <w:vMerge w:val="restart"/>
            <w:shd w:val="clear" w:color="auto" w:fill="0C479D"/>
          </w:tcPr>
          <w:p>
            <w:pPr>
              <w:jc w:val="right"/>
              <w:ind w:right="33"/>
              <w:spacing w:after="0"/>
              <w:rPr>
                <w:sz w:val="20"/>
                <w:szCs w:val="20"/>
                <w:color w:val="auto"/>
              </w:rPr>
            </w:pPr>
            <w:r>
              <w:rPr>
                <w:rFonts w:ascii="Times New Roman" w:cs="Times New Roman" w:eastAsia="Times New Roman" w:hAnsi="Times New Roman"/>
                <w:sz w:val="14"/>
                <w:szCs w:val="14"/>
                <w:b w:val="1"/>
                <w:bCs w:val="1"/>
                <w:color w:val="FFFFFF"/>
              </w:rPr>
              <w:t>Net Asset</w:t>
            </w:r>
          </w:p>
        </w:tc>
        <w:tc>
          <w:tcPr>
            <w:tcW w:w="680" w:type="dxa"/>
            <w:vAlign w:val="bottom"/>
            <w:vMerge w:val="restart"/>
            <w:shd w:val="clear" w:color="auto" w:fill="0C479D"/>
          </w:tcPr>
          <w:p>
            <w:pPr>
              <w:jc w:val="right"/>
              <w:ind w:right="71"/>
              <w:spacing w:after="0"/>
              <w:rPr>
                <w:sz w:val="20"/>
                <w:szCs w:val="20"/>
                <w:color w:val="auto"/>
              </w:rPr>
            </w:pPr>
            <w:r>
              <w:rPr>
                <w:rFonts w:ascii="Times New Roman" w:cs="Times New Roman" w:eastAsia="Times New Roman" w:hAnsi="Times New Roman"/>
                <w:sz w:val="14"/>
                <w:szCs w:val="14"/>
                <w:b w:val="1"/>
                <w:bCs w:val="1"/>
                <w:color w:val="FFFFFF"/>
              </w:rPr>
              <w:t>Total</w:t>
            </w:r>
          </w:p>
        </w:tc>
        <w:tc>
          <w:tcPr>
            <w:tcW w:w="0" w:type="dxa"/>
            <w:vAlign w:val="bottom"/>
          </w:tcPr>
          <w:p>
            <w:pPr>
              <w:spacing w:after="0"/>
              <w:rPr>
                <w:sz w:val="1"/>
                <w:szCs w:val="1"/>
                <w:color w:val="auto"/>
              </w:rPr>
            </w:pPr>
          </w:p>
        </w:tc>
      </w:tr>
      <w:tr>
        <w:trPr>
          <w:trHeight w:val="148"/>
        </w:trPr>
        <w:tc>
          <w:tcPr>
            <w:tcW w:w="1580" w:type="dxa"/>
            <w:vAlign w:val="bottom"/>
            <w:shd w:val="clear" w:color="auto" w:fill="0C479D"/>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continue"/>
            <w:shd w:val="clear" w:color="auto" w:fill="0C479D"/>
          </w:tcPr>
          <w:p>
            <w:pPr>
              <w:spacing w:after="0"/>
              <w:rPr>
                <w:sz w:val="12"/>
                <w:szCs w:val="12"/>
                <w:color w:val="auto"/>
              </w:rPr>
            </w:pPr>
          </w:p>
        </w:tc>
        <w:tc>
          <w:tcPr>
            <w:tcW w:w="660" w:type="dxa"/>
            <w:vAlign w:val="bottom"/>
            <w:vMerge w:val="continue"/>
            <w:shd w:val="clear" w:color="auto" w:fill="0C479D"/>
          </w:tcPr>
          <w:p>
            <w:pPr>
              <w:spacing w:after="0"/>
              <w:rPr>
                <w:sz w:val="12"/>
                <w:szCs w:val="12"/>
                <w:color w:val="auto"/>
              </w:rPr>
            </w:pPr>
          </w:p>
        </w:tc>
        <w:tc>
          <w:tcPr>
            <w:tcW w:w="200" w:type="dxa"/>
            <w:vAlign w:val="bottom"/>
            <w:shd w:val="clear" w:color="auto" w:fill="0C479D"/>
          </w:tcPr>
          <w:p>
            <w:pPr>
              <w:spacing w:after="0"/>
              <w:rPr>
                <w:sz w:val="12"/>
                <w:szCs w:val="12"/>
                <w:color w:val="auto"/>
              </w:rPr>
            </w:pPr>
          </w:p>
        </w:tc>
        <w:tc>
          <w:tcPr>
            <w:tcW w:w="940" w:type="dxa"/>
            <w:vAlign w:val="bottom"/>
            <w:vMerge w:val="continue"/>
            <w:shd w:val="clear" w:color="auto" w:fill="0C479D"/>
          </w:tcPr>
          <w:p>
            <w:pPr>
              <w:spacing w:after="0"/>
              <w:rPr>
                <w:sz w:val="12"/>
                <w:szCs w:val="12"/>
                <w:color w:val="auto"/>
              </w:rPr>
            </w:pPr>
          </w:p>
        </w:tc>
        <w:tc>
          <w:tcPr>
            <w:tcW w:w="600" w:type="dxa"/>
            <w:vAlign w:val="bottom"/>
            <w:shd w:val="clear" w:color="auto" w:fill="0C479D"/>
          </w:tcPr>
          <w:p>
            <w:pPr>
              <w:jc w:val="center"/>
              <w:ind w:right="34"/>
              <w:spacing w:after="0" w:line="149" w:lineRule="exact"/>
              <w:rPr>
                <w:sz w:val="20"/>
                <w:szCs w:val="20"/>
                <w:color w:val="auto"/>
              </w:rPr>
            </w:pPr>
            <w:r>
              <w:rPr>
                <w:rFonts w:ascii="Times New Roman" w:cs="Times New Roman" w:eastAsia="Times New Roman" w:hAnsi="Times New Roman"/>
                <w:sz w:val="14"/>
                <w:szCs w:val="14"/>
                <w:b w:val="1"/>
                <w:bCs w:val="1"/>
                <w:color w:val="FFFFFF"/>
              </w:rPr>
              <w:t>Asset</w:t>
            </w:r>
          </w:p>
        </w:tc>
        <w:tc>
          <w:tcPr>
            <w:tcW w:w="720" w:type="dxa"/>
            <w:vAlign w:val="bottom"/>
            <w:vMerge w:val="continue"/>
            <w:shd w:val="clear" w:color="auto" w:fill="0C479D"/>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continue"/>
            <w:shd w:val="clear" w:color="auto" w:fill="0C479D"/>
          </w:tcPr>
          <w:p>
            <w:pPr>
              <w:spacing w:after="0"/>
              <w:rPr>
                <w:sz w:val="12"/>
                <w:szCs w:val="12"/>
                <w:color w:val="auto"/>
              </w:rPr>
            </w:pPr>
          </w:p>
        </w:tc>
        <w:tc>
          <w:tcPr>
            <w:tcW w:w="200" w:type="dxa"/>
            <w:vAlign w:val="bottom"/>
            <w:shd w:val="clear" w:color="auto" w:fill="0C479D"/>
          </w:tcPr>
          <w:p>
            <w:pPr>
              <w:spacing w:after="0"/>
              <w:rPr>
                <w:sz w:val="12"/>
                <w:szCs w:val="12"/>
                <w:color w:val="auto"/>
              </w:rPr>
            </w:pPr>
          </w:p>
        </w:tc>
        <w:tc>
          <w:tcPr>
            <w:tcW w:w="720" w:type="dxa"/>
            <w:vAlign w:val="bottom"/>
            <w:vMerge w:val="continue"/>
            <w:shd w:val="clear" w:color="auto" w:fill="0C479D"/>
          </w:tcPr>
          <w:p>
            <w:pPr>
              <w:spacing w:after="0"/>
              <w:rPr>
                <w:sz w:val="12"/>
                <w:szCs w:val="12"/>
                <w:color w:val="auto"/>
              </w:rPr>
            </w:pPr>
          </w:p>
        </w:tc>
        <w:tc>
          <w:tcPr>
            <w:tcW w:w="360" w:type="dxa"/>
            <w:vAlign w:val="bottom"/>
            <w:shd w:val="clear" w:color="auto" w:fill="0C479D"/>
          </w:tcPr>
          <w:p>
            <w:pPr>
              <w:spacing w:after="0"/>
              <w:rPr>
                <w:sz w:val="12"/>
                <w:szCs w:val="12"/>
                <w:color w:val="auto"/>
              </w:rPr>
            </w:pPr>
          </w:p>
        </w:tc>
        <w:tc>
          <w:tcPr>
            <w:tcW w:w="780" w:type="dxa"/>
            <w:vAlign w:val="bottom"/>
            <w:vMerge w:val="continue"/>
            <w:shd w:val="clear" w:color="auto" w:fill="0C479D"/>
          </w:tcPr>
          <w:p>
            <w:pPr>
              <w:spacing w:after="0"/>
              <w:rPr>
                <w:sz w:val="12"/>
                <w:szCs w:val="12"/>
                <w:color w:val="auto"/>
              </w:rPr>
            </w:pPr>
          </w:p>
        </w:tc>
        <w:tc>
          <w:tcPr>
            <w:tcW w:w="740" w:type="dxa"/>
            <w:vAlign w:val="bottom"/>
            <w:vMerge w:val="continue"/>
            <w:shd w:val="clear" w:color="auto" w:fill="0C479D"/>
          </w:tcPr>
          <w:p>
            <w:pPr>
              <w:spacing w:after="0"/>
              <w:rPr>
                <w:sz w:val="12"/>
                <w:szCs w:val="12"/>
                <w:color w:val="auto"/>
              </w:rPr>
            </w:pPr>
          </w:p>
        </w:tc>
        <w:tc>
          <w:tcPr>
            <w:tcW w:w="680" w:type="dxa"/>
            <w:vAlign w:val="bottom"/>
            <w:vMerge w:val="continue"/>
            <w:shd w:val="clear" w:color="auto" w:fill="0C479D"/>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1580" w:type="dxa"/>
            <w:vAlign w:val="bottom"/>
            <w:shd w:val="clear" w:color="auto" w:fill="0C479D"/>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shd w:val="clear" w:color="auto" w:fill="0C479D"/>
          </w:tcPr>
          <w:p>
            <w:pPr>
              <w:spacing w:after="0"/>
              <w:rPr>
                <w:sz w:val="17"/>
                <w:szCs w:val="17"/>
                <w:color w:val="auto"/>
              </w:rPr>
            </w:pPr>
          </w:p>
        </w:tc>
        <w:tc>
          <w:tcPr>
            <w:tcW w:w="660" w:type="dxa"/>
            <w:vAlign w:val="bottom"/>
            <w:shd w:val="clear" w:color="auto" w:fill="0C479D"/>
          </w:tcPr>
          <w:p>
            <w:pPr>
              <w:spacing w:after="0"/>
              <w:rPr>
                <w:sz w:val="17"/>
                <w:szCs w:val="17"/>
                <w:color w:val="auto"/>
              </w:rPr>
            </w:pPr>
          </w:p>
        </w:tc>
        <w:tc>
          <w:tcPr>
            <w:tcW w:w="200" w:type="dxa"/>
            <w:vAlign w:val="bottom"/>
            <w:shd w:val="clear" w:color="auto" w:fill="0C479D"/>
          </w:tcPr>
          <w:p>
            <w:pPr>
              <w:spacing w:after="0"/>
              <w:rPr>
                <w:sz w:val="17"/>
                <w:szCs w:val="17"/>
                <w:color w:val="auto"/>
              </w:rPr>
            </w:pPr>
          </w:p>
        </w:tc>
        <w:tc>
          <w:tcPr>
            <w:tcW w:w="940" w:type="dxa"/>
            <w:vAlign w:val="bottom"/>
            <w:shd w:val="clear" w:color="auto" w:fill="0C479D"/>
          </w:tcPr>
          <w:p>
            <w:pPr>
              <w:spacing w:after="0"/>
              <w:rPr>
                <w:sz w:val="17"/>
                <w:szCs w:val="17"/>
                <w:color w:val="auto"/>
              </w:rPr>
            </w:pPr>
          </w:p>
        </w:tc>
        <w:tc>
          <w:tcPr>
            <w:tcW w:w="600" w:type="dxa"/>
            <w:vAlign w:val="bottom"/>
            <w:shd w:val="clear" w:color="auto" w:fill="0C479D"/>
          </w:tcPr>
          <w:p>
            <w:pPr>
              <w:jc w:val="center"/>
              <w:ind w:right="14"/>
              <w:spacing w:after="0"/>
              <w:rPr>
                <w:sz w:val="20"/>
                <w:szCs w:val="20"/>
                <w:color w:val="auto"/>
              </w:rPr>
            </w:pPr>
            <w:r>
              <w:rPr>
                <w:rFonts w:ascii="Times New Roman" w:cs="Times New Roman" w:eastAsia="Times New Roman" w:hAnsi="Times New Roman"/>
                <w:sz w:val="14"/>
                <w:szCs w:val="14"/>
                <w:b w:val="1"/>
                <w:bCs w:val="1"/>
                <w:color w:val="FFFFFF"/>
                <w:w w:val="97"/>
              </w:rPr>
              <w:t>Value</w:t>
            </w:r>
          </w:p>
        </w:tc>
        <w:tc>
          <w:tcPr>
            <w:tcW w:w="720" w:type="dxa"/>
            <w:vAlign w:val="bottom"/>
            <w:shd w:val="clear" w:color="auto" w:fill="0C479D"/>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shd w:val="clear" w:color="auto" w:fill="0C479D"/>
          </w:tcPr>
          <w:p>
            <w:pPr>
              <w:spacing w:after="0"/>
              <w:rPr>
                <w:sz w:val="17"/>
                <w:szCs w:val="17"/>
                <w:color w:val="auto"/>
              </w:rPr>
            </w:pPr>
          </w:p>
        </w:tc>
        <w:tc>
          <w:tcPr>
            <w:tcW w:w="200" w:type="dxa"/>
            <w:vAlign w:val="bottom"/>
            <w:shd w:val="clear" w:color="auto" w:fill="0C479D"/>
          </w:tcPr>
          <w:p>
            <w:pPr>
              <w:spacing w:after="0"/>
              <w:rPr>
                <w:sz w:val="17"/>
                <w:szCs w:val="17"/>
                <w:color w:val="auto"/>
              </w:rPr>
            </w:pPr>
          </w:p>
        </w:tc>
        <w:tc>
          <w:tcPr>
            <w:tcW w:w="720" w:type="dxa"/>
            <w:vAlign w:val="bottom"/>
            <w:shd w:val="clear" w:color="auto" w:fill="0C479D"/>
          </w:tcPr>
          <w:p>
            <w:pPr>
              <w:spacing w:after="0"/>
              <w:rPr>
                <w:sz w:val="17"/>
                <w:szCs w:val="17"/>
                <w:color w:val="auto"/>
              </w:rPr>
            </w:pPr>
          </w:p>
        </w:tc>
        <w:tc>
          <w:tcPr>
            <w:tcW w:w="360" w:type="dxa"/>
            <w:vAlign w:val="bottom"/>
            <w:shd w:val="clear" w:color="auto" w:fill="0C479D"/>
          </w:tcPr>
          <w:p>
            <w:pPr>
              <w:spacing w:after="0"/>
              <w:rPr>
                <w:sz w:val="17"/>
                <w:szCs w:val="17"/>
                <w:color w:val="auto"/>
              </w:rPr>
            </w:pPr>
          </w:p>
        </w:tc>
        <w:tc>
          <w:tcPr>
            <w:tcW w:w="780" w:type="dxa"/>
            <w:vAlign w:val="bottom"/>
            <w:shd w:val="clear" w:color="auto" w:fill="0C479D"/>
          </w:tcPr>
          <w:p>
            <w:pPr>
              <w:spacing w:after="0"/>
              <w:rPr>
                <w:sz w:val="17"/>
                <w:szCs w:val="17"/>
                <w:color w:val="auto"/>
              </w:rPr>
            </w:pPr>
          </w:p>
        </w:tc>
        <w:tc>
          <w:tcPr>
            <w:tcW w:w="740" w:type="dxa"/>
            <w:vAlign w:val="bottom"/>
            <w:shd w:val="clear" w:color="auto" w:fill="0C479D"/>
          </w:tcPr>
          <w:p>
            <w:pPr>
              <w:jc w:val="right"/>
              <w:ind w:right="153"/>
              <w:spacing w:after="0"/>
              <w:rPr>
                <w:sz w:val="20"/>
                <w:szCs w:val="20"/>
                <w:color w:val="auto"/>
              </w:rPr>
            </w:pPr>
            <w:r>
              <w:rPr>
                <w:rFonts w:ascii="Times New Roman" w:cs="Times New Roman" w:eastAsia="Times New Roman" w:hAnsi="Times New Roman"/>
                <w:sz w:val="14"/>
                <w:szCs w:val="14"/>
                <w:b w:val="1"/>
                <w:bCs w:val="1"/>
                <w:color w:val="FFFFFF"/>
              </w:rPr>
              <w:t>Value</w:t>
            </w:r>
          </w:p>
        </w:tc>
        <w:tc>
          <w:tcPr>
            <w:tcW w:w="680" w:type="dxa"/>
            <w:vAlign w:val="bottom"/>
            <w:shd w:val="clear" w:color="auto" w:fill="0C479D"/>
          </w:tcPr>
          <w:p>
            <w:pPr>
              <w:spacing w:after="0"/>
              <w:rPr>
                <w:sz w:val="17"/>
                <w:szCs w:val="17"/>
                <w:color w:val="auto"/>
              </w:rPr>
            </w:pPr>
          </w:p>
        </w:tc>
        <w:tc>
          <w:tcPr>
            <w:tcW w:w="0" w:type="dxa"/>
            <w:vAlign w:val="bottom"/>
          </w:tcPr>
          <w:p>
            <w:pPr>
              <w:spacing w:after="0"/>
              <w:rPr>
                <w:sz w:val="1"/>
                <w:szCs w:val="1"/>
                <w:color w:val="auto"/>
              </w:rPr>
            </w:pPr>
          </w:p>
        </w:tc>
      </w:tr>
      <w:tr>
        <w:trPr>
          <w:trHeight w:val="473"/>
        </w:trPr>
        <w:tc>
          <w:tcPr>
            <w:tcW w:w="1580" w:type="dxa"/>
            <w:vAlign w:val="bottom"/>
          </w:tcPr>
          <w:p>
            <w:pPr>
              <w:spacing w:after="0"/>
              <w:rPr>
                <w:sz w:val="20"/>
                <w:szCs w:val="20"/>
                <w:color w:val="auto"/>
              </w:rPr>
            </w:pPr>
            <w:r>
              <w:rPr>
                <w:rFonts w:ascii="Times New Roman" w:cs="Times New Roman" w:eastAsia="Times New Roman" w:hAnsi="Times New Roman"/>
                <w:sz w:val="18"/>
                <w:szCs w:val="18"/>
                <w:b w:val="1"/>
                <w:bCs w:val="1"/>
                <w:color w:val="0C479D"/>
              </w:rPr>
              <w:t>Asset category:</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1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tcPr>
          <w:p>
            <w:pPr>
              <w:spacing w:after="0"/>
              <w:rPr>
                <w:sz w:val="24"/>
                <w:szCs w:val="24"/>
                <w:color w:val="auto"/>
              </w:rPr>
            </w:pPr>
          </w:p>
        </w:tc>
        <w:tc>
          <w:tcPr>
            <w:tcW w:w="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2,114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i w:val="1"/>
                <w:iCs w:val="1"/>
                <w:color w:val="auto"/>
              </w:rPr>
              <w:t>(1)</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2,642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0" w:type="dxa"/>
            <w:vAlign w:val="bottom"/>
          </w:tcPr>
          <w:p>
            <w:pPr>
              <w:spacing w:after="0"/>
              <w:rPr>
                <w:sz w:val="1"/>
                <w:szCs w:val="1"/>
                <w:color w:val="auto"/>
              </w:rPr>
            </w:pPr>
          </w:p>
        </w:tc>
      </w:tr>
      <w:tr>
        <w:trPr>
          <w:trHeight w:val="270"/>
        </w:trPr>
        <w:tc>
          <w:tcPr>
            <w:tcW w:w="1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Non-U.S.</w:t>
            </w:r>
          </w:p>
        </w:tc>
        <w:tc>
          <w:tcPr>
            <w:tcW w:w="120" w:type="dxa"/>
            <w:vAlign w:val="bottom"/>
          </w:tcPr>
          <w:p>
            <w:pPr>
              <w:spacing w:after="0"/>
              <w:rPr>
                <w:sz w:val="23"/>
                <w:szCs w:val="23"/>
                <w:color w:val="auto"/>
              </w:rPr>
            </w:pPr>
          </w:p>
        </w:tc>
        <w:tc>
          <w:tcPr>
            <w:tcW w:w="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1,344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vMerge w:val="continue"/>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1,688</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0" w:type="dxa"/>
            <w:vAlign w:val="bottom"/>
          </w:tcPr>
          <w:p>
            <w:pPr>
              <w:spacing w:after="0"/>
              <w:rPr>
                <w:sz w:val="1"/>
                <w:szCs w:val="1"/>
                <w:color w:val="auto"/>
              </w:rPr>
            </w:pPr>
          </w:p>
        </w:tc>
      </w:tr>
      <w:tr>
        <w:trPr>
          <w:trHeight w:val="270"/>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Private equity</w:t>
            </w:r>
          </w:p>
        </w:tc>
        <w:tc>
          <w:tcPr>
            <w:tcW w:w="120" w:type="dxa"/>
            <w:vAlign w:val="bottom"/>
          </w:tcPr>
          <w:p>
            <w:pPr>
              <w:spacing w:after="0"/>
              <w:rPr>
                <w:sz w:val="23"/>
                <w:szCs w:val="23"/>
                <w:color w:val="auto"/>
              </w:rPr>
            </w:pPr>
          </w:p>
        </w:tc>
        <w:tc>
          <w:tcPr>
            <w:tcW w:w="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375</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294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43"/>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Debt securities</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5"/>
        </w:trPr>
        <w:tc>
          <w:tcPr>
            <w:tcW w:w="1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w:t>
            </w:r>
          </w:p>
        </w:tc>
        <w:tc>
          <w:tcPr>
            <w:tcW w:w="120" w:type="dxa"/>
            <w:vAlign w:val="bottom"/>
          </w:tcPr>
          <w:p>
            <w:pPr>
              <w:spacing w:after="0"/>
              <w:rPr>
                <w:sz w:val="24"/>
                <w:szCs w:val="24"/>
                <w:color w:val="auto"/>
              </w:rPr>
            </w:pPr>
          </w:p>
        </w:tc>
        <w:tc>
          <w:tcPr>
            <w:tcW w:w="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4,699</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i w:val="1"/>
                <w:iCs w:val="1"/>
                <w:color w:val="auto"/>
              </w:rPr>
              <w:t>(2)</w:t>
            </w:r>
          </w:p>
        </w:tc>
        <w:tc>
          <w:tcPr>
            <w:tcW w:w="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60" w:type="dxa"/>
            <w:vAlign w:val="bottom"/>
          </w:tcPr>
          <w:p>
            <w:pPr>
              <w:jc w:val="right"/>
              <w:ind w:right="102"/>
              <w:spacing w:after="0"/>
              <w:rPr>
                <w:sz w:val="20"/>
                <w:szCs w:val="20"/>
                <w:color w:val="auto"/>
              </w:rPr>
            </w:pPr>
            <w:r>
              <w:rPr>
                <w:rFonts w:ascii="Times New Roman" w:cs="Times New Roman" w:eastAsia="Times New Roman" w:hAnsi="Times New Roman"/>
                <w:sz w:val="11"/>
                <w:szCs w:val="11"/>
                <w:i w:val="1"/>
                <w:iCs w:val="1"/>
                <w:color w:val="auto"/>
              </w:rPr>
              <w:t>(2)</w:t>
            </w:r>
          </w:p>
        </w:tc>
        <w:tc>
          <w:tcPr>
            <w:tcW w:w="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4,370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0" w:type="dxa"/>
            <w:vAlign w:val="bottom"/>
          </w:tcPr>
          <w:p>
            <w:pPr>
              <w:spacing w:after="0"/>
              <w:rPr>
                <w:sz w:val="1"/>
                <w:szCs w:val="1"/>
                <w:color w:val="auto"/>
              </w:rPr>
            </w:pPr>
          </w:p>
        </w:tc>
      </w:tr>
      <w:tr>
        <w:trPr>
          <w:trHeight w:val="270"/>
        </w:trPr>
        <w:tc>
          <w:tcPr>
            <w:tcW w:w="1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Government</w:t>
            </w:r>
          </w:p>
        </w:tc>
        <w:tc>
          <w:tcPr>
            <w:tcW w:w="120" w:type="dxa"/>
            <w:vAlign w:val="bottom"/>
          </w:tcPr>
          <w:p>
            <w:pPr>
              <w:spacing w:after="0"/>
              <w:rPr>
                <w:sz w:val="23"/>
                <w:szCs w:val="23"/>
                <w:color w:val="auto"/>
              </w:rPr>
            </w:pPr>
          </w:p>
        </w:tc>
        <w:tc>
          <w:tcPr>
            <w:tcW w:w="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i w:val="1"/>
                <w:iCs w:val="1"/>
                <w:color w:val="auto"/>
              </w:rPr>
              <w:t>(2)</w:t>
            </w:r>
          </w:p>
        </w:tc>
        <w:tc>
          <w:tcPr>
            <w:tcW w:w="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i w:val="1"/>
                <w:iCs w:val="1"/>
                <w:color w:val="auto"/>
              </w:rPr>
              <w:t>(3)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360" w:type="dxa"/>
            <w:vAlign w:val="bottom"/>
          </w:tcPr>
          <w:p>
            <w:pPr>
              <w:jc w:val="right"/>
              <w:ind w:right="102"/>
              <w:spacing w:after="0"/>
              <w:rPr>
                <w:sz w:val="20"/>
                <w:szCs w:val="20"/>
                <w:color w:val="auto"/>
              </w:rPr>
            </w:pPr>
            <w:r>
              <w:rPr>
                <w:rFonts w:ascii="Times New Roman" w:cs="Times New Roman" w:eastAsia="Times New Roman" w:hAnsi="Times New Roman"/>
                <w:sz w:val="11"/>
                <w:szCs w:val="11"/>
                <w:i w:val="1"/>
                <w:iCs w:val="1"/>
                <w:color w:val="auto"/>
              </w:rPr>
              <w:t>(2)</w:t>
            </w:r>
          </w:p>
        </w:tc>
        <w:tc>
          <w:tcPr>
            <w:tcW w:w="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8,429</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8,734</w:t>
            </w:r>
          </w:p>
        </w:tc>
        <w:tc>
          <w:tcPr>
            <w:tcW w:w="0" w:type="dxa"/>
            <w:vAlign w:val="bottom"/>
          </w:tcPr>
          <w:p>
            <w:pPr>
              <w:spacing w:after="0"/>
              <w:rPr>
                <w:sz w:val="1"/>
                <w:szCs w:val="1"/>
                <w:color w:val="auto"/>
              </w:rPr>
            </w:pPr>
          </w:p>
        </w:tc>
      </w:tr>
      <w:tr>
        <w:trPr>
          <w:trHeight w:val="272"/>
        </w:trPr>
        <w:tc>
          <w:tcPr>
            <w:tcW w:w="1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Asset-backed</w:t>
            </w:r>
          </w:p>
        </w:tc>
        <w:tc>
          <w:tcPr>
            <w:tcW w:w="120" w:type="dxa"/>
            <w:vAlign w:val="bottom"/>
          </w:tcPr>
          <w:p>
            <w:pPr>
              <w:spacing w:after="0"/>
              <w:rPr>
                <w:sz w:val="23"/>
                <w:szCs w:val="23"/>
                <w:color w:val="auto"/>
              </w:rPr>
            </w:pPr>
          </w:p>
        </w:tc>
        <w:tc>
          <w:tcPr>
            <w:tcW w:w="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60" w:type="dxa"/>
            <w:vAlign w:val="bottom"/>
          </w:tcPr>
          <w:p>
            <w:pPr>
              <w:jc w:val="right"/>
              <w:ind w:right="102"/>
              <w:spacing w:after="0"/>
              <w:rPr>
                <w:sz w:val="20"/>
                <w:szCs w:val="20"/>
                <w:color w:val="auto"/>
              </w:rPr>
            </w:pPr>
            <w:r>
              <w:rPr>
                <w:rFonts w:ascii="Times New Roman" w:cs="Times New Roman" w:eastAsia="Times New Roman" w:hAnsi="Times New Roman"/>
                <w:sz w:val="11"/>
                <w:szCs w:val="11"/>
                <w:i w:val="1"/>
                <w:iCs w:val="1"/>
                <w:color w:val="auto"/>
              </w:rPr>
              <w:t>(2)</w:t>
            </w:r>
          </w:p>
        </w:tc>
        <w:tc>
          <w:tcPr>
            <w:tcW w:w="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221</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70"/>
        </w:trPr>
        <w:tc>
          <w:tcPr>
            <w:tcW w:w="1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23"/>
                <w:szCs w:val="23"/>
                <w:color w:val="auto"/>
              </w:rPr>
            </w:pPr>
          </w:p>
        </w:tc>
        <w:tc>
          <w:tcPr>
            <w:tcW w:w="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3"/>
                <w:szCs w:val="23"/>
                <w:color w:val="auto"/>
              </w:rPr>
            </w:pPr>
          </w:p>
        </w:tc>
        <w:tc>
          <w:tcPr>
            <w:tcW w:w="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0"/>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Real Estate</w:t>
            </w:r>
          </w:p>
        </w:tc>
        <w:tc>
          <w:tcPr>
            <w:tcW w:w="120" w:type="dxa"/>
            <w:vAlign w:val="bottom"/>
          </w:tcPr>
          <w:p>
            <w:pPr>
              <w:spacing w:after="0"/>
              <w:rPr>
                <w:sz w:val="23"/>
                <w:szCs w:val="23"/>
                <w:color w:val="auto"/>
              </w:rPr>
            </w:pPr>
          </w:p>
        </w:tc>
        <w:tc>
          <w:tcPr>
            <w:tcW w:w="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9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vMerge w:val="restart"/>
          </w:tcPr>
          <w:p>
            <w:pPr>
              <w:jc w:val="right"/>
              <w:ind w:right="102"/>
              <w:spacing w:after="0"/>
              <w:rPr>
                <w:sz w:val="20"/>
                <w:szCs w:val="20"/>
                <w:color w:val="auto"/>
              </w:rPr>
            </w:pPr>
            <w:r>
              <w:rPr>
                <w:rFonts w:ascii="Times New Roman" w:cs="Times New Roman" w:eastAsia="Times New Roman" w:hAnsi="Times New Roman"/>
                <w:sz w:val="11"/>
                <w:szCs w:val="11"/>
                <w:i w:val="1"/>
                <w:iCs w:val="1"/>
                <w:color w:val="auto"/>
              </w:rPr>
              <w:t>(4)</w:t>
            </w:r>
          </w:p>
        </w:tc>
        <w:tc>
          <w:tcPr>
            <w:tcW w:w="7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70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70"/>
        </w:trPr>
        <w:tc>
          <w:tcPr>
            <w:tcW w:w="158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tcBorders>
              <w:bottom w:val="single" w:sz="8" w:color="0C479D"/>
            </w:tcBorders>
          </w:tcPr>
          <w:p>
            <w:pPr>
              <w:spacing w:after="0"/>
              <w:rPr>
                <w:sz w:val="23"/>
                <w:szCs w:val="23"/>
                <w:color w:val="auto"/>
              </w:rPr>
            </w:pPr>
          </w:p>
        </w:tc>
        <w:tc>
          <w:tcPr>
            <w:tcW w:w="540" w:type="dxa"/>
            <w:vAlign w:val="bottom"/>
            <w:tcBorders>
              <w:bottom w:val="single" w:sz="8" w:color="0C479D"/>
            </w:tcBorders>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0C479D"/>
            </w:tcBorders>
          </w:tcPr>
          <w:p>
            <w:pPr>
              <w:spacing w:after="0"/>
              <w:rPr>
                <w:sz w:val="23"/>
                <w:szCs w:val="23"/>
                <w:color w:val="auto"/>
              </w:rPr>
            </w:pPr>
          </w:p>
        </w:tc>
        <w:tc>
          <w:tcPr>
            <w:tcW w:w="940" w:type="dxa"/>
            <w:vAlign w:val="bottom"/>
            <w:tcBorders>
              <w:bottom w:val="single" w:sz="8" w:color="0C479D"/>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0C479D"/>
            </w:tcBorders>
          </w:tcPr>
          <w:p>
            <w:pPr>
              <w:jc w:val="right"/>
              <w:ind w:right="54"/>
              <w:spacing w:after="0"/>
              <w:rPr>
                <w:sz w:val="20"/>
                <w:szCs w:val="20"/>
                <w:color w:val="auto"/>
              </w:rPr>
            </w:pPr>
            <w:r>
              <w:rPr>
                <w:rFonts w:ascii="Times New Roman" w:cs="Times New Roman" w:eastAsia="Times New Roman" w:hAnsi="Times New Roman"/>
                <w:sz w:val="18"/>
                <w:szCs w:val="18"/>
                <w:color w:val="auto"/>
              </w:rPr>
              <w:t>178</w:t>
            </w:r>
          </w:p>
        </w:tc>
        <w:tc>
          <w:tcPr>
            <w:tcW w:w="7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660" w:type="dxa"/>
            <w:vAlign w:val="bottom"/>
            <w:tcBorders>
              <w:bottom w:val="single" w:sz="8" w:color="0C479D"/>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00" w:type="dxa"/>
            <w:vAlign w:val="bottom"/>
            <w:tcBorders>
              <w:bottom w:val="single" w:sz="8" w:color="0C479D"/>
            </w:tcBorders>
          </w:tcPr>
          <w:p>
            <w:pPr>
              <w:spacing w:after="0"/>
              <w:rPr>
                <w:sz w:val="23"/>
                <w:szCs w:val="23"/>
                <w:color w:val="auto"/>
              </w:rPr>
            </w:pPr>
          </w:p>
        </w:tc>
        <w:tc>
          <w:tcPr>
            <w:tcW w:w="7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60" w:type="dxa"/>
            <w:vAlign w:val="bottom"/>
            <w:tcBorders>
              <w:bottom w:val="single" w:sz="8" w:color="0C479D"/>
            </w:tcBorders>
            <w:vMerge w:val="continue"/>
          </w:tcPr>
          <w:p>
            <w:pPr>
              <w:spacing w:after="0"/>
              <w:rPr>
                <w:sz w:val="23"/>
                <w:szCs w:val="23"/>
                <w:color w:val="auto"/>
              </w:rPr>
            </w:pPr>
          </w:p>
        </w:tc>
        <w:tc>
          <w:tcPr>
            <w:tcW w:w="780" w:type="dxa"/>
            <w:vAlign w:val="bottom"/>
            <w:tcBorders>
              <w:bottom w:val="single" w:sz="8" w:color="0C479D"/>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0C479D"/>
            </w:tcBorders>
          </w:tcPr>
          <w:p>
            <w:pPr>
              <w:jc w:val="right"/>
              <w:ind w:right="93"/>
              <w:spacing w:after="0"/>
              <w:rPr>
                <w:sz w:val="20"/>
                <w:szCs w:val="20"/>
                <w:color w:val="auto"/>
              </w:rPr>
            </w:pPr>
            <w:r>
              <w:rPr>
                <w:rFonts w:ascii="Times New Roman" w:cs="Times New Roman" w:eastAsia="Times New Roman" w:hAnsi="Times New Roman"/>
                <w:sz w:val="18"/>
                <w:szCs w:val="18"/>
                <w:color w:val="auto"/>
              </w:rPr>
              <w:t>45</w:t>
            </w:r>
          </w:p>
        </w:tc>
        <w:tc>
          <w:tcPr>
            <w:tcW w:w="6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50"/>
        </w:trPr>
        <w:tc>
          <w:tcPr>
            <w:tcW w:w="158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b w:val="1"/>
                <w:bCs w:val="1"/>
                <w:color w:val="auto"/>
              </w:rPr>
              <w:t>Total at fair value</w:t>
            </w:r>
          </w:p>
        </w:tc>
        <w:tc>
          <w:tcPr>
            <w:tcW w:w="120" w:type="dxa"/>
            <w:vAlign w:val="bottom"/>
            <w:tcBorders>
              <w:bottom w:val="single" w:sz="8" w:color="0C479D"/>
            </w:tcBorders>
          </w:tcPr>
          <w:p>
            <w:pPr>
              <w:spacing w:after="0"/>
              <w:rPr>
                <w:sz w:val="21"/>
                <w:szCs w:val="21"/>
                <w:color w:val="auto"/>
              </w:rPr>
            </w:pPr>
          </w:p>
        </w:tc>
        <w:tc>
          <w:tcPr>
            <w:tcW w:w="540" w:type="dxa"/>
            <w:vAlign w:val="bottom"/>
            <w:tcBorders>
              <w:bottom w:val="single" w:sz="8" w:color="0C479D"/>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7,349</w:t>
            </w:r>
          </w:p>
        </w:tc>
        <w:tc>
          <w:tcPr>
            <w:tcW w:w="200" w:type="dxa"/>
            <w:vAlign w:val="bottom"/>
            <w:tcBorders>
              <w:bottom w:val="single" w:sz="8" w:color="0C479D"/>
            </w:tcBorders>
          </w:tcPr>
          <w:p>
            <w:pPr>
              <w:spacing w:after="0"/>
              <w:rPr>
                <w:sz w:val="21"/>
                <w:szCs w:val="21"/>
                <w:color w:val="auto"/>
              </w:rPr>
            </w:pPr>
          </w:p>
        </w:tc>
        <w:tc>
          <w:tcPr>
            <w:tcW w:w="940" w:type="dxa"/>
            <w:vAlign w:val="bottom"/>
            <w:tcBorders>
              <w:bottom w:val="single" w:sz="8" w:color="0C479D"/>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0C479D"/>
            </w:tcBorders>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4,015</w:t>
            </w:r>
          </w:p>
        </w:tc>
        <w:tc>
          <w:tcPr>
            <w:tcW w:w="7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11,364</w:t>
            </w:r>
          </w:p>
        </w:tc>
        <w:tc>
          <w:tcPr>
            <w:tcW w:w="660" w:type="dxa"/>
            <w:vAlign w:val="bottom"/>
            <w:tcBorders>
              <w:bottom w:val="single" w:sz="8" w:color="0C479D"/>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375</w:t>
            </w:r>
          </w:p>
        </w:tc>
        <w:tc>
          <w:tcPr>
            <w:tcW w:w="200" w:type="dxa"/>
            <w:vAlign w:val="bottom"/>
            <w:tcBorders>
              <w:bottom w:val="single" w:sz="8" w:color="0C479D"/>
            </w:tcBorders>
          </w:tcPr>
          <w:p>
            <w:pPr>
              <w:spacing w:after="0"/>
              <w:rPr>
                <w:sz w:val="21"/>
                <w:szCs w:val="21"/>
                <w:color w:val="auto"/>
              </w:rPr>
            </w:pPr>
          </w:p>
        </w:tc>
        <w:tc>
          <w:tcPr>
            <w:tcW w:w="7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271</w:t>
            </w:r>
          </w:p>
        </w:tc>
        <w:tc>
          <w:tcPr>
            <w:tcW w:w="360" w:type="dxa"/>
            <w:vAlign w:val="bottom"/>
            <w:tcBorders>
              <w:bottom w:val="single" w:sz="8" w:color="0C479D"/>
            </w:tcBorders>
          </w:tcPr>
          <w:p>
            <w:pPr>
              <w:spacing w:after="0"/>
              <w:rPr>
                <w:sz w:val="21"/>
                <w:szCs w:val="21"/>
                <w:color w:val="auto"/>
              </w:rPr>
            </w:pPr>
          </w:p>
        </w:tc>
        <w:tc>
          <w:tcPr>
            <w:tcW w:w="780" w:type="dxa"/>
            <w:vAlign w:val="bottom"/>
            <w:tcBorders>
              <w:bottom w:val="single" w:sz="8" w:color="0C479D"/>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0C479D"/>
            </w:tcBorders>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17,763</w:t>
            </w:r>
          </w:p>
        </w:tc>
        <w:tc>
          <w:tcPr>
            <w:tcW w:w="6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18,409</w:t>
            </w:r>
          </w:p>
        </w:tc>
        <w:tc>
          <w:tcPr>
            <w:tcW w:w="0" w:type="dxa"/>
            <w:vAlign w:val="bottom"/>
          </w:tcPr>
          <w:p>
            <w:pPr>
              <w:spacing w:after="0"/>
              <w:rPr>
                <w:sz w:val="1"/>
                <w:szCs w:val="1"/>
                <w:color w:val="auto"/>
              </w:rPr>
            </w:pPr>
          </w:p>
        </w:tc>
      </w:tr>
      <w:tr>
        <w:trPr>
          <w:trHeight w:val="178"/>
        </w:trPr>
        <w:tc>
          <w:tcPr>
            <w:tcW w:w="15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Insurance contracts</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58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color w:val="auto"/>
              </w:rPr>
              <w:t>at contract value</w:t>
            </w:r>
          </w:p>
        </w:tc>
        <w:tc>
          <w:tcPr>
            <w:tcW w:w="120" w:type="dxa"/>
            <w:vAlign w:val="bottom"/>
            <w:tcBorders>
              <w:bottom w:val="single" w:sz="8" w:color="0C479D"/>
            </w:tcBorders>
          </w:tcPr>
          <w:p>
            <w:pPr>
              <w:spacing w:after="0"/>
              <w:rPr>
                <w:sz w:val="20"/>
                <w:szCs w:val="20"/>
                <w:color w:val="auto"/>
              </w:rPr>
            </w:pPr>
          </w:p>
        </w:tc>
        <w:tc>
          <w:tcPr>
            <w:tcW w:w="540" w:type="dxa"/>
            <w:vAlign w:val="bottom"/>
            <w:tcBorders>
              <w:bottom w:val="single" w:sz="8" w:color="0C479D"/>
            </w:tcBorders>
          </w:tcPr>
          <w:p>
            <w:pPr>
              <w:spacing w:after="0"/>
              <w:rPr>
                <w:sz w:val="20"/>
                <w:szCs w:val="20"/>
                <w:color w:val="auto"/>
              </w:rPr>
            </w:pPr>
          </w:p>
        </w:tc>
        <w:tc>
          <w:tcPr>
            <w:tcW w:w="660" w:type="dxa"/>
            <w:vAlign w:val="bottom"/>
            <w:tcBorders>
              <w:bottom w:val="single" w:sz="8" w:color="0C479D"/>
            </w:tcBorders>
          </w:tcPr>
          <w:p>
            <w:pPr>
              <w:spacing w:after="0"/>
              <w:rPr>
                <w:sz w:val="20"/>
                <w:szCs w:val="20"/>
                <w:color w:val="auto"/>
              </w:rPr>
            </w:pPr>
          </w:p>
        </w:tc>
        <w:tc>
          <w:tcPr>
            <w:tcW w:w="200" w:type="dxa"/>
            <w:vAlign w:val="bottom"/>
            <w:tcBorders>
              <w:bottom w:val="single" w:sz="8" w:color="0C479D"/>
            </w:tcBorders>
          </w:tcPr>
          <w:p>
            <w:pPr>
              <w:spacing w:after="0"/>
              <w:rPr>
                <w:sz w:val="20"/>
                <w:szCs w:val="20"/>
                <w:color w:val="auto"/>
              </w:rPr>
            </w:pPr>
          </w:p>
        </w:tc>
        <w:tc>
          <w:tcPr>
            <w:tcW w:w="940" w:type="dxa"/>
            <w:vAlign w:val="bottom"/>
            <w:tcBorders>
              <w:bottom w:val="single" w:sz="8" w:color="0C479D"/>
            </w:tcBorders>
          </w:tcPr>
          <w:p>
            <w:pPr>
              <w:spacing w:after="0"/>
              <w:rPr>
                <w:sz w:val="20"/>
                <w:szCs w:val="20"/>
                <w:color w:val="auto"/>
              </w:rPr>
            </w:pPr>
          </w:p>
        </w:tc>
        <w:tc>
          <w:tcPr>
            <w:tcW w:w="600" w:type="dxa"/>
            <w:vAlign w:val="bottom"/>
            <w:tcBorders>
              <w:bottom w:val="single" w:sz="8" w:color="0C479D"/>
            </w:tcBorders>
          </w:tcPr>
          <w:p>
            <w:pPr>
              <w:spacing w:after="0"/>
              <w:rPr>
                <w:sz w:val="20"/>
                <w:szCs w:val="20"/>
                <w:color w:val="auto"/>
              </w:rPr>
            </w:pPr>
          </w:p>
        </w:tc>
        <w:tc>
          <w:tcPr>
            <w:tcW w:w="7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0C479D"/>
            </w:tcBorders>
          </w:tcPr>
          <w:p>
            <w:pPr>
              <w:spacing w:after="0"/>
              <w:rPr>
                <w:sz w:val="20"/>
                <w:szCs w:val="20"/>
                <w:color w:val="auto"/>
              </w:rPr>
            </w:pPr>
          </w:p>
        </w:tc>
        <w:tc>
          <w:tcPr>
            <w:tcW w:w="540" w:type="dxa"/>
            <w:vAlign w:val="bottom"/>
            <w:tcBorders>
              <w:bottom w:val="single" w:sz="8" w:color="0C479D"/>
            </w:tcBorders>
          </w:tcPr>
          <w:p>
            <w:pPr>
              <w:spacing w:after="0"/>
              <w:rPr>
                <w:sz w:val="20"/>
                <w:szCs w:val="20"/>
                <w:color w:val="auto"/>
              </w:rPr>
            </w:pPr>
          </w:p>
        </w:tc>
        <w:tc>
          <w:tcPr>
            <w:tcW w:w="200" w:type="dxa"/>
            <w:vAlign w:val="bottom"/>
            <w:tcBorders>
              <w:bottom w:val="single" w:sz="8" w:color="0C479D"/>
            </w:tcBorders>
          </w:tcPr>
          <w:p>
            <w:pPr>
              <w:spacing w:after="0"/>
              <w:rPr>
                <w:sz w:val="20"/>
                <w:szCs w:val="20"/>
                <w:color w:val="auto"/>
              </w:rPr>
            </w:pPr>
          </w:p>
        </w:tc>
        <w:tc>
          <w:tcPr>
            <w:tcW w:w="720" w:type="dxa"/>
            <w:vAlign w:val="bottom"/>
            <w:tcBorders>
              <w:bottom w:val="single" w:sz="8" w:color="0C479D"/>
            </w:tcBorders>
          </w:tcPr>
          <w:p>
            <w:pPr>
              <w:spacing w:after="0"/>
              <w:rPr>
                <w:sz w:val="20"/>
                <w:szCs w:val="20"/>
                <w:color w:val="auto"/>
              </w:rPr>
            </w:pPr>
          </w:p>
        </w:tc>
        <w:tc>
          <w:tcPr>
            <w:tcW w:w="360" w:type="dxa"/>
            <w:vAlign w:val="bottom"/>
            <w:tcBorders>
              <w:bottom w:val="single" w:sz="8" w:color="0C479D"/>
            </w:tcBorders>
          </w:tcPr>
          <w:p>
            <w:pPr>
              <w:spacing w:after="0"/>
              <w:rPr>
                <w:sz w:val="20"/>
                <w:szCs w:val="20"/>
                <w:color w:val="auto"/>
              </w:rPr>
            </w:pPr>
          </w:p>
        </w:tc>
        <w:tc>
          <w:tcPr>
            <w:tcW w:w="780" w:type="dxa"/>
            <w:vAlign w:val="bottom"/>
            <w:tcBorders>
              <w:bottom w:val="single" w:sz="8" w:color="0C479D"/>
            </w:tcBorders>
          </w:tcPr>
          <w:p>
            <w:pPr>
              <w:spacing w:after="0"/>
              <w:rPr>
                <w:sz w:val="20"/>
                <w:szCs w:val="20"/>
                <w:color w:val="auto"/>
              </w:rPr>
            </w:pPr>
          </w:p>
        </w:tc>
        <w:tc>
          <w:tcPr>
            <w:tcW w:w="740" w:type="dxa"/>
            <w:vAlign w:val="bottom"/>
            <w:tcBorders>
              <w:bottom w:val="single" w:sz="8" w:color="0C479D"/>
            </w:tcBorders>
          </w:tcPr>
          <w:p>
            <w:pPr>
              <w:spacing w:after="0"/>
              <w:rPr>
                <w:sz w:val="20"/>
                <w:szCs w:val="20"/>
                <w:color w:val="auto"/>
              </w:rPr>
            </w:pPr>
          </w:p>
        </w:tc>
        <w:tc>
          <w:tcPr>
            <w:tcW w:w="6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3"/>
        </w:trPr>
        <w:tc>
          <w:tcPr>
            <w:tcW w:w="158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b w:val="1"/>
                <w:bCs w:val="1"/>
                <w:color w:val="auto"/>
              </w:rPr>
              <w:t>Total plan assets</w:t>
            </w:r>
          </w:p>
        </w:tc>
        <w:tc>
          <w:tcPr>
            <w:tcW w:w="120" w:type="dxa"/>
            <w:vAlign w:val="bottom"/>
            <w:tcBorders>
              <w:bottom w:val="single" w:sz="8" w:color="0C479D"/>
            </w:tcBorders>
          </w:tcPr>
          <w:p>
            <w:pPr>
              <w:spacing w:after="0"/>
              <w:rPr>
                <w:sz w:val="21"/>
                <w:szCs w:val="21"/>
                <w:color w:val="auto"/>
              </w:rPr>
            </w:pPr>
          </w:p>
        </w:tc>
        <w:tc>
          <w:tcPr>
            <w:tcW w:w="540" w:type="dxa"/>
            <w:vAlign w:val="bottom"/>
            <w:tcBorders>
              <w:bottom w:val="single" w:sz="8" w:color="0C479D"/>
            </w:tcBorders>
          </w:tcPr>
          <w:p>
            <w:pPr>
              <w:spacing w:after="0"/>
              <w:rPr>
                <w:sz w:val="21"/>
                <w:szCs w:val="21"/>
                <w:color w:val="auto"/>
              </w:rPr>
            </w:pPr>
          </w:p>
        </w:tc>
        <w:tc>
          <w:tcPr>
            <w:tcW w:w="660" w:type="dxa"/>
            <w:vAlign w:val="bottom"/>
            <w:tcBorders>
              <w:bottom w:val="single" w:sz="8" w:color="0C479D"/>
            </w:tcBorders>
          </w:tcPr>
          <w:p>
            <w:pPr>
              <w:spacing w:after="0"/>
              <w:rPr>
                <w:sz w:val="21"/>
                <w:szCs w:val="21"/>
                <w:color w:val="auto"/>
              </w:rPr>
            </w:pPr>
          </w:p>
        </w:tc>
        <w:tc>
          <w:tcPr>
            <w:tcW w:w="200" w:type="dxa"/>
            <w:vAlign w:val="bottom"/>
            <w:tcBorders>
              <w:bottom w:val="single" w:sz="8" w:color="0C479D"/>
            </w:tcBorders>
          </w:tcPr>
          <w:p>
            <w:pPr>
              <w:spacing w:after="0"/>
              <w:rPr>
                <w:sz w:val="21"/>
                <w:szCs w:val="21"/>
                <w:color w:val="auto"/>
              </w:rPr>
            </w:pPr>
          </w:p>
        </w:tc>
        <w:tc>
          <w:tcPr>
            <w:tcW w:w="940" w:type="dxa"/>
            <w:vAlign w:val="bottom"/>
            <w:tcBorders>
              <w:bottom w:val="single" w:sz="8" w:color="0C479D"/>
            </w:tcBorders>
          </w:tcPr>
          <w:p>
            <w:pPr>
              <w:spacing w:after="0"/>
              <w:rPr>
                <w:sz w:val="21"/>
                <w:szCs w:val="21"/>
                <w:color w:val="auto"/>
              </w:rPr>
            </w:pPr>
          </w:p>
        </w:tc>
        <w:tc>
          <w:tcPr>
            <w:tcW w:w="600" w:type="dxa"/>
            <w:vAlign w:val="bottom"/>
            <w:tcBorders>
              <w:bottom w:val="single" w:sz="8" w:color="0C479D"/>
            </w:tcBorders>
          </w:tcPr>
          <w:p>
            <w:pPr>
              <w:spacing w:after="0"/>
              <w:rPr>
                <w:sz w:val="21"/>
                <w:szCs w:val="21"/>
                <w:color w:val="auto"/>
              </w:rPr>
            </w:pPr>
          </w:p>
        </w:tc>
        <w:tc>
          <w:tcPr>
            <w:tcW w:w="7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11,367</w:t>
            </w:r>
          </w:p>
        </w:tc>
        <w:tc>
          <w:tcPr>
            <w:tcW w:w="120" w:type="dxa"/>
            <w:vAlign w:val="bottom"/>
            <w:tcBorders>
              <w:bottom w:val="single" w:sz="8" w:color="0C479D"/>
            </w:tcBorders>
          </w:tcPr>
          <w:p>
            <w:pPr>
              <w:spacing w:after="0"/>
              <w:rPr>
                <w:sz w:val="21"/>
                <w:szCs w:val="21"/>
                <w:color w:val="auto"/>
              </w:rPr>
            </w:pPr>
          </w:p>
        </w:tc>
        <w:tc>
          <w:tcPr>
            <w:tcW w:w="540" w:type="dxa"/>
            <w:vAlign w:val="bottom"/>
            <w:tcBorders>
              <w:bottom w:val="single" w:sz="8" w:color="0C479D"/>
            </w:tcBorders>
          </w:tcPr>
          <w:p>
            <w:pPr>
              <w:spacing w:after="0"/>
              <w:rPr>
                <w:sz w:val="21"/>
                <w:szCs w:val="21"/>
                <w:color w:val="auto"/>
              </w:rPr>
            </w:pPr>
          </w:p>
        </w:tc>
        <w:tc>
          <w:tcPr>
            <w:tcW w:w="200" w:type="dxa"/>
            <w:vAlign w:val="bottom"/>
            <w:tcBorders>
              <w:bottom w:val="single" w:sz="8" w:color="0C479D"/>
            </w:tcBorders>
          </w:tcPr>
          <w:p>
            <w:pPr>
              <w:spacing w:after="0"/>
              <w:rPr>
                <w:sz w:val="21"/>
                <w:szCs w:val="21"/>
                <w:color w:val="auto"/>
              </w:rPr>
            </w:pPr>
          </w:p>
        </w:tc>
        <w:tc>
          <w:tcPr>
            <w:tcW w:w="720" w:type="dxa"/>
            <w:vAlign w:val="bottom"/>
            <w:tcBorders>
              <w:bottom w:val="single" w:sz="8" w:color="0C479D"/>
            </w:tcBorders>
          </w:tcPr>
          <w:p>
            <w:pPr>
              <w:spacing w:after="0"/>
              <w:rPr>
                <w:sz w:val="21"/>
                <w:szCs w:val="21"/>
                <w:color w:val="auto"/>
              </w:rPr>
            </w:pPr>
          </w:p>
        </w:tc>
        <w:tc>
          <w:tcPr>
            <w:tcW w:w="360" w:type="dxa"/>
            <w:vAlign w:val="bottom"/>
            <w:tcBorders>
              <w:bottom w:val="single" w:sz="8" w:color="0C479D"/>
            </w:tcBorders>
          </w:tcPr>
          <w:p>
            <w:pPr>
              <w:spacing w:after="0"/>
              <w:rPr>
                <w:sz w:val="21"/>
                <w:szCs w:val="21"/>
                <w:color w:val="auto"/>
              </w:rPr>
            </w:pPr>
          </w:p>
        </w:tc>
        <w:tc>
          <w:tcPr>
            <w:tcW w:w="780" w:type="dxa"/>
            <w:vAlign w:val="bottom"/>
            <w:tcBorders>
              <w:bottom w:val="single" w:sz="8" w:color="0C479D"/>
            </w:tcBorders>
          </w:tcPr>
          <w:p>
            <w:pPr>
              <w:spacing w:after="0"/>
              <w:rPr>
                <w:sz w:val="21"/>
                <w:szCs w:val="21"/>
                <w:color w:val="auto"/>
              </w:rPr>
            </w:pPr>
          </w:p>
        </w:tc>
        <w:tc>
          <w:tcPr>
            <w:tcW w:w="740" w:type="dxa"/>
            <w:vAlign w:val="bottom"/>
            <w:tcBorders>
              <w:bottom w:val="single" w:sz="8" w:color="0C479D"/>
            </w:tcBorders>
          </w:tcPr>
          <w:p>
            <w:pPr>
              <w:spacing w:after="0"/>
              <w:rPr>
                <w:sz w:val="21"/>
                <w:szCs w:val="21"/>
                <w:color w:val="auto"/>
              </w:rPr>
            </w:pPr>
          </w:p>
        </w:tc>
        <w:tc>
          <w:tcPr>
            <w:tcW w:w="6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18,431</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1020" w:hanging="137"/>
        <w:spacing w:after="0"/>
        <w:tabs>
          <w:tab w:leader="none" w:pos="1020" w:val="left"/>
        </w:tabs>
        <w:numPr>
          <w:ilvl w:val="0"/>
          <w:numId w:val="59"/>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For non-U.S. equity securities held in separate accounts, fair value is based on observable quoted prices on active exchanges.</w:t>
      </w:r>
    </w:p>
    <w:p>
      <w:pPr>
        <w:spacing w:after="0" w:line="68" w:lineRule="exact"/>
        <w:rPr>
          <w:rFonts w:ascii="Times New Roman" w:cs="Times New Roman" w:eastAsia="Times New Roman" w:hAnsi="Times New Roman"/>
          <w:sz w:val="9"/>
          <w:szCs w:val="9"/>
          <w:i w:val="1"/>
          <w:iCs w:val="1"/>
          <w:color w:val="auto"/>
        </w:rPr>
      </w:pPr>
    </w:p>
    <w:p>
      <w:pPr>
        <w:ind w:left="1020" w:hanging="137"/>
        <w:spacing w:after="0"/>
        <w:tabs>
          <w:tab w:leader="none" w:pos="1020" w:val="left"/>
        </w:tabs>
        <w:numPr>
          <w:ilvl w:val="0"/>
          <w:numId w:val="59"/>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For corporate, government and asset-backed debt securities, fair value is based on observable inputs of comparable market transactions.</w:t>
      </w:r>
    </w:p>
    <w:p>
      <w:pPr>
        <w:spacing w:after="0" w:line="68" w:lineRule="exact"/>
        <w:rPr>
          <w:rFonts w:ascii="Times New Roman" w:cs="Times New Roman" w:eastAsia="Times New Roman" w:hAnsi="Times New Roman"/>
          <w:sz w:val="9"/>
          <w:szCs w:val="9"/>
          <w:i w:val="1"/>
          <w:iCs w:val="1"/>
          <w:color w:val="auto"/>
        </w:rPr>
      </w:pPr>
    </w:p>
    <w:p>
      <w:pPr>
        <w:ind w:left="1020" w:hanging="137"/>
        <w:spacing w:after="0"/>
        <w:tabs>
          <w:tab w:leader="none" w:pos="1020" w:val="left"/>
        </w:tabs>
        <w:numPr>
          <w:ilvl w:val="0"/>
          <w:numId w:val="59"/>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For government debt securities that are traded on active exchanges, fair value is based on observable quoted prices.</w:t>
      </w:r>
    </w:p>
    <w:p>
      <w:pPr>
        <w:spacing w:after="0" w:line="68" w:lineRule="exact"/>
        <w:rPr>
          <w:rFonts w:ascii="Times New Roman" w:cs="Times New Roman" w:eastAsia="Times New Roman" w:hAnsi="Times New Roman"/>
          <w:sz w:val="9"/>
          <w:szCs w:val="9"/>
          <w:i w:val="1"/>
          <w:iCs w:val="1"/>
          <w:color w:val="auto"/>
        </w:rPr>
      </w:pPr>
    </w:p>
    <w:p>
      <w:pPr>
        <w:ind w:left="1020" w:hanging="137"/>
        <w:spacing w:after="0"/>
        <w:tabs>
          <w:tab w:leader="none" w:pos="1020" w:val="left"/>
        </w:tabs>
        <w:numPr>
          <w:ilvl w:val="0"/>
          <w:numId w:val="59"/>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For cash balances that are subject to withdrawal penalties or other adjustments, the fair value is treated as a level 2 input.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78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9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0C479D"/>
              </w:rPr>
              <w:t>Other Postretirement</w:t>
            </w:r>
          </w:p>
        </w:tc>
        <w:tc>
          <w:tcPr>
            <w:tcW w:w="9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60" w:type="dxa"/>
            <w:vAlign w:val="bottom"/>
          </w:tcPr>
          <w:p>
            <w:pPr>
              <w:spacing w:after="0"/>
              <w:rPr>
                <w:sz w:val="2"/>
                <w:szCs w:val="2"/>
                <w:color w:val="auto"/>
              </w:rPr>
            </w:pPr>
          </w:p>
        </w:tc>
        <w:tc>
          <w:tcPr>
            <w:tcW w:w="740" w:type="dxa"/>
            <w:vAlign w:val="bottom"/>
            <w:tcBorders>
              <w:bottom w:val="single" w:sz="8" w:color="0C479D"/>
            </w:tcBorders>
          </w:tcPr>
          <w:p>
            <w:pPr>
              <w:spacing w:after="0"/>
              <w:rPr>
                <w:sz w:val="2"/>
                <w:szCs w:val="2"/>
                <w:color w:val="auto"/>
              </w:rPr>
            </w:pPr>
          </w:p>
        </w:tc>
        <w:tc>
          <w:tcPr>
            <w:tcW w:w="3400" w:type="dxa"/>
            <w:vAlign w:val="bottom"/>
            <w:tcBorders>
              <w:bottom w:val="single" w:sz="8" w:color="0C479D"/>
            </w:tcBorders>
            <w:gridSpan w:val="2"/>
          </w:tcPr>
          <w:p>
            <w:pPr>
              <w:spacing w:after="0"/>
              <w:rPr>
                <w:sz w:val="2"/>
                <w:szCs w:val="2"/>
                <w:color w:val="auto"/>
              </w:rPr>
            </w:pPr>
          </w:p>
        </w:tc>
        <w:tc>
          <w:tcPr>
            <w:tcW w:w="920" w:type="dxa"/>
            <w:vAlign w:val="bottom"/>
            <w:tcBorders>
              <w:bottom w:val="single" w:sz="8" w:color="0C479D"/>
            </w:tcBorders>
          </w:tcPr>
          <w:p>
            <w:pPr>
              <w:spacing w:after="0"/>
              <w:rPr>
                <w:sz w:val="2"/>
                <w:szCs w:val="2"/>
                <w:color w:val="auto"/>
              </w:rPr>
            </w:pPr>
          </w:p>
        </w:tc>
        <w:tc>
          <w:tcPr>
            <w:tcW w:w="980" w:type="dxa"/>
            <w:vAlign w:val="bottom"/>
            <w:tcBorders>
              <w:bottom w:val="single" w:sz="8" w:color="0C479D"/>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3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5"/>
        </w:trPr>
        <w:tc>
          <w:tcPr>
            <w:tcW w:w="4400" w:type="dxa"/>
            <w:vAlign w:val="bottom"/>
            <w:gridSpan w:val="2"/>
            <w:vMerge w:val="restart"/>
            <w:shd w:val="clear" w:color="auto" w:fill="0C479D"/>
          </w:tcPr>
          <w:p>
            <w:pPr>
              <w:ind w:left="20"/>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3400" w:type="dxa"/>
            <w:vAlign w:val="bottom"/>
            <w:gridSpan w:val="2"/>
            <w:shd w:val="clear" w:color="auto" w:fill="0C479D"/>
          </w:tcPr>
          <w:p>
            <w:pPr>
              <w:ind w:left="40"/>
              <w:spacing w:after="0"/>
              <w:rPr>
                <w:sz w:val="20"/>
                <w:szCs w:val="20"/>
                <w:color w:val="auto"/>
              </w:rPr>
            </w:pPr>
            <w:r>
              <w:rPr>
                <w:rFonts w:ascii="Times New Roman" w:cs="Times New Roman" w:eastAsia="Times New Roman" w:hAnsi="Times New Roman"/>
                <w:sz w:val="14"/>
                <w:szCs w:val="14"/>
                <w:b w:val="1"/>
                <w:bCs w:val="1"/>
                <w:color w:val="FFFFFF"/>
              </w:rPr>
              <w:t>Fair Value Measurement at December 31, 2023, Using:</w:t>
            </w:r>
          </w:p>
        </w:tc>
        <w:tc>
          <w:tcPr>
            <w:tcW w:w="920" w:type="dxa"/>
            <w:vAlign w:val="bottom"/>
            <w:shd w:val="clear" w:color="auto" w:fill="0C479D"/>
          </w:tcPr>
          <w:p>
            <w:pPr>
              <w:spacing w:after="0"/>
              <w:rPr>
                <w:sz w:val="24"/>
                <w:szCs w:val="24"/>
                <w:color w:val="auto"/>
              </w:rPr>
            </w:pPr>
          </w:p>
        </w:tc>
        <w:tc>
          <w:tcPr>
            <w:tcW w:w="980" w:type="dxa"/>
            <w:vAlign w:val="bottom"/>
            <w:shd w:val="clear" w:color="auto" w:fill="0C479D"/>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400" w:type="dxa"/>
            <w:vAlign w:val="bottom"/>
            <w:gridSpan w:val="2"/>
            <w:vMerge w:val="continue"/>
            <w:shd w:val="clear" w:color="auto" w:fill="0C479D"/>
          </w:tcPr>
          <w:p>
            <w:pPr>
              <w:spacing w:after="0"/>
              <w:rPr>
                <w:sz w:val="10"/>
                <w:szCs w:val="10"/>
                <w:color w:val="auto"/>
              </w:rPr>
            </w:pPr>
          </w:p>
        </w:tc>
        <w:tc>
          <w:tcPr>
            <w:tcW w:w="1500" w:type="dxa"/>
            <w:vAlign w:val="bottom"/>
            <w:shd w:val="clear" w:color="auto" w:fill="0C479D"/>
          </w:tcPr>
          <w:p>
            <w:pPr>
              <w:spacing w:after="0"/>
              <w:rPr>
                <w:sz w:val="10"/>
                <w:szCs w:val="10"/>
                <w:color w:val="auto"/>
              </w:rPr>
            </w:pPr>
          </w:p>
        </w:tc>
        <w:tc>
          <w:tcPr>
            <w:tcW w:w="1900" w:type="dxa"/>
            <w:vAlign w:val="bottom"/>
            <w:shd w:val="clear" w:color="auto" w:fill="0C479D"/>
          </w:tcPr>
          <w:p>
            <w:pPr>
              <w:spacing w:after="0"/>
              <w:rPr>
                <w:sz w:val="10"/>
                <w:szCs w:val="10"/>
                <w:color w:val="auto"/>
              </w:rPr>
            </w:pPr>
          </w:p>
        </w:tc>
        <w:tc>
          <w:tcPr>
            <w:tcW w:w="920" w:type="dxa"/>
            <w:vAlign w:val="bottom"/>
            <w:vMerge w:val="restart"/>
            <w:shd w:val="clear" w:color="auto" w:fill="0C479D"/>
          </w:tcPr>
          <w:p>
            <w:pPr>
              <w:jc w:val="center"/>
              <w:ind w:right="268"/>
              <w:spacing w:after="0"/>
              <w:rPr>
                <w:sz w:val="20"/>
                <w:szCs w:val="20"/>
                <w:color w:val="auto"/>
              </w:rPr>
            </w:pPr>
            <w:r>
              <w:rPr>
                <w:rFonts w:ascii="Times New Roman" w:cs="Times New Roman" w:eastAsia="Times New Roman" w:hAnsi="Times New Roman"/>
                <w:sz w:val="14"/>
                <w:szCs w:val="14"/>
                <w:b w:val="1"/>
                <w:bCs w:val="1"/>
                <w:color w:val="FFFFFF"/>
              </w:rPr>
              <w:t>Net Asset</w:t>
            </w:r>
          </w:p>
        </w:tc>
        <w:tc>
          <w:tcPr>
            <w:tcW w:w="980" w:type="dxa"/>
            <w:vAlign w:val="bottom"/>
            <w:shd w:val="clear" w:color="auto" w:fill="0C479D"/>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660" w:type="dxa"/>
            <w:vAlign w:val="bottom"/>
            <w:shd w:val="clear" w:color="auto" w:fill="0C479D"/>
          </w:tcPr>
          <w:p>
            <w:pPr>
              <w:spacing w:after="0"/>
              <w:rPr>
                <w:sz w:val="12"/>
                <w:szCs w:val="12"/>
                <w:color w:val="auto"/>
              </w:rPr>
            </w:pPr>
          </w:p>
        </w:tc>
        <w:tc>
          <w:tcPr>
            <w:tcW w:w="740" w:type="dxa"/>
            <w:vAlign w:val="bottom"/>
            <w:shd w:val="clear" w:color="auto" w:fill="0C479D"/>
          </w:tcPr>
          <w:p>
            <w:pPr>
              <w:ind w:left="260"/>
              <w:spacing w:after="0" w:line="146" w:lineRule="exact"/>
              <w:rPr>
                <w:sz w:val="20"/>
                <w:szCs w:val="20"/>
                <w:color w:val="auto"/>
              </w:rPr>
            </w:pPr>
            <w:r>
              <w:rPr>
                <w:rFonts w:ascii="Times New Roman" w:cs="Times New Roman" w:eastAsia="Times New Roman" w:hAnsi="Times New Roman"/>
                <w:sz w:val="14"/>
                <w:szCs w:val="14"/>
                <w:b w:val="1"/>
                <w:bCs w:val="1"/>
                <w:color w:val="FFFFFF"/>
              </w:rPr>
              <w:t>Level 1</w:t>
            </w:r>
          </w:p>
        </w:tc>
        <w:tc>
          <w:tcPr>
            <w:tcW w:w="1500" w:type="dxa"/>
            <w:vAlign w:val="bottom"/>
            <w:shd w:val="clear" w:color="auto" w:fill="0C479D"/>
          </w:tcPr>
          <w:p>
            <w:pPr>
              <w:ind w:left="940"/>
              <w:spacing w:after="0" w:line="146" w:lineRule="exact"/>
              <w:rPr>
                <w:sz w:val="20"/>
                <w:szCs w:val="20"/>
                <w:color w:val="auto"/>
              </w:rPr>
            </w:pPr>
            <w:r>
              <w:rPr>
                <w:rFonts w:ascii="Times New Roman" w:cs="Times New Roman" w:eastAsia="Times New Roman" w:hAnsi="Times New Roman"/>
                <w:sz w:val="14"/>
                <w:szCs w:val="14"/>
                <w:b w:val="1"/>
                <w:bCs w:val="1"/>
                <w:color w:val="FFFFFF"/>
              </w:rPr>
              <w:t>Level 2</w:t>
            </w:r>
          </w:p>
        </w:tc>
        <w:tc>
          <w:tcPr>
            <w:tcW w:w="1900" w:type="dxa"/>
            <w:vAlign w:val="bottom"/>
            <w:shd w:val="clear" w:color="auto" w:fill="0C479D"/>
          </w:tcPr>
          <w:p>
            <w:pPr>
              <w:ind w:left="860"/>
              <w:spacing w:after="0" w:line="146" w:lineRule="exact"/>
              <w:rPr>
                <w:sz w:val="20"/>
                <w:szCs w:val="20"/>
                <w:color w:val="auto"/>
              </w:rPr>
            </w:pPr>
            <w:r>
              <w:rPr>
                <w:rFonts w:ascii="Times New Roman" w:cs="Times New Roman" w:eastAsia="Times New Roman" w:hAnsi="Times New Roman"/>
                <w:sz w:val="14"/>
                <w:szCs w:val="14"/>
                <w:b w:val="1"/>
                <w:bCs w:val="1"/>
                <w:color w:val="FFFFFF"/>
              </w:rPr>
              <w:t>Level 3</w:t>
            </w:r>
          </w:p>
        </w:tc>
        <w:tc>
          <w:tcPr>
            <w:tcW w:w="920" w:type="dxa"/>
            <w:vAlign w:val="bottom"/>
            <w:vMerge w:val="continue"/>
            <w:shd w:val="clear" w:color="auto" w:fill="0C479D"/>
          </w:tcPr>
          <w:p>
            <w:pPr>
              <w:spacing w:after="0"/>
              <w:rPr>
                <w:sz w:val="12"/>
                <w:szCs w:val="12"/>
                <w:color w:val="auto"/>
              </w:rPr>
            </w:pPr>
          </w:p>
        </w:tc>
        <w:tc>
          <w:tcPr>
            <w:tcW w:w="980" w:type="dxa"/>
            <w:vAlign w:val="bottom"/>
            <w:shd w:val="clear" w:color="auto" w:fill="0C479D"/>
          </w:tcPr>
          <w:p>
            <w:pPr>
              <w:ind w:left="320"/>
              <w:spacing w:after="0" w:line="146" w:lineRule="exact"/>
              <w:rPr>
                <w:sz w:val="20"/>
                <w:szCs w:val="20"/>
                <w:color w:val="auto"/>
              </w:rPr>
            </w:pPr>
            <w:r>
              <w:rPr>
                <w:rFonts w:ascii="Times New Roman" w:cs="Times New Roman" w:eastAsia="Times New Roman" w:hAnsi="Times New Roman"/>
                <w:sz w:val="14"/>
                <w:szCs w:val="14"/>
                <w:b w:val="1"/>
                <w:bCs w:val="1"/>
                <w:color w:val="FFFFFF"/>
              </w:rPr>
              <w:t>Total</w:t>
            </w:r>
          </w:p>
        </w:tc>
        <w:tc>
          <w:tcPr>
            <w:tcW w:w="0" w:type="dxa"/>
            <w:vAlign w:val="bottom"/>
          </w:tcPr>
          <w:p>
            <w:pPr>
              <w:spacing w:after="0"/>
              <w:rPr>
                <w:sz w:val="1"/>
                <w:szCs w:val="1"/>
                <w:color w:val="auto"/>
              </w:rPr>
            </w:pPr>
          </w:p>
        </w:tc>
      </w:tr>
      <w:tr>
        <w:trPr>
          <w:trHeight w:val="175"/>
        </w:trPr>
        <w:tc>
          <w:tcPr>
            <w:tcW w:w="3660" w:type="dxa"/>
            <w:vAlign w:val="bottom"/>
            <w:shd w:val="clear" w:color="auto" w:fill="0C479D"/>
          </w:tcPr>
          <w:p>
            <w:pPr>
              <w:spacing w:after="0"/>
              <w:rPr>
                <w:sz w:val="15"/>
                <w:szCs w:val="15"/>
                <w:color w:val="auto"/>
              </w:rPr>
            </w:pPr>
          </w:p>
        </w:tc>
        <w:tc>
          <w:tcPr>
            <w:tcW w:w="740" w:type="dxa"/>
            <w:vAlign w:val="bottom"/>
            <w:shd w:val="clear" w:color="auto" w:fill="0C479D"/>
          </w:tcPr>
          <w:p>
            <w:pPr>
              <w:spacing w:after="0"/>
              <w:rPr>
                <w:sz w:val="15"/>
                <w:szCs w:val="15"/>
                <w:color w:val="auto"/>
              </w:rPr>
            </w:pPr>
          </w:p>
        </w:tc>
        <w:tc>
          <w:tcPr>
            <w:tcW w:w="1500" w:type="dxa"/>
            <w:vAlign w:val="bottom"/>
            <w:shd w:val="clear" w:color="auto" w:fill="0C479D"/>
          </w:tcPr>
          <w:p>
            <w:pPr>
              <w:spacing w:after="0"/>
              <w:rPr>
                <w:sz w:val="15"/>
                <w:szCs w:val="15"/>
                <w:color w:val="auto"/>
              </w:rPr>
            </w:pPr>
          </w:p>
        </w:tc>
        <w:tc>
          <w:tcPr>
            <w:tcW w:w="1900" w:type="dxa"/>
            <w:vAlign w:val="bottom"/>
            <w:shd w:val="clear" w:color="auto" w:fill="0C479D"/>
          </w:tcPr>
          <w:p>
            <w:pPr>
              <w:spacing w:after="0"/>
              <w:rPr>
                <w:sz w:val="15"/>
                <w:szCs w:val="15"/>
                <w:color w:val="auto"/>
              </w:rPr>
            </w:pPr>
          </w:p>
        </w:tc>
        <w:tc>
          <w:tcPr>
            <w:tcW w:w="920" w:type="dxa"/>
            <w:vAlign w:val="bottom"/>
            <w:shd w:val="clear" w:color="auto" w:fill="0C479D"/>
          </w:tcPr>
          <w:p>
            <w:pPr>
              <w:jc w:val="center"/>
              <w:ind w:right="268"/>
              <w:spacing w:after="0"/>
              <w:rPr>
                <w:sz w:val="20"/>
                <w:szCs w:val="20"/>
                <w:color w:val="auto"/>
              </w:rPr>
            </w:pPr>
            <w:r>
              <w:rPr>
                <w:rFonts w:ascii="Times New Roman" w:cs="Times New Roman" w:eastAsia="Times New Roman" w:hAnsi="Times New Roman"/>
                <w:sz w:val="14"/>
                <w:szCs w:val="14"/>
                <w:b w:val="1"/>
                <w:bCs w:val="1"/>
                <w:color w:val="FFFFFF"/>
                <w:w w:val="97"/>
              </w:rPr>
              <w:t>Value</w:t>
            </w:r>
          </w:p>
        </w:tc>
        <w:tc>
          <w:tcPr>
            <w:tcW w:w="980" w:type="dxa"/>
            <w:vAlign w:val="bottom"/>
            <w:shd w:val="clear" w:color="auto" w:fill="0C479D"/>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480"/>
          </w:cols>
          <w:pgMar w:left="320" w:top="216" w:right="1099" w:bottom="1440" w:gutter="0" w:footer="0" w:header="0"/>
        </w:sectPr>
      </w:pPr>
    </w:p>
    <w:p>
      <w:pPr>
        <w:spacing w:after="0" w:line="61" w:lineRule="exact"/>
        <w:rPr>
          <w:sz w:val="20"/>
          <w:szCs w:val="20"/>
          <w:color w:val="auto"/>
        </w:rPr>
      </w:pPr>
    </w:p>
    <w:tbl>
      <w:tblPr>
        <w:tblLayout w:type="fixed"/>
        <w:tblInd w:w="800" w:type="dxa"/>
        <w:tblCellMar>
          <w:top w:w="0" w:type="dxa"/>
          <w:left w:w="0" w:type="dxa"/>
          <w:bottom w:w="0" w:type="dxa"/>
          <w:right w:w="0" w:type="dxa"/>
        </w:tblCellMar>
      </w:tblPr>
      <w:tr>
        <w:trPr>
          <w:trHeight w:val="238"/>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0C479D"/>
              </w:rPr>
              <w:t>Asset category:</w:t>
            </w:r>
          </w:p>
        </w:tc>
        <w:tc>
          <w:tcPr>
            <w:tcW w:w="1740" w:type="dxa"/>
            <w:vAlign w:val="bottom"/>
          </w:tcPr>
          <w:p>
            <w:pPr>
              <w:spacing w:after="0"/>
              <w:rPr>
                <w:sz w:val="20"/>
                <w:szCs w:val="20"/>
                <w:color w:val="auto"/>
              </w:rPr>
            </w:pPr>
          </w:p>
        </w:tc>
      </w:tr>
      <w:tr>
        <w:trPr>
          <w:trHeight w:val="243"/>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740" w:type="dxa"/>
            <w:vAlign w:val="bottom"/>
          </w:tcPr>
          <w:p>
            <w:pPr>
              <w:spacing w:after="0"/>
              <w:rPr>
                <w:sz w:val="21"/>
                <w:szCs w:val="21"/>
                <w:color w:val="auto"/>
              </w:rPr>
            </w:pPr>
          </w:p>
        </w:tc>
      </w:tr>
      <w:tr>
        <w:trPr>
          <w:trHeight w:val="297"/>
        </w:trPr>
        <w:tc>
          <w:tcPr>
            <w:tcW w:w="2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70"/>
        </w:trPr>
        <w:tc>
          <w:tcPr>
            <w:tcW w:w="2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Non-U.S.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Debt securities</w:t>
            </w:r>
          </w:p>
        </w:tc>
        <w:tc>
          <w:tcPr>
            <w:tcW w:w="17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(1)</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7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bl>
    <w:p>
      <w:pPr>
        <w:spacing w:after="0" w:line="268" w:lineRule="exact"/>
        <w:rPr>
          <w:sz w:val="20"/>
          <w:szCs w:val="20"/>
          <w:color w:val="auto"/>
        </w:rPr>
      </w:pPr>
    </w:p>
    <w:p>
      <w:pPr>
        <w:sectPr>
          <w:pgSz w:w="11900" w:h="16838" w:orient="portrait"/>
          <w:cols w:equalWidth="0" w:num="3">
            <w:col w:w="5320" w:space="100"/>
            <w:col w:w="420" w:space="720"/>
            <w:col w:w="3920"/>
          </w:cols>
          <w:pgMar w:left="320" w:top="216" w:right="1099" w:bottom="1440" w:gutter="0" w:footer="0" w:header="0"/>
          <w:type w:val="continuous"/>
        </w:sectPr>
      </w:pPr>
    </w:p>
    <w:tbl>
      <w:tblPr>
        <w:tblLayout w:type="fixed"/>
        <w:tblInd w:w="780" w:type="dxa"/>
        <w:tblCellMar>
          <w:top w:w="0" w:type="dxa"/>
          <w:left w:w="0" w:type="dxa"/>
          <w:bottom w:w="0" w:type="dxa"/>
          <w:right w:w="0" w:type="dxa"/>
        </w:tblCellMar>
      </w:tblPr>
      <w:tr>
        <w:trPr>
          <w:trHeight w:val="270"/>
        </w:trPr>
        <w:tc>
          <w:tcPr>
            <w:tcW w:w="2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23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680" w:type="dxa"/>
            <w:vAlign w:val="bottom"/>
          </w:tcPr>
          <w:p>
            <w:pPr>
              <w:jc w:val="right"/>
              <w:ind w:right="466"/>
              <w:spacing w:after="0"/>
              <w:rPr>
                <w:sz w:val="20"/>
                <w:szCs w:val="20"/>
                <w:color w:val="auto"/>
              </w:rPr>
            </w:pPr>
            <w:r>
              <w:rPr>
                <w:rFonts w:ascii="Times New Roman" w:cs="Times New Roman" w:eastAsia="Times New Roman" w:hAnsi="Times New Roman"/>
                <w:sz w:val="11"/>
                <w:szCs w:val="11"/>
                <w:i w:val="1"/>
                <w:iCs w:val="1"/>
                <w:color w:val="auto"/>
              </w:rPr>
              <w:t>(2)</w:t>
            </w:r>
          </w:p>
        </w:tc>
        <w:tc>
          <w:tcPr>
            <w:tcW w:w="1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w:t>
            </w:r>
          </w:p>
        </w:tc>
      </w:tr>
      <w:tr>
        <w:trPr>
          <w:trHeight w:val="270"/>
        </w:trPr>
        <w:tc>
          <w:tcPr>
            <w:tcW w:w="2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Government</w:t>
            </w:r>
          </w:p>
        </w:tc>
        <w:tc>
          <w:tcPr>
            <w:tcW w:w="23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680" w:type="dxa"/>
            <w:vAlign w:val="bottom"/>
          </w:tcPr>
          <w:p>
            <w:pPr>
              <w:jc w:val="right"/>
              <w:ind w:right="466"/>
              <w:spacing w:after="0"/>
              <w:rPr>
                <w:sz w:val="20"/>
                <w:szCs w:val="20"/>
                <w:color w:val="auto"/>
              </w:rPr>
            </w:pPr>
            <w:r>
              <w:rPr>
                <w:rFonts w:ascii="Times New Roman" w:cs="Times New Roman" w:eastAsia="Times New Roman" w:hAnsi="Times New Roman"/>
                <w:sz w:val="11"/>
                <w:szCs w:val="11"/>
                <w:i w:val="1"/>
                <w:iCs w:val="1"/>
                <w:color w:val="auto"/>
              </w:rPr>
              <w:t>(2)</w:t>
            </w:r>
          </w:p>
        </w:tc>
        <w:tc>
          <w:tcPr>
            <w:tcW w:w="1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w:t>
            </w:r>
          </w:p>
        </w:tc>
      </w:tr>
      <w:tr>
        <w:trPr>
          <w:trHeight w:val="272"/>
        </w:trPr>
        <w:tc>
          <w:tcPr>
            <w:tcW w:w="2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Asset-backed</w:t>
            </w:r>
          </w:p>
        </w:tc>
        <w:tc>
          <w:tcPr>
            <w:tcW w:w="23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80" w:type="dxa"/>
            <w:vAlign w:val="bottom"/>
          </w:tcPr>
          <w:p>
            <w:pPr>
              <w:jc w:val="right"/>
              <w:ind w:right="466"/>
              <w:spacing w:after="0"/>
              <w:rPr>
                <w:sz w:val="20"/>
                <w:szCs w:val="20"/>
                <w:color w:val="auto"/>
              </w:rPr>
            </w:pPr>
            <w:r>
              <w:rPr>
                <w:rFonts w:ascii="Times New Roman" w:cs="Times New Roman" w:eastAsia="Times New Roman" w:hAnsi="Times New Roman"/>
                <w:sz w:val="11"/>
                <w:szCs w:val="11"/>
                <w:i w:val="1"/>
                <w:iCs w:val="1"/>
                <w:color w:val="auto"/>
              </w:rPr>
              <w:t>(2)</w:t>
            </w:r>
          </w:p>
        </w:tc>
        <w:tc>
          <w:tcPr>
            <w:tcW w:w="1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70"/>
        </w:trPr>
        <w:tc>
          <w:tcPr>
            <w:tcW w:w="282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300" w:type="dxa"/>
            <w:vAlign w:val="bottom"/>
            <w:tcBorders>
              <w:bottom w:val="single" w:sz="8" w:color="0C479D"/>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80" w:type="dxa"/>
            <w:vAlign w:val="bottom"/>
            <w:tcBorders>
              <w:bottom w:val="single" w:sz="8" w:color="0C479D"/>
            </w:tcBorders>
          </w:tcPr>
          <w:p>
            <w:pPr>
              <w:spacing w:after="0"/>
              <w:rPr>
                <w:sz w:val="23"/>
                <w:szCs w:val="23"/>
                <w:color w:val="auto"/>
              </w:rPr>
            </w:pPr>
          </w:p>
        </w:tc>
        <w:tc>
          <w:tcPr>
            <w:tcW w:w="1160" w:type="dxa"/>
            <w:vAlign w:val="bottom"/>
            <w:tcBorders>
              <w:bottom w:val="single" w:sz="8" w:color="0C479D"/>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0C479D"/>
            </w:tcBorders>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0C479D"/>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44"/>
        </w:trPr>
        <w:tc>
          <w:tcPr>
            <w:tcW w:w="282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at fair value</w:t>
            </w:r>
          </w:p>
        </w:tc>
        <w:tc>
          <w:tcPr>
            <w:tcW w:w="2300" w:type="dxa"/>
            <w:vAlign w:val="bottom"/>
            <w:tcBorders>
              <w:bottom w:val="single" w:sz="8" w:color="0C479D"/>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124</w:t>
            </w:r>
          </w:p>
        </w:tc>
        <w:tc>
          <w:tcPr>
            <w:tcW w:w="9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247</w:t>
            </w:r>
          </w:p>
        </w:tc>
        <w:tc>
          <w:tcPr>
            <w:tcW w:w="680" w:type="dxa"/>
            <w:vAlign w:val="bottom"/>
            <w:tcBorders>
              <w:bottom w:val="single" w:sz="8" w:color="0C479D"/>
            </w:tcBorders>
          </w:tcPr>
          <w:p>
            <w:pPr>
              <w:spacing w:after="0"/>
              <w:rPr>
                <w:sz w:val="21"/>
                <w:szCs w:val="21"/>
                <w:color w:val="auto"/>
              </w:rPr>
            </w:pPr>
          </w:p>
        </w:tc>
        <w:tc>
          <w:tcPr>
            <w:tcW w:w="1160" w:type="dxa"/>
            <w:vAlign w:val="bottom"/>
            <w:tcBorders>
              <w:bottom w:val="single" w:sz="8" w:color="0C479D"/>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0C479D"/>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0C479D"/>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371</w:t>
            </w:r>
          </w:p>
        </w:tc>
      </w:tr>
    </w:tbl>
    <w:p>
      <w:pPr>
        <w:spacing w:after="0" w:line="83" w:lineRule="exact"/>
        <w:rPr>
          <w:sz w:val="20"/>
          <w:szCs w:val="20"/>
          <w:color w:val="auto"/>
        </w:rPr>
      </w:pPr>
    </w:p>
    <w:p>
      <w:pPr>
        <w:ind w:left="940" w:hanging="145"/>
        <w:spacing w:after="0"/>
        <w:tabs>
          <w:tab w:leader="none" w:pos="940" w:val="left"/>
        </w:tabs>
        <w:numPr>
          <w:ilvl w:val="0"/>
          <w:numId w:val="60"/>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For equity securities held in separate accounts, fair value is based on observable quoted prices on active exchanges.</w:t>
      </w:r>
    </w:p>
    <w:p>
      <w:pPr>
        <w:spacing w:after="0" w:line="68" w:lineRule="exact"/>
        <w:rPr>
          <w:rFonts w:ascii="Times New Roman" w:cs="Times New Roman" w:eastAsia="Times New Roman" w:hAnsi="Times New Roman"/>
          <w:sz w:val="9"/>
          <w:szCs w:val="9"/>
          <w:i w:val="1"/>
          <w:iCs w:val="1"/>
          <w:color w:val="auto"/>
        </w:rPr>
      </w:pPr>
    </w:p>
    <w:p>
      <w:pPr>
        <w:ind w:left="920" w:hanging="125"/>
        <w:spacing w:after="0"/>
        <w:tabs>
          <w:tab w:leader="none" w:pos="920" w:val="left"/>
        </w:tabs>
        <w:numPr>
          <w:ilvl w:val="0"/>
          <w:numId w:val="60"/>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For corporate, government and asset-backed debt securities, fair value is based on observable inputs of comparable market transactions.</w:t>
      </w:r>
    </w:p>
    <w:p>
      <w:pPr>
        <w:sectPr>
          <w:pgSz w:w="11900" w:h="16838" w:orient="portrait"/>
          <w:cols w:equalWidth="0" w:num="1">
            <w:col w:w="10480"/>
          </w:cols>
          <w:pgMar w:left="320" w:top="216" w:right="1099" w:bottom="1440" w:gutter="0" w:footer="0" w:header="0"/>
          <w:type w:val="continuous"/>
        </w:sectPr>
      </w:pPr>
    </w:p>
    <w:p>
      <w:pPr>
        <w:spacing w:after="0" w:line="200" w:lineRule="exact"/>
        <w:rPr>
          <w:sz w:val="20"/>
          <w:szCs w:val="20"/>
          <w:color w:val="auto"/>
        </w:rPr>
      </w:pPr>
    </w:p>
    <w:p>
      <w:pPr>
        <w:spacing w:after="0" w:line="37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320" w:top="216" w:right="109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22"/>
          <w:szCs w:val="22"/>
          <w:b w:val="1"/>
          <w:bCs w:val="1"/>
          <w:color w:val="0C479D"/>
        </w:rPr>
        <w:t>NOTES TO CONSOLIDATED FINANCIAL STATEMENTS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pension plans with an accumulated benefit obligation and projected benefit obligation in excess of plan assets is shown in the table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60" w:type="dxa"/>
            <w:vAlign w:val="bottom"/>
            <w:gridSpan w:val="4"/>
          </w:tcPr>
          <w:p>
            <w:pPr>
              <w:jc w:val="right"/>
              <w:ind w:right="594"/>
              <w:spacing w:after="0"/>
              <w:rPr>
                <w:sz w:val="20"/>
                <w:szCs w:val="20"/>
                <w:color w:val="auto"/>
              </w:rPr>
            </w:pPr>
            <w:r>
              <w:rPr>
                <w:rFonts w:ascii="Times New Roman" w:cs="Times New Roman" w:eastAsia="Times New Roman" w:hAnsi="Times New Roman"/>
                <w:sz w:val="14"/>
                <w:szCs w:val="14"/>
                <w:b w:val="1"/>
                <w:bCs w:val="1"/>
                <w:color w:val="0C479D"/>
              </w:rPr>
              <w:t>Pension Benefits</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tcBorders>
              <w:bottom w:val="single" w:sz="8" w:color="0C479D"/>
            </w:tcBorders>
          </w:tcPr>
          <w:p>
            <w:pPr>
              <w:spacing w:after="0"/>
              <w:rPr>
                <w:sz w:val="5"/>
                <w:szCs w:val="5"/>
                <w:color w:val="auto"/>
              </w:rPr>
            </w:pPr>
          </w:p>
        </w:tc>
        <w:tc>
          <w:tcPr>
            <w:tcW w:w="80" w:type="dxa"/>
            <w:vAlign w:val="bottom"/>
            <w:tcBorders>
              <w:bottom w:val="single" w:sz="8" w:color="0C479D"/>
            </w:tcBorders>
          </w:tcPr>
          <w:p>
            <w:pPr>
              <w:spacing w:after="0"/>
              <w:rPr>
                <w:sz w:val="5"/>
                <w:szCs w:val="5"/>
                <w:color w:val="auto"/>
              </w:rPr>
            </w:pPr>
          </w:p>
        </w:tc>
        <w:tc>
          <w:tcPr>
            <w:tcW w:w="1060" w:type="dxa"/>
            <w:vAlign w:val="bottom"/>
            <w:tcBorders>
              <w:bottom w:val="single" w:sz="8" w:color="0C479D"/>
            </w:tcBorders>
          </w:tcPr>
          <w:p>
            <w:pPr>
              <w:spacing w:after="0"/>
              <w:rPr>
                <w:sz w:val="5"/>
                <w:szCs w:val="5"/>
                <w:color w:val="auto"/>
              </w:rPr>
            </w:pPr>
          </w:p>
        </w:tc>
        <w:tc>
          <w:tcPr>
            <w:tcW w:w="120" w:type="dxa"/>
            <w:vAlign w:val="bottom"/>
            <w:tcBorders>
              <w:bottom w:val="single" w:sz="8" w:color="0C479D"/>
            </w:tcBorders>
          </w:tcPr>
          <w:p>
            <w:pPr>
              <w:spacing w:after="0"/>
              <w:rPr>
                <w:sz w:val="5"/>
                <w:szCs w:val="5"/>
                <w:color w:val="auto"/>
              </w:rPr>
            </w:pPr>
          </w:p>
        </w:tc>
        <w:tc>
          <w:tcPr>
            <w:tcW w:w="160" w:type="dxa"/>
            <w:vAlign w:val="bottom"/>
            <w:tcBorders>
              <w:bottom w:val="single" w:sz="8" w:color="0C479D"/>
            </w:tcBorders>
          </w:tcPr>
          <w:p>
            <w:pPr>
              <w:spacing w:after="0"/>
              <w:rPr>
                <w:sz w:val="5"/>
                <w:szCs w:val="5"/>
                <w:color w:val="auto"/>
              </w:rPr>
            </w:pPr>
          </w:p>
        </w:tc>
        <w:tc>
          <w:tcPr>
            <w:tcW w:w="1120" w:type="dxa"/>
            <w:vAlign w:val="bottom"/>
            <w:tcBorders>
              <w:bottom w:val="single" w:sz="8" w:color="0C479D"/>
            </w:tcBorders>
          </w:tcPr>
          <w:p>
            <w:pPr>
              <w:spacing w:after="0"/>
              <w:rPr>
                <w:sz w:val="5"/>
                <w:szCs w:val="5"/>
                <w:color w:val="auto"/>
              </w:rPr>
            </w:pPr>
          </w:p>
        </w:tc>
        <w:tc>
          <w:tcPr>
            <w:tcW w:w="1220" w:type="dxa"/>
            <w:vAlign w:val="bottom"/>
            <w:tcBorders>
              <w:bottom w:val="single" w:sz="8" w:color="0C479D"/>
            </w:tcBorders>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780" w:type="dxa"/>
            <w:vAlign w:val="bottom"/>
          </w:tcPr>
          <w:p>
            <w:pPr>
              <w:spacing w:after="0"/>
              <w:rPr>
                <w:sz w:val="17"/>
                <w:szCs w:val="17"/>
                <w:color w:val="auto"/>
              </w:rPr>
            </w:pPr>
          </w:p>
        </w:tc>
        <w:tc>
          <w:tcPr>
            <w:tcW w:w="4920" w:type="dxa"/>
            <w:vAlign w:val="bottom"/>
            <w:gridSpan w:val="5"/>
            <w:vMerge w:val="restart"/>
            <w:shd w:val="clear" w:color="auto" w:fill="0C479D"/>
          </w:tcPr>
          <w:p>
            <w:pPr>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1020" w:type="dxa"/>
            <w:vAlign w:val="bottom"/>
            <w:shd w:val="clear" w:color="auto" w:fill="0C479D"/>
          </w:tcPr>
          <w:p>
            <w:pPr>
              <w:spacing w:after="0"/>
              <w:rPr>
                <w:sz w:val="17"/>
                <w:szCs w:val="17"/>
                <w:color w:val="auto"/>
              </w:rPr>
            </w:pPr>
          </w:p>
        </w:tc>
        <w:tc>
          <w:tcPr>
            <w:tcW w:w="1420" w:type="dxa"/>
            <w:vAlign w:val="bottom"/>
            <w:gridSpan w:val="4"/>
            <w:shd w:val="clear" w:color="auto" w:fill="0C479D"/>
          </w:tcPr>
          <w:p>
            <w:pPr>
              <w:spacing w:after="0"/>
              <w:rPr>
                <w:sz w:val="20"/>
                <w:szCs w:val="20"/>
                <w:color w:val="auto"/>
              </w:rPr>
            </w:pPr>
            <w:r>
              <w:rPr>
                <w:rFonts w:ascii="Times New Roman" w:cs="Times New Roman" w:eastAsia="Times New Roman" w:hAnsi="Times New Roman"/>
                <w:sz w:val="14"/>
                <w:szCs w:val="14"/>
                <w:b w:val="1"/>
                <w:bCs w:val="1"/>
                <w:color w:val="FFFFFF"/>
              </w:rPr>
              <w:t>U.S.</w:t>
            </w:r>
          </w:p>
        </w:tc>
        <w:tc>
          <w:tcPr>
            <w:tcW w:w="2340" w:type="dxa"/>
            <w:vAlign w:val="bottom"/>
            <w:gridSpan w:val="2"/>
            <w:shd w:val="clear" w:color="auto" w:fill="0C479D"/>
          </w:tcPr>
          <w:p>
            <w:pPr>
              <w:jc w:val="right"/>
              <w:ind w:right="813"/>
              <w:spacing w:after="0"/>
              <w:rPr>
                <w:sz w:val="20"/>
                <w:szCs w:val="20"/>
                <w:color w:val="auto"/>
              </w:rPr>
            </w:pPr>
            <w:r>
              <w:rPr>
                <w:rFonts w:ascii="Times New Roman" w:cs="Times New Roman" w:eastAsia="Times New Roman" w:hAnsi="Times New Roman"/>
                <w:sz w:val="14"/>
                <w:szCs w:val="14"/>
                <w:b w:val="1"/>
                <w:bCs w:val="1"/>
                <w:color w:val="FFFFFF"/>
              </w:rPr>
              <w:t>Non-U.S.</w:t>
            </w: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4920" w:type="dxa"/>
            <w:vAlign w:val="bottom"/>
            <w:gridSpan w:val="5"/>
            <w:vMerge w:val="continue"/>
            <w:shd w:val="clear" w:color="auto" w:fill="0C479D"/>
          </w:tcPr>
          <w:p>
            <w:pPr>
              <w:spacing w:after="0"/>
              <w:rPr>
                <w:sz w:val="11"/>
                <w:szCs w:val="11"/>
                <w:color w:val="auto"/>
              </w:rPr>
            </w:pPr>
          </w:p>
        </w:tc>
        <w:tc>
          <w:tcPr>
            <w:tcW w:w="1020" w:type="dxa"/>
            <w:vAlign w:val="bottom"/>
            <w:vMerge w:val="restart"/>
            <w:shd w:val="clear" w:color="auto" w:fill="0C479D"/>
          </w:tcPr>
          <w:p>
            <w:pPr>
              <w:ind w:left="400"/>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1140" w:type="dxa"/>
            <w:vAlign w:val="bottom"/>
            <w:gridSpan w:val="2"/>
            <w:vMerge w:val="restart"/>
            <w:shd w:val="clear" w:color="auto" w:fill="0C479D"/>
          </w:tcPr>
          <w:p>
            <w:pPr>
              <w:jc w:val="right"/>
              <w:ind w:right="155"/>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120" w:type="dxa"/>
            <w:vAlign w:val="bottom"/>
            <w:shd w:val="clear" w:color="auto" w:fill="0C479D"/>
          </w:tcPr>
          <w:p>
            <w:pPr>
              <w:spacing w:after="0"/>
              <w:rPr>
                <w:sz w:val="11"/>
                <w:szCs w:val="11"/>
                <w:color w:val="auto"/>
              </w:rPr>
            </w:pPr>
          </w:p>
        </w:tc>
        <w:tc>
          <w:tcPr>
            <w:tcW w:w="160" w:type="dxa"/>
            <w:vAlign w:val="bottom"/>
            <w:shd w:val="clear" w:color="auto" w:fill="0C479D"/>
          </w:tcPr>
          <w:p>
            <w:pPr>
              <w:spacing w:after="0"/>
              <w:rPr>
                <w:sz w:val="11"/>
                <w:szCs w:val="11"/>
                <w:color w:val="auto"/>
              </w:rPr>
            </w:pPr>
          </w:p>
        </w:tc>
        <w:tc>
          <w:tcPr>
            <w:tcW w:w="1120" w:type="dxa"/>
            <w:vAlign w:val="bottom"/>
            <w:tcBorders>
              <w:right w:val="single" w:sz="8" w:color="0C479D"/>
            </w:tcBorders>
            <w:vMerge w:val="restart"/>
            <w:shd w:val="clear" w:color="auto" w:fill="0C479D"/>
          </w:tcPr>
          <w:p>
            <w:pPr>
              <w:jc w:val="right"/>
              <w:ind w:right="334"/>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1220" w:type="dxa"/>
            <w:vAlign w:val="bottom"/>
            <w:vMerge w:val="restart"/>
            <w:shd w:val="clear" w:color="auto" w:fill="0C479D"/>
          </w:tcPr>
          <w:p>
            <w:pPr>
              <w:jc w:val="right"/>
              <w:ind w:right="333"/>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340" w:type="dxa"/>
            <w:vAlign w:val="bottom"/>
            <w:shd w:val="clear" w:color="auto" w:fill="0C479D"/>
          </w:tcPr>
          <w:p>
            <w:pPr>
              <w:spacing w:after="0"/>
              <w:rPr>
                <w:sz w:val="11"/>
                <w:szCs w:val="11"/>
                <w:color w:val="auto"/>
              </w:rPr>
            </w:pPr>
          </w:p>
        </w:tc>
        <w:tc>
          <w:tcPr>
            <w:tcW w:w="540" w:type="dxa"/>
            <w:vAlign w:val="bottom"/>
            <w:shd w:val="clear" w:color="auto" w:fill="0C479D"/>
          </w:tcPr>
          <w:p>
            <w:pPr>
              <w:spacing w:after="0"/>
              <w:rPr>
                <w:sz w:val="11"/>
                <w:szCs w:val="11"/>
                <w:color w:val="auto"/>
              </w:rPr>
            </w:pPr>
          </w:p>
        </w:tc>
        <w:tc>
          <w:tcPr>
            <w:tcW w:w="200" w:type="dxa"/>
            <w:vAlign w:val="bottom"/>
            <w:shd w:val="clear" w:color="auto" w:fill="0C479D"/>
          </w:tcPr>
          <w:p>
            <w:pPr>
              <w:spacing w:after="0"/>
              <w:rPr>
                <w:sz w:val="11"/>
                <w:szCs w:val="11"/>
                <w:color w:val="auto"/>
              </w:rPr>
            </w:pPr>
          </w:p>
        </w:tc>
        <w:tc>
          <w:tcPr>
            <w:tcW w:w="3500" w:type="dxa"/>
            <w:vAlign w:val="bottom"/>
            <w:shd w:val="clear" w:color="auto" w:fill="0C479D"/>
          </w:tcPr>
          <w:p>
            <w:pPr>
              <w:spacing w:after="0"/>
              <w:rPr>
                <w:sz w:val="11"/>
                <w:szCs w:val="11"/>
                <w:color w:val="auto"/>
              </w:rPr>
            </w:pPr>
          </w:p>
        </w:tc>
        <w:tc>
          <w:tcPr>
            <w:tcW w:w="340" w:type="dxa"/>
            <w:vAlign w:val="bottom"/>
            <w:shd w:val="clear" w:color="auto" w:fill="0C479D"/>
          </w:tcPr>
          <w:p>
            <w:pPr>
              <w:spacing w:after="0"/>
              <w:rPr>
                <w:sz w:val="11"/>
                <w:szCs w:val="11"/>
                <w:color w:val="auto"/>
              </w:rPr>
            </w:pPr>
          </w:p>
        </w:tc>
        <w:tc>
          <w:tcPr>
            <w:tcW w:w="1020" w:type="dxa"/>
            <w:vAlign w:val="bottom"/>
            <w:vMerge w:val="continue"/>
            <w:shd w:val="clear" w:color="auto" w:fill="0C479D"/>
          </w:tcPr>
          <w:p>
            <w:pPr>
              <w:spacing w:after="0"/>
              <w:rPr>
                <w:sz w:val="11"/>
                <w:szCs w:val="11"/>
                <w:color w:val="auto"/>
              </w:rPr>
            </w:pPr>
          </w:p>
        </w:tc>
        <w:tc>
          <w:tcPr>
            <w:tcW w:w="1140" w:type="dxa"/>
            <w:vAlign w:val="bottom"/>
            <w:gridSpan w:val="2"/>
            <w:vMerge w:val="continue"/>
            <w:shd w:val="clear" w:color="auto" w:fill="0C479D"/>
          </w:tcPr>
          <w:p>
            <w:pPr>
              <w:spacing w:after="0"/>
              <w:rPr>
                <w:sz w:val="11"/>
                <w:szCs w:val="11"/>
                <w:color w:val="auto"/>
              </w:rPr>
            </w:pPr>
          </w:p>
        </w:tc>
        <w:tc>
          <w:tcPr>
            <w:tcW w:w="120" w:type="dxa"/>
            <w:vAlign w:val="bottom"/>
            <w:shd w:val="clear" w:color="auto" w:fill="0C479D"/>
          </w:tcPr>
          <w:p>
            <w:pPr>
              <w:spacing w:after="0"/>
              <w:rPr>
                <w:sz w:val="11"/>
                <w:szCs w:val="11"/>
                <w:color w:val="auto"/>
              </w:rPr>
            </w:pPr>
          </w:p>
        </w:tc>
        <w:tc>
          <w:tcPr>
            <w:tcW w:w="160" w:type="dxa"/>
            <w:vAlign w:val="bottom"/>
            <w:shd w:val="clear" w:color="auto" w:fill="0C479D"/>
          </w:tcPr>
          <w:p>
            <w:pPr>
              <w:spacing w:after="0"/>
              <w:rPr>
                <w:sz w:val="11"/>
                <w:szCs w:val="11"/>
                <w:color w:val="auto"/>
              </w:rPr>
            </w:pPr>
          </w:p>
        </w:tc>
        <w:tc>
          <w:tcPr>
            <w:tcW w:w="1120" w:type="dxa"/>
            <w:vAlign w:val="bottom"/>
            <w:tcBorders>
              <w:right w:val="single" w:sz="8" w:color="0C479D"/>
            </w:tcBorders>
            <w:vMerge w:val="continue"/>
            <w:shd w:val="clear" w:color="auto" w:fill="0C479D"/>
          </w:tcPr>
          <w:p>
            <w:pPr>
              <w:spacing w:after="0"/>
              <w:rPr>
                <w:sz w:val="11"/>
                <w:szCs w:val="11"/>
                <w:color w:val="auto"/>
              </w:rPr>
            </w:pPr>
          </w:p>
        </w:tc>
        <w:tc>
          <w:tcPr>
            <w:tcW w:w="1220" w:type="dxa"/>
            <w:vAlign w:val="bottom"/>
            <w:vMerge w:val="continue"/>
            <w:shd w:val="clear" w:color="auto" w:fill="0C479D"/>
          </w:tcPr>
          <w:p>
            <w:pPr>
              <w:spacing w:after="0"/>
              <w:rPr>
                <w:sz w:val="11"/>
                <w:szCs w:val="11"/>
                <w:color w:val="auto"/>
              </w:rPr>
            </w:pPr>
          </w:p>
        </w:tc>
        <w:tc>
          <w:tcPr>
            <w:tcW w:w="0" w:type="dxa"/>
            <w:vAlign w:val="bottom"/>
          </w:tcPr>
          <w:p>
            <w:pPr>
              <w:spacing w:after="0"/>
              <w:rPr>
                <w:sz w:val="1"/>
                <w:szCs w:val="1"/>
                <w:color w:val="auto"/>
              </w:rPr>
            </w:pPr>
          </w:p>
        </w:tc>
      </w:tr>
      <w:tr>
        <w:trPr>
          <w:trHeight w:val="64"/>
        </w:trPr>
        <w:tc>
          <w:tcPr>
            <w:tcW w:w="780" w:type="dxa"/>
            <w:vAlign w:val="bottom"/>
          </w:tcPr>
          <w:p>
            <w:pPr>
              <w:spacing w:after="0"/>
              <w:rPr>
                <w:sz w:val="5"/>
                <w:szCs w:val="5"/>
                <w:color w:val="auto"/>
              </w:rPr>
            </w:pPr>
          </w:p>
        </w:tc>
        <w:tc>
          <w:tcPr>
            <w:tcW w:w="340" w:type="dxa"/>
            <w:vAlign w:val="bottom"/>
            <w:shd w:val="clear" w:color="auto" w:fill="0C479D"/>
          </w:tcPr>
          <w:p>
            <w:pPr>
              <w:spacing w:after="0"/>
              <w:rPr>
                <w:sz w:val="5"/>
                <w:szCs w:val="5"/>
                <w:color w:val="auto"/>
              </w:rPr>
            </w:pPr>
          </w:p>
        </w:tc>
        <w:tc>
          <w:tcPr>
            <w:tcW w:w="540" w:type="dxa"/>
            <w:vAlign w:val="bottom"/>
            <w:shd w:val="clear" w:color="auto" w:fill="0C479D"/>
          </w:tcPr>
          <w:p>
            <w:pPr>
              <w:spacing w:after="0"/>
              <w:rPr>
                <w:sz w:val="5"/>
                <w:szCs w:val="5"/>
                <w:color w:val="auto"/>
              </w:rPr>
            </w:pPr>
          </w:p>
        </w:tc>
        <w:tc>
          <w:tcPr>
            <w:tcW w:w="200" w:type="dxa"/>
            <w:vAlign w:val="bottom"/>
            <w:shd w:val="clear" w:color="auto" w:fill="0C479D"/>
          </w:tcPr>
          <w:p>
            <w:pPr>
              <w:spacing w:after="0"/>
              <w:rPr>
                <w:sz w:val="5"/>
                <w:szCs w:val="5"/>
                <w:color w:val="auto"/>
              </w:rPr>
            </w:pPr>
          </w:p>
        </w:tc>
        <w:tc>
          <w:tcPr>
            <w:tcW w:w="3500" w:type="dxa"/>
            <w:vAlign w:val="bottom"/>
            <w:shd w:val="clear" w:color="auto" w:fill="0C479D"/>
          </w:tcPr>
          <w:p>
            <w:pPr>
              <w:spacing w:after="0"/>
              <w:rPr>
                <w:sz w:val="5"/>
                <w:szCs w:val="5"/>
                <w:color w:val="auto"/>
              </w:rPr>
            </w:pPr>
          </w:p>
        </w:tc>
        <w:tc>
          <w:tcPr>
            <w:tcW w:w="340" w:type="dxa"/>
            <w:vAlign w:val="bottom"/>
            <w:shd w:val="clear" w:color="auto" w:fill="0C479D"/>
          </w:tcPr>
          <w:p>
            <w:pPr>
              <w:spacing w:after="0"/>
              <w:rPr>
                <w:sz w:val="5"/>
                <w:szCs w:val="5"/>
                <w:color w:val="auto"/>
              </w:rPr>
            </w:pPr>
          </w:p>
        </w:tc>
        <w:tc>
          <w:tcPr>
            <w:tcW w:w="1020" w:type="dxa"/>
            <w:vAlign w:val="bottom"/>
            <w:shd w:val="clear" w:color="auto" w:fill="0C479D"/>
          </w:tcPr>
          <w:p>
            <w:pPr>
              <w:spacing w:after="0"/>
              <w:rPr>
                <w:sz w:val="5"/>
                <w:szCs w:val="5"/>
                <w:color w:val="auto"/>
              </w:rPr>
            </w:pPr>
          </w:p>
        </w:tc>
        <w:tc>
          <w:tcPr>
            <w:tcW w:w="80" w:type="dxa"/>
            <w:vAlign w:val="bottom"/>
            <w:shd w:val="clear" w:color="auto" w:fill="0C479D"/>
          </w:tcPr>
          <w:p>
            <w:pPr>
              <w:spacing w:after="0"/>
              <w:rPr>
                <w:sz w:val="5"/>
                <w:szCs w:val="5"/>
                <w:color w:val="auto"/>
              </w:rPr>
            </w:pPr>
          </w:p>
        </w:tc>
        <w:tc>
          <w:tcPr>
            <w:tcW w:w="1060" w:type="dxa"/>
            <w:vAlign w:val="bottom"/>
            <w:shd w:val="clear" w:color="auto" w:fill="0C479D"/>
          </w:tcPr>
          <w:p>
            <w:pPr>
              <w:spacing w:after="0"/>
              <w:rPr>
                <w:sz w:val="5"/>
                <w:szCs w:val="5"/>
                <w:color w:val="auto"/>
              </w:rPr>
            </w:pPr>
          </w:p>
        </w:tc>
        <w:tc>
          <w:tcPr>
            <w:tcW w:w="120" w:type="dxa"/>
            <w:vAlign w:val="bottom"/>
            <w:shd w:val="clear" w:color="auto" w:fill="0C479D"/>
          </w:tcPr>
          <w:p>
            <w:pPr>
              <w:spacing w:after="0"/>
              <w:rPr>
                <w:sz w:val="5"/>
                <w:szCs w:val="5"/>
                <w:color w:val="auto"/>
              </w:rPr>
            </w:pPr>
          </w:p>
        </w:tc>
        <w:tc>
          <w:tcPr>
            <w:tcW w:w="160" w:type="dxa"/>
            <w:vAlign w:val="bottom"/>
            <w:shd w:val="clear" w:color="auto" w:fill="0C479D"/>
          </w:tcPr>
          <w:p>
            <w:pPr>
              <w:spacing w:after="0"/>
              <w:rPr>
                <w:sz w:val="5"/>
                <w:szCs w:val="5"/>
                <w:color w:val="auto"/>
              </w:rPr>
            </w:pPr>
          </w:p>
        </w:tc>
        <w:tc>
          <w:tcPr>
            <w:tcW w:w="1120" w:type="dxa"/>
            <w:vAlign w:val="bottom"/>
            <w:tcBorders>
              <w:right w:val="single" w:sz="8" w:color="0C479D"/>
            </w:tcBorders>
            <w:shd w:val="clear" w:color="auto" w:fill="0C479D"/>
          </w:tcPr>
          <w:p>
            <w:pPr>
              <w:spacing w:after="0"/>
              <w:rPr>
                <w:sz w:val="5"/>
                <w:szCs w:val="5"/>
                <w:color w:val="auto"/>
              </w:rPr>
            </w:pPr>
          </w:p>
        </w:tc>
        <w:tc>
          <w:tcPr>
            <w:tcW w:w="1220" w:type="dxa"/>
            <w:vAlign w:val="bottom"/>
            <w:shd w:val="clear" w:color="auto" w:fill="0C479D"/>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780" w:type="dxa"/>
            <w:vAlign w:val="bottom"/>
          </w:tcPr>
          <w:p>
            <w:pPr>
              <w:spacing w:after="0"/>
              <w:rPr>
                <w:sz w:val="24"/>
                <w:szCs w:val="24"/>
                <w:color w:val="auto"/>
              </w:rPr>
            </w:pPr>
          </w:p>
        </w:tc>
        <w:tc>
          <w:tcPr>
            <w:tcW w:w="49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C479D"/>
              </w:rPr>
              <w:t>For funded pension plans with an accumulated benefit</w:t>
            </w:r>
          </w:p>
        </w:tc>
        <w:tc>
          <w:tcPr>
            <w:tcW w:w="1020" w:type="dxa"/>
            <w:vAlign w:val="bottom"/>
            <w:shd w:val="clear" w:color="auto" w:fill="F0F0F0"/>
          </w:tcPr>
          <w:p>
            <w:pPr>
              <w:spacing w:after="0"/>
              <w:rPr>
                <w:sz w:val="24"/>
                <w:szCs w:val="24"/>
                <w:color w:val="auto"/>
              </w:rPr>
            </w:pPr>
          </w:p>
        </w:tc>
        <w:tc>
          <w:tcPr>
            <w:tcW w:w="80" w:type="dxa"/>
            <w:vAlign w:val="bottom"/>
            <w:shd w:val="clear" w:color="auto" w:fill="F0F0F0"/>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Borders>
              <w:right w:val="single" w:sz="8" w:color="F0F0F0"/>
            </w:tcBorders>
            <w:shd w:val="clear" w:color="auto" w:fill="F0F0F0"/>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C479D"/>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shd w:val="clear" w:color="auto" w:fill="F0F0F0"/>
          </w:tcPr>
          <w:p>
            <w:pPr>
              <w:spacing w:after="0" w:line="20" w:lineRule="exact"/>
              <w:rPr>
                <w:sz w:val="1"/>
                <w:szCs w:val="1"/>
                <w:color w:val="auto"/>
              </w:rPr>
            </w:pPr>
          </w:p>
        </w:tc>
        <w:tc>
          <w:tcPr>
            <w:tcW w:w="80" w:type="dxa"/>
            <w:vAlign w:val="bottom"/>
            <w:shd w:val="clear" w:color="auto" w:fill="F0F0F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right w:val="single" w:sz="8" w:color="F0F0F0"/>
            </w:tcBorders>
            <w:shd w:val="clear" w:color="auto" w:fill="F0F0F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0" w:type="dxa"/>
            <w:vAlign w:val="bottom"/>
          </w:tcPr>
          <w:p>
            <w:pPr>
              <w:spacing w:after="0"/>
              <w:rPr>
                <w:sz w:val="18"/>
                <w:szCs w:val="18"/>
                <w:color w:val="auto"/>
              </w:rPr>
            </w:pPr>
          </w:p>
        </w:tc>
        <w:tc>
          <w:tcPr>
            <w:tcW w:w="49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C479D"/>
              </w:rPr>
              <w:t>obligation in excess of plan assets:</w:t>
            </w:r>
          </w:p>
        </w:tc>
        <w:tc>
          <w:tcPr>
            <w:tcW w:w="1020" w:type="dxa"/>
            <w:vAlign w:val="bottom"/>
            <w:shd w:val="clear" w:color="auto" w:fill="F0F0F0"/>
          </w:tcPr>
          <w:p>
            <w:pPr>
              <w:spacing w:after="0"/>
              <w:rPr>
                <w:sz w:val="18"/>
                <w:szCs w:val="18"/>
                <w:color w:val="auto"/>
              </w:rPr>
            </w:pPr>
          </w:p>
        </w:tc>
        <w:tc>
          <w:tcPr>
            <w:tcW w:w="80" w:type="dxa"/>
            <w:vAlign w:val="bottom"/>
            <w:shd w:val="clear" w:color="auto" w:fill="F0F0F0"/>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Borders>
              <w:right w:val="single" w:sz="8" w:color="F0F0F0"/>
            </w:tcBorders>
            <w:shd w:val="clear" w:color="auto" w:fill="F0F0F0"/>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4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10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0F0"/>
          </w:tcPr>
          <w:p>
            <w:pPr>
              <w:spacing w:after="0"/>
              <w:rPr>
                <w:sz w:val="23"/>
                <w:szCs w:val="23"/>
                <w:color w:val="auto"/>
              </w:rPr>
            </w:pPr>
          </w:p>
        </w:tc>
        <w:tc>
          <w:tcPr>
            <w:tcW w:w="13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F0F0F0"/>
            </w:tcBorders>
            <w:shd w:val="clear" w:color="auto" w:fill="F0F0F0"/>
          </w:tcPr>
          <w:p>
            <w:pPr>
              <w:jc w:val="right"/>
              <w:ind w:right="14"/>
              <w:spacing w:after="0"/>
              <w:rPr>
                <w:sz w:val="20"/>
                <w:szCs w:val="20"/>
                <w:color w:val="auto"/>
              </w:rPr>
            </w:pPr>
            <w:r>
              <w:rPr>
                <w:rFonts w:ascii="Times New Roman" w:cs="Times New Roman" w:eastAsia="Times New Roman" w:hAnsi="Times New Roman"/>
                <w:sz w:val="18"/>
                <w:szCs w:val="18"/>
                <w:color w:val="auto"/>
              </w:rPr>
              <w:t>1,025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4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Fair value of plan assets</w:t>
            </w:r>
          </w:p>
        </w:tc>
        <w:tc>
          <w:tcPr>
            <w:tcW w:w="10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F0F0F0"/>
          </w:tcPr>
          <w:p>
            <w:pPr>
              <w:spacing w:after="0"/>
              <w:rPr>
                <w:sz w:val="23"/>
                <w:szCs w:val="23"/>
                <w:color w:val="auto"/>
              </w:rPr>
            </w:pPr>
          </w:p>
        </w:tc>
        <w:tc>
          <w:tcPr>
            <w:tcW w:w="13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F0F0F0"/>
            </w:tcBorders>
            <w:shd w:val="clear" w:color="auto" w:fill="F0F0F0"/>
          </w:tcPr>
          <w:p>
            <w:pPr>
              <w:jc w:val="right"/>
              <w:ind w:right="14"/>
              <w:spacing w:after="0"/>
              <w:rPr>
                <w:sz w:val="20"/>
                <w:szCs w:val="20"/>
                <w:color w:val="auto"/>
              </w:rPr>
            </w:pPr>
            <w:r>
              <w:rPr>
                <w:rFonts w:ascii="Times New Roman" w:cs="Times New Roman" w:eastAsia="Times New Roman" w:hAnsi="Times New Roman"/>
                <w:sz w:val="18"/>
                <w:szCs w:val="18"/>
                <w:color w:val="auto"/>
              </w:rPr>
              <w:t>574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283"/>
        </w:trPr>
        <w:tc>
          <w:tcPr>
            <w:tcW w:w="780" w:type="dxa"/>
            <w:vAlign w:val="bottom"/>
          </w:tcPr>
          <w:p>
            <w:pPr>
              <w:spacing w:after="0"/>
              <w:rPr>
                <w:sz w:val="24"/>
                <w:szCs w:val="24"/>
                <w:color w:val="auto"/>
              </w:rPr>
            </w:pPr>
          </w:p>
        </w:tc>
        <w:tc>
          <w:tcPr>
            <w:tcW w:w="49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C479D"/>
              </w:rPr>
              <w:t>For funded pension plans with a projected benefit obligation in</w:t>
            </w:r>
          </w:p>
        </w:tc>
        <w:tc>
          <w:tcPr>
            <w:tcW w:w="1020" w:type="dxa"/>
            <w:vAlign w:val="bottom"/>
            <w:shd w:val="clear" w:color="auto" w:fill="F0F0F0"/>
          </w:tcPr>
          <w:p>
            <w:pPr>
              <w:spacing w:after="0"/>
              <w:rPr>
                <w:sz w:val="24"/>
                <w:szCs w:val="24"/>
                <w:color w:val="auto"/>
              </w:rPr>
            </w:pPr>
          </w:p>
        </w:tc>
        <w:tc>
          <w:tcPr>
            <w:tcW w:w="80" w:type="dxa"/>
            <w:vAlign w:val="bottom"/>
            <w:shd w:val="clear" w:color="auto" w:fill="F0F0F0"/>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Borders>
              <w:right w:val="single" w:sz="8" w:color="F0F0F0"/>
            </w:tcBorders>
            <w:shd w:val="clear" w:color="auto" w:fill="F0F0F0"/>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C479D"/>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shd w:val="clear" w:color="auto" w:fill="F0F0F0"/>
          </w:tcPr>
          <w:p>
            <w:pPr>
              <w:spacing w:after="0" w:line="20" w:lineRule="exact"/>
              <w:rPr>
                <w:sz w:val="1"/>
                <w:szCs w:val="1"/>
                <w:color w:val="auto"/>
              </w:rPr>
            </w:pPr>
          </w:p>
        </w:tc>
        <w:tc>
          <w:tcPr>
            <w:tcW w:w="80" w:type="dxa"/>
            <w:vAlign w:val="bottom"/>
            <w:shd w:val="clear" w:color="auto" w:fill="F0F0F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right w:val="single" w:sz="8" w:color="F0F0F0"/>
            </w:tcBorders>
            <w:shd w:val="clear" w:color="auto" w:fill="F0F0F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 w:type="dxa"/>
            <w:vAlign w:val="bottom"/>
          </w:tcPr>
          <w:p>
            <w:pPr>
              <w:spacing w:after="0"/>
              <w:rPr>
                <w:sz w:val="18"/>
                <w:szCs w:val="18"/>
                <w:color w:val="auto"/>
              </w:rPr>
            </w:pPr>
          </w:p>
        </w:tc>
        <w:tc>
          <w:tcPr>
            <w:tcW w:w="49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C479D"/>
              </w:rPr>
              <w:t>excess of plan assets:</w:t>
            </w:r>
          </w:p>
        </w:tc>
        <w:tc>
          <w:tcPr>
            <w:tcW w:w="1020" w:type="dxa"/>
            <w:vAlign w:val="bottom"/>
            <w:shd w:val="clear" w:color="auto" w:fill="F0F0F0"/>
          </w:tcPr>
          <w:p>
            <w:pPr>
              <w:spacing w:after="0"/>
              <w:rPr>
                <w:sz w:val="18"/>
                <w:szCs w:val="18"/>
                <w:color w:val="auto"/>
              </w:rPr>
            </w:pPr>
          </w:p>
        </w:tc>
        <w:tc>
          <w:tcPr>
            <w:tcW w:w="80" w:type="dxa"/>
            <w:vAlign w:val="bottom"/>
            <w:shd w:val="clear" w:color="auto" w:fill="F0F0F0"/>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Borders>
              <w:right w:val="single" w:sz="8" w:color="F0F0F0"/>
            </w:tcBorders>
            <w:shd w:val="clear" w:color="auto" w:fill="F0F0F0"/>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4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10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11,501</w:t>
            </w:r>
          </w:p>
        </w:tc>
        <w:tc>
          <w:tcPr>
            <w:tcW w:w="80" w:type="dxa"/>
            <w:vAlign w:val="bottom"/>
            <w:shd w:val="clear" w:color="auto" w:fill="F0F0F0"/>
          </w:tcPr>
          <w:p>
            <w:pPr>
              <w:spacing w:after="0"/>
              <w:rPr>
                <w:sz w:val="23"/>
                <w:szCs w:val="23"/>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11,638</w:t>
            </w:r>
          </w:p>
        </w:tc>
        <w:tc>
          <w:tcPr>
            <w:tcW w:w="160" w:type="dxa"/>
            <w:vAlign w:val="bottom"/>
          </w:tcPr>
          <w:p>
            <w:pPr>
              <w:spacing w:after="0"/>
              <w:rPr>
                <w:sz w:val="23"/>
                <w:szCs w:val="23"/>
                <w:color w:val="auto"/>
              </w:rPr>
            </w:pPr>
          </w:p>
        </w:tc>
        <w:tc>
          <w:tcPr>
            <w:tcW w:w="1120" w:type="dxa"/>
            <w:vAlign w:val="bottom"/>
            <w:tcBorders>
              <w:right w:val="single" w:sz="8" w:color="F0F0F0"/>
            </w:tcBorders>
            <w:shd w:val="clear" w:color="auto" w:fill="F0F0F0"/>
          </w:tcPr>
          <w:p>
            <w:pPr>
              <w:jc w:val="right"/>
              <w:ind w:right="14"/>
              <w:spacing w:after="0"/>
              <w:rPr>
                <w:sz w:val="20"/>
                <w:szCs w:val="20"/>
                <w:color w:val="auto"/>
              </w:rPr>
            </w:pPr>
            <w:r>
              <w:rPr>
                <w:rFonts w:ascii="Times New Roman" w:cs="Times New Roman" w:eastAsia="Times New Roman" w:hAnsi="Times New Roman"/>
                <w:sz w:val="18"/>
                <w:szCs w:val="18"/>
                <w:color w:val="auto"/>
              </w:rPr>
              <w:t>1,982</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4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Fair value of plan assets</w:t>
            </w:r>
          </w:p>
        </w:tc>
        <w:tc>
          <w:tcPr>
            <w:tcW w:w="10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11,232</w:t>
            </w:r>
          </w:p>
        </w:tc>
        <w:tc>
          <w:tcPr>
            <w:tcW w:w="80" w:type="dxa"/>
            <w:vAlign w:val="bottom"/>
            <w:shd w:val="clear" w:color="auto" w:fill="F0F0F0"/>
          </w:tcPr>
          <w:p>
            <w:pPr>
              <w:spacing w:after="0"/>
              <w:rPr>
                <w:sz w:val="23"/>
                <w:szCs w:val="23"/>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11,367</w:t>
            </w:r>
          </w:p>
        </w:tc>
        <w:tc>
          <w:tcPr>
            <w:tcW w:w="160" w:type="dxa"/>
            <w:vAlign w:val="bottom"/>
          </w:tcPr>
          <w:p>
            <w:pPr>
              <w:spacing w:after="0"/>
              <w:rPr>
                <w:sz w:val="23"/>
                <w:szCs w:val="23"/>
                <w:color w:val="auto"/>
              </w:rPr>
            </w:pPr>
          </w:p>
        </w:tc>
        <w:tc>
          <w:tcPr>
            <w:tcW w:w="1120" w:type="dxa"/>
            <w:vAlign w:val="bottom"/>
            <w:tcBorders>
              <w:right w:val="single" w:sz="8" w:color="F0F0F0"/>
            </w:tcBorders>
            <w:shd w:val="clear" w:color="auto" w:fill="F0F0F0"/>
          </w:tcPr>
          <w:p>
            <w:pPr>
              <w:jc w:val="right"/>
              <w:ind w:right="14"/>
              <w:spacing w:after="0"/>
              <w:rPr>
                <w:sz w:val="20"/>
                <w:szCs w:val="20"/>
                <w:color w:val="auto"/>
              </w:rPr>
            </w:pPr>
            <w:r>
              <w:rPr>
                <w:rFonts w:ascii="Times New Roman" w:cs="Times New Roman" w:eastAsia="Times New Roman" w:hAnsi="Times New Roman"/>
                <w:sz w:val="18"/>
                <w:szCs w:val="18"/>
                <w:color w:val="auto"/>
              </w:rPr>
              <w:t>1,261</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0" w:type="dxa"/>
            <w:vAlign w:val="bottom"/>
          </w:tcPr>
          <w:p>
            <w:pPr>
              <w:spacing w:after="0"/>
              <w:rPr>
                <w:sz w:val="1"/>
                <w:szCs w:val="1"/>
                <w:color w:val="auto"/>
              </w:rPr>
            </w:pPr>
          </w:p>
        </w:tc>
      </w:tr>
      <w:tr>
        <w:trPr>
          <w:trHeight w:val="324"/>
        </w:trPr>
        <w:tc>
          <w:tcPr>
            <w:tcW w:w="780" w:type="dxa"/>
            <w:vAlign w:val="bottom"/>
          </w:tcPr>
          <w:p>
            <w:pPr>
              <w:spacing w:after="0"/>
              <w:rPr>
                <w:sz w:val="24"/>
                <w:szCs w:val="24"/>
                <w:color w:val="auto"/>
              </w:rPr>
            </w:pPr>
          </w:p>
        </w:tc>
        <w:tc>
          <w:tcPr>
            <w:tcW w:w="49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C479D"/>
              </w:rPr>
              <w:t>For unfunded pension plans:</w:t>
            </w:r>
          </w:p>
        </w:tc>
        <w:tc>
          <w:tcPr>
            <w:tcW w:w="1020" w:type="dxa"/>
            <w:vAlign w:val="bottom"/>
            <w:shd w:val="clear" w:color="auto" w:fill="F0F0F0"/>
          </w:tcPr>
          <w:p>
            <w:pPr>
              <w:spacing w:after="0"/>
              <w:rPr>
                <w:sz w:val="24"/>
                <w:szCs w:val="24"/>
                <w:color w:val="auto"/>
              </w:rPr>
            </w:pPr>
          </w:p>
        </w:tc>
        <w:tc>
          <w:tcPr>
            <w:tcW w:w="80" w:type="dxa"/>
            <w:vAlign w:val="bottom"/>
            <w:shd w:val="clear" w:color="auto" w:fill="F0F0F0"/>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Borders>
              <w:right w:val="single" w:sz="8" w:color="F0F0F0"/>
            </w:tcBorders>
            <w:shd w:val="clear" w:color="auto" w:fill="F0F0F0"/>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C479D"/>
          </w:tcPr>
          <w:p>
            <w:pPr>
              <w:spacing w:after="0" w:line="20" w:lineRule="exact"/>
              <w:rPr>
                <w:sz w:val="1"/>
                <w:szCs w:val="1"/>
                <w:color w:val="auto"/>
              </w:rPr>
            </w:pPr>
          </w:p>
        </w:tc>
        <w:tc>
          <w:tcPr>
            <w:tcW w:w="200" w:type="dxa"/>
            <w:vAlign w:val="bottom"/>
            <w:shd w:val="clear" w:color="auto" w:fill="0C479D"/>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shd w:val="clear" w:color="auto" w:fill="F0F0F0"/>
          </w:tcPr>
          <w:p>
            <w:pPr>
              <w:spacing w:after="0" w:line="20" w:lineRule="exact"/>
              <w:rPr>
                <w:sz w:val="1"/>
                <w:szCs w:val="1"/>
                <w:color w:val="auto"/>
              </w:rPr>
            </w:pPr>
          </w:p>
        </w:tc>
        <w:tc>
          <w:tcPr>
            <w:tcW w:w="80" w:type="dxa"/>
            <w:vAlign w:val="bottom"/>
            <w:shd w:val="clear" w:color="auto" w:fill="F0F0F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right w:val="single" w:sz="8" w:color="F0F0F0"/>
            </w:tcBorders>
            <w:shd w:val="clear" w:color="auto" w:fill="F0F0F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780" w:type="dxa"/>
            <w:vAlign w:val="bottom"/>
          </w:tcPr>
          <w:p>
            <w:pPr>
              <w:spacing w:after="0"/>
              <w:rPr>
                <w:sz w:val="24"/>
                <w:szCs w:val="24"/>
                <w:color w:val="auto"/>
              </w:rPr>
            </w:pPr>
          </w:p>
        </w:tc>
        <w:tc>
          <w:tcPr>
            <w:tcW w:w="4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10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80" w:type="dxa"/>
            <w:vAlign w:val="bottom"/>
            <w:shd w:val="clear" w:color="auto" w:fill="F0F0F0"/>
          </w:tcPr>
          <w:p>
            <w:pPr>
              <w:spacing w:after="0"/>
              <w:rPr>
                <w:sz w:val="24"/>
                <w:szCs w:val="24"/>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1,505</w:t>
            </w:r>
          </w:p>
        </w:tc>
        <w:tc>
          <w:tcPr>
            <w:tcW w:w="160" w:type="dxa"/>
            <w:vAlign w:val="bottom"/>
          </w:tcPr>
          <w:p>
            <w:pPr>
              <w:spacing w:after="0"/>
              <w:rPr>
                <w:sz w:val="24"/>
                <w:szCs w:val="24"/>
                <w:color w:val="auto"/>
              </w:rPr>
            </w:pPr>
          </w:p>
        </w:tc>
        <w:tc>
          <w:tcPr>
            <w:tcW w:w="1120" w:type="dxa"/>
            <w:vAlign w:val="bottom"/>
            <w:tcBorders>
              <w:right w:val="single" w:sz="8" w:color="F0F0F0"/>
            </w:tcBorders>
            <w:shd w:val="clear" w:color="auto" w:fill="F0F0F0"/>
          </w:tcPr>
          <w:p>
            <w:pPr>
              <w:jc w:val="right"/>
              <w:ind w:right="14"/>
              <w:spacing w:after="0"/>
              <w:rPr>
                <w:sz w:val="20"/>
                <w:szCs w:val="20"/>
                <w:color w:val="auto"/>
              </w:rPr>
            </w:pPr>
            <w:r>
              <w:rPr>
                <w:rFonts w:ascii="Times New Roman" w:cs="Times New Roman" w:eastAsia="Times New Roman" w:hAnsi="Times New Roman"/>
                <w:sz w:val="18"/>
                <w:szCs w:val="18"/>
                <w:color w:val="auto"/>
              </w:rPr>
              <w:t>3,499</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4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10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80" w:type="dxa"/>
            <w:vAlign w:val="bottom"/>
            <w:shd w:val="clear" w:color="auto" w:fill="F0F0F0"/>
          </w:tcPr>
          <w:p>
            <w:pPr>
              <w:spacing w:after="0"/>
              <w:rPr>
                <w:sz w:val="23"/>
                <w:szCs w:val="23"/>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1,173</w:t>
            </w:r>
          </w:p>
        </w:tc>
        <w:tc>
          <w:tcPr>
            <w:tcW w:w="160" w:type="dxa"/>
            <w:vAlign w:val="bottom"/>
          </w:tcPr>
          <w:p>
            <w:pPr>
              <w:spacing w:after="0"/>
              <w:rPr>
                <w:sz w:val="23"/>
                <w:szCs w:val="23"/>
                <w:color w:val="auto"/>
              </w:rPr>
            </w:pPr>
          </w:p>
        </w:tc>
        <w:tc>
          <w:tcPr>
            <w:tcW w:w="1120" w:type="dxa"/>
            <w:vAlign w:val="bottom"/>
            <w:tcBorders>
              <w:right w:val="single" w:sz="8" w:color="F0F0F0"/>
            </w:tcBorders>
            <w:shd w:val="clear" w:color="auto" w:fill="F0F0F0"/>
          </w:tcPr>
          <w:p>
            <w:pPr>
              <w:jc w:val="right"/>
              <w:ind w:right="14"/>
              <w:spacing w:after="0"/>
              <w:rPr>
                <w:sz w:val="20"/>
                <w:szCs w:val="20"/>
                <w:color w:val="auto"/>
              </w:rPr>
            </w:pPr>
            <w:r>
              <w:rPr>
                <w:rFonts w:ascii="Times New Roman" w:cs="Times New Roman" w:eastAsia="Times New Roman" w:hAnsi="Times New Roman"/>
                <w:sz w:val="18"/>
                <w:szCs w:val="18"/>
                <w:color w:val="auto"/>
              </w:rPr>
              <w:t>3,224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0" w:type="dxa"/>
            <w:vAlign w:val="bottom"/>
          </w:tcPr>
          <w:p>
            <w:pPr>
              <w:spacing w:after="0"/>
              <w:rPr>
                <w:sz w:val="1"/>
                <w:szCs w:val="1"/>
                <w:color w:val="auto"/>
              </w:rPr>
            </w:pPr>
          </w:p>
        </w:tc>
      </w:tr>
      <w:tr>
        <w:trPr>
          <w:trHeight w:val="527"/>
        </w:trPr>
        <w:tc>
          <w:tcPr>
            <w:tcW w:w="5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All other postretirement benefit plans are unfunded or underfunded.</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0C479D"/>
              </w:rPr>
              <w:t>Pension Benefits</w:t>
            </w:r>
          </w:p>
        </w:tc>
        <w:tc>
          <w:tcPr>
            <w:tcW w:w="2340" w:type="dxa"/>
            <w:vAlign w:val="bottom"/>
            <w:gridSpan w:val="2"/>
          </w:tcPr>
          <w:p>
            <w:pPr>
              <w:jc w:val="right"/>
              <w:ind w:right="253"/>
              <w:spacing w:after="0"/>
              <w:rPr>
                <w:sz w:val="20"/>
                <w:szCs w:val="20"/>
                <w:color w:val="auto"/>
              </w:rPr>
            </w:pPr>
            <w:r>
              <w:rPr>
                <w:rFonts w:ascii="Times New Roman" w:cs="Times New Roman" w:eastAsia="Times New Roman" w:hAnsi="Times New Roman"/>
                <w:sz w:val="14"/>
                <w:szCs w:val="14"/>
                <w:b w:val="1"/>
                <w:bCs w:val="1"/>
                <w:color w:val="0C479D"/>
              </w:rPr>
              <w:t>Other Postretirement Benefits</w:t>
            </w:r>
          </w:p>
        </w:tc>
        <w:tc>
          <w:tcPr>
            <w:tcW w:w="0" w:type="dxa"/>
            <w:vAlign w:val="bottom"/>
          </w:tcPr>
          <w:p>
            <w:pPr>
              <w:spacing w:after="0"/>
              <w:rPr>
                <w:sz w:val="1"/>
                <w:szCs w:val="1"/>
                <w:color w:val="auto"/>
              </w:rPr>
            </w:pPr>
          </w:p>
        </w:tc>
      </w:tr>
      <w:tr>
        <w:trPr>
          <w:trHeight w:val="64"/>
        </w:trPr>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500" w:type="dxa"/>
            <w:vAlign w:val="bottom"/>
          </w:tcPr>
          <w:p>
            <w:pPr>
              <w:spacing w:after="0"/>
              <w:rPr>
                <w:sz w:val="5"/>
                <w:szCs w:val="5"/>
                <w:color w:val="auto"/>
              </w:rPr>
            </w:pPr>
          </w:p>
        </w:tc>
        <w:tc>
          <w:tcPr>
            <w:tcW w:w="340" w:type="dxa"/>
            <w:vAlign w:val="bottom"/>
            <w:tcBorders>
              <w:bottom w:val="single" w:sz="8" w:color="0C479D"/>
            </w:tcBorders>
          </w:tcPr>
          <w:p>
            <w:pPr>
              <w:spacing w:after="0"/>
              <w:rPr>
                <w:sz w:val="5"/>
                <w:szCs w:val="5"/>
                <w:color w:val="auto"/>
              </w:rPr>
            </w:pPr>
          </w:p>
        </w:tc>
        <w:tc>
          <w:tcPr>
            <w:tcW w:w="1020" w:type="dxa"/>
            <w:vAlign w:val="bottom"/>
            <w:tcBorders>
              <w:bottom w:val="single" w:sz="8" w:color="0C479D"/>
            </w:tcBorders>
          </w:tcPr>
          <w:p>
            <w:pPr>
              <w:spacing w:after="0"/>
              <w:rPr>
                <w:sz w:val="5"/>
                <w:szCs w:val="5"/>
                <w:color w:val="auto"/>
              </w:rPr>
            </w:pPr>
          </w:p>
        </w:tc>
        <w:tc>
          <w:tcPr>
            <w:tcW w:w="80" w:type="dxa"/>
            <w:vAlign w:val="bottom"/>
            <w:tcBorders>
              <w:bottom w:val="single" w:sz="8" w:color="0C479D"/>
            </w:tcBorders>
          </w:tcPr>
          <w:p>
            <w:pPr>
              <w:spacing w:after="0"/>
              <w:rPr>
                <w:sz w:val="5"/>
                <w:szCs w:val="5"/>
                <w:color w:val="auto"/>
              </w:rPr>
            </w:pPr>
          </w:p>
        </w:tc>
        <w:tc>
          <w:tcPr>
            <w:tcW w:w="1060" w:type="dxa"/>
            <w:vAlign w:val="bottom"/>
            <w:tcBorders>
              <w:bottom w:val="single" w:sz="8" w:color="0C479D"/>
            </w:tcBorders>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0C479D"/>
            </w:tcBorders>
          </w:tcPr>
          <w:p>
            <w:pPr>
              <w:spacing w:after="0"/>
              <w:rPr>
                <w:sz w:val="5"/>
                <w:szCs w:val="5"/>
                <w:color w:val="auto"/>
              </w:rPr>
            </w:pPr>
          </w:p>
        </w:tc>
        <w:tc>
          <w:tcPr>
            <w:tcW w:w="1120" w:type="dxa"/>
            <w:vAlign w:val="bottom"/>
            <w:tcBorders>
              <w:bottom w:val="single" w:sz="8" w:color="0C479D"/>
            </w:tcBorders>
          </w:tcPr>
          <w:p>
            <w:pPr>
              <w:spacing w:after="0"/>
              <w:rPr>
                <w:sz w:val="5"/>
                <w:szCs w:val="5"/>
                <w:color w:val="auto"/>
              </w:rPr>
            </w:pPr>
          </w:p>
        </w:tc>
        <w:tc>
          <w:tcPr>
            <w:tcW w:w="1220" w:type="dxa"/>
            <w:vAlign w:val="bottom"/>
            <w:tcBorders>
              <w:bottom w:val="single" w:sz="8" w:color="0C479D"/>
            </w:tcBorders>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780" w:type="dxa"/>
            <w:vAlign w:val="bottom"/>
          </w:tcPr>
          <w:p>
            <w:pPr>
              <w:spacing w:after="0"/>
              <w:rPr>
                <w:sz w:val="13"/>
                <w:szCs w:val="13"/>
                <w:color w:val="auto"/>
              </w:rPr>
            </w:pPr>
          </w:p>
        </w:tc>
        <w:tc>
          <w:tcPr>
            <w:tcW w:w="4920" w:type="dxa"/>
            <w:vAlign w:val="bottom"/>
            <w:gridSpan w:val="5"/>
            <w:vMerge w:val="restart"/>
            <w:shd w:val="clear" w:color="auto" w:fill="0C479D"/>
          </w:tcPr>
          <w:p>
            <w:pPr>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1020" w:type="dxa"/>
            <w:vAlign w:val="bottom"/>
            <w:vMerge w:val="restart"/>
            <w:shd w:val="clear" w:color="auto" w:fill="0C479D"/>
          </w:tcPr>
          <w:p>
            <w:pPr>
              <w:jc w:val="right"/>
              <w:ind w:right="573"/>
              <w:spacing w:after="0"/>
              <w:rPr>
                <w:sz w:val="20"/>
                <w:szCs w:val="20"/>
                <w:color w:val="auto"/>
              </w:rPr>
            </w:pPr>
            <w:r>
              <w:rPr>
                <w:rFonts w:ascii="Times New Roman" w:cs="Times New Roman" w:eastAsia="Times New Roman" w:hAnsi="Times New Roman"/>
                <w:sz w:val="14"/>
                <w:szCs w:val="14"/>
                <w:b w:val="1"/>
                <w:bCs w:val="1"/>
                <w:color w:val="FFFFFF"/>
              </w:rPr>
              <w:t>U.S.</w:t>
            </w:r>
          </w:p>
        </w:tc>
        <w:tc>
          <w:tcPr>
            <w:tcW w:w="80" w:type="dxa"/>
            <w:vAlign w:val="bottom"/>
            <w:shd w:val="clear" w:color="auto" w:fill="0C479D"/>
          </w:tcPr>
          <w:p>
            <w:pPr>
              <w:spacing w:after="0"/>
              <w:rPr>
                <w:sz w:val="13"/>
                <w:szCs w:val="13"/>
                <w:color w:val="auto"/>
              </w:rPr>
            </w:pPr>
          </w:p>
        </w:tc>
        <w:tc>
          <w:tcPr>
            <w:tcW w:w="1060" w:type="dxa"/>
            <w:vAlign w:val="bottom"/>
            <w:vMerge w:val="restart"/>
            <w:shd w:val="clear" w:color="auto" w:fill="0C479D"/>
          </w:tcPr>
          <w:p>
            <w:pPr>
              <w:jc w:val="right"/>
              <w:ind w:right="235"/>
              <w:spacing w:after="0"/>
              <w:rPr>
                <w:sz w:val="20"/>
                <w:szCs w:val="20"/>
                <w:color w:val="auto"/>
              </w:rPr>
            </w:pPr>
            <w:r>
              <w:rPr>
                <w:rFonts w:ascii="Times New Roman" w:cs="Times New Roman" w:eastAsia="Times New Roman" w:hAnsi="Times New Roman"/>
                <w:sz w:val="14"/>
                <w:szCs w:val="14"/>
                <w:b w:val="1"/>
                <w:bCs w:val="1"/>
                <w:color w:val="FFFFFF"/>
              </w:rPr>
              <w:t>Non-U.S.</w:t>
            </w:r>
          </w:p>
        </w:tc>
        <w:tc>
          <w:tcPr>
            <w:tcW w:w="120" w:type="dxa"/>
            <w:vAlign w:val="bottom"/>
          </w:tcPr>
          <w:p>
            <w:pPr>
              <w:spacing w:after="0"/>
              <w:rPr>
                <w:sz w:val="13"/>
                <w:szCs w:val="13"/>
                <w:color w:val="auto"/>
              </w:rPr>
            </w:pPr>
          </w:p>
        </w:tc>
        <w:tc>
          <w:tcPr>
            <w:tcW w:w="160" w:type="dxa"/>
            <w:vAlign w:val="bottom"/>
            <w:shd w:val="clear" w:color="auto" w:fill="0C479D"/>
          </w:tcPr>
          <w:p>
            <w:pPr>
              <w:spacing w:after="0"/>
              <w:rPr>
                <w:sz w:val="13"/>
                <w:szCs w:val="13"/>
                <w:color w:val="auto"/>
              </w:rPr>
            </w:pPr>
          </w:p>
        </w:tc>
        <w:tc>
          <w:tcPr>
            <w:tcW w:w="1120" w:type="dxa"/>
            <w:vAlign w:val="bottom"/>
            <w:tcBorders>
              <w:right w:val="single" w:sz="8" w:color="0C479D"/>
            </w:tcBorders>
            <w:vMerge w:val="restart"/>
            <w:shd w:val="clear" w:color="auto" w:fill="0C479D"/>
          </w:tcPr>
          <w:p>
            <w:pPr>
              <w:jc w:val="right"/>
              <w:ind w:right="434"/>
              <w:spacing w:after="0"/>
              <w:rPr>
                <w:sz w:val="20"/>
                <w:szCs w:val="20"/>
                <w:color w:val="auto"/>
              </w:rPr>
            </w:pPr>
            <w:r>
              <w:rPr>
                <w:rFonts w:ascii="Times New Roman" w:cs="Times New Roman" w:eastAsia="Times New Roman" w:hAnsi="Times New Roman"/>
                <w:sz w:val="14"/>
                <w:szCs w:val="14"/>
                <w:b w:val="1"/>
                <w:bCs w:val="1"/>
                <w:color w:val="FFFFFF"/>
              </w:rPr>
              <w:t>Gross</w:t>
            </w:r>
          </w:p>
        </w:tc>
        <w:tc>
          <w:tcPr>
            <w:tcW w:w="1220" w:type="dxa"/>
            <w:vAlign w:val="bottom"/>
            <w:shd w:val="clear" w:color="auto" w:fill="0C479D"/>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FFFFFF"/>
              </w:rPr>
              <w:t>Medicare Subsidy</w:t>
            </w:r>
          </w:p>
        </w:tc>
        <w:tc>
          <w:tcPr>
            <w:tcW w:w="0" w:type="dxa"/>
            <w:vAlign w:val="bottom"/>
          </w:tcPr>
          <w:p>
            <w:pPr>
              <w:spacing w:after="0"/>
              <w:rPr>
                <w:sz w:val="1"/>
                <w:szCs w:val="1"/>
                <w:color w:val="auto"/>
              </w:rPr>
            </w:pPr>
          </w:p>
        </w:tc>
      </w:tr>
      <w:tr>
        <w:trPr>
          <w:trHeight w:val="109"/>
        </w:trPr>
        <w:tc>
          <w:tcPr>
            <w:tcW w:w="780" w:type="dxa"/>
            <w:vAlign w:val="bottom"/>
          </w:tcPr>
          <w:p>
            <w:pPr>
              <w:spacing w:after="0"/>
              <w:rPr>
                <w:sz w:val="9"/>
                <w:szCs w:val="9"/>
                <w:color w:val="auto"/>
              </w:rPr>
            </w:pPr>
          </w:p>
        </w:tc>
        <w:tc>
          <w:tcPr>
            <w:tcW w:w="4920" w:type="dxa"/>
            <w:vAlign w:val="bottom"/>
            <w:gridSpan w:val="5"/>
            <w:vMerge w:val="continue"/>
            <w:shd w:val="clear" w:color="auto" w:fill="0C479D"/>
          </w:tcPr>
          <w:p>
            <w:pPr>
              <w:spacing w:after="0"/>
              <w:rPr>
                <w:sz w:val="9"/>
                <w:szCs w:val="9"/>
                <w:color w:val="auto"/>
              </w:rPr>
            </w:pPr>
          </w:p>
        </w:tc>
        <w:tc>
          <w:tcPr>
            <w:tcW w:w="1020" w:type="dxa"/>
            <w:vAlign w:val="bottom"/>
            <w:vMerge w:val="continue"/>
            <w:shd w:val="clear" w:color="auto" w:fill="0C479D"/>
          </w:tcPr>
          <w:p>
            <w:pPr>
              <w:spacing w:after="0"/>
              <w:rPr>
                <w:sz w:val="9"/>
                <w:szCs w:val="9"/>
                <w:color w:val="auto"/>
              </w:rPr>
            </w:pPr>
          </w:p>
        </w:tc>
        <w:tc>
          <w:tcPr>
            <w:tcW w:w="80" w:type="dxa"/>
            <w:vAlign w:val="bottom"/>
            <w:shd w:val="clear" w:color="auto" w:fill="0C479D"/>
          </w:tcPr>
          <w:p>
            <w:pPr>
              <w:spacing w:after="0"/>
              <w:rPr>
                <w:sz w:val="9"/>
                <w:szCs w:val="9"/>
                <w:color w:val="auto"/>
              </w:rPr>
            </w:pPr>
          </w:p>
        </w:tc>
        <w:tc>
          <w:tcPr>
            <w:tcW w:w="1060" w:type="dxa"/>
            <w:vAlign w:val="bottom"/>
            <w:vMerge w:val="continue"/>
            <w:shd w:val="clear" w:color="auto" w:fill="0C479D"/>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shd w:val="clear" w:color="auto" w:fill="0C479D"/>
          </w:tcPr>
          <w:p>
            <w:pPr>
              <w:spacing w:after="0"/>
              <w:rPr>
                <w:sz w:val="9"/>
                <w:szCs w:val="9"/>
                <w:color w:val="auto"/>
              </w:rPr>
            </w:pPr>
          </w:p>
        </w:tc>
        <w:tc>
          <w:tcPr>
            <w:tcW w:w="1120" w:type="dxa"/>
            <w:vAlign w:val="bottom"/>
            <w:tcBorders>
              <w:right w:val="single" w:sz="8" w:color="0C479D"/>
            </w:tcBorders>
            <w:vMerge w:val="continue"/>
            <w:shd w:val="clear" w:color="auto" w:fill="0C479D"/>
          </w:tcPr>
          <w:p>
            <w:pPr>
              <w:spacing w:after="0"/>
              <w:rPr>
                <w:sz w:val="9"/>
                <w:szCs w:val="9"/>
                <w:color w:val="auto"/>
              </w:rPr>
            </w:pPr>
          </w:p>
        </w:tc>
        <w:tc>
          <w:tcPr>
            <w:tcW w:w="1220" w:type="dxa"/>
            <w:vAlign w:val="bottom"/>
            <w:vMerge w:val="restart"/>
            <w:shd w:val="clear" w:color="auto" w:fill="0C479D"/>
          </w:tcPr>
          <w:p>
            <w:pPr>
              <w:jc w:val="right"/>
              <w:ind w:right="293"/>
              <w:spacing w:after="0"/>
              <w:rPr>
                <w:sz w:val="20"/>
                <w:szCs w:val="20"/>
                <w:color w:val="auto"/>
              </w:rPr>
            </w:pPr>
            <w:r>
              <w:rPr>
                <w:rFonts w:ascii="Times New Roman" w:cs="Times New Roman" w:eastAsia="Times New Roman" w:hAnsi="Times New Roman"/>
                <w:sz w:val="14"/>
                <w:szCs w:val="14"/>
                <w:b w:val="1"/>
                <w:bCs w:val="1"/>
                <w:color w:val="FFFFFF"/>
              </w:rPr>
              <w:t>Receipt</w:t>
            </w:r>
          </w:p>
        </w:tc>
        <w:tc>
          <w:tcPr>
            <w:tcW w:w="0" w:type="dxa"/>
            <w:vAlign w:val="bottom"/>
          </w:tcPr>
          <w:p>
            <w:pPr>
              <w:spacing w:after="0"/>
              <w:rPr>
                <w:sz w:val="1"/>
                <w:szCs w:val="1"/>
                <w:color w:val="auto"/>
              </w:rPr>
            </w:pPr>
          </w:p>
        </w:tc>
      </w:tr>
      <w:tr>
        <w:trPr>
          <w:trHeight w:val="84"/>
        </w:trPr>
        <w:tc>
          <w:tcPr>
            <w:tcW w:w="780" w:type="dxa"/>
            <w:vAlign w:val="bottom"/>
          </w:tcPr>
          <w:p>
            <w:pPr>
              <w:spacing w:after="0"/>
              <w:rPr>
                <w:sz w:val="7"/>
                <w:szCs w:val="7"/>
                <w:color w:val="auto"/>
              </w:rPr>
            </w:pPr>
          </w:p>
        </w:tc>
        <w:tc>
          <w:tcPr>
            <w:tcW w:w="340" w:type="dxa"/>
            <w:vAlign w:val="bottom"/>
            <w:tcBorders>
              <w:bottom w:val="single" w:sz="8" w:color="0C479D"/>
            </w:tcBorders>
            <w:shd w:val="clear" w:color="auto" w:fill="0C479D"/>
          </w:tcPr>
          <w:p>
            <w:pPr>
              <w:spacing w:after="0"/>
              <w:rPr>
                <w:sz w:val="7"/>
                <w:szCs w:val="7"/>
                <w:color w:val="auto"/>
              </w:rPr>
            </w:pPr>
          </w:p>
        </w:tc>
        <w:tc>
          <w:tcPr>
            <w:tcW w:w="540" w:type="dxa"/>
            <w:vAlign w:val="bottom"/>
            <w:tcBorders>
              <w:bottom w:val="single" w:sz="8" w:color="0C479D"/>
            </w:tcBorders>
            <w:shd w:val="clear" w:color="auto" w:fill="0C479D"/>
          </w:tcPr>
          <w:p>
            <w:pPr>
              <w:spacing w:after="0"/>
              <w:rPr>
                <w:sz w:val="7"/>
                <w:szCs w:val="7"/>
                <w:color w:val="auto"/>
              </w:rPr>
            </w:pPr>
          </w:p>
        </w:tc>
        <w:tc>
          <w:tcPr>
            <w:tcW w:w="200" w:type="dxa"/>
            <w:vAlign w:val="bottom"/>
            <w:tcBorders>
              <w:bottom w:val="single" w:sz="8" w:color="0C479D"/>
            </w:tcBorders>
            <w:shd w:val="clear" w:color="auto" w:fill="0C479D"/>
          </w:tcPr>
          <w:p>
            <w:pPr>
              <w:spacing w:after="0"/>
              <w:rPr>
                <w:sz w:val="7"/>
                <w:szCs w:val="7"/>
                <w:color w:val="auto"/>
              </w:rPr>
            </w:pPr>
          </w:p>
        </w:tc>
        <w:tc>
          <w:tcPr>
            <w:tcW w:w="3500" w:type="dxa"/>
            <w:vAlign w:val="bottom"/>
            <w:tcBorders>
              <w:bottom w:val="single" w:sz="8" w:color="0C479D"/>
            </w:tcBorders>
            <w:shd w:val="clear" w:color="auto" w:fill="0C479D"/>
          </w:tcPr>
          <w:p>
            <w:pPr>
              <w:spacing w:after="0"/>
              <w:rPr>
                <w:sz w:val="7"/>
                <w:szCs w:val="7"/>
                <w:color w:val="auto"/>
              </w:rPr>
            </w:pPr>
          </w:p>
        </w:tc>
        <w:tc>
          <w:tcPr>
            <w:tcW w:w="340" w:type="dxa"/>
            <w:vAlign w:val="bottom"/>
            <w:tcBorders>
              <w:bottom w:val="single" w:sz="8" w:color="0C479D"/>
            </w:tcBorders>
            <w:shd w:val="clear" w:color="auto" w:fill="0C479D"/>
          </w:tcPr>
          <w:p>
            <w:pPr>
              <w:spacing w:after="0"/>
              <w:rPr>
                <w:sz w:val="7"/>
                <w:szCs w:val="7"/>
                <w:color w:val="auto"/>
              </w:rPr>
            </w:pPr>
          </w:p>
        </w:tc>
        <w:tc>
          <w:tcPr>
            <w:tcW w:w="1020" w:type="dxa"/>
            <w:vAlign w:val="bottom"/>
            <w:tcBorders>
              <w:bottom w:val="single" w:sz="8" w:color="0C479D"/>
            </w:tcBorders>
            <w:shd w:val="clear" w:color="auto" w:fill="0C479D"/>
          </w:tcPr>
          <w:p>
            <w:pPr>
              <w:spacing w:after="0"/>
              <w:rPr>
                <w:sz w:val="7"/>
                <w:szCs w:val="7"/>
                <w:color w:val="auto"/>
              </w:rPr>
            </w:pPr>
          </w:p>
        </w:tc>
        <w:tc>
          <w:tcPr>
            <w:tcW w:w="80" w:type="dxa"/>
            <w:vAlign w:val="bottom"/>
            <w:tcBorders>
              <w:bottom w:val="single" w:sz="8" w:color="0C479D"/>
            </w:tcBorders>
            <w:shd w:val="clear" w:color="auto" w:fill="0C479D"/>
          </w:tcPr>
          <w:p>
            <w:pPr>
              <w:spacing w:after="0"/>
              <w:rPr>
                <w:sz w:val="7"/>
                <w:szCs w:val="7"/>
                <w:color w:val="auto"/>
              </w:rPr>
            </w:pPr>
          </w:p>
        </w:tc>
        <w:tc>
          <w:tcPr>
            <w:tcW w:w="1060" w:type="dxa"/>
            <w:vAlign w:val="bottom"/>
            <w:tcBorders>
              <w:bottom w:val="single" w:sz="8" w:color="0C479D"/>
            </w:tcBorders>
            <w:shd w:val="clear" w:color="auto" w:fill="0C479D"/>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Borders>
              <w:bottom w:val="single" w:sz="8" w:color="0C479D"/>
            </w:tcBorders>
            <w:shd w:val="clear" w:color="auto" w:fill="0C479D"/>
          </w:tcPr>
          <w:p>
            <w:pPr>
              <w:spacing w:after="0"/>
              <w:rPr>
                <w:sz w:val="7"/>
                <w:szCs w:val="7"/>
                <w:color w:val="auto"/>
              </w:rPr>
            </w:pPr>
          </w:p>
        </w:tc>
        <w:tc>
          <w:tcPr>
            <w:tcW w:w="1120" w:type="dxa"/>
            <w:vAlign w:val="bottom"/>
            <w:tcBorders>
              <w:bottom w:val="single" w:sz="8" w:color="0C479D"/>
              <w:right w:val="single" w:sz="8" w:color="0C479D"/>
            </w:tcBorders>
            <w:shd w:val="clear" w:color="auto" w:fill="0C479D"/>
          </w:tcPr>
          <w:p>
            <w:pPr>
              <w:spacing w:after="0"/>
              <w:rPr>
                <w:sz w:val="7"/>
                <w:szCs w:val="7"/>
                <w:color w:val="auto"/>
              </w:rPr>
            </w:pPr>
          </w:p>
        </w:tc>
        <w:tc>
          <w:tcPr>
            <w:tcW w:w="1220" w:type="dxa"/>
            <w:vAlign w:val="bottom"/>
            <w:tcBorders>
              <w:bottom w:val="single" w:sz="8" w:color="0C479D"/>
            </w:tcBorders>
            <w:vMerge w:val="continue"/>
            <w:shd w:val="clear" w:color="auto" w:fill="0C479D"/>
          </w:tcPr>
          <w:p>
            <w:pPr>
              <w:spacing w:after="0"/>
              <w:rPr>
                <w:sz w:val="7"/>
                <w:szCs w:val="7"/>
                <w:color w:val="auto"/>
              </w:rPr>
            </w:pPr>
          </w:p>
        </w:tc>
        <w:tc>
          <w:tcPr>
            <w:tcW w:w="0" w:type="dxa"/>
            <w:vAlign w:val="bottom"/>
          </w:tcPr>
          <w:p>
            <w:pPr>
              <w:spacing w:after="0"/>
              <w:rPr>
                <w:sz w:val="1"/>
                <w:szCs w:val="1"/>
                <w:color w:val="auto"/>
              </w:rPr>
            </w:pPr>
          </w:p>
        </w:tc>
      </w:tr>
      <w:tr>
        <w:trPr>
          <w:trHeight w:val="500"/>
        </w:trPr>
        <w:tc>
          <w:tcPr>
            <w:tcW w:w="780" w:type="dxa"/>
            <w:vAlign w:val="bottom"/>
          </w:tcPr>
          <w:p>
            <w:pPr>
              <w:spacing w:after="0"/>
              <w:rPr>
                <w:sz w:val="24"/>
                <w:szCs w:val="24"/>
                <w:color w:val="auto"/>
              </w:rPr>
            </w:pPr>
          </w:p>
        </w:tc>
        <w:tc>
          <w:tcPr>
            <w:tcW w:w="4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Contributions expected in 2025</w:t>
            </w:r>
          </w:p>
        </w:tc>
        <w:tc>
          <w:tcPr>
            <w:tcW w:w="102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4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Benefit payments expected in:</w:t>
            </w: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66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1,104</w:t>
            </w:r>
          </w:p>
        </w:tc>
        <w:tc>
          <w:tcPr>
            <w:tcW w:w="114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1,101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356</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0"/>
        </w:trPr>
        <w:tc>
          <w:tcPr>
            <w:tcW w:w="166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1,109</w:t>
            </w:r>
          </w:p>
        </w:tc>
        <w:tc>
          <w:tcPr>
            <w:tcW w:w="114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1,077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349</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0"/>
        </w:trPr>
        <w:tc>
          <w:tcPr>
            <w:tcW w:w="166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1,102</w:t>
            </w:r>
          </w:p>
        </w:tc>
        <w:tc>
          <w:tcPr>
            <w:tcW w:w="114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1,110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346</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0"/>
        </w:trPr>
        <w:tc>
          <w:tcPr>
            <w:tcW w:w="166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1,119</w:t>
            </w:r>
          </w:p>
        </w:tc>
        <w:tc>
          <w:tcPr>
            <w:tcW w:w="114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1,146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344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0"/>
        </w:trPr>
        <w:tc>
          <w:tcPr>
            <w:tcW w:w="166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2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1,133</w:t>
            </w:r>
          </w:p>
        </w:tc>
        <w:tc>
          <w:tcPr>
            <w:tcW w:w="114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1,131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343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0"/>
        </w:trPr>
        <w:tc>
          <w:tcPr>
            <w:tcW w:w="5360" w:type="dxa"/>
            <w:vAlign w:val="bottom"/>
            <w:gridSpan w:val="5"/>
          </w:tcPr>
          <w:p>
            <w:pPr>
              <w:ind w:left="1000"/>
              <w:spacing w:after="0"/>
              <w:rPr>
                <w:sz w:val="20"/>
                <w:szCs w:val="20"/>
                <w:color w:val="auto"/>
              </w:rPr>
            </w:pPr>
            <w:r>
              <w:rPr>
                <w:rFonts w:ascii="Times New Roman" w:cs="Times New Roman" w:eastAsia="Times New Roman" w:hAnsi="Times New Roman"/>
                <w:sz w:val="18"/>
                <w:szCs w:val="18"/>
                <w:color w:val="auto"/>
              </w:rPr>
              <w:t>2030 - 2034</w:t>
            </w:r>
          </w:p>
        </w:tc>
        <w:tc>
          <w:tcPr>
            <w:tcW w:w="340" w:type="dxa"/>
            <w:vAlign w:val="bottom"/>
          </w:tcPr>
          <w:p>
            <w:pPr>
              <w:spacing w:after="0"/>
              <w:rPr>
                <w:sz w:val="23"/>
                <w:szCs w:val="23"/>
                <w:color w:val="auto"/>
              </w:rPr>
            </w:pPr>
          </w:p>
        </w:tc>
        <w:tc>
          <w:tcPr>
            <w:tcW w:w="102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5,854</w:t>
            </w:r>
          </w:p>
        </w:tc>
        <w:tc>
          <w:tcPr>
            <w:tcW w:w="114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5,681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1,752</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bl>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C479D"/>
        </w:rPr>
        <w:t>Note 18. Disclosures about Segments and Related Information</w:t>
      </w:r>
    </w:p>
    <w:p>
      <w:pPr>
        <w:spacing w:after="0" w:line="8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reportable segments are Upstream, Energy Products, Chemical Products, and Specialty Products. The factors used to identify these reportable segments are based on the nature of the operations that are undertaken by each segment and reflect the nature of internal reviews by our Management Committee (MC). The MC is considered collectively, and not in their individual capacity, to be our Chief Operating Decision Maker (CODM), and includes our CEO, CFO, and two Senior Vice Presidents serving as contact executives overseeing the Upstream and Product Solutions businesses.</w:t>
      </w:r>
    </w:p>
    <w:p>
      <w:pPr>
        <w:spacing w:after="0" w:line="4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Upstream segment is organized to explore for and produce crude oil and natural gas. Product Solutions consists of the Energy Products, Chemical Products, and Specialty Products segments, which are organized to manufacture and sell petroleum products and petrochemicals.</w:t>
      </w:r>
    </w:p>
    <w:p>
      <w:pPr>
        <w:spacing w:after="0" w:line="54" w:lineRule="exact"/>
        <w:rPr>
          <w:sz w:val="20"/>
          <w:szCs w:val="20"/>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Products: Fuels, aromatics, and catalysts and licensing</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Chemical Products: Olefins, polyolefins, and intermediates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Specialty Products: Finished lubricants, basestocks and waxes, synthetics, and elastomers and resins</w:t>
      </w:r>
    </w:p>
    <w:p>
      <w:pPr>
        <w:spacing w:after="0" w:line="1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CODM generally allocates resources through an annual planning process. They also allocate capital based on detailed project economics and long-term strategic objectives across reportable segments. The CODM primarily uses changes in Net income (loss) attributable to ExxonMobil to assess segment financial performance.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(loss) attributable to ExxonMobil includes transfers at estimated market prices. In Corporate and Financing, interest revenue relates to interest earned on cash deposits and marketable securities. Interest expense includes non-debt-related interest expense of $437 million in 2024, $234 million in 2023, and $117 million in 2022.</w:t>
      </w:r>
    </w:p>
    <w:p>
      <w:pPr>
        <w:sectPr>
          <w:pgSz w:w="11900" w:h="16838" w:orient="portrait"/>
          <w:cols w:equalWidth="0" w:num="1">
            <w:col w:w="11240"/>
          </w:cols>
          <w:pgMar w:left="320" w:top="216" w:right="33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22"/>
          <w:szCs w:val="22"/>
          <w:b w:val="1"/>
          <w:bCs w:val="1"/>
          <w:color w:val="0C479D"/>
        </w:rPr>
        <w:t>NOTES TO CONSOLIDATED FINANCIAL STATEMENTS</w:t>
      </w:r>
    </w:p>
    <w:p>
      <w:pPr>
        <w:spacing w:after="0" w:line="200" w:lineRule="exact"/>
        <w:rPr>
          <w:sz w:val="20"/>
          <w:szCs w:val="20"/>
          <w:color w:val="auto"/>
        </w:rPr>
      </w:pPr>
    </w:p>
    <w:p>
      <w:pPr>
        <w:spacing w:after="0" w:line="321" w:lineRule="exact"/>
        <w:rPr>
          <w:sz w:val="20"/>
          <w:szCs w:val="20"/>
          <w:color w:val="auto"/>
        </w:rPr>
      </w:pPr>
    </w:p>
    <w:tbl>
      <w:tblPr>
        <w:tblLayout w:type="fixed"/>
        <w:tblInd w:w="780" w:type="dxa"/>
        <w:tblCellMar>
          <w:top w:w="0" w:type="dxa"/>
          <w:left w:w="0" w:type="dxa"/>
          <w:bottom w:w="0" w:type="dxa"/>
          <w:right w:w="0" w:type="dxa"/>
        </w:tblCellMar>
      </w:tblPr>
      <w:tr>
        <w:trPr>
          <w:trHeight w:val="178"/>
        </w:trPr>
        <w:tc>
          <w:tcPr>
            <w:tcW w:w="3140" w:type="dxa"/>
            <w:vAlign w:val="bottom"/>
            <w:gridSpan w:val="2"/>
            <w:vMerge w:val="restart"/>
            <w:shd w:val="clear" w:color="auto" w:fill="0C479D"/>
          </w:tcPr>
          <w:p>
            <w:pPr>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1360" w:type="dxa"/>
            <w:vAlign w:val="bottom"/>
            <w:tcBorders>
              <w:right w:val="single" w:sz="8" w:color="0C479D"/>
            </w:tcBorders>
            <w:gridSpan w:val="3"/>
            <w:shd w:val="clear" w:color="auto" w:fill="0C479D"/>
          </w:tcPr>
          <w:p>
            <w:pPr>
              <w:ind w:left="300"/>
              <w:spacing w:after="0"/>
              <w:rPr>
                <w:sz w:val="20"/>
                <w:szCs w:val="20"/>
                <w:color w:val="auto"/>
              </w:rPr>
            </w:pPr>
            <w:r>
              <w:rPr>
                <w:rFonts w:ascii="Times New Roman" w:cs="Times New Roman" w:eastAsia="Times New Roman" w:hAnsi="Times New Roman"/>
                <w:sz w:val="14"/>
                <w:szCs w:val="14"/>
                <w:b w:val="1"/>
                <w:bCs w:val="1"/>
                <w:color w:val="FFFFFF"/>
              </w:rPr>
              <w:t>Upstream</w:t>
            </w:r>
          </w:p>
        </w:tc>
        <w:tc>
          <w:tcPr>
            <w:tcW w:w="1500" w:type="dxa"/>
            <w:vAlign w:val="bottom"/>
            <w:gridSpan w:val="2"/>
            <w:shd w:val="clear" w:color="auto" w:fill="0C479D"/>
          </w:tcPr>
          <w:p>
            <w:pPr>
              <w:ind w:left="220"/>
              <w:spacing w:after="0"/>
              <w:rPr>
                <w:sz w:val="20"/>
                <w:szCs w:val="20"/>
                <w:color w:val="auto"/>
              </w:rPr>
            </w:pPr>
            <w:r>
              <w:rPr>
                <w:rFonts w:ascii="Times New Roman" w:cs="Times New Roman" w:eastAsia="Times New Roman" w:hAnsi="Times New Roman"/>
                <w:sz w:val="14"/>
                <w:szCs w:val="14"/>
                <w:b w:val="1"/>
                <w:bCs w:val="1"/>
                <w:color w:val="FFFFFF"/>
              </w:rPr>
              <w:t>Energy Products</w:t>
            </w:r>
          </w:p>
        </w:tc>
        <w:tc>
          <w:tcPr>
            <w:tcW w:w="1440" w:type="dxa"/>
            <w:vAlign w:val="bottom"/>
            <w:tcBorders>
              <w:right w:val="single" w:sz="8" w:color="0C479D"/>
            </w:tcBorders>
            <w:gridSpan w:val="3"/>
            <w:shd w:val="clear" w:color="auto" w:fill="0C479D"/>
          </w:tcPr>
          <w:p>
            <w:pPr>
              <w:jc w:val="right"/>
              <w:ind w:right="60"/>
              <w:spacing w:after="0"/>
              <w:rPr>
                <w:sz w:val="20"/>
                <w:szCs w:val="20"/>
                <w:color w:val="auto"/>
              </w:rPr>
            </w:pPr>
            <w:r>
              <w:rPr>
                <w:rFonts w:ascii="Times New Roman" w:cs="Times New Roman" w:eastAsia="Times New Roman" w:hAnsi="Times New Roman"/>
                <w:sz w:val="14"/>
                <w:szCs w:val="14"/>
                <w:b w:val="1"/>
                <w:bCs w:val="1"/>
                <w:color w:val="FFFFFF"/>
              </w:rPr>
              <w:t>Chemical Products</w:t>
            </w:r>
          </w:p>
        </w:tc>
        <w:tc>
          <w:tcPr>
            <w:tcW w:w="1460" w:type="dxa"/>
            <w:vAlign w:val="bottom"/>
            <w:gridSpan w:val="2"/>
            <w:shd w:val="clear" w:color="auto" w:fill="0C479D"/>
          </w:tcPr>
          <w:p>
            <w:pPr>
              <w:jc w:val="right"/>
              <w:ind w:right="80"/>
              <w:spacing w:after="0"/>
              <w:rPr>
                <w:sz w:val="20"/>
                <w:szCs w:val="20"/>
                <w:color w:val="auto"/>
              </w:rPr>
            </w:pPr>
            <w:r>
              <w:rPr>
                <w:rFonts w:ascii="Times New Roman" w:cs="Times New Roman" w:eastAsia="Times New Roman" w:hAnsi="Times New Roman"/>
                <w:sz w:val="14"/>
                <w:szCs w:val="14"/>
                <w:b w:val="1"/>
                <w:bCs w:val="1"/>
                <w:color w:val="FFFFFF"/>
              </w:rPr>
              <w:t>Specialty Products</w:t>
            </w:r>
          </w:p>
        </w:tc>
        <w:tc>
          <w:tcPr>
            <w:tcW w:w="800" w:type="dxa"/>
            <w:vAlign w:val="bottom"/>
            <w:gridSpan w:val="2"/>
            <w:shd w:val="clear" w:color="auto" w:fill="0C479D"/>
          </w:tcPr>
          <w:p>
            <w:pPr>
              <w:jc w:val="center"/>
              <w:ind w:right="20"/>
              <w:spacing w:after="0"/>
              <w:rPr>
                <w:sz w:val="20"/>
                <w:szCs w:val="20"/>
                <w:color w:val="auto"/>
              </w:rPr>
            </w:pPr>
            <w:r>
              <w:rPr>
                <w:rFonts w:ascii="Times New Roman" w:cs="Times New Roman" w:eastAsia="Times New Roman" w:hAnsi="Times New Roman"/>
                <w:sz w:val="14"/>
                <w:szCs w:val="14"/>
                <w:b w:val="1"/>
                <w:bCs w:val="1"/>
                <w:color w:val="FFFFFF"/>
              </w:rPr>
              <w:t>Segment</w:t>
            </w:r>
          </w:p>
        </w:tc>
        <w:tc>
          <w:tcPr>
            <w:tcW w:w="0" w:type="dxa"/>
            <w:vAlign w:val="bottom"/>
          </w:tcPr>
          <w:p>
            <w:pPr>
              <w:spacing w:after="0"/>
              <w:rPr>
                <w:sz w:val="1"/>
                <w:szCs w:val="1"/>
                <w:color w:val="auto"/>
              </w:rPr>
            </w:pPr>
          </w:p>
        </w:tc>
      </w:tr>
      <w:tr>
        <w:trPr>
          <w:trHeight w:val="109"/>
        </w:trPr>
        <w:tc>
          <w:tcPr>
            <w:tcW w:w="3140" w:type="dxa"/>
            <w:vAlign w:val="bottom"/>
            <w:gridSpan w:val="2"/>
            <w:vMerge w:val="continue"/>
            <w:shd w:val="clear" w:color="auto" w:fill="0C479D"/>
          </w:tcPr>
          <w:p>
            <w:pPr>
              <w:spacing w:after="0"/>
              <w:rPr>
                <w:sz w:val="9"/>
                <w:szCs w:val="9"/>
                <w:color w:val="auto"/>
              </w:rPr>
            </w:pPr>
          </w:p>
        </w:tc>
        <w:tc>
          <w:tcPr>
            <w:tcW w:w="620" w:type="dxa"/>
            <w:vAlign w:val="bottom"/>
            <w:gridSpan w:val="2"/>
            <w:vMerge w:val="restart"/>
            <w:shd w:val="clear" w:color="auto" w:fill="0C479D"/>
          </w:tcPr>
          <w:p>
            <w:pPr>
              <w:ind w:left="100"/>
              <w:spacing w:after="0"/>
              <w:rPr>
                <w:sz w:val="20"/>
                <w:szCs w:val="20"/>
                <w:color w:val="auto"/>
              </w:rPr>
            </w:pPr>
            <w:r>
              <w:rPr>
                <w:rFonts w:ascii="Times New Roman" w:cs="Times New Roman" w:eastAsia="Times New Roman" w:hAnsi="Times New Roman"/>
                <w:sz w:val="14"/>
                <w:szCs w:val="14"/>
                <w:b w:val="1"/>
                <w:bCs w:val="1"/>
                <w:color w:val="FFFFFF"/>
              </w:rPr>
              <w:t>U.S.</w:t>
            </w:r>
          </w:p>
        </w:tc>
        <w:tc>
          <w:tcPr>
            <w:tcW w:w="740" w:type="dxa"/>
            <w:vAlign w:val="bottom"/>
            <w:tcBorders>
              <w:right w:val="single" w:sz="8" w:color="0C479D"/>
            </w:tcBorders>
            <w:vMerge w:val="restart"/>
            <w:shd w:val="clear" w:color="auto" w:fill="0C479D"/>
          </w:tcPr>
          <w:p>
            <w:pPr>
              <w:jc w:val="right"/>
              <w:ind w:right="20"/>
              <w:spacing w:after="0"/>
              <w:rPr>
                <w:sz w:val="20"/>
                <w:szCs w:val="20"/>
                <w:color w:val="auto"/>
              </w:rPr>
            </w:pPr>
            <w:r>
              <w:rPr>
                <w:rFonts w:ascii="Times New Roman" w:cs="Times New Roman" w:eastAsia="Times New Roman" w:hAnsi="Times New Roman"/>
                <w:sz w:val="14"/>
                <w:szCs w:val="14"/>
                <w:b w:val="1"/>
                <w:bCs w:val="1"/>
                <w:color w:val="FFFFFF"/>
              </w:rPr>
              <w:t>Non-U.S.</w:t>
            </w:r>
          </w:p>
        </w:tc>
        <w:tc>
          <w:tcPr>
            <w:tcW w:w="740" w:type="dxa"/>
            <w:vAlign w:val="bottom"/>
            <w:vMerge w:val="restart"/>
            <w:shd w:val="clear" w:color="auto" w:fill="0C479D"/>
          </w:tcPr>
          <w:p>
            <w:pPr>
              <w:ind w:left="240"/>
              <w:spacing w:after="0"/>
              <w:rPr>
                <w:sz w:val="20"/>
                <w:szCs w:val="20"/>
                <w:color w:val="auto"/>
              </w:rPr>
            </w:pPr>
            <w:r>
              <w:rPr>
                <w:rFonts w:ascii="Times New Roman" w:cs="Times New Roman" w:eastAsia="Times New Roman" w:hAnsi="Times New Roman"/>
                <w:sz w:val="14"/>
                <w:szCs w:val="14"/>
                <w:b w:val="1"/>
                <w:bCs w:val="1"/>
                <w:color w:val="FFFFFF"/>
              </w:rPr>
              <w:t>U.S.</w:t>
            </w:r>
          </w:p>
        </w:tc>
        <w:tc>
          <w:tcPr>
            <w:tcW w:w="760" w:type="dxa"/>
            <w:vAlign w:val="bottom"/>
            <w:vMerge w:val="restart"/>
            <w:shd w:val="clear" w:color="auto" w:fill="0C479D"/>
          </w:tcPr>
          <w:p>
            <w:pPr>
              <w:jc w:val="right"/>
              <w:ind w:right="20"/>
              <w:spacing w:after="0"/>
              <w:rPr>
                <w:sz w:val="20"/>
                <w:szCs w:val="20"/>
                <w:color w:val="auto"/>
              </w:rPr>
            </w:pPr>
            <w:r>
              <w:rPr>
                <w:rFonts w:ascii="Times New Roman" w:cs="Times New Roman" w:eastAsia="Times New Roman" w:hAnsi="Times New Roman"/>
                <w:sz w:val="14"/>
                <w:szCs w:val="14"/>
                <w:b w:val="1"/>
                <w:bCs w:val="1"/>
                <w:color w:val="FFFFFF"/>
              </w:rPr>
              <w:t>Non-U.S.</w:t>
            </w:r>
          </w:p>
        </w:tc>
        <w:tc>
          <w:tcPr>
            <w:tcW w:w="720" w:type="dxa"/>
            <w:vAlign w:val="bottom"/>
            <w:gridSpan w:val="2"/>
            <w:vMerge w:val="restart"/>
            <w:shd w:val="clear" w:color="auto" w:fill="0C479D"/>
          </w:tcPr>
          <w:p>
            <w:pPr>
              <w:ind w:left="220"/>
              <w:spacing w:after="0"/>
              <w:rPr>
                <w:sz w:val="20"/>
                <w:szCs w:val="20"/>
                <w:color w:val="auto"/>
              </w:rPr>
            </w:pPr>
            <w:r>
              <w:rPr>
                <w:rFonts w:ascii="Times New Roman" w:cs="Times New Roman" w:eastAsia="Times New Roman" w:hAnsi="Times New Roman"/>
                <w:sz w:val="14"/>
                <w:szCs w:val="14"/>
                <w:b w:val="1"/>
                <w:bCs w:val="1"/>
                <w:color w:val="FFFFFF"/>
              </w:rPr>
              <w:t>U.S.</w:t>
            </w:r>
          </w:p>
        </w:tc>
        <w:tc>
          <w:tcPr>
            <w:tcW w:w="720" w:type="dxa"/>
            <w:vAlign w:val="bottom"/>
            <w:tcBorders>
              <w:right w:val="single" w:sz="8" w:color="0C479D"/>
            </w:tcBorders>
            <w:vMerge w:val="restart"/>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Non-U.S.</w:t>
            </w:r>
          </w:p>
        </w:tc>
        <w:tc>
          <w:tcPr>
            <w:tcW w:w="720" w:type="dxa"/>
            <w:vAlign w:val="bottom"/>
            <w:vMerge w:val="restart"/>
            <w:shd w:val="clear" w:color="auto" w:fill="0C479D"/>
          </w:tcPr>
          <w:p>
            <w:pPr>
              <w:jc w:val="right"/>
              <w:ind w:right="161"/>
              <w:spacing w:after="0"/>
              <w:rPr>
                <w:sz w:val="20"/>
                <w:szCs w:val="20"/>
                <w:color w:val="auto"/>
              </w:rPr>
            </w:pPr>
            <w:r>
              <w:rPr>
                <w:rFonts w:ascii="Times New Roman" w:cs="Times New Roman" w:eastAsia="Times New Roman" w:hAnsi="Times New Roman"/>
                <w:sz w:val="14"/>
                <w:szCs w:val="14"/>
                <w:b w:val="1"/>
                <w:bCs w:val="1"/>
                <w:color w:val="FFFFFF"/>
              </w:rPr>
              <w:t>U.S.</w:t>
            </w:r>
          </w:p>
        </w:tc>
        <w:tc>
          <w:tcPr>
            <w:tcW w:w="740" w:type="dxa"/>
            <w:vAlign w:val="bottom"/>
            <w:vMerge w:val="restart"/>
            <w:shd w:val="clear" w:color="auto" w:fill="0C479D"/>
          </w:tcPr>
          <w:p>
            <w:pPr>
              <w:jc w:val="right"/>
              <w:ind w:right="20"/>
              <w:spacing w:after="0"/>
              <w:rPr>
                <w:sz w:val="20"/>
                <w:szCs w:val="20"/>
                <w:color w:val="auto"/>
              </w:rPr>
            </w:pPr>
            <w:r>
              <w:rPr>
                <w:rFonts w:ascii="Times New Roman" w:cs="Times New Roman" w:eastAsia="Times New Roman" w:hAnsi="Times New Roman"/>
                <w:sz w:val="14"/>
                <w:szCs w:val="14"/>
                <w:b w:val="1"/>
                <w:bCs w:val="1"/>
                <w:color w:val="FFFFFF"/>
              </w:rPr>
              <w:t>Non-U.S.</w:t>
            </w:r>
          </w:p>
        </w:tc>
        <w:tc>
          <w:tcPr>
            <w:tcW w:w="800" w:type="dxa"/>
            <w:vAlign w:val="bottom"/>
            <w:gridSpan w:val="2"/>
            <w:vMerge w:val="restart"/>
            <w:shd w:val="clear" w:color="auto" w:fill="0C479D"/>
          </w:tcPr>
          <w:p>
            <w:pPr>
              <w:jc w:val="center"/>
              <w:ind w:right="20"/>
              <w:spacing w:after="0"/>
              <w:rPr>
                <w:sz w:val="20"/>
                <w:szCs w:val="20"/>
                <w:color w:val="auto"/>
              </w:rPr>
            </w:pPr>
            <w:r>
              <w:rPr>
                <w:rFonts w:ascii="Times New Roman" w:cs="Times New Roman" w:eastAsia="Times New Roman" w:hAnsi="Times New Roman"/>
                <w:sz w:val="14"/>
                <w:szCs w:val="14"/>
                <w:b w:val="1"/>
                <w:bCs w:val="1"/>
                <w:color w:val="FFFFFF"/>
                <w:w w:val="93"/>
              </w:rPr>
              <w:t>Total</w:t>
            </w:r>
          </w:p>
        </w:tc>
        <w:tc>
          <w:tcPr>
            <w:tcW w:w="0" w:type="dxa"/>
            <w:vAlign w:val="bottom"/>
          </w:tcPr>
          <w:p>
            <w:pPr>
              <w:spacing w:after="0"/>
              <w:rPr>
                <w:sz w:val="1"/>
                <w:szCs w:val="1"/>
                <w:color w:val="auto"/>
              </w:rPr>
            </w:pPr>
          </w:p>
        </w:tc>
      </w:tr>
      <w:tr>
        <w:trPr>
          <w:trHeight w:val="125"/>
        </w:trPr>
        <w:tc>
          <w:tcPr>
            <w:tcW w:w="3000" w:type="dxa"/>
            <w:vAlign w:val="bottom"/>
            <w:tcBorders>
              <w:bottom w:val="single" w:sz="8" w:color="0C479D"/>
            </w:tcBorders>
            <w:shd w:val="clear" w:color="auto" w:fill="0C479D"/>
          </w:tcPr>
          <w:p>
            <w:pPr>
              <w:spacing w:after="0"/>
              <w:rPr>
                <w:sz w:val="10"/>
                <w:szCs w:val="10"/>
                <w:color w:val="auto"/>
              </w:rPr>
            </w:pPr>
          </w:p>
        </w:tc>
        <w:tc>
          <w:tcPr>
            <w:tcW w:w="140" w:type="dxa"/>
            <w:vAlign w:val="bottom"/>
            <w:tcBorders>
              <w:bottom w:val="single" w:sz="8" w:color="0C479D"/>
            </w:tcBorders>
            <w:shd w:val="clear" w:color="auto" w:fill="0C479D"/>
          </w:tcPr>
          <w:p>
            <w:pPr>
              <w:spacing w:after="0"/>
              <w:rPr>
                <w:sz w:val="10"/>
                <w:szCs w:val="10"/>
                <w:color w:val="auto"/>
              </w:rPr>
            </w:pPr>
          </w:p>
        </w:tc>
        <w:tc>
          <w:tcPr>
            <w:tcW w:w="620" w:type="dxa"/>
            <w:vAlign w:val="bottom"/>
            <w:tcBorders>
              <w:bottom w:val="single" w:sz="8" w:color="0C479D"/>
            </w:tcBorders>
            <w:gridSpan w:val="2"/>
            <w:vMerge w:val="continue"/>
            <w:shd w:val="clear" w:color="auto" w:fill="0C479D"/>
          </w:tcPr>
          <w:p>
            <w:pPr>
              <w:spacing w:after="0"/>
              <w:rPr>
                <w:sz w:val="10"/>
                <w:szCs w:val="10"/>
                <w:color w:val="auto"/>
              </w:rPr>
            </w:pPr>
          </w:p>
        </w:tc>
        <w:tc>
          <w:tcPr>
            <w:tcW w:w="740" w:type="dxa"/>
            <w:vAlign w:val="bottom"/>
            <w:tcBorders>
              <w:bottom w:val="single" w:sz="8" w:color="0C479D"/>
              <w:right w:val="single" w:sz="8" w:color="0C479D"/>
            </w:tcBorders>
            <w:vMerge w:val="continue"/>
            <w:shd w:val="clear" w:color="auto" w:fill="0C479D"/>
          </w:tcPr>
          <w:p>
            <w:pPr>
              <w:spacing w:after="0"/>
              <w:rPr>
                <w:sz w:val="10"/>
                <w:szCs w:val="10"/>
                <w:color w:val="auto"/>
              </w:rPr>
            </w:pPr>
          </w:p>
        </w:tc>
        <w:tc>
          <w:tcPr>
            <w:tcW w:w="740" w:type="dxa"/>
            <w:vAlign w:val="bottom"/>
            <w:tcBorders>
              <w:bottom w:val="single" w:sz="8" w:color="0C479D"/>
            </w:tcBorders>
            <w:vMerge w:val="continue"/>
            <w:shd w:val="clear" w:color="auto" w:fill="0C479D"/>
          </w:tcPr>
          <w:p>
            <w:pPr>
              <w:spacing w:after="0"/>
              <w:rPr>
                <w:sz w:val="10"/>
                <w:szCs w:val="10"/>
                <w:color w:val="auto"/>
              </w:rPr>
            </w:pPr>
          </w:p>
        </w:tc>
        <w:tc>
          <w:tcPr>
            <w:tcW w:w="760" w:type="dxa"/>
            <w:vAlign w:val="bottom"/>
            <w:tcBorders>
              <w:bottom w:val="single" w:sz="8" w:color="0C479D"/>
            </w:tcBorders>
            <w:vMerge w:val="continue"/>
            <w:shd w:val="clear" w:color="auto" w:fill="0C479D"/>
          </w:tcPr>
          <w:p>
            <w:pPr>
              <w:spacing w:after="0"/>
              <w:rPr>
                <w:sz w:val="10"/>
                <w:szCs w:val="10"/>
                <w:color w:val="auto"/>
              </w:rPr>
            </w:pPr>
          </w:p>
        </w:tc>
        <w:tc>
          <w:tcPr>
            <w:tcW w:w="720" w:type="dxa"/>
            <w:vAlign w:val="bottom"/>
            <w:tcBorders>
              <w:bottom w:val="single" w:sz="8" w:color="0C479D"/>
            </w:tcBorders>
            <w:gridSpan w:val="2"/>
            <w:vMerge w:val="continue"/>
            <w:shd w:val="clear" w:color="auto" w:fill="0C479D"/>
          </w:tcPr>
          <w:p>
            <w:pPr>
              <w:spacing w:after="0"/>
              <w:rPr>
                <w:sz w:val="10"/>
                <w:szCs w:val="10"/>
                <w:color w:val="auto"/>
              </w:rPr>
            </w:pPr>
          </w:p>
        </w:tc>
        <w:tc>
          <w:tcPr>
            <w:tcW w:w="720" w:type="dxa"/>
            <w:vAlign w:val="bottom"/>
            <w:tcBorders>
              <w:bottom w:val="single" w:sz="8" w:color="0C479D"/>
              <w:right w:val="single" w:sz="8" w:color="0C479D"/>
            </w:tcBorders>
            <w:vMerge w:val="continue"/>
            <w:shd w:val="clear" w:color="auto" w:fill="0C479D"/>
          </w:tcPr>
          <w:p>
            <w:pPr>
              <w:spacing w:after="0"/>
              <w:rPr>
                <w:sz w:val="10"/>
                <w:szCs w:val="10"/>
                <w:color w:val="auto"/>
              </w:rPr>
            </w:pPr>
          </w:p>
        </w:tc>
        <w:tc>
          <w:tcPr>
            <w:tcW w:w="720" w:type="dxa"/>
            <w:vAlign w:val="bottom"/>
            <w:tcBorders>
              <w:bottom w:val="single" w:sz="8" w:color="0C479D"/>
            </w:tcBorders>
            <w:vMerge w:val="continue"/>
            <w:shd w:val="clear" w:color="auto" w:fill="0C479D"/>
          </w:tcPr>
          <w:p>
            <w:pPr>
              <w:spacing w:after="0"/>
              <w:rPr>
                <w:sz w:val="10"/>
                <w:szCs w:val="10"/>
                <w:color w:val="auto"/>
              </w:rPr>
            </w:pPr>
          </w:p>
        </w:tc>
        <w:tc>
          <w:tcPr>
            <w:tcW w:w="740" w:type="dxa"/>
            <w:vAlign w:val="bottom"/>
            <w:tcBorders>
              <w:bottom w:val="single" w:sz="8" w:color="0C479D"/>
            </w:tcBorders>
            <w:vMerge w:val="continue"/>
            <w:shd w:val="clear" w:color="auto" w:fill="0C479D"/>
          </w:tcPr>
          <w:p>
            <w:pPr>
              <w:spacing w:after="0"/>
              <w:rPr>
                <w:sz w:val="10"/>
                <w:szCs w:val="10"/>
                <w:color w:val="auto"/>
              </w:rPr>
            </w:pPr>
          </w:p>
        </w:tc>
        <w:tc>
          <w:tcPr>
            <w:tcW w:w="800" w:type="dxa"/>
            <w:vAlign w:val="bottom"/>
            <w:tcBorders>
              <w:bottom w:val="single" w:sz="8" w:color="0C479D"/>
            </w:tcBorders>
            <w:gridSpan w:val="2"/>
            <w:vMerge w:val="continue"/>
            <w:shd w:val="clear" w:color="auto" w:fill="0C479D"/>
          </w:tcPr>
          <w:p>
            <w:pPr>
              <w:spacing w:after="0"/>
              <w:rPr>
                <w:sz w:val="10"/>
                <w:szCs w:val="10"/>
                <w:color w:val="auto"/>
              </w:rPr>
            </w:pPr>
          </w:p>
        </w:tc>
        <w:tc>
          <w:tcPr>
            <w:tcW w:w="0" w:type="dxa"/>
            <w:vAlign w:val="bottom"/>
          </w:tcPr>
          <w:p>
            <w:pPr>
              <w:spacing w:after="0"/>
              <w:rPr>
                <w:sz w:val="1"/>
                <w:szCs w:val="1"/>
                <w:color w:val="auto"/>
              </w:rPr>
            </w:pPr>
          </w:p>
        </w:tc>
      </w:tr>
      <w:tr>
        <w:trPr>
          <w:trHeight w:val="453"/>
        </w:trPr>
        <w:tc>
          <w:tcPr>
            <w:tcW w:w="3000" w:type="dxa"/>
            <w:vAlign w:val="bottom"/>
          </w:tcPr>
          <w:p>
            <w:pPr>
              <w:spacing w:after="0"/>
              <w:rPr>
                <w:sz w:val="20"/>
                <w:szCs w:val="20"/>
                <w:color w:val="auto"/>
              </w:rPr>
            </w:pPr>
            <w:r>
              <w:rPr>
                <w:rFonts w:ascii="Times New Roman" w:cs="Times New Roman" w:eastAsia="Times New Roman" w:hAnsi="Times New Roman"/>
                <w:sz w:val="16"/>
                <w:szCs w:val="16"/>
                <w:b w:val="1"/>
                <w:bCs w:val="1"/>
                <w:color w:val="0C479D"/>
              </w:rPr>
              <w:t>As of December 31, 2024</w:t>
            </w:r>
          </w:p>
        </w:tc>
        <w:tc>
          <w:tcPr>
            <w:tcW w:w="140" w:type="dxa"/>
            <w:vAlign w:val="bottom"/>
            <w:shd w:val="clear" w:color="auto" w:fill="F0F0F0"/>
          </w:tcPr>
          <w:p>
            <w:pPr>
              <w:spacing w:after="0"/>
              <w:rPr>
                <w:sz w:val="24"/>
                <w:szCs w:val="24"/>
                <w:color w:val="auto"/>
              </w:rPr>
            </w:pPr>
          </w:p>
        </w:tc>
        <w:tc>
          <w:tcPr>
            <w:tcW w:w="560" w:type="dxa"/>
            <w:vAlign w:val="bottom"/>
            <w:shd w:val="clear" w:color="auto" w:fill="F0F0F0"/>
          </w:tcPr>
          <w:p>
            <w:pPr>
              <w:spacing w:after="0"/>
              <w:rPr>
                <w:sz w:val="24"/>
                <w:szCs w:val="24"/>
                <w:color w:val="auto"/>
              </w:rPr>
            </w:pPr>
          </w:p>
        </w:tc>
        <w:tc>
          <w:tcPr>
            <w:tcW w:w="60" w:type="dxa"/>
            <w:vAlign w:val="bottom"/>
            <w:shd w:val="clear" w:color="auto" w:fill="F0F0F0"/>
          </w:tcPr>
          <w:p>
            <w:pPr>
              <w:spacing w:after="0"/>
              <w:rPr>
                <w:sz w:val="24"/>
                <w:szCs w:val="24"/>
                <w:color w:val="auto"/>
              </w:rPr>
            </w:pPr>
          </w:p>
        </w:tc>
        <w:tc>
          <w:tcPr>
            <w:tcW w:w="740" w:type="dxa"/>
            <w:vAlign w:val="bottom"/>
            <w:tcBorders>
              <w:right w:val="single" w:sz="8" w:color="F0F0F0"/>
            </w:tcBorders>
            <w:shd w:val="clear" w:color="auto" w:fill="F0F0F0"/>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shd w:val="clear" w:color="auto" w:fill="F0F0F0"/>
          </w:tcPr>
          <w:p>
            <w:pPr>
              <w:spacing w:after="0"/>
              <w:rPr>
                <w:sz w:val="24"/>
                <w:szCs w:val="24"/>
                <w:color w:val="auto"/>
              </w:rPr>
            </w:pPr>
          </w:p>
        </w:tc>
        <w:tc>
          <w:tcPr>
            <w:tcW w:w="40" w:type="dxa"/>
            <w:vAlign w:val="bottom"/>
            <w:shd w:val="clear" w:color="auto" w:fill="F0F0F0"/>
          </w:tcPr>
          <w:p>
            <w:pPr>
              <w:spacing w:after="0"/>
              <w:rPr>
                <w:sz w:val="24"/>
                <w:szCs w:val="24"/>
                <w:color w:val="auto"/>
              </w:rPr>
            </w:pPr>
          </w:p>
        </w:tc>
        <w:tc>
          <w:tcPr>
            <w:tcW w:w="720" w:type="dxa"/>
            <w:vAlign w:val="bottom"/>
            <w:tcBorders>
              <w:right w:val="single" w:sz="8" w:color="F0F0F0"/>
            </w:tcBorders>
            <w:shd w:val="clear" w:color="auto" w:fill="F0F0F0"/>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shd w:val="clear" w:color="auto" w:fill="DCDDDE"/>
          </w:tcPr>
          <w:p>
            <w:pPr>
              <w:spacing w:after="0"/>
              <w:rPr>
                <w:sz w:val="24"/>
                <w:szCs w:val="24"/>
                <w:color w:val="auto"/>
              </w:rPr>
            </w:pPr>
          </w:p>
        </w:tc>
        <w:tc>
          <w:tcPr>
            <w:tcW w:w="40" w:type="dxa"/>
            <w:vAlign w:val="bottom"/>
            <w:shd w:val="clear" w:color="auto" w:fill="DCDDDE"/>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00" w:type="dxa"/>
            <w:vAlign w:val="bottom"/>
          </w:tcPr>
          <w:p>
            <w:pPr>
              <w:spacing w:after="0"/>
              <w:rPr>
                <w:sz w:val="20"/>
                <w:szCs w:val="20"/>
                <w:color w:val="auto"/>
              </w:rPr>
            </w:pPr>
            <w:r>
              <w:rPr>
                <w:rFonts w:ascii="Times New Roman" w:cs="Times New Roman" w:eastAsia="Times New Roman" w:hAnsi="Times New Roman"/>
                <w:sz w:val="16"/>
                <w:szCs w:val="16"/>
                <w:b w:val="1"/>
                <w:bCs w:val="1"/>
                <w:color w:val="0C479D"/>
              </w:rPr>
              <w:t>Revenues and other income</w:t>
            </w:r>
          </w:p>
        </w:tc>
        <w:tc>
          <w:tcPr>
            <w:tcW w:w="140" w:type="dxa"/>
            <w:vAlign w:val="bottom"/>
            <w:shd w:val="clear" w:color="auto" w:fill="F0F0F0"/>
          </w:tcPr>
          <w:p>
            <w:pPr>
              <w:spacing w:after="0"/>
              <w:rPr>
                <w:sz w:val="21"/>
                <w:szCs w:val="21"/>
                <w:color w:val="auto"/>
              </w:rPr>
            </w:pPr>
          </w:p>
        </w:tc>
        <w:tc>
          <w:tcPr>
            <w:tcW w:w="560" w:type="dxa"/>
            <w:vAlign w:val="bottom"/>
            <w:shd w:val="clear" w:color="auto" w:fill="F0F0F0"/>
          </w:tcPr>
          <w:p>
            <w:pPr>
              <w:spacing w:after="0"/>
              <w:rPr>
                <w:sz w:val="21"/>
                <w:szCs w:val="21"/>
                <w:color w:val="auto"/>
              </w:rPr>
            </w:pPr>
          </w:p>
        </w:tc>
        <w:tc>
          <w:tcPr>
            <w:tcW w:w="60" w:type="dxa"/>
            <w:vAlign w:val="bottom"/>
            <w:shd w:val="clear" w:color="auto" w:fill="F0F0F0"/>
          </w:tcPr>
          <w:p>
            <w:pPr>
              <w:spacing w:after="0"/>
              <w:rPr>
                <w:sz w:val="21"/>
                <w:szCs w:val="21"/>
                <w:color w:val="auto"/>
              </w:rPr>
            </w:pPr>
          </w:p>
        </w:tc>
        <w:tc>
          <w:tcPr>
            <w:tcW w:w="740" w:type="dxa"/>
            <w:vAlign w:val="bottom"/>
            <w:tcBorders>
              <w:right w:val="single" w:sz="8" w:color="F0F0F0"/>
            </w:tcBorders>
            <w:shd w:val="clear" w:color="auto" w:fill="F0F0F0"/>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shd w:val="clear" w:color="auto" w:fill="F0F0F0"/>
          </w:tcPr>
          <w:p>
            <w:pPr>
              <w:spacing w:after="0"/>
              <w:rPr>
                <w:sz w:val="21"/>
                <w:szCs w:val="21"/>
                <w:color w:val="auto"/>
              </w:rPr>
            </w:pPr>
          </w:p>
        </w:tc>
        <w:tc>
          <w:tcPr>
            <w:tcW w:w="40" w:type="dxa"/>
            <w:vAlign w:val="bottom"/>
            <w:shd w:val="clear" w:color="auto" w:fill="F0F0F0"/>
          </w:tcPr>
          <w:p>
            <w:pPr>
              <w:spacing w:after="0"/>
              <w:rPr>
                <w:sz w:val="21"/>
                <w:szCs w:val="21"/>
                <w:color w:val="auto"/>
              </w:rPr>
            </w:pPr>
          </w:p>
        </w:tc>
        <w:tc>
          <w:tcPr>
            <w:tcW w:w="720" w:type="dxa"/>
            <w:vAlign w:val="bottom"/>
            <w:tcBorders>
              <w:right w:val="single" w:sz="8" w:color="F0F0F0"/>
            </w:tcBorders>
            <w:shd w:val="clear" w:color="auto" w:fill="F0F0F0"/>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60" w:type="dxa"/>
            <w:vAlign w:val="bottom"/>
            <w:shd w:val="clear" w:color="auto" w:fill="DCDDDE"/>
          </w:tcPr>
          <w:p>
            <w:pPr>
              <w:spacing w:after="0"/>
              <w:rPr>
                <w:sz w:val="21"/>
                <w:szCs w:val="21"/>
                <w:color w:val="auto"/>
              </w:rPr>
            </w:pPr>
          </w:p>
        </w:tc>
        <w:tc>
          <w:tcPr>
            <w:tcW w:w="40" w:type="dxa"/>
            <w:vAlign w:val="bottom"/>
            <w:shd w:val="clear" w:color="auto" w:fill="DCDDDE"/>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Sales and other operating revenue</w:t>
            </w:r>
          </w:p>
        </w:tc>
        <w:tc>
          <w:tcPr>
            <w:tcW w:w="140" w:type="dxa"/>
            <w:vAlign w:val="bottom"/>
            <w:shd w:val="clear" w:color="auto" w:fill="F0F0F0"/>
          </w:tcPr>
          <w:p>
            <w:pPr>
              <w:spacing w:after="0"/>
              <w:rPr>
                <w:sz w:val="18"/>
                <w:szCs w:val="18"/>
                <w:color w:val="auto"/>
              </w:rPr>
            </w:pPr>
          </w:p>
        </w:tc>
        <w:tc>
          <w:tcPr>
            <w:tcW w:w="5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22,929</w:t>
            </w:r>
          </w:p>
        </w:tc>
        <w:tc>
          <w:tcPr>
            <w:tcW w:w="60" w:type="dxa"/>
            <w:vAlign w:val="bottom"/>
            <w:shd w:val="clear" w:color="auto" w:fill="F0F0F0"/>
          </w:tcPr>
          <w:p>
            <w:pPr>
              <w:spacing w:after="0"/>
              <w:rPr>
                <w:sz w:val="18"/>
                <w:szCs w:val="18"/>
                <w:color w:val="auto"/>
              </w:rPr>
            </w:pPr>
          </w:p>
        </w:tc>
        <w:tc>
          <w:tcPr>
            <w:tcW w:w="740" w:type="dxa"/>
            <w:vAlign w:val="bottom"/>
            <w:tcBorders>
              <w:right w:val="single" w:sz="8" w:color="F0F0F0"/>
            </w:tcBorders>
            <w:shd w:val="clear" w:color="auto" w:fill="F0F0F0"/>
          </w:tcPr>
          <w:p>
            <w:pPr>
              <w:jc w:val="right"/>
              <w:ind w:right="20"/>
              <w:spacing w:after="0"/>
              <w:rPr>
                <w:sz w:val="20"/>
                <w:szCs w:val="20"/>
                <w:color w:val="auto"/>
              </w:rPr>
            </w:pPr>
            <w:r>
              <w:rPr>
                <w:rFonts w:ascii="Times New Roman" w:cs="Times New Roman" w:eastAsia="Times New Roman" w:hAnsi="Times New Roman"/>
                <w:sz w:val="16"/>
                <w:szCs w:val="16"/>
                <w:color w:val="auto"/>
              </w:rPr>
              <w:t>14,202</w:t>
            </w: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101,325</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159,531</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8,558</w:t>
            </w:r>
          </w:p>
        </w:tc>
        <w:tc>
          <w:tcPr>
            <w:tcW w:w="40" w:type="dxa"/>
            <w:vAlign w:val="bottom"/>
            <w:shd w:val="clear" w:color="auto" w:fill="F0F0F0"/>
          </w:tcPr>
          <w:p>
            <w:pPr>
              <w:spacing w:after="0"/>
              <w:rPr>
                <w:sz w:val="18"/>
                <w:szCs w:val="18"/>
                <w:color w:val="auto"/>
              </w:rPr>
            </w:pPr>
          </w:p>
        </w:tc>
        <w:tc>
          <w:tcPr>
            <w:tcW w:w="72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14,338</w:t>
            </w: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5,790</w:t>
            </w: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12,463</w:t>
            </w:r>
          </w:p>
        </w:tc>
        <w:tc>
          <w:tcPr>
            <w:tcW w:w="760" w:type="dxa"/>
            <w:vAlign w:val="bottom"/>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339,136</w:t>
            </w:r>
          </w:p>
        </w:tc>
        <w:tc>
          <w:tcPr>
            <w:tcW w:w="40" w:type="dxa"/>
            <w:vAlign w:val="bottom"/>
            <w:shd w:val="clear" w:color="auto" w:fill="DCDD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Income from equity affiliates</w:t>
            </w:r>
          </w:p>
        </w:tc>
        <w:tc>
          <w:tcPr>
            <w:tcW w:w="140" w:type="dxa"/>
            <w:vAlign w:val="bottom"/>
            <w:shd w:val="clear" w:color="auto" w:fill="F0F0F0"/>
          </w:tcPr>
          <w:p>
            <w:pPr>
              <w:spacing w:after="0"/>
              <w:rPr>
                <w:sz w:val="18"/>
                <w:szCs w:val="18"/>
                <w:color w:val="auto"/>
              </w:rPr>
            </w:pPr>
          </w:p>
        </w:tc>
        <w:tc>
          <w:tcPr>
            <w:tcW w:w="560" w:type="dxa"/>
            <w:vAlign w:val="bottom"/>
            <w:shd w:val="clear" w:color="auto" w:fill="F0F0F0"/>
          </w:tcPr>
          <w:p>
            <w:pPr>
              <w:ind w:left="300"/>
              <w:spacing w:after="0"/>
              <w:rPr>
                <w:sz w:val="20"/>
                <w:szCs w:val="20"/>
                <w:color w:val="auto"/>
              </w:rPr>
            </w:pPr>
            <w:r>
              <w:rPr>
                <w:rFonts w:ascii="Times New Roman" w:cs="Times New Roman" w:eastAsia="Times New Roman" w:hAnsi="Times New Roman"/>
                <w:sz w:val="16"/>
                <w:szCs w:val="16"/>
                <w:color w:val="auto"/>
                <w:w w:val="89"/>
              </w:rPr>
              <w:t>(36)</w:t>
            </w:r>
          </w:p>
        </w:tc>
        <w:tc>
          <w:tcPr>
            <w:tcW w:w="60" w:type="dxa"/>
            <w:vAlign w:val="bottom"/>
            <w:shd w:val="clear" w:color="auto" w:fill="F0F0F0"/>
          </w:tcPr>
          <w:p>
            <w:pPr>
              <w:spacing w:after="0"/>
              <w:rPr>
                <w:sz w:val="18"/>
                <w:szCs w:val="18"/>
                <w:color w:val="auto"/>
              </w:rPr>
            </w:pPr>
          </w:p>
        </w:tc>
        <w:tc>
          <w:tcPr>
            <w:tcW w:w="740" w:type="dxa"/>
            <w:vAlign w:val="bottom"/>
            <w:tcBorders>
              <w:right w:val="single" w:sz="8" w:color="F0F0F0"/>
            </w:tcBorders>
            <w:shd w:val="clear" w:color="auto" w:fill="F0F0F0"/>
          </w:tcPr>
          <w:p>
            <w:pPr>
              <w:jc w:val="right"/>
              <w:ind w:right="20"/>
              <w:spacing w:after="0"/>
              <w:rPr>
                <w:sz w:val="20"/>
                <w:szCs w:val="20"/>
                <w:color w:val="auto"/>
              </w:rPr>
            </w:pPr>
            <w:r>
              <w:rPr>
                <w:rFonts w:ascii="Times New Roman" w:cs="Times New Roman" w:eastAsia="Times New Roman" w:hAnsi="Times New Roman"/>
                <w:sz w:val="16"/>
                <w:szCs w:val="16"/>
                <w:color w:val="auto"/>
              </w:rPr>
              <w:t>5,649</w:t>
            </w: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140</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40" w:type="dxa"/>
            <w:vAlign w:val="bottom"/>
            <w:shd w:val="clear" w:color="auto" w:fill="F0F0F0"/>
          </w:tcPr>
          <w:p>
            <w:pPr>
              <w:spacing w:after="0"/>
              <w:rPr>
                <w:sz w:val="18"/>
                <w:szCs w:val="18"/>
                <w:color w:val="auto"/>
              </w:rPr>
            </w:pPr>
          </w:p>
        </w:tc>
        <w:tc>
          <w:tcPr>
            <w:tcW w:w="72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760" w:type="dxa"/>
            <w:vAlign w:val="bottom"/>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6,399</w:t>
            </w:r>
          </w:p>
        </w:tc>
        <w:tc>
          <w:tcPr>
            <w:tcW w:w="40" w:type="dxa"/>
            <w:vAlign w:val="bottom"/>
            <w:shd w:val="clear" w:color="auto" w:fill="DCDD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Intersegment revenue</w:t>
            </w:r>
          </w:p>
        </w:tc>
        <w:tc>
          <w:tcPr>
            <w:tcW w:w="140" w:type="dxa"/>
            <w:vAlign w:val="bottom"/>
            <w:shd w:val="clear" w:color="auto" w:fill="F0F0F0"/>
          </w:tcPr>
          <w:p>
            <w:pPr>
              <w:spacing w:after="0"/>
              <w:rPr>
                <w:sz w:val="18"/>
                <w:szCs w:val="18"/>
                <w:color w:val="auto"/>
              </w:rPr>
            </w:pPr>
          </w:p>
        </w:tc>
        <w:tc>
          <w:tcPr>
            <w:tcW w:w="5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24,633</w:t>
            </w:r>
          </w:p>
        </w:tc>
        <w:tc>
          <w:tcPr>
            <w:tcW w:w="60" w:type="dxa"/>
            <w:vAlign w:val="bottom"/>
            <w:shd w:val="clear" w:color="auto" w:fill="F0F0F0"/>
          </w:tcPr>
          <w:p>
            <w:pPr>
              <w:spacing w:after="0"/>
              <w:rPr>
                <w:sz w:val="18"/>
                <w:szCs w:val="18"/>
                <w:color w:val="auto"/>
              </w:rPr>
            </w:pPr>
          </w:p>
        </w:tc>
        <w:tc>
          <w:tcPr>
            <w:tcW w:w="740" w:type="dxa"/>
            <w:vAlign w:val="bottom"/>
            <w:tcBorders>
              <w:right w:val="single" w:sz="8" w:color="F0F0F0"/>
            </w:tcBorders>
            <w:shd w:val="clear" w:color="auto" w:fill="F0F0F0"/>
          </w:tcPr>
          <w:p>
            <w:pPr>
              <w:jc w:val="right"/>
              <w:ind w:right="20"/>
              <w:spacing w:after="0"/>
              <w:rPr>
                <w:sz w:val="20"/>
                <w:szCs w:val="20"/>
                <w:color w:val="auto"/>
              </w:rPr>
            </w:pPr>
            <w:r>
              <w:rPr>
                <w:rFonts w:ascii="Times New Roman" w:cs="Times New Roman" w:eastAsia="Times New Roman" w:hAnsi="Times New Roman"/>
                <w:sz w:val="16"/>
                <w:szCs w:val="16"/>
                <w:color w:val="auto"/>
              </w:rPr>
              <w:t>41,809</w:t>
            </w: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23,626</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26,034</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7,329</w:t>
            </w:r>
          </w:p>
        </w:tc>
        <w:tc>
          <w:tcPr>
            <w:tcW w:w="40" w:type="dxa"/>
            <w:vAlign w:val="bottom"/>
            <w:shd w:val="clear" w:color="auto" w:fill="F0F0F0"/>
          </w:tcPr>
          <w:p>
            <w:pPr>
              <w:spacing w:after="0"/>
              <w:rPr>
                <w:sz w:val="18"/>
                <w:szCs w:val="18"/>
                <w:color w:val="auto"/>
              </w:rPr>
            </w:pPr>
          </w:p>
        </w:tc>
        <w:tc>
          <w:tcPr>
            <w:tcW w:w="72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3,893</w:t>
            </w: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2,462</w:t>
            </w: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573</w:t>
            </w:r>
          </w:p>
        </w:tc>
        <w:tc>
          <w:tcPr>
            <w:tcW w:w="760" w:type="dxa"/>
            <w:vAlign w:val="bottom"/>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130,359</w:t>
            </w:r>
          </w:p>
        </w:tc>
        <w:tc>
          <w:tcPr>
            <w:tcW w:w="40" w:type="dxa"/>
            <w:vAlign w:val="bottom"/>
            <w:shd w:val="clear" w:color="auto" w:fill="DCDDD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0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6"/>
                <w:szCs w:val="16"/>
                <w:color w:val="auto"/>
              </w:rPr>
              <w:t>Other income</w:t>
            </w:r>
          </w:p>
        </w:tc>
        <w:tc>
          <w:tcPr>
            <w:tcW w:w="140" w:type="dxa"/>
            <w:vAlign w:val="bottom"/>
            <w:tcBorders>
              <w:bottom w:val="single" w:sz="8" w:color="0C479D"/>
            </w:tcBorders>
            <w:shd w:val="clear" w:color="auto" w:fill="F0F0F0"/>
          </w:tcPr>
          <w:p>
            <w:pPr>
              <w:spacing w:after="0"/>
              <w:rPr>
                <w:sz w:val="19"/>
                <w:szCs w:val="19"/>
                <w:color w:val="auto"/>
              </w:rPr>
            </w:pPr>
          </w:p>
        </w:tc>
        <w:tc>
          <w:tcPr>
            <w:tcW w:w="5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890</w:t>
            </w:r>
          </w:p>
        </w:tc>
        <w:tc>
          <w:tcPr>
            <w:tcW w:w="60" w:type="dxa"/>
            <w:vAlign w:val="bottom"/>
            <w:tcBorders>
              <w:bottom w:val="single" w:sz="8" w:color="0C479D"/>
            </w:tcBorders>
            <w:shd w:val="clear" w:color="auto" w:fill="F0F0F0"/>
          </w:tcPr>
          <w:p>
            <w:pPr>
              <w:spacing w:after="0"/>
              <w:rPr>
                <w:sz w:val="19"/>
                <w:szCs w:val="19"/>
                <w:color w:val="auto"/>
              </w:rPr>
            </w:pPr>
          </w:p>
        </w:tc>
        <w:tc>
          <w:tcPr>
            <w:tcW w:w="740" w:type="dxa"/>
            <w:vAlign w:val="bottom"/>
            <w:tcBorders>
              <w:bottom w:val="single" w:sz="8" w:color="0C479D"/>
              <w:right w:val="single" w:sz="8" w:color="F0F0F0"/>
            </w:tcBorders>
            <w:shd w:val="clear" w:color="auto" w:fill="F0F0F0"/>
          </w:tcPr>
          <w:p>
            <w:pPr>
              <w:jc w:val="right"/>
              <w:ind w:right="20"/>
              <w:spacing w:after="0"/>
              <w:rPr>
                <w:sz w:val="20"/>
                <w:szCs w:val="20"/>
                <w:color w:val="auto"/>
              </w:rPr>
            </w:pPr>
            <w:r>
              <w:rPr>
                <w:rFonts w:ascii="Times New Roman" w:cs="Times New Roman" w:eastAsia="Times New Roman" w:hAnsi="Times New Roman"/>
                <w:sz w:val="16"/>
                <w:szCs w:val="16"/>
                <w:color w:val="auto"/>
              </w:rPr>
              <w:t>670</w:t>
            </w:r>
          </w:p>
        </w:tc>
        <w:tc>
          <w:tcPr>
            <w:tcW w:w="740" w:type="dxa"/>
            <w:vAlign w:val="bottom"/>
            <w:tcBorders>
              <w:bottom w:val="single" w:sz="8" w:color="0C479D"/>
            </w:tcBorders>
          </w:tcPr>
          <w:p>
            <w:pPr>
              <w:jc w:val="right"/>
              <w:ind w:right="1"/>
              <w:spacing w:after="0"/>
              <w:rPr>
                <w:sz w:val="20"/>
                <w:szCs w:val="20"/>
                <w:color w:val="auto"/>
              </w:rPr>
            </w:pPr>
            <w:r>
              <w:rPr>
                <w:rFonts w:ascii="Times New Roman" w:cs="Times New Roman" w:eastAsia="Times New Roman" w:hAnsi="Times New Roman"/>
                <w:sz w:val="16"/>
                <w:szCs w:val="16"/>
                <w:color w:val="auto"/>
              </w:rPr>
              <w:t>295</w:t>
            </w:r>
          </w:p>
        </w:tc>
        <w:tc>
          <w:tcPr>
            <w:tcW w:w="76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color w:val="auto"/>
              </w:rPr>
              <w:t>192</w:t>
            </w:r>
          </w:p>
        </w:tc>
        <w:tc>
          <w:tcPr>
            <w:tcW w:w="68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40" w:type="dxa"/>
            <w:vAlign w:val="bottom"/>
            <w:tcBorders>
              <w:bottom w:val="single" w:sz="8" w:color="0C479D"/>
            </w:tcBorders>
            <w:shd w:val="clear" w:color="auto" w:fill="F0F0F0"/>
          </w:tcPr>
          <w:p>
            <w:pPr>
              <w:spacing w:after="0"/>
              <w:rPr>
                <w:sz w:val="19"/>
                <w:szCs w:val="19"/>
                <w:color w:val="auto"/>
              </w:rPr>
            </w:pPr>
          </w:p>
        </w:tc>
        <w:tc>
          <w:tcPr>
            <w:tcW w:w="720" w:type="dxa"/>
            <w:vAlign w:val="bottom"/>
            <w:tcBorders>
              <w:bottom w:val="single" w:sz="8" w:color="0C479D"/>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720" w:type="dxa"/>
            <w:vAlign w:val="bottom"/>
            <w:tcBorders>
              <w:bottom w:val="single" w:sz="8" w:color="0C479D"/>
            </w:tcBorders>
          </w:tcPr>
          <w:p>
            <w:pPr>
              <w:jc w:val="right"/>
              <w:ind w:right="1"/>
              <w:spacing w:after="0"/>
              <w:rPr>
                <w:sz w:val="20"/>
                <w:szCs w:val="20"/>
                <w:color w:val="auto"/>
              </w:rPr>
            </w:pPr>
            <w:r>
              <w:rPr>
                <w:rFonts w:ascii="Times New Roman" w:cs="Times New Roman" w:eastAsia="Times New Roman" w:hAnsi="Times New Roman"/>
                <w:sz w:val="16"/>
                <w:szCs w:val="16"/>
                <w:color w:val="auto"/>
              </w:rPr>
              <w:t>22</w:t>
            </w:r>
          </w:p>
        </w:tc>
        <w:tc>
          <w:tcPr>
            <w:tcW w:w="74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color w:val="auto"/>
              </w:rPr>
              <w:t>116</w:t>
            </w:r>
          </w:p>
        </w:tc>
        <w:tc>
          <w:tcPr>
            <w:tcW w:w="760" w:type="dxa"/>
            <w:vAlign w:val="bottom"/>
            <w:tcBorders>
              <w:bottom w:val="single" w:sz="8" w:color="0C479D"/>
            </w:tcBorders>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2,197</w:t>
            </w:r>
          </w:p>
        </w:tc>
        <w:tc>
          <w:tcPr>
            <w:tcW w:w="40" w:type="dxa"/>
            <w:vAlign w:val="bottom"/>
            <w:tcBorders>
              <w:bottom w:val="single" w:sz="8" w:color="0C479D"/>
            </w:tcBorders>
            <w:shd w:val="clear" w:color="auto" w:fill="DCDDD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Segment revenues and other income</w:t>
            </w:r>
          </w:p>
        </w:tc>
        <w:tc>
          <w:tcPr>
            <w:tcW w:w="140" w:type="dxa"/>
            <w:vAlign w:val="bottom"/>
            <w:shd w:val="clear" w:color="auto" w:fill="F0F0F0"/>
          </w:tcPr>
          <w:p>
            <w:pPr>
              <w:spacing w:after="0"/>
              <w:rPr>
                <w:sz w:val="18"/>
                <w:szCs w:val="18"/>
                <w:color w:val="auto"/>
              </w:rPr>
            </w:pPr>
          </w:p>
        </w:tc>
        <w:tc>
          <w:tcPr>
            <w:tcW w:w="5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48,416</w:t>
            </w:r>
          </w:p>
        </w:tc>
        <w:tc>
          <w:tcPr>
            <w:tcW w:w="60" w:type="dxa"/>
            <w:vAlign w:val="bottom"/>
            <w:shd w:val="clear" w:color="auto" w:fill="F0F0F0"/>
          </w:tcPr>
          <w:p>
            <w:pPr>
              <w:spacing w:after="0"/>
              <w:rPr>
                <w:sz w:val="18"/>
                <w:szCs w:val="18"/>
                <w:color w:val="auto"/>
              </w:rPr>
            </w:pPr>
          </w:p>
        </w:tc>
        <w:tc>
          <w:tcPr>
            <w:tcW w:w="740" w:type="dxa"/>
            <w:vAlign w:val="bottom"/>
            <w:tcBorders>
              <w:right w:val="single" w:sz="8" w:color="F0F0F0"/>
            </w:tcBorders>
            <w:shd w:val="clear" w:color="auto" w:fill="F0F0F0"/>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62,330</w:t>
            </w: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125,386</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185,648</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16,058</w:t>
            </w:r>
          </w:p>
        </w:tc>
        <w:tc>
          <w:tcPr>
            <w:tcW w:w="40" w:type="dxa"/>
            <w:vAlign w:val="bottom"/>
            <w:shd w:val="clear" w:color="auto" w:fill="F0F0F0"/>
          </w:tcPr>
          <w:p>
            <w:pPr>
              <w:spacing w:after="0"/>
              <w:rPr>
                <w:sz w:val="18"/>
                <w:szCs w:val="18"/>
                <w:color w:val="auto"/>
              </w:rPr>
            </w:pPr>
          </w:p>
        </w:tc>
        <w:tc>
          <w:tcPr>
            <w:tcW w:w="72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18,853</w:t>
            </w: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8,274</w:t>
            </w: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13,126</w:t>
            </w:r>
          </w:p>
        </w:tc>
        <w:tc>
          <w:tcPr>
            <w:tcW w:w="760" w:type="dxa"/>
            <w:vAlign w:val="bottom"/>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478,091</w:t>
            </w:r>
          </w:p>
        </w:tc>
        <w:tc>
          <w:tcPr>
            <w:tcW w:w="40" w:type="dxa"/>
            <w:vAlign w:val="bottom"/>
            <w:shd w:val="clear" w:color="auto" w:fill="DCDDD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000" w:type="dxa"/>
            <w:vAlign w:val="bottom"/>
          </w:tcPr>
          <w:p>
            <w:pPr>
              <w:spacing w:after="0"/>
              <w:rPr>
                <w:sz w:val="20"/>
                <w:szCs w:val="20"/>
                <w:color w:val="auto"/>
              </w:rPr>
            </w:pPr>
            <w:r>
              <w:rPr>
                <w:rFonts w:ascii="Times New Roman" w:cs="Times New Roman" w:eastAsia="Times New Roman" w:hAnsi="Times New Roman"/>
                <w:sz w:val="16"/>
                <w:szCs w:val="16"/>
                <w:b w:val="1"/>
                <w:bCs w:val="1"/>
                <w:color w:val="0C479D"/>
              </w:rPr>
              <w:t>Costs and other items</w:t>
            </w:r>
          </w:p>
        </w:tc>
        <w:tc>
          <w:tcPr>
            <w:tcW w:w="140" w:type="dxa"/>
            <w:vAlign w:val="bottom"/>
            <w:shd w:val="clear" w:color="auto" w:fill="F0F0F0"/>
          </w:tcPr>
          <w:p>
            <w:pPr>
              <w:spacing w:after="0"/>
              <w:rPr>
                <w:sz w:val="24"/>
                <w:szCs w:val="24"/>
                <w:color w:val="auto"/>
              </w:rPr>
            </w:pPr>
          </w:p>
        </w:tc>
        <w:tc>
          <w:tcPr>
            <w:tcW w:w="560" w:type="dxa"/>
            <w:vAlign w:val="bottom"/>
            <w:shd w:val="clear" w:color="auto" w:fill="F0F0F0"/>
          </w:tcPr>
          <w:p>
            <w:pPr>
              <w:spacing w:after="0"/>
              <w:rPr>
                <w:sz w:val="24"/>
                <w:szCs w:val="24"/>
                <w:color w:val="auto"/>
              </w:rPr>
            </w:pPr>
          </w:p>
        </w:tc>
        <w:tc>
          <w:tcPr>
            <w:tcW w:w="60" w:type="dxa"/>
            <w:vAlign w:val="bottom"/>
            <w:shd w:val="clear" w:color="auto" w:fill="F0F0F0"/>
          </w:tcPr>
          <w:p>
            <w:pPr>
              <w:spacing w:after="0"/>
              <w:rPr>
                <w:sz w:val="24"/>
                <w:szCs w:val="24"/>
                <w:color w:val="auto"/>
              </w:rPr>
            </w:pPr>
          </w:p>
        </w:tc>
        <w:tc>
          <w:tcPr>
            <w:tcW w:w="740" w:type="dxa"/>
            <w:vAlign w:val="bottom"/>
            <w:tcBorders>
              <w:right w:val="single" w:sz="8" w:color="F0F0F0"/>
            </w:tcBorders>
            <w:shd w:val="clear" w:color="auto" w:fill="F0F0F0"/>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shd w:val="clear" w:color="auto" w:fill="F0F0F0"/>
          </w:tcPr>
          <w:p>
            <w:pPr>
              <w:spacing w:after="0"/>
              <w:rPr>
                <w:sz w:val="24"/>
                <w:szCs w:val="24"/>
                <w:color w:val="auto"/>
              </w:rPr>
            </w:pPr>
          </w:p>
        </w:tc>
        <w:tc>
          <w:tcPr>
            <w:tcW w:w="40" w:type="dxa"/>
            <w:vAlign w:val="bottom"/>
            <w:shd w:val="clear" w:color="auto" w:fill="F0F0F0"/>
          </w:tcPr>
          <w:p>
            <w:pPr>
              <w:spacing w:after="0"/>
              <w:rPr>
                <w:sz w:val="24"/>
                <w:szCs w:val="24"/>
                <w:color w:val="auto"/>
              </w:rPr>
            </w:pPr>
          </w:p>
        </w:tc>
        <w:tc>
          <w:tcPr>
            <w:tcW w:w="720" w:type="dxa"/>
            <w:vAlign w:val="bottom"/>
            <w:tcBorders>
              <w:right w:val="single" w:sz="8" w:color="F0F0F0"/>
            </w:tcBorders>
            <w:shd w:val="clear" w:color="auto" w:fill="F0F0F0"/>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vMerge w:val="restart"/>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326,773</w:t>
            </w:r>
          </w:p>
        </w:tc>
        <w:tc>
          <w:tcPr>
            <w:tcW w:w="40" w:type="dxa"/>
            <w:vAlign w:val="bottom"/>
            <w:shd w:val="clear" w:color="auto" w:fill="DCDDD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Crude oil and product purchases</w:t>
            </w:r>
          </w:p>
        </w:tc>
        <w:tc>
          <w:tcPr>
            <w:tcW w:w="140" w:type="dxa"/>
            <w:vAlign w:val="bottom"/>
            <w:shd w:val="clear" w:color="auto" w:fill="F0F0F0"/>
          </w:tcPr>
          <w:p>
            <w:pPr>
              <w:spacing w:after="0"/>
              <w:rPr>
                <w:sz w:val="18"/>
                <w:szCs w:val="18"/>
                <w:color w:val="auto"/>
              </w:rPr>
            </w:pPr>
          </w:p>
        </w:tc>
        <w:tc>
          <w:tcPr>
            <w:tcW w:w="5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18,325</w:t>
            </w:r>
          </w:p>
        </w:tc>
        <w:tc>
          <w:tcPr>
            <w:tcW w:w="60" w:type="dxa"/>
            <w:vAlign w:val="bottom"/>
            <w:shd w:val="clear" w:color="auto" w:fill="F0F0F0"/>
          </w:tcPr>
          <w:p>
            <w:pPr>
              <w:spacing w:after="0"/>
              <w:rPr>
                <w:sz w:val="18"/>
                <w:szCs w:val="18"/>
                <w:color w:val="auto"/>
              </w:rPr>
            </w:pPr>
          </w:p>
        </w:tc>
        <w:tc>
          <w:tcPr>
            <w:tcW w:w="740" w:type="dxa"/>
            <w:vAlign w:val="bottom"/>
            <w:tcBorders>
              <w:right w:val="single" w:sz="8" w:color="F0F0F0"/>
            </w:tcBorders>
            <w:shd w:val="clear" w:color="auto" w:fill="F0F0F0"/>
          </w:tcPr>
          <w:p>
            <w:pPr>
              <w:jc w:val="right"/>
              <w:ind w:right="20"/>
              <w:spacing w:after="0"/>
              <w:rPr>
                <w:sz w:val="20"/>
                <w:szCs w:val="20"/>
                <w:color w:val="auto"/>
              </w:rPr>
            </w:pPr>
            <w:r>
              <w:rPr>
                <w:rFonts w:ascii="Times New Roman" w:cs="Times New Roman" w:eastAsia="Times New Roman" w:hAnsi="Times New Roman"/>
                <w:sz w:val="16"/>
                <w:szCs w:val="16"/>
                <w:color w:val="auto"/>
              </w:rPr>
              <w:t>10,388</w:t>
            </w: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110,205</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153,811</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8,510</w:t>
            </w:r>
          </w:p>
        </w:tc>
        <w:tc>
          <w:tcPr>
            <w:tcW w:w="40" w:type="dxa"/>
            <w:vAlign w:val="bottom"/>
            <w:shd w:val="clear" w:color="auto" w:fill="F0F0F0"/>
          </w:tcPr>
          <w:p>
            <w:pPr>
              <w:spacing w:after="0"/>
              <w:rPr>
                <w:sz w:val="18"/>
                <w:szCs w:val="18"/>
                <w:color w:val="auto"/>
              </w:rPr>
            </w:pPr>
          </w:p>
        </w:tc>
        <w:tc>
          <w:tcPr>
            <w:tcW w:w="72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12,621</w:t>
            </w: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4,160</w:t>
            </w: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8,753</w:t>
            </w:r>
          </w:p>
        </w:tc>
        <w:tc>
          <w:tcPr>
            <w:tcW w:w="760" w:type="dxa"/>
            <w:vAlign w:val="bottom"/>
            <w:vMerge w:val="continue"/>
            <w:shd w:val="clear" w:color="auto" w:fill="DCDDDE"/>
          </w:tcPr>
          <w:p>
            <w:pPr>
              <w:spacing w:after="0"/>
              <w:rPr>
                <w:sz w:val="18"/>
                <w:szCs w:val="18"/>
                <w:color w:val="auto"/>
              </w:rPr>
            </w:pPr>
          </w:p>
        </w:tc>
        <w:tc>
          <w:tcPr>
            <w:tcW w:w="40" w:type="dxa"/>
            <w:vAlign w:val="bottom"/>
            <w:shd w:val="clear" w:color="auto" w:fill="DCDDD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300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Operating expenses, excl. depreciation and</w:t>
            </w:r>
          </w:p>
        </w:tc>
        <w:tc>
          <w:tcPr>
            <w:tcW w:w="140" w:type="dxa"/>
            <w:vAlign w:val="bottom"/>
            <w:shd w:val="clear" w:color="auto" w:fill="F0F0F0"/>
          </w:tcPr>
          <w:p>
            <w:pPr>
              <w:spacing w:after="0"/>
              <w:rPr>
                <w:sz w:val="14"/>
                <w:szCs w:val="14"/>
                <w:color w:val="auto"/>
              </w:rPr>
            </w:pPr>
          </w:p>
        </w:tc>
        <w:tc>
          <w:tcPr>
            <w:tcW w:w="56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9,822</w:t>
            </w:r>
          </w:p>
        </w:tc>
        <w:tc>
          <w:tcPr>
            <w:tcW w:w="60" w:type="dxa"/>
            <w:vAlign w:val="bottom"/>
            <w:shd w:val="clear" w:color="auto" w:fill="F0F0F0"/>
          </w:tcPr>
          <w:p>
            <w:pPr>
              <w:spacing w:after="0"/>
              <w:rPr>
                <w:sz w:val="14"/>
                <w:szCs w:val="14"/>
                <w:color w:val="auto"/>
              </w:rPr>
            </w:pPr>
          </w:p>
        </w:tc>
        <w:tc>
          <w:tcPr>
            <w:tcW w:w="740" w:type="dxa"/>
            <w:vAlign w:val="bottom"/>
            <w:tcBorders>
              <w:right w:val="single" w:sz="8" w:color="F0F0F0"/>
            </w:tcBorders>
            <w:vMerge w:val="restart"/>
            <w:shd w:val="clear" w:color="auto" w:fill="F0F0F0"/>
          </w:tcPr>
          <w:p>
            <w:pPr>
              <w:jc w:val="right"/>
              <w:ind w:right="20"/>
              <w:spacing w:after="0"/>
              <w:rPr>
                <w:sz w:val="20"/>
                <w:szCs w:val="20"/>
                <w:color w:val="auto"/>
              </w:rPr>
            </w:pPr>
            <w:r>
              <w:rPr>
                <w:rFonts w:ascii="Times New Roman" w:cs="Times New Roman" w:eastAsia="Times New Roman" w:hAnsi="Times New Roman"/>
                <w:sz w:val="16"/>
                <w:szCs w:val="16"/>
                <w:color w:val="auto"/>
              </w:rPr>
              <w:t>10,695</w:t>
            </w:r>
          </w:p>
        </w:tc>
        <w:tc>
          <w:tcPr>
            <w:tcW w:w="7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8,034</w:t>
            </w:r>
          </w:p>
        </w:tc>
        <w:tc>
          <w:tcPr>
            <w:tcW w:w="76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8,924</w:t>
            </w:r>
          </w:p>
        </w:tc>
        <w:tc>
          <w:tcPr>
            <w:tcW w:w="68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4,781</w:t>
            </w:r>
          </w:p>
        </w:tc>
        <w:tc>
          <w:tcPr>
            <w:tcW w:w="40" w:type="dxa"/>
            <w:vAlign w:val="bottom"/>
            <w:shd w:val="clear" w:color="auto" w:fill="F0F0F0"/>
          </w:tcPr>
          <w:p>
            <w:pPr>
              <w:spacing w:after="0"/>
              <w:rPr>
                <w:sz w:val="14"/>
                <w:szCs w:val="14"/>
                <w:color w:val="auto"/>
              </w:rPr>
            </w:pPr>
          </w:p>
        </w:tc>
        <w:tc>
          <w:tcPr>
            <w:tcW w:w="720" w:type="dxa"/>
            <w:vAlign w:val="bottom"/>
            <w:tcBorders>
              <w:right w:val="single" w:sz="8" w:color="F0F0F0"/>
            </w:tcBorders>
            <w:vMerge w:val="restart"/>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4,419</w:t>
            </w:r>
          </w:p>
        </w:tc>
        <w:tc>
          <w:tcPr>
            <w:tcW w:w="7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1,931</w:t>
            </w:r>
          </w:p>
        </w:tc>
        <w:tc>
          <w:tcPr>
            <w:tcW w:w="74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2,316</w:t>
            </w:r>
          </w:p>
        </w:tc>
        <w:tc>
          <w:tcPr>
            <w:tcW w:w="760" w:type="dxa"/>
            <w:vAlign w:val="bottom"/>
            <w:vMerge w:val="restart"/>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50,922</w:t>
            </w:r>
          </w:p>
        </w:tc>
        <w:tc>
          <w:tcPr>
            <w:tcW w:w="40" w:type="dxa"/>
            <w:vAlign w:val="bottom"/>
            <w:shd w:val="clear" w:color="auto" w:fill="DCDDD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depletion </w:t>
            </w:r>
            <w:r>
              <w:rPr>
                <w:rFonts w:ascii="Times New Roman" w:cs="Times New Roman" w:eastAsia="Times New Roman" w:hAnsi="Times New Roman"/>
                <w:sz w:val="21"/>
                <w:szCs w:val="21"/>
                <w:i w:val="1"/>
                <w:iCs w:val="1"/>
                <w:color w:val="auto"/>
                <w:vertAlign w:val="superscript"/>
              </w:rPr>
              <w:t>(1)</w:t>
            </w:r>
          </w:p>
        </w:tc>
        <w:tc>
          <w:tcPr>
            <w:tcW w:w="140" w:type="dxa"/>
            <w:vAlign w:val="bottom"/>
            <w:shd w:val="clear" w:color="auto" w:fill="F0F0F0"/>
          </w:tcPr>
          <w:p>
            <w:pPr>
              <w:spacing w:after="0"/>
              <w:rPr>
                <w:sz w:val="18"/>
                <w:szCs w:val="18"/>
                <w:color w:val="auto"/>
              </w:rPr>
            </w:pPr>
          </w:p>
        </w:tc>
        <w:tc>
          <w:tcPr>
            <w:tcW w:w="560" w:type="dxa"/>
            <w:vAlign w:val="bottom"/>
            <w:vMerge w:val="continue"/>
            <w:shd w:val="clear" w:color="auto" w:fill="F0F0F0"/>
          </w:tcPr>
          <w:p>
            <w:pPr>
              <w:spacing w:after="0"/>
              <w:rPr>
                <w:sz w:val="18"/>
                <w:szCs w:val="18"/>
                <w:color w:val="auto"/>
              </w:rPr>
            </w:pPr>
          </w:p>
        </w:tc>
        <w:tc>
          <w:tcPr>
            <w:tcW w:w="60" w:type="dxa"/>
            <w:vAlign w:val="bottom"/>
            <w:shd w:val="clear" w:color="auto" w:fill="F0F0F0"/>
          </w:tcPr>
          <w:p>
            <w:pPr>
              <w:spacing w:after="0"/>
              <w:rPr>
                <w:sz w:val="18"/>
                <w:szCs w:val="18"/>
                <w:color w:val="auto"/>
              </w:rPr>
            </w:pPr>
          </w:p>
        </w:tc>
        <w:tc>
          <w:tcPr>
            <w:tcW w:w="740" w:type="dxa"/>
            <w:vAlign w:val="bottom"/>
            <w:tcBorders>
              <w:right w:val="single" w:sz="8" w:color="F0F0F0"/>
            </w:tcBorders>
            <w:vMerge w:val="continue"/>
            <w:shd w:val="clear" w:color="auto" w:fill="F0F0F0"/>
          </w:tcPr>
          <w:p>
            <w:pPr>
              <w:spacing w:after="0"/>
              <w:rPr>
                <w:sz w:val="18"/>
                <w:szCs w:val="18"/>
                <w:color w:val="auto"/>
              </w:rPr>
            </w:pPr>
          </w:p>
        </w:tc>
        <w:tc>
          <w:tcPr>
            <w:tcW w:w="74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680" w:type="dxa"/>
            <w:vAlign w:val="bottom"/>
            <w:vMerge w:val="continue"/>
            <w:shd w:val="clear" w:color="auto" w:fill="F0F0F0"/>
          </w:tcPr>
          <w:p>
            <w:pPr>
              <w:spacing w:after="0"/>
              <w:rPr>
                <w:sz w:val="18"/>
                <w:szCs w:val="18"/>
                <w:color w:val="auto"/>
              </w:rPr>
            </w:pPr>
          </w:p>
        </w:tc>
        <w:tc>
          <w:tcPr>
            <w:tcW w:w="40" w:type="dxa"/>
            <w:vAlign w:val="bottom"/>
            <w:shd w:val="clear" w:color="auto" w:fill="F0F0F0"/>
          </w:tcPr>
          <w:p>
            <w:pPr>
              <w:spacing w:after="0"/>
              <w:rPr>
                <w:sz w:val="18"/>
                <w:szCs w:val="18"/>
                <w:color w:val="auto"/>
              </w:rPr>
            </w:pPr>
          </w:p>
        </w:tc>
        <w:tc>
          <w:tcPr>
            <w:tcW w:w="720" w:type="dxa"/>
            <w:vAlign w:val="bottom"/>
            <w:tcBorders>
              <w:right w:val="single" w:sz="8" w:color="F0F0F0"/>
            </w:tcBorders>
            <w:vMerge w:val="continue"/>
            <w:shd w:val="clear" w:color="auto" w:fill="F0F0F0"/>
          </w:tcPr>
          <w:p>
            <w:pPr>
              <w:spacing w:after="0"/>
              <w:rPr>
                <w:sz w:val="18"/>
                <w:szCs w:val="18"/>
                <w:color w:val="auto"/>
              </w:rPr>
            </w:pPr>
          </w:p>
        </w:tc>
        <w:tc>
          <w:tcPr>
            <w:tcW w:w="72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760" w:type="dxa"/>
            <w:vAlign w:val="bottom"/>
            <w:vMerge w:val="continue"/>
            <w:shd w:val="clear" w:color="auto" w:fill="DCDDDE"/>
          </w:tcPr>
          <w:p>
            <w:pPr>
              <w:spacing w:after="0"/>
              <w:rPr>
                <w:sz w:val="18"/>
                <w:szCs w:val="18"/>
                <w:color w:val="auto"/>
              </w:rPr>
            </w:pPr>
          </w:p>
        </w:tc>
        <w:tc>
          <w:tcPr>
            <w:tcW w:w="40" w:type="dxa"/>
            <w:vAlign w:val="bottom"/>
            <w:shd w:val="clear" w:color="auto" w:fill="DCDDD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0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Depreciation and depletion (includes</w:t>
            </w:r>
          </w:p>
        </w:tc>
        <w:tc>
          <w:tcPr>
            <w:tcW w:w="140" w:type="dxa"/>
            <w:vAlign w:val="bottom"/>
            <w:shd w:val="clear" w:color="auto" w:fill="F0F0F0"/>
          </w:tcPr>
          <w:p>
            <w:pPr>
              <w:spacing w:after="0"/>
              <w:rPr>
                <w:sz w:val="14"/>
                <w:szCs w:val="14"/>
                <w:color w:val="auto"/>
              </w:rPr>
            </w:pPr>
          </w:p>
        </w:tc>
        <w:tc>
          <w:tcPr>
            <w:tcW w:w="56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11,510</w:t>
            </w:r>
          </w:p>
        </w:tc>
        <w:tc>
          <w:tcPr>
            <w:tcW w:w="60" w:type="dxa"/>
            <w:vAlign w:val="bottom"/>
            <w:shd w:val="clear" w:color="auto" w:fill="F0F0F0"/>
          </w:tcPr>
          <w:p>
            <w:pPr>
              <w:spacing w:after="0"/>
              <w:rPr>
                <w:sz w:val="14"/>
                <w:szCs w:val="14"/>
                <w:color w:val="auto"/>
              </w:rPr>
            </w:pPr>
          </w:p>
        </w:tc>
        <w:tc>
          <w:tcPr>
            <w:tcW w:w="740" w:type="dxa"/>
            <w:vAlign w:val="bottom"/>
            <w:tcBorders>
              <w:right w:val="single" w:sz="8" w:color="F0F0F0"/>
            </w:tcBorders>
            <w:vMerge w:val="restart"/>
            <w:shd w:val="clear" w:color="auto" w:fill="F0F0F0"/>
          </w:tcPr>
          <w:p>
            <w:pPr>
              <w:jc w:val="right"/>
              <w:ind w:right="20"/>
              <w:spacing w:after="0"/>
              <w:rPr>
                <w:sz w:val="20"/>
                <w:szCs w:val="20"/>
                <w:color w:val="auto"/>
              </w:rPr>
            </w:pPr>
            <w:r>
              <w:rPr>
                <w:rFonts w:ascii="Times New Roman" w:cs="Times New Roman" w:eastAsia="Times New Roman" w:hAnsi="Times New Roman"/>
                <w:sz w:val="16"/>
                <w:szCs w:val="16"/>
                <w:color w:val="auto"/>
              </w:rPr>
              <w:t>8,014</w:t>
            </w:r>
          </w:p>
        </w:tc>
        <w:tc>
          <w:tcPr>
            <w:tcW w:w="7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799</w:t>
            </w:r>
          </w:p>
        </w:tc>
        <w:tc>
          <w:tcPr>
            <w:tcW w:w="76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734</w:t>
            </w:r>
          </w:p>
        </w:tc>
        <w:tc>
          <w:tcPr>
            <w:tcW w:w="68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40" w:type="dxa"/>
            <w:vAlign w:val="bottom"/>
            <w:shd w:val="clear" w:color="auto" w:fill="F0F0F0"/>
          </w:tcPr>
          <w:p>
            <w:pPr>
              <w:spacing w:after="0"/>
              <w:rPr>
                <w:sz w:val="14"/>
                <w:szCs w:val="14"/>
                <w:color w:val="auto"/>
              </w:rPr>
            </w:pPr>
          </w:p>
        </w:tc>
        <w:tc>
          <w:tcPr>
            <w:tcW w:w="720" w:type="dxa"/>
            <w:vAlign w:val="bottom"/>
            <w:tcBorders>
              <w:right w:val="single" w:sz="8" w:color="F0F0F0"/>
            </w:tcBorders>
            <w:vMerge w:val="restart"/>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7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104</w:t>
            </w:r>
          </w:p>
        </w:tc>
        <w:tc>
          <w:tcPr>
            <w:tcW w:w="74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133</w:t>
            </w:r>
          </w:p>
        </w:tc>
        <w:tc>
          <w:tcPr>
            <w:tcW w:w="760" w:type="dxa"/>
            <w:vAlign w:val="bottom"/>
            <w:vMerge w:val="restart"/>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22,390</w:t>
            </w:r>
          </w:p>
        </w:tc>
        <w:tc>
          <w:tcPr>
            <w:tcW w:w="40" w:type="dxa"/>
            <w:vAlign w:val="bottom"/>
            <w:shd w:val="clear" w:color="auto" w:fill="DCDDD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impairments)</w:t>
            </w:r>
          </w:p>
        </w:tc>
        <w:tc>
          <w:tcPr>
            <w:tcW w:w="140" w:type="dxa"/>
            <w:vAlign w:val="bottom"/>
            <w:shd w:val="clear" w:color="auto" w:fill="F0F0F0"/>
          </w:tcPr>
          <w:p>
            <w:pPr>
              <w:spacing w:after="0"/>
              <w:rPr>
                <w:sz w:val="18"/>
                <w:szCs w:val="18"/>
                <w:color w:val="auto"/>
              </w:rPr>
            </w:pPr>
          </w:p>
        </w:tc>
        <w:tc>
          <w:tcPr>
            <w:tcW w:w="560" w:type="dxa"/>
            <w:vAlign w:val="bottom"/>
            <w:vMerge w:val="continue"/>
            <w:shd w:val="clear" w:color="auto" w:fill="F0F0F0"/>
          </w:tcPr>
          <w:p>
            <w:pPr>
              <w:spacing w:after="0"/>
              <w:rPr>
                <w:sz w:val="18"/>
                <w:szCs w:val="18"/>
                <w:color w:val="auto"/>
              </w:rPr>
            </w:pPr>
          </w:p>
        </w:tc>
        <w:tc>
          <w:tcPr>
            <w:tcW w:w="60" w:type="dxa"/>
            <w:vAlign w:val="bottom"/>
            <w:shd w:val="clear" w:color="auto" w:fill="F0F0F0"/>
          </w:tcPr>
          <w:p>
            <w:pPr>
              <w:spacing w:after="0"/>
              <w:rPr>
                <w:sz w:val="18"/>
                <w:szCs w:val="18"/>
                <w:color w:val="auto"/>
              </w:rPr>
            </w:pPr>
          </w:p>
        </w:tc>
        <w:tc>
          <w:tcPr>
            <w:tcW w:w="740" w:type="dxa"/>
            <w:vAlign w:val="bottom"/>
            <w:tcBorders>
              <w:right w:val="single" w:sz="8" w:color="F0F0F0"/>
            </w:tcBorders>
            <w:vMerge w:val="continue"/>
            <w:shd w:val="clear" w:color="auto" w:fill="F0F0F0"/>
          </w:tcPr>
          <w:p>
            <w:pPr>
              <w:spacing w:after="0"/>
              <w:rPr>
                <w:sz w:val="18"/>
                <w:szCs w:val="18"/>
                <w:color w:val="auto"/>
              </w:rPr>
            </w:pPr>
          </w:p>
        </w:tc>
        <w:tc>
          <w:tcPr>
            <w:tcW w:w="74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680" w:type="dxa"/>
            <w:vAlign w:val="bottom"/>
            <w:vMerge w:val="continue"/>
            <w:shd w:val="clear" w:color="auto" w:fill="F0F0F0"/>
          </w:tcPr>
          <w:p>
            <w:pPr>
              <w:spacing w:after="0"/>
              <w:rPr>
                <w:sz w:val="18"/>
                <w:szCs w:val="18"/>
                <w:color w:val="auto"/>
              </w:rPr>
            </w:pPr>
          </w:p>
        </w:tc>
        <w:tc>
          <w:tcPr>
            <w:tcW w:w="40" w:type="dxa"/>
            <w:vAlign w:val="bottom"/>
            <w:shd w:val="clear" w:color="auto" w:fill="F0F0F0"/>
          </w:tcPr>
          <w:p>
            <w:pPr>
              <w:spacing w:after="0"/>
              <w:rPr>
                <w:sz w:val="18"/>
                <w:szCs w:val="18"/>
                <w:color w:val="auto"/>
              </w:rPr>
            </w:pPr>
          </w:p>
        </w:tc>
        <w:tc>
          <w:tcPr>
            <w:tcW w:w="720" w:type="dxa"/>
            <w:vAlign w:val="bottom"/>
            <w:tcBorders>
              <w:right w:val="single" w:sz="8" w:color="F0F0F0"/>
            </w:tcBorders>
            <w:vMerge w:val="continue"/>
            <w:shd w:val="clear" w:color="auto" w:fill="F0F0F0"/>
          </w:tcPr>
          <w:p>
            <w:pPr>
              <w:spacing w:after="0"/>
              <w:rPr>
                <w:sz w:val="18"/>
                <w:szCs w:val="18"/>
                <w:color w:val="auto"/>
              </w:rPr>
            </w:pPr>
          </w:p>
        </w:tc>
        <w:tc>
          <w:tcPr>
            <w:tcW w:w="72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760" w:type="dxa"/>
            <w:vAlign w:val="bottom"/>
            <w:vMerge w:val="continue"/>
            <w:shd w:val="clear" w:color="auto" w:fill="DCDDDE"/>
          </w:tcPr>
          <w:p>
            <w:pPr>
              <w:spacing w:after="0"/>
              <w:rPr>
                <w:sz w:val="18"/>
                <w:szCs w:val="18"/>
                <w:color w:val="auto"/>
              </w:rPr>
            </w:pPr>
          </w:p>
        </w:tc>
        <w:tc>
          <w:tcPr>
            <w:tcW w:w="40" w:type="dxa"/>
            <w:vAlign w:val="bottom"/>
            <w:shd w:val="clear" w:color="auto" w:fill="DCDD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shd w:val="clear" w:color="auto" w:fill="F0F0F0"/>
          </w:tcPr>
          <w:p>
            <w:pPr>
              <w:spacing w:after="0"/>
              <w:rPr>
                <w:sz w:val="18"/>
                <w:szCs w:val="18"/>
                <w:color w:val="auto"/>
              </w:rPr>
            </w:pPr>
          </w:p>
        </w:tc>
        <w:tc>
          <w:tcPr>
            <w:tcW w:w="5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60" w:type="dxa"/>
            <w:vAlign w:val="bottom"/>
            <w:shd w:val="clear" w:color="auto" w:fill="F0F0F0"/>
          </w:tcPr>
          <w:p>
            <w:pPr>
              <w:spacing w:after="0"/>
              <w:rPr>
                <w:sz w:val="18"/>
                <w:szCs w:val="18"/>
                <w:color w:val="auto"/>
              </w:rPr>
            </w:pPr>
          </w:p>
        </w:tc>
        <w:tc>
          <w:tcPr>
            <w:tcW w:w="740" w:type="dxa"/>
            <w:vAlign w:val="bottom"/>
            <w:tcBorders>
              <w:right w:val="single" w:sz="8" w:color="F0F0F0"/>
            </w:tcBorders>
            <w:shd w:val="clear" w:color="auto" w:fill="F0F0F0"/>
          </w:tcPr>
          <w:p>
            <w:pPr>
              <w:jc w:val="right"/>
              <w:ind w:right="20"/>
              <w:spacing w:after="0"/>
              <w:rPr>
                <w:sz w:val="20"/>
                <w:szCs w:val="20"/>
                <w:color w:val="auto"/>
              </w:rPr>
            </w:pPr>
            <w:r>
              <w:rPr>
                <w:rFonts w:ascii="Times New Roman" w:cs="Times New Roman" w:eastAsia="Times New Roman" w:hAnsi="Times New Roman"/>
                <w:sz w:val="16"/>
                <w:szCs w:val="16"/>
                <w:color w:val="auto"/>
              </w:rPr>
              <w:t>82</w:t>
            </w: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shd w:val="clear" w:color="auto" w:fill="F0F0F0"/>
          </w:tcPr>
          <w:p>
            <w:pPr>
              <w:spacing w:after="0"/>
              <w:rPr>
                <w:sz w:val="18"/>
                <w:szCs w:val="18"/>
                <w:color w:val="auto"/>
              </w:rPr>
            </w:pPr>
          </w:p>
        </w:tc>
        <w:tc>
          <w:tcPr>
            <w:tcW w:w="72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760" w:type="dxa"/>
            <w:vAlign w:val="bottom"/>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291</w:t>
            </w:r>
          </w:p>
        </w:tc>
        <w:tc>
          <w:tcPr>
            <w:tcW w:w="40" w:type="dxa"/>
            <w:vAlign w:val="bottom"/>
            <w:shd w:val="clear" w:color="auto" w:fill="DCDDD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0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6"/>
                <w:szCs w:val="16"/>
                <w:color w:val="auto"/>
              </w:rPr>
              <w:t>Other taxes and duties</w:t>
            </w:r>
          </w:p>
        </w:tc>
        <w:tc>
          <w:tcPr>
            <w:tcW w:w="140" w:type="dxa"/>
            <w:vAlign w:val="bottom"/>
            <w:tcBorders>
              <w:bottom w:val="single" w:sz="8" w:color="0C479D"/>
            </w:tcBorders>
            <w:shd w:val="clear" w:color="auto" w:fill="F0F0F0"/>
          </w:tcPr>
          <w:p>
            <w:pPr>
              <w:spacing w:after="0"/>
              <w:rPr>
                <w:sz w:val="19"/>
                <w:szCs w:val="19"/>
                <w:color w:val="auto"/>
              </w:rPr>
            </w:pPr>
          </w:p>
        </w:tc>
        <w:tc>
          <w:tcPr>
            <w:tcW w:w="5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60" w:type="dxa"/>
            <w:vAlign w:val="bottom"/>
            <w:tcBorders>
              <w:bottom w:val="single" w:sz="8" w:color="0C479D"/>
            </w:tcBorders>
            <w:shd w:val="clear" w:color="auto" w:fill="F0F0F0"/>
          </w:tcPr>
          <w:p>
            <w:pPr>
              <w:spacing w:after="0"/>
              <w:rPr>
                <w:sz w:val="19"/>
                <w:szCs w:val="19"/>
                <w:color w:val="auto"/>
              </w:rPr>
            </w:pPr>
          </w:p>
        </w:tc>
        <w:tc>
          <w:tcPr>
            <w:tcW w:w="740" w:type="dxa"/>
            <w:vAlign w:val="bottom"/>
            <w:tcBorders>
              <w:bottom w:val="single" w:sz="8" w:color="0C479D"/>
              <w:right w:val="single" w:sz="8" w:color="F0F0F0"/>
            </w:tcBorders>
            <w:shd w:val="clear" w:color="auto" w:fill="F0F0F0"/>
          </w:tcPr>
          <w:p>
            <w:pPr>
              <w:jc w:val="right"/>
              <w:ind w:right="20"/>
              <w:spacing w:after="0"/>
              <w:rPr>
                <w:sz w:val="20"/>
                <w:szCs w:val="20"/>
                <w:color w:val="auto"/>
              </w:rPr>
            </w:pPr>
            <w:r>
              <w:rPr>
                <w:rFonts w:ascii="Times New Roman" w:cs="Times New Roman" w:eastAsia="Times New Roman" w:hAnsi="Times New Roman"/>
                <w:sz w:val="16"/>
                <w:szCs w:val="16"/>
                <w:color w:val="auto"/>
              </w:rPr>
              <w:t>2,750</w:t>
            </w:r>
          </w:p>
        </w:tc>
        <w:tc>
          <w:tcPr>
            <w:tcW w:w="740" w:type="dxa"/>
            <w:vAlign w:val="bottom"/>
            <w:tcBorders>
              <w:bottom w:val="single" w:sz="8" w:color="0C479D"/>
            </w:tcBorders>
          </w:tcPr>
          <w:p>
            <w:pPr>
              <w:jc w:val="right"/>
              <w:ind w:right="1"/>
              <w:spacing w:after="0"/>
              <w:rPr>
                <w:sz w:val="20"/>
                <w:szCs w:val="20"/>
                <w:color w:val="auto"/>
              </w:rPr>
            </w:pPr>
            <w:r>
              <w:rPr>
                <w:rFonts w:ascii="Times New Roman" w:cs="Times New Roman" w:eastAsia="Times New Roman" w:hAnsi="Times New Roman"/>
                <w:sz w:val="16"/>
                <w:szCs w:val="16"/>
                <w:color w:val="auto"/>
              </w:rPr>
              <w:t>3,421</w:t>
            </w:r>
          </w:p>
        </w:tc>
        <w:tc>
          <w:tcPr>
            <w:tcW w:w="76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color w:val="auto"/>
              </w:rPr>
              <w:t>19,699</w:t>
            </w:r>
          </w:p>
        </w:tc>
        <w:tc>
          <w:tcPr>
            <w:tcW w:w="68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40" w:type="dxa"/>
            <w:vAlign w:val="bottom"/>
            <w:tcBorders>
              <w:bottom w:val="single" w:sz="8" w:color="0C479D"/>
            </w:tcBorders>
            <w:shd w:val="clear" w:color="auto" w:fill="F0F0F0"/>
          </w:tcPr>
          <w:p>
            <w:pPr>
              <w:spacing w:after="0"/>
              <w:rPr>
                <w:sz w:val="19"/>
                <w:szCs w:val="19"/>
                <w:color w:val="auto"/>
              </w:rPr>
            </w:pPr>
          </w:p>
        </w:tc>
        <w:tc>
          <w:tcPr>
            <w:tcW w:w="720" w:type="dxa"/>
            <w:vAlign w:val="bottom"/>
            <w:tcBorders>
              <w:bottom w:val="single" w:sz="8" w:color="0C479D"/>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720" w:type="dxa"/>
            <w:vAlign w:val="bottom"/>
            <w:tcBorders>
              <w:bottom w:val="single" w:sz="8" w:color="0C479D"/>
            </w:tcBorders>
          </w:tcPr>
          <w:p>
            <w:pPr>
              <w:jc w:val="right"/>
              <w:ind w:right="1"/>
              <w:spacing w:after="0"/>
              <w:rPr>
                <w:sz w:val="20"/>
                <w:szCs w:val="20"/>
                <w:color w:val="auto"/>
              </w:rPr>
            </w:pPr>
            <w:r>
              <w:rPr>
                <w:rFonts w:ascii="Times New Roman" w:cs="Times New Roman" w:eastAsia="Times New Roman" w:hAnsi="Times New Roman"/>
                <w:sz w:val="16"/>
                <w:szCs w:val="16"/>
                <w:color w:val="auto"/>
              </w:rPr>
              <w:t>7</w:t>
            </w:r>
          </w:p>
        </w:tc>
        <w:tc>
          <w:tcPr>
            <w:tcW w:w="74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color w:val="auto"/>
              </w:rPr>
              <w:t>185</w:t>
            </w:r>
          </w:p>
        </w:tc>
        <w:tc>
          <w:tcPr>
            <w:tcW w:w="760" w:type="dxa"/>
            <w:vAlign w:val="bottom"/>
            <w:tcBorders>
              <w:bottom w:val="single" w:sz="8" w:color="0C479D"/>
            </w:tcBorders>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26,542</w:t>
            </w:r>
          </w:p>
        </w:tc>
        <w:tc>
          <w:tcPr>
            <w:tcW w:w="40" w:type="dxa"/>
            <w:vAlign w:val="bottom"/>
            <w:tcBorders>
              <w:bottom w:val="single" w:sz="8" w:color="0C479D"/>
            </w:tcBorders>
            <w:shd w:val="clear" w:color="auto" w:fill="DCDDDE"/>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00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6"/>
                <w:szCs w:val="16"/>
                <w:b w:val="1"/>
                <w:bCs w:val="1"/>
                <w:color w:val="auto"/>
              </w:rPr>
              <w:t>Total costs and other deductions</w:t>
            </w:r>
          </w:p>
        </w:tc>
        <w:tc>
          <w:tcPr>
            <w:tcW w:w="140" w:type="dxa"/>
            <w:vAlign w:val="bottom"/>
            <w:tcBorders>
              <w:bottom w:val="single" w:sz="8" w:color="0C479D"/>
            </w:tcBorders>
            <w:shd w:val="clear" w:color="auto" w:fill="F0F0F0"/>
          </w:tcPr>
          <w:p>
            <w:pPr>
              <w:spacing w:after="0"/>
              <w:rPr>
                <w:sz w:val="18"/>
                <w:szCs w:val="18"/>
                <w:color w:val="auto"/>
              </w:rPr>
            </w:pPr>
          </w:p>
        </w:tc>
        <w:tc>
          <w:tcPr>
            <w:tcW w:w="5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40,176</w:t>
            </w:r>
          </w:p>
        </w:tc>
        <w:tc>
          <w:tcPr>
            <w:tcW w:w="60" w:type="dxa"/>
            <w:vAlign w:val="bottom"/>
            <w:tcBorders>
              <w:bottom w:val="single" w:sz="8" w:color="0C479D"/>
            </w:tcBorders>
            <w:shd w:val="clear" w:color="auto" w:fill="F0F0F0"/>
          </w:tcPr>
          <w:p>
            <w:pPr>
              <w:spacing w:after="0"/>
              <w:rPr>
                <w:sz w:val="18"/>
                <w:szCs w:val="18"/>
                <w:color w:val="auto"/>
              </w:rPr>
            </w:pPr>
          </w:p>
        </w:tc>
        <w:tc>
          <w:tcPr>
            <w:tcW w:w="740" w:type="dxa"/>
            <w:vAlign w:val="bottom"/>
            <w:tcBorders>
              <w:bottom w:val="single" w:sz="8" w:color="0C479D"/>
              <w:right w:val="single" w:sz="8" w:color="F0F0F0"/>
            </w:tcBorders>
            <w:shd w:val="clear" w:color="auto" w:fill="F0F0F0"/>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31,929</w:t>
            </w:r>
          </w:p>
        </w:tc>
        <w:tc>
          <w:tcPr>
            <w:tcW w:w="740" w:type="dxa"/>
            <w:vAlign w:val="bottom"/>
            <w:tcBorders>
              <w:bottom w:val="single" w:sz="8" w:color="0C479D"/>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122,468</w:t>
            </w:r>
          </w:p>
        </w:tc>
        <w:tc>
          <w:tcPr>
            <w:tcW w:w="76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183,178</w:t>
            </w:r>
          </w:p>
        </w:tc>
        <w:tc>
          <w:tcPr>
            <w:tcW w:w="68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13,971</w:t>
            </w:r>
          </w:p>
        </w:tc>
        <w:tc>
          <w:tcPr>
            <w:tcW w:w="40" w:type="dxa"/>
            <w:vAlign w:val="bottom"/>
            <w:tcBorders>
              <w:bottom w:val="single" w:sz="8" w:color="0C479D"/>
            </w:tcBorders>
            <w:shd w:val="clear" w:color="auto" w:fill="F0F0F0"/>
          </w:tcPr>
          <w:p>
            <w:pPr>
              <w:spacing w:after="0"/>
              <w:rPr>
                <w:sz w:val="18"/>
                <w:szCs w:val="18"/>
                <w:color w:val="auto"/>
              </w:rPr>
            </w:pPr>
          </w:p>
        </w:tc>
        <w:tc>
          <w:tcPr>
            <w:tcW w:w="720" w:type="dxa"/>
            <w:vAlign w:val="bottom"/>
            <w:tcBorders>
              <w:bottom w:val="single" w:sz="8" w:color="0C479D"/>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17,604</w:t>
            </w:r>
          </w:p>
        </w:tc>
        <w:tc>
          <w:tcPr>
            <w:tcW w:w="720" w:type="dxa"/>
            <w:vAlign w:val="bottom"/>
            <w:tcBorders>
              <w:bottom w:val="single" w:sz="8" w:color="0C479D"/>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6,202</w:t>
            </w:r>
          </w:p>
        </w:tc>
        <w:tc>
          <w:tcPr>
            <w:tcW w:w="74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11,390</w:t>
            </w:r>
          </w:p>
        </w:tc>
        <w:tc>
          <w:tcPr>
            <w:tcW w:w="760" w:type="dxa"/>
            <w:vAlign w:val="bottom"/>
            <w:tcBorders>
              <w:bottom w:val="single" w:sz="8" w:color="0C479D"/>
            </w:tcBorders>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426,918</w:t>
            </w:r>
          </w:p>
        </w:tc>
        <w:tc>
          <w:tcPr>
            <w:tcW w:w="40" w:type="dxa"/>
            <w:vAlign w:val="bottom"/>
            <w:tcBorders>
              <w:bottom w:val="single" w:sz="8" w:color="0C479D"/>
            </w:tcBorders>
            <w:shd w:val="clear" w:color="auto" w:fill="DCDDD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Segment income (loss) before income taxes</w:t>
            </w:r>
          </w:p>
        </w:tc>
        <w:tc>
          <w:tcPr>
            <w:tcW w:w="140" w:type="dxa"/>
            <w:vAlign w:val="bottom"/>
            <w:shd w:val="clear" w:color="auto" w:fill="F0F0F0"/>
          </w:tcPr>
          <w:p>
            <w:pPr>
              <w:spacing w:after="0"/>
              <w:rPr>
                <w:sz w:val="18"/>
                <w:szCs w:val="18"/>
                <w:color w:val="auto"/>
              </w:rPr>
            </w:pPr>
          </w:p>
        </w:tc>
        <w:tc>
          <w:tcPr>
            <w:tcW w:w="5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8,240</w:t>
            </w:r>
          </w:p>
        </w:tc>
        <w:tc>
          <w:tcPr>
            <w:tcW w:w="60" w:type="dxa"/>
            <w:vAlign w:val="bottom"/>
            <w:shd w:val="clear" w:color="auto" w:fill="F0F0F0"/>
          </w:tcPr>
          <w:p>
            <w:pPr>
              <w:spacing w:after="0"/>
              <w:rPr>
                <w:sz w:val="18"/>
                <w:szCs w:val="18"/>
                <w:color w:val="auto"/>
              </w:rPr>
            </w:pPr>
          </w:p>
        </w:tc>
        <w:tc>
          <w:tcPr>
            <w:tcW w:w="740" w:type="dxa"/>
            <w:vAlign w:val="bottom"/>
            <w:tcBorders>
              <w:right w:val="single" w:sz="8" w:color="F0F0F0"/>
            </w:tcBorders>
            <w:shd w:val="clear" w:color="auto" w:fill="F0F0F0"/>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30,401</w:t>
            </w: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2,918</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2,470</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2,087</w:t>
            </w:r>
          </w:p>
        </w:tc>
        <w:tc>
          <w:tcPr>
            <w:tcW w:w="40" w:type="dxa"/>
            <w:vAlign w:val="bottom"/>
            <w:shd w:val="clear" w:color="auto" w:fill="F0F0F0"/>
          </w:tcPr>
          <w:p>
            <w:pPr>
              <w:spacing w:after="0"/>
              <w:rPr>
                <w:sz w:val="18"/>
                <w:szCs w:val="18"/>
                <w:color w:val="auto"/>
              </w:rPr>
            </w:pPr>
          </w:p>
        </w:tc>
        <w:tc>
          <w:tcPr>
            <w:tcW w:w="72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1,249</w:t>
            </w: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2,072</w:t>
            </w: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1,736</w:t>
            </w:r>
          </w:p>
        </w:tc>
        <w:tc>
          <w:tcPr>
            <w:tcW w:w="760" w:type="dxa"/>
            <w:vAlign w:val="bottom"/>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51,173</w:t>
            </w:r>
          </w:p>
        </w:tc>
        <w:tc>
          <w:tcPr>
            <w:tcW w:w="40" w:type="dxa"/>
            <w:vAlign w:val="bottom"/>
            <w:shd w:val="clear" w:color="auto" w:fill="DCDDD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00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140" w:type="dxa"/>
            <w:vAlign w:val="bottom"/>
            <w:tcBorders>
              <w:bottom w:val="single" w:sz="8" w:color="0C479D"/>
            </w:tcBorders>
            <w:shd w:val="clear" w:color="auto" w:fill="F0F0F0"/>
          </w:tcPr>
          <w:p>
            <w:pPr>
              <w:spacing w:after="0"/>
              <w:rPr>
                <w:sz w:val="18"/>
                <w:szCs w:val="18"/>
                <w:color w:val="auto"/>
              </w:rPr>
            </w:pPr>
          </w:p>
        </w:tc>
        <w:tc>
          <w:tcPr>
            <w:tcW w:w="5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1,814</w:t>
            </w:r>
          </w:p>
        </w:tc>
        <w:tc>
          <w:tcPr>
            <w:tcW w:w="60" w:type="dxa"/>
            <w:vAlign w:val="bottom"/>
            <w:tcBorders>
              <w:bottom w:val="single" w:sz="8" w:color="0C479D"/>
            </w:tcBorders>
            <w:shd w:val="clear" w:color="auto" w:fill="F0F0F0"/>
          </w:tcPr>
          <w:p>
            <w:pPr>
              <w:spacing w:after="0"/>
              <w:rPr>
                <w:sz w:val="18"/>
                <w:szCs w:val="18"/>
                <w:color w:val="auto"/>
              </w:rPr>
            </w:pPr>
          </w:p>
        </w:tc>
        <w:tc>
          <w:tcPr>
            <w:tcW w:w="740" w:type="dxa"/>
            <w:vAlign w:val="bottom"/>
            <w:tcBorders>
              <w:bottom w:val="single" w:sz="8" w:color="0C479D"/>
              <w:right w:val="single" w:sz="8" w:color="F0F0F0"/>
            </w:tcBorders>
            <w:shd w:val="clear" w:color="auto" w:fill="F0F0F0"/>
          </w:tcPr>
          <w:p>
            <w:pPr>
              <w:jc w:val="right"/>
              <w:ind w:right="20"/>
              <w:spacing w:after="0"/>
              <w:rPr>
                <w:sz w:val="20"/>
                <w:szCs w:val="20"/>
                <w:color w:val="auto"/>
              </w:rPr>
            </w:pPr>
            <w:r>
              <w:rPr>
                <w:rFonts w:ascii="Times New Roman" w:cs="Times New Roman" w:eastAsia="Times New Roman" w:hAnsi="Times New Roman"/>
                <w:sz w:val="16"/>
                <w:szCs w:val="16"/>
                <w:color w:val="auto"/>
              </w:rPr>
              <w:t>10,622</w:t>
            </w:r>
          </w:p>
        </w:tc>
        <w:tc>
          <w:tcPr>
            <w:tcW w:w="740" w:type="dxa"/>
            <w:vAlign w:val="bottom"/>
            <w:tcBorders>
              <w:bottom w:val="single" w:sz="8" w:color="0C479D"/>
            </w:tcBorders>
          </w:tcPr>
          <w:p>
            <w:pPr>
              <w:jc w:val="right"/>
              <w:ind w:right="1"/>
              <w:spacing w:after="0"/>
              <w:rPr>
                <w:sz w:val="20"/>
                <w:szCs w:val="20"/>
                <w:color w:val="auto"/>
              </w:rPr>
            </w:pPr>
            <w:r>
              <w:rPr>
                <w:rFonts w:ascii="Times New Roman" w:cs="Times New Roman" w:eastAsia="Times New Roman" w:hAnsi="Times New Roman"/>
                <w:sz w:val="16"/>
                <w:szCs w:val="16"/>
                <w:color w:val="auto"/>
              </w:rPr>
              <w:t>631</w:t>
            </w:r>
          </w:p>
        </w:tc>
        <w:tc>
          <w:tcPr>
            <w:tcW w:w="76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color w:val="auto"/>
              </w:rPr>
              <w:t>164</w:t>
            </w:r>
          </w:p>
        </w:tc>
        <w:tc>
          <w:tcPr>
            <w:tcW w:w="68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40" w:type="dxa"/>
            <w:vAlign w:val="bottom"/>
            <w:tcBorders>
              <w:bottom w:val="single" w:sz="8" w:color="0C479D"/>
            </w:tcBorders>
            <w:shd w:val="clear" w:color="auto" w:fill="F0F0F0"/>
          </w:tcPr>
          <w:p>
            <w:pPr>
              <w:spacing w:after="0"/>
              <w:rPr>
                <w:sz w:val="18"/>
                <w:szCs w:val="18"/>
                <w:color w:val="auto"/>
              </w:rPr>
            </w:pPr>
          </w:p>
        </w:tc>
        <w:tc>
          <w:tcPr>
            <w:tcW w:w="720" w:type="dxa"/>
            <w:vAlign w:val="bottom"/>
            <w:tcBorders>
              <w:bottom w:val="single" w:sz="8" w:color="0C479D"/>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720" w:type="dxa"/>
            <w:vAlign w:val="bottom"/>
            <w:tcBorders>
              <w:bottom w:val="single" w:sz="8" w:color="0C479D"/>
            </w:tcBorders>
          </w:tcPr>
          <w:p>
            <w:pPr>
              <w:jc w:val="right"/>
              <w:ind w:right="1"/>
              <w:spacing w:after="0"/>
              <w:rPr>
                <w:sz w:val="20"/>
                <w:szCs w:val="20"/>
                <w:color w:val="auto"/>
              </w:rPr>
            </w:pPr>
            <w:r>
              <w:rPr>
                <w:rFonts w:ascii="Times New Roman" w:cs="Times New Roman" w:eastAsia="Times New Roman" w:hAnsi="Times New Roman"/>
                <w:sz w:val="16"/>
                <w:szCs w:val="16"/>
                <w:color w:val="auto"/>
              </w:rPr>
              <w:t>494</w:t>
            </w:r>
          </w:p>
        </w:tc>
        <w:tc>
          <w:tcPr>
            <w:tcW w:w="74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color w:val="auto"/>
              </w:rPr>
              <w:t>243</w:t>
            </w:r>
          </w:p>
        </w:tc>
        <w:tc>
          <w:tcPr>
            <w:tcW w:w="760" w:type="dxa"/>
            <w:vAlign w:val="bottom"/>
            <w:tcBorders>
              <w:bottom w:val="single" w:sz="8" w:color="0C479D"/>
            </w:tcBorders>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14,690</w:t>
            </w:r>
          </w:p>
        </w:tc>
        <w:tc>
          <w:tcPr>
            <w:tcW w:w="40" w:type="dxa"/>
            <w:vAlign w:val="bottom"/>
            <w:tcBorders>
              <w:bottom w:val="single" w:sz="8" w:color="0C479D"/>
            </w:tcBorders>
            <w:shd w:val="clear" w:color="auto" w:fill="DCDDDE"/>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000" w:type="dxa"/>
            <w:vAlign w:val="bottom"/>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Segment net income (loss) incl.</w:t>
            </w:r>
          </w:p>
        </w:tc>
        <w:tc>
          <w:tcPr>
            <w:tcW w:w="140" w:type="dxa"/>
            <w:vAlign w:val="bottom"/>
            <w:shd w:val="clear" w:color="auto" w:fill="F0F0F0"/>
          </w:tcPr>
          <w:p>
            <w:pPr>
              <w:spacing w:after="0"/>
              <w:rPr>
                <w:sz w:val="13"/>
                <w:szCs w:val="13"/>
                <w:color w:val="auto"/>
              </w:rPr>
            </w:pPr>
          </w:p>
        </w:tc>
        <w:tc>
          <w:tcPr>
            <w:tcW w:w="56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6,426</w:t>
            </w:r>
          </w:p>
        </w:tc>
        <w:tc>
          <w:tcPr>
            <w:tcW w:w="60" w:type="dxa"/>
            <w:vAlign w:val="bottom"/>
            <w:shd w:val="clear" w:color="auto" w:fill="F0F0F0"/>
          </w:tcPr>
          <w:p>
            <w:pPr>
              <w:spacing w:after="0"/>
              <w:rPr>
                <w:sz w:val="13"/>
                <w:szCs w:val="13"/>
                <w:color w:val="auto"/>
              </w:rPr>
            </w:pPr>
          </w:p>
        </w:tc>
        <w:tc>
          <w:tcPr>
            <w:tcW w:w="740" w:type="dxa"/>
            <w:vAlign w:val="bottom"/>
            <w:tcBorders>
              <w:right w:val="single" w:sz="8" w:color="F0F0F0"/>
            </w:tcBorders>
            <w:vMerge w:val="restart"/>
            <w:shd w:val="clear" w:color="auto" w:fill="F0F0F0"/>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19,779</w:t>
            </w:r>
          </w:p>
        </w:tc>
        <w:tc>
          <w:tcPr>
            <w:tcW w:w="7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2,287</w:t>
            </w:r>
          </w:p>
        </w:tc>
        <w:tc>
          <w:tcPr>
            <w:tcW w:w="76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2,306</w:t>
            </w:r>
          </w:p>
        </w:tc>
        <w:tc>
          <w:tcPr>
            <w:tcW w:w="68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1,627</w:t>
            </w:r>
          </w:p>
        </w:tc>
        <w:tc>
          <w:tcPr>
            <w:tcW w:w="40" w:type="dxa"/>
            <w:vAlign w:val="bottom"/>
            <w:shd w:val="clear" w:color="auto" w:fill="F0F0F0"/>
          </w:tcPr>
          <w:p>
            <w:pPr>
              <w:spacing w:after="0"/>
              <w:rPr>
                <w:sz w:val="13"/>
                <w:szCs w:val="13"/>
                <w:color w:val="auto"/>
              </w:rPr>
            </w:pPr>
          </w:p>
        </w:tc>
        <w:tc>
          <w:tcPr>
            <w:tcW w:w="720" w:type="dxa"/>
            <w:vAlign w:val="bottom"/>
            <w:tcBorders>
              <w:right w:val="single" w:sz="8" w:color="F0F0F0"/>
            </w:tcBorders>
            <w:vMerge w:val="restart"/>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987</w:t>
            </w:r>
          </w:p>
        </w:tc>
        <w:tc>
          <w:tcPr>
            <w:tcW w:w="7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1,578</w:t>
            </w:r>
          </w:p>
        </w:tc>
        <w:tc>
          <w:tcPr>
            <w:tcW w:w="74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1,493</w:t>
            </w:r>
          </w:p>
        </w:tc>
        <w:tc>
          <w:tcPr>
            <w:tcW w:w="760" w:type="dxa"/>
            <w:vAlign w:val="bottom"/>
            <w:vMerge w:val="restart"/>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36,483</w:t>
            </w:r>
          </w:p>
        </w:tc>
        <w:tc>
          <w:tcPr>
            <w:tcW w:w="40" w:type="dxa"/>
            <w:vAlign w:val="bottom"/>
            <w:shd w:val="clear" w:color="auto" w:fill="DCDDDE"/>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3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noncontrolling interests</w:t>
            </w:r>
          </w:p>
        </w:tc>
        <w:tc>
          <w:tcPr>
            <w:tcW w:w="140" w:type="dxa"/>
            <w:vAlign w:val="bottom"/>
            <w:shd w:val="clear" w:color="auto" w:fill="F0F0F0"/>
          </w:tcPr>
          <w:p>
            <w:pPr>
              <w:spacing w:after="0"/>
              <w:rPr>
                <w:sz w:val="18"/>
                <w:szCs w:val="18"/>
                <w:color w:val="auto"/>
              </w:rPr>
            </w:pPr>
          </w:p>
        </w:tc>
        <w:tc>
          <w:tcPr>
            <w:tcW w:w="560" w:type="dxa"/>
            <w:vAlign w:val="bottom"/>
            <w:vMerge w:val="continue"/>
            <w:shd w:val="clear" w:color="auto" w:fill="F0F0F0"/>
          </w:tcPr>
          <w:p>
            <w:pPr>
              <w:spacing w:after="0"/>
              <w:rPr>
                <w:sz w:val="18"/>
                <w:szCs w:val="18"/>
                <w:color w:val="auto"/>
              </w:rPr>
            </w:pPr>
          </w:p>
        </w:tc>
        <w:tc>
          <w:tcPr>
            <w:tcW w:w="60" w:type="dxa"/>
            <w:vAlign w:val="bottom"/>
            <w:shd w:val="clear" w:color="auto" w:fill="F0F0F0"/>
          </w:tcPr>
          <w:p>
            <w:pPr>
              <w:spacing w:after="0"/>
              <w:rPr>
                <w:sz w:val="18"/>
                <w:szCs w:val="18"/>
                <w:color w:val="auto"/>
              </w:rPr>
            </w:pPr>
          </w:p>
        </w:tc>
        <w:tc>
          <w:tcPr>
            <w:tcW w:w="740" w:type="dxa"/>
            <w:vAlign w:val="bottom"/>
            <w:tcBorders>
              <w:right w:val="single" w:sz="8" w:color="F0F0F0"/>
            </w:tcBorders>
            <w:vMerge w:val="continue"/>
            <w:shd w:val="clear" w:color="auto" w:fill="F0F0F0"/>
          </w:tcPr>
          <w:p>
            <w:pPr>
              <w:spacing w:after="0"/>
              <w:rPr>
                <w:sz w:val="18"/>
                <w:szCs w:val="18"/>
                <w:color w:val="auto"/>
              </w:rPr>
            </w:pPr>
          </w:p>
        </w:tc>
        <w:tc>
          <w:tcPr>
            <w:tcW w:w="74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680" w:type="dxa"/>
            <w:vAlign w:val="bottom"/>
            <w:vMerge w:val="continue"/>
            <w:shd w:val="clear" w:color="auto" w:fill="F0F0F0"/>
          </w:tcPr>
          <w:p>
            <w:pPr>
              <w:spacing w:after="0"/>
              <w:rPr>
                <w:sz w:val="18"/>
                <w:szCs w:val="18"/>
                <w:color w:val="auto"/>
              </w:rPr>
            </w:pPr>
          </w:p>
        </w:tc>
        <w:tc>
          <w:tcPr>
            <w:tcW w:w="40" w:type="dxa"/>
            <w:vAlign w:val="bottom"/>
            <w:shd w:val="clear" w:color="auto" w:fill="F0F0F0"/>
          </w:tcPr>
          <w:p>
            <w:pPr>
              <w:spacing w:after="0"/>
              <w:rPr>
                <w:sz w:val="18"/>
                <w:szCs w:val="18"/>
                <w:color w:val="auto"/>
              </w:rPr>
            </w:pPr>
          </w:p>
        </w:tc>
        <w:tc>
          <w:tcPr>
            <w:tcW w:w="720" w:type="dxa"/>
            <w:vAlign w:val="bottom"/>
            <w:tcBorders>
              <w:right w:val="single" w:sz="8" w:color="F0F0F0"/>
            </w:tcBorders>
            <w:vMerge w:val="continue"/>
            <w:shd w:val="clear" w:color="auto" w:fill="F0F0F0"/>
          </w:tcPr>
          <w:p>
            <w:pPr>
              <w:spacing w:after="0"/>
              <w:rPr>
                <w:sz w:val="18"/>
                <w:szCs w:val="18"/>
                <w:color w:val="auto"/>
              </w:rPr>
            </w:pPr>
          </w:p>
        </w:tc>
        <w:tc>
          <w:tcPr>
            <w:tcW w:w="72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760" w:type="dxa"/>
            <w:vAlign w:val="bottom"/>
            <w:vMerge w:val="continue"/>
            <w:shd w:val="clear" w:color="auto" w:fill="DCDDDE"/>
          </w:tcPr>
          <w:p>
            <w:pPr>
              <w:spacing w:after="0"/>
              <w:rPr>
                <w:sz w:val="18"/>
                <w:szCs w:val="18"/>
                <w:color w:val="auto"/>
              </w:rPr>
            </w:pPr>
          </w:p>
        </w:tc>
        <w:tc>
          <w:tcPr>
            <w:tcW w:w="40" w:type="dxa"/>
            <w:vAlign w:val="bottom"/>
            <w:shd w:val="clear" w:color="auto" w:fill="DCDDD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000" w:type="dxa"/>
            <w:vAlign w:val="bottom"/>
          </w:tcPr>
          <w:p>
            <w:pPr>
              <w:spacing w:after="0" w:line="166" w:lineRule="exact"/>
              <w:rPr>
                <w:sz w:val="20"/>
                <w:szCs w:val="20"/>
                <w:color w:val="auto"/>
              </w:rPr>
            </w:pPr>
            <w:r>
              <w:rPr>
                <w:rFonts w:ascii="Times New Roman" w:cs="Times New Roman" w:eastAsia="Times New Roman" w:hAnsi="Times New Roman"/>
                <w:sz w:val="16"/>
                <w:szCs w:val="16"/>
                <w:color w:val="auto"/>
              </w:rPr>
              <w:t>Net income (loss) attributable to</w:t>
            </w:r>
          </w:p>
        </w:tc>
        <w:tc>
          <w:tcPr>
            <w:tcW w:w="140" w:type="dxa"/>
            <w:vAlign w:val="bottom"/>
            <w:shd w:val="clear" w:color="auto" w:fill="F0F0F0"/>
          </w:tcPr>
          <w:p>
            <w:pPr>
              <w:spacing w:after="0"/>
              <w:rPr>
                <w:sz w:val="14"/>
                <w:szCs w:val="14"/>
                <w:color w:val="auto"/>
              </w:rPr>
            </w:pPr>
          </w:p>
        </w:tc>
        <w:tc>
          <w:tcPr>
            <w:tcW w:w="56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F0F0F0"/>
          </w:tcPr>
          <w:p>
            <w:pPr>
              <w:spacing w:after="0"/>
              <w:rPr>
                <w:sz w:val="14"/>
                <w:szCs w:val="14"/>
                <w:color w:val="auto"/>
              </w:rPr>
            </w:pPr>
          </w:p>
        </w:tc>
        <w:tc>
          <w:tcPr>
            <w:tcW w:w="740" w:type="dxa"/>
            <w:vAlign w:val="bottom"/>
            <w:tcBorders>
              <w:right w:val="single" w:sz="8" w:color="F0F0F0"/>
            </w:tcBorders>
            <w:vMerge w:val="restart"/>
            <w:shd w:val="clear" w:color="auto" w:fill="F0F0F0"/>
          </w:tcPr>
          <w:p>
            <w:pPr>
              <w:jc w:val="right"/>
              <w:ind w:right="20"/>
              <w:spacing w:after="0"/>
              <w:rPr>
                <w:sz w:val="20"/>
                <w:szCs w:val="20"/>
                <w:color w:val="auto"/>
              </w:rPr>
            </w:pPr>
            <w:r>
              <w:rPr>
                <w:rFonts w:ascii="Times New Roman" w:cs="Times New Roman" w:eastAsia="Times New Roman" w:hAnsi="Times New Roman"/>
                <w:sz w:val="16"/>
                <w:szCs w:val="16"/>
                <w:color w:val="auto"/>
              </w:rPr>
              <w:t>815</w:t>
            </w:r>
          </w:p>
        </w:tc>
        <w:tc>
          <w:tcPr>
            <w:tcW w:w="7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188</w:t>
            </w:r>
          </w:p>
        </w:tc>
        <w:tc>
          <w:tcPr>
            <w:tcW w:w="76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372</w:t>
            </w:r>
          </w:p>
        </w:tc>
        <w:tc>
          <w:tcPr>
            <w:tcW w:w="68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F0F0F0"/>
          </w:tcPr>
          <w:p>
            <w:pPr>
              <w:spacing w:after="0"/>
              <w:rPr>
                <w:sz w:val="14"/>
                <w:szCs w:val="14"/>
                <w:color w:val="auto"/>
              </w:rPr>
            </w:pPr>
          </w:p>
        </w:tc>
        <w:tc>
          <w:tcPr>
            <w:tcW w:w="720" w:type="dxa"/>
            <w:vAlign w:val="bottom"/>
            <w:tcBorders>
              <w:right w:val="single" w:sz="8" w:color="F0F0F0"/>
            </w:tcBorders>
            <w:vMerge w:val="restart"/>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7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74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17</w:t>
            </w:r>
          </w:p>
        </w:tc>
        <w:tc>
          <w:tcPr>
            <w:tcW w:w="760" w:type="dxa"/>
            <w:vAlign w:val="bottom"/>
            <w:vMerge w:val="restart"/>
            <w:shd w:val="clear" w:color="auto" w:fill="DCDDDE"/>
          </w:tcPr>
          <w:p>
            <w:pPr>
              <w:jc w:val="right"/>
              <w:spacing w:after="0"/>
              <w:rPr>
                <w:sz w:val="20"/>
                <w:szCs w:val="20"/>
                <w:color w:val="auto"/>
              </w:rPr>
            </w:pPr>
            <w:r>
              <w:rPr>
                <w:rFonts w:ascii="Times New Roman" w:cs="Times New Roman" w:eastAsia="Times New Roman" w:hAnsi="Times New Roman"/>
                <w:sz w:val="16"/>
                <w:szCs w:val="16"/>
                <w:color w:val="auto"/>
              </w:rPr>
              <w:t>1,431</w:t>
            </w:r>
          </w:p>
        </w:tc>
        <w:tc>
          <w:tcPr>
            <w:tcW w:w="40" w:type="dxa"/>
            <w:vAlign w:val="bottom"/>
            <w:shd w:val="clear" w:color="auto" w:fill="DCDDD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00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140" w:type="dxa"/>
            <w:vAlign w:val="bottom"/>
            <w:tcBorders>
              <w:bottom w:val="single" w:sz="8" w:color="0C479D"/>
            </w:tcBorders>
            <w:shd w:val="clear" w:color="auto" w:fill="F0F0F0"/>
          </w:tcPr>
          <w:p>
            <w:pPr>
              <w:spacing w:after="0"/>
              <w:rPr>
                <w:sz w:val="18"/>
                <w:szCs w:val="18"/>
                <w:color w:val="auto"/>
              </w:rPr>
            </w:pPr>
          </w:p>
        </w:tc>
        <w:tc>
          <w:tcPr>
            <w:tcW w:w="560" w:type="dxa"/>
            <w:vAlign w:val="bottom"/>
            <w:tcBorders>
              <w:bottom w:val="single" w:sz="8" w:color="0C479D"/>
            </w:tcBorders>
            <w:vMerge w:val="continue"/>
            <w:shd w:val="clear" w:color="auto" w:fill="F0F0F0"/>
          </w:tcPr>
          <w:p>
            <w:pPr>
              <w:spacing w:after="0"/>
              <w:rPr>
                <w:sz w:val="18"/>
                <w:szCs w:val="18"/>
                <w:color w:val="auto"/>
              </w:rPr>
            </w:pPr>
          </w:p>
        </w:tc>
        <w:tc>
          <w:tcPr>
            <w:tcW w:w="60" w:type="dxa"/>
            <w:vAlign w:val="bottom"/>
            <w:tcBorders>
              <w:bottom w:val="single" w:sz="8" w:color="0C479D"/>
            </w:tcBorders>
            <w:shd w:val="clear" w:color="auto" w:fill="F0F0F0"/>
          </w:tcPr>
          <w:p>
            <w:pPr>
              <w:spacing w:after="0"/>
              <w:rPr>
                <w:sz w:val="18"/>
                <w:szCs w:val="18"/>
                <w:color w:val="auto"/>
              </w:rPr>
            </w:pPr>
          </w:p>
        </w:tc>
        <w:tc>
          <w:tcPr>
            <w:tcW w:w="740" w:type="dxa"/>
            <w:vAlign w:val="bottom"/>
            <w:tcBorders>
              <w:bottom w:val="single" w:sz="8" w:color="0C479D"/>
              <w:right w:val="single" w:sz="8" w:color="F0F0F0"/>
            </w:tcBorders>
            <w:vMerge w:val="continue"/>
            <w:shd w:val="clear" w:color="auto" w:fill="F0F0F0"/>
          </w:tcPr>
          <w:p>
            <w:pPr>
              <w:spacing w:after="0"/>
              <w:rPr>
                <w:sz w:val="18"/>
                <w:szCs w:val="18"/>
                <w:color w:val="auto"/>
              </w:rPr>
            </w:pPr>
          </w:p>
        </w:tc>
        <w:tc>
          <w:tcPr>
            <w:tcW w:w="740" w:type="dxa"/>
            <w:vAlign w:val="bottom"/>
            <w:tcBorders>
              <w:bottom w:val="single" w:sz="8" w:color="0C479D"/>
            </w:tcBorders>
            <w:vMerge w:val="continue"/>
          </w:tcPr>
          <w:p>
            <w:pPr>
              <w:spacing w:after="0"/>
              <w:rPr>
                <w:sz w:val="18"/>
                <w:szCs w:val="18"/>
                <w:color w:val="auto"/>
              </w:rPr>
            </w:pPr>
          </w:p>
        </w:tc>
        <w:tc>
          <w:tcPr>
            <w:tcW w:w="760" w:type="dxa"/>
            <w:vAlign w:val="bottom"/>
            <w:tcBorders>
              <w:bottom w:val="single" w:sz="8" w:color="0C479D"/>
            </w:tcBorders>
            <w:vMerge w:val="continue"/>
          </w:tcPr>
          <w:p>
            <w:pPr>
              <w:spacing w:after="0"/>
              <w:rPr>
                <w:sz w:val="18"/>
                <w:szCs w:val="18"/>
                <w:color w:val="auto"/>
              </w:rPr>
            </w:pPr>
          </w:p>
        </w:tc>
        <w:tc>
          <w:tcPr>
            <w:tcW w:w="680" w:type="dxa"/>
            <w:vAlign w:val="bottom"/>
            <w:tcBorders>
              <w:bottom w:val="single" w:sz="8" w:color="0C479D"/>
            </w:tcBorders>
            <w:vMerge w:val="continue"/>
            <w:shd w:val="clear" w:color="auto" w:fill="F0F0F0"/>
          </w:tcPr>
          <w:p>
            <w:pPr>
              <w:spacing w:after="0"/>
              <w:rPr>
                <w:sz w:val="18"/>
                <w:szCs w:val="18"/>
                <w:color w:val="auto"/>
              </w:rPr>
            </w:pPr>
          </w:p>
        </w:tc>
        <w:tc>
          <w:tcPr>
            <w:tcW w:w="40" w:type="dxa"/>
            <w:vAlign w:val="bottom"/>
            <w:tcBorders>
              <w:bottom w:val="single" w:sz="8" w:color="0C479D"/>
            </w:tcBorders>
            <w:shd w:val="clear" w:color="auto" w:fill="F0F0F0"/>
          </w:tcPr>
          <w:p>
            <w:pPr>
              <w:spacing w:after="0"/>
              <w:rPr>
                <w:sz w:val="18"/>
                <w:szCs w:val="18"/>
                <w:color w:val="auto"/>
              </w:rPr>
            </w:pPr>
          </w:p>
        </w:tc>
        <w:tc>
          <w:tcPr>
            <w:tcW w:w="720" w:type="dxa"/>
            <w:vAlign w:val="bottom"/>
            <w:tcBorders>
              <w:bottom w:val="single" w:sz="8" w:color="0C479D"/>
              <w:right w:val="single" w:sz="8" w:color="F0F0F0"/>
            </w:tcBorders>
            <w:vMerge w:val="continue"/>
            <w:shd w:val="clear" w:color="auto" w:fill="F0F0F0"/>
          </w:tcPr>
          <w:p>
            <w:pPr>
              <w:spacing w:after="0"/>
              <w:rPr>
                <w:sz w:val="18"/>
                <w:szCs w:val="18"/>
                <w:color w:val="auto"/>
              </w:rPr>
            </w:pPr>
          </w:p>
        </w:tc>
        <w:tc>
          <w:tcPr>
            <w:tcW w:w="720" w:type="dxa"/>
            <w:vAlign w:val="bottom"/>
            <w:tcBorders>
              <w:bottom w:val="single" w:sz="8" w:color="0C479D"/>
            </w:tcBorders>
            <w:vMerge w:val="continue"/>
          </w:tcPr>
          <w:p>
            <w:pPr>
              <w:spacing w:after="0"/>
              <w:rPr>
                <w:sz w:val="18"/>
                <w:szCs w:val="18"/>
                <w:color w:val="auto"/>
              </w:rPr>
            </w:pPr>
          </w:p>
        </w:tc>
        <w:tc>
          <w:tcPr>
            <w:tcW w:w="740" w:type="dxa"/>
            <w:vAlign w:val="bottom"/>
            <w:tcBorders>
              <w:bottom w:val="single" w:sz="8" w:color="0C479D"/>
            </w:tcBorders>
            <w:vMerge w:val="continue"/>
          </w:tcPr>
          <w:p>
            <w:pPr>
              <w:spacing w:after="0"/>
              <w:rPr>
                <w:sz w:val="18"/>
                <w:szCs w:val="18"/>
                <w:color w:val="auto"/>
              </w:rPr>
            </w:pPr>
          </w:p>
        </w:tc>
        <w:tc>
          <w:tcPr>
            <w:tcW w:w="760" w:type="dxa"/>
            <w:vAlign w:val="bottom"/>
            <w:tcBorders>
              <w:bottom w:val="single" w:sz="8" w:color="0C479D"/>
            </w:tcBorders>
            <w:vMerge w:val="continue"/>
            <w:shd w:val="clear" w:color="auto" w:fill="DCDDDE"/>
          </w:tcPr>
          <w:p>
            <w:pPr>
              <w:spacing w:after="0"/>
              <w:rPr>
                <w:sz w:val="18"/>
                <w:szCs w:val="18"/>
                <w:color w:val="auto"/>
              </w:rPr>
            </w:pPr>
          </w:p>
        </w:tc>
        <w:tc>
          <w:tcPr>
            <w:tcW w:w="40" w:type="dxa"/>
            <w:vAlign w:val="bottom"/>
            <w:tcBorders>
              <w:bottom w:val="single" w:sz="8" w:color="0C479D"/>
            </w:tcBorders>
            <w:shd w:val="clear" w:color="auto" w:fill="DCDDD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0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6"/>
                <w:szCs w:val="16"/>
                <w:b w:val="1"/>
                <w:bCs w:val="1"/>
                <w:color w:val="auto"/>
              </w:rPr>
              <w:t>Segment net income (loss)</w:t>
            </w:r>
          </w:p>
        </w:tc>
        <w:tc>
          <w:tcPr>
            <w:tcW w:w="140" w:type="dxa"/>
            <w:vAlign w:val="bottom"/>
            <w:tcBorders>
              <w:bottom w:val="single" w:sz="8" w:color="0C479D"/>
            </w:tcBorders>
            <w:shd w:val="clear" w:color="auto" w:fill="F0F0F0"/>
          </w:tcPr>
          <w:p>
            <w:pPr>
              <w:spacing w:after="0"/>
              <w:rPr>
                <w:sz w:val="19"/>
                <w:szCs w:val="19"/>
                <w:color w:val="auto"/>
              </w:rPr>
            </w:pPr>
          </w:p>
        </w:tc>
        <w:tc>
          <w:tcPr>
            <w:tcW w:w="5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6,426</w:t>
            </w:r>
          </w:p>
        </w:tc>
        <w:tc>
          <w:tcPr>
            <w:tcW w:w="60" w:type="dxa"/>
            <w:vAlign w:val="bottom"/>
            <w:tcBorders>
              <w:bottom w:val="single" w:sz="8" w:color="0C479D"/>
            </w:tcBorders>
            <w:shd w:val="clear" w:color="auto" w:fill="F0F0F0"/>
          </w:tcPr>
          <w:p>
            <w:pPr>
              <w:spacing w:after="0"/>
              <w:rPr>
                <w:sz w:val="19"/>
                <w:szCs w:val="19"/>
                <w:color w:val="auto"/>
              </w:rPr>
            </w:pPr>
          </w:p>
        </w:tc>
        <w:tc>
          <w:tcPr>
            <w:tcW w:w="740" w:type="dxa"/>
            <w:vAlign w:val="bottom"/>
            <w:tcBorders>
              <w:bottom w:val="single" w:sz="8" w:color="0C479D"/>
              <w:right w:val="single" w:sz="8" w:color="F0F0F0"/>
            </w:tcBorders>
            <w:shd w:val="clear" w:color="auto" w:fill="F0F0F0"/>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18,964</w:t>
            </w:r>
          </w:p>
        </w:tc>
        <w:tc>
          <w:tcPr>
            <w:tcW w:w="740" w:type="dxa"/>
            <w:vAlign w:val="bottom"/>
            <w:tcBorders>
              <w:bottom w:val="single" w:sz="8" w:color="0C479D"/>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2,099</w:t>
            </w:r>
          </w:p>
        </w:tc>
        <w:tc>
          <w:tcPr>
            <w:tcW w:w="76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1,934</w:t>
            </w:r>
          </w:p>
        </w:tc>
        <w:tc>
          <w:tcPr>
            <w:tcW w:w="68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1,627</w:t>
            </w:r>
          </w:p>
        </w:tc>
        <w:tc>
          <w:tcPr>
            <w:tcW w:w="40" w:type="dxa"/>
            <w:vAlign w:val="bottom"/>
            <w:tcBorders>
              <w:bottom w:val="single" w:sz="8" w:color="0C479D"/>
            </w:tcBorders>
            <w:shd w:val="clear" w:color="auto" w:fill="F0F0F0"/>
          </w:tcPr>
          <w:p>
            <w:pPr>
              <w:spacing w:after="0"/>
              <w:rPr>
                <w:sz w:val="19"/>
                <w:szCs w:val="19"/>
                <w:color w:val="auto"/>
              </w:rPr>
            </w:pPr>
          </w:p>
        </w:tc>
        <w:tc>
          <w:tcPr>
            <w:tcW w:w="720" w:type="dxa"/>
            <w:vAlign w:val="bottom"/>
            <w:tcBorders>
              <w:bottom w:val="single" w:sz="8" w:color="0C479D"/>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950</w:t>
            </w:r>
          </w:p>
        </w:tc>
        <w:tc>
          <w:tcPr>
            <w:tcW w:w="720" w:type="dxa"/>
            <w:vAlign w:val="bottom"/>
            <w:tcBorders>
              <w:bottom w:val="single" w:sz="8" w:color="0C479D"/>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1,576</w:t>
            </w:r>
          </w:p>
        </w:tc>
        <w:tc>
          <w:tcPr>
            <w:tcW w:w="74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1,476</w:t>
            </w:r>
          </w:p>
        </w:tc>
        <w:tc>
          <w:tcPr>
            <w:tcW w:w="760" w:type="dxa"/>
            <w:vAlign w:val="bottom"/>
            <w:tcBorders>
              <w:bottom w:val="single" w:sz="8" w:color="0C479D"/>
            </w:tcBorders>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35,052</w:t>
            </w:r>
          </w:p>
        </w:tc>
        <w:tc>
          <w:tcPr>
            <w:tcW w:w="40" w:type="dxa"/>
            <w:vAlign w:val="bottom"/>
            <w:tcBorders>
              <w:bottom w:val="single" w:sz="8" w:color="0C479D"/>
            </w:tcBorders>
            <w:shd w:val="clear" w:color="auto" w:fill="DCDDDE"/>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3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0C479D"/>
              </w:rPr>
              <w:t>Reconciliation of consolidated revenues</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Segment revenues and other income</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478,091</w:t>
            </w: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140" w:type="dxa"/>
            <w:vAlign w:val="bottom"/>
            <w:gridSpan w:val="2"/>
          </w:tcPr>
          <w:p>
            <w:pPr>
              <w:spacing w:after="0" w:line="222" w:lineRule="exact"/>
              <w:rPr>
                <w:sz w:val="20"/>
                <w:szCs w:val="20"/>
                <w:color w:val="auto"/>
              </w:rPr>
            </w:pPr>
            <w:r>
              <w:rPr>
                <w:rFonts w:ascii="Times New Roman" w:cs="Times New Roman" w:eastAsia="Times New Roman" w:hAnsi="Times New Roman"/>
                <w:sz w:val="16"/>
                <w:szCs w:val="16"/>
                <w:color w:val="auto"/>
              </w:rPr>
              <w:t xml:space="preserve">Other revenues </w:t>
            </w:r>
            <w:r>
              <w:rPr>
                <w:rFonts w:ascii="Times New Roman" w:cs="Times New Roman" w:eastAsia="Times New Roman" w:hAnsi="Times New Roman"/>
                <w:sz w:val="21"/>
                <w:szCs w:val="21"/>
                <w:i w:val="1"/>
                <w:iCs w:val="1"/>
                <w:color w:val="auto"/>
                <w:vertAlign w:val="superscript"/>
              </w:rPr>
              <w:t>(2)</w:t>
            </w: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1,853</w:t>
            </w: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40" w:type="dxa"/>
            <w:vAlign w:val="bottom"/>
            <w:tcBorders>
              <w:bottom w:val="single" w:sz="8" w:color="0C479D"/>
            </w:tcBorders>
            <w:gridSpan w:val="2"/>
          </w:tcPr>
          <w:p>
            <w:pPr>
              <w:spacing w:after="0"/>
              <w:rPr>
                <w:sz w:val="20"/>
                <w:szCs w:val="20"/>
                <w:color w:val="auto"/>
              </w:rPr>
            </w:pPr>
            <w:r>
              <w:rPr>
                <w:rFonts w:ascii="Times New Roman" w:cs="Times New Roman" w:eastAsia="Times New Roman" w:hAnsi="Times New Roman"/>
                <w:sz w:val="16"/>
                <w:szCs w:val="16"/>
                <w:color w:val="auto"/>
              </w:rPr>
              <w:t>Elimination of intersegment revenues</w:t>
            </w:r>
          </w:p>
        </w:tc>
        <w:tc>
          <w:tcPr>
            <w:tcW w:w="560" w:type="dxa"/>
            <w:vAlign w:val="bottom"/>
            <w:tcBorders>
              <w:bottom w:val="single" w:sz="8" w:color="0C479D"/>
            </w:tcBorders>
          </w:tcPr>
          <w:p>
            <w:pPr>
              <w:spacing w:after="0"/>
              <w:rPr>
                <w:sz w:val="18"/>
                <w:szCs w:val="18"/>
                <w:color w:val="auto"/>
              </w:rPr>
            </w:pPr>
          </w:p>
        </w:tc>
        <w:tc>
          <w:tcPr>
            <w:tcW w:w="60" w:type="dxa"/>
            <w:vAlign w:val="bottom"/>
            <w:tcBorders>
              <w:bottom w:val="single" w:sz="8" w:color="0C479D"/>
            </w:tcBorders>
          </w:tcPr>
          <w:p>
            <w:pPr>
              <w:spacing w:after="0"/>
              <w:rPr>
                <w:sz w:val="18"/>
                <w:szCs w:val="18"/>
                <w:color w:val="auto"/>
              </w:rPr>
            </w:pPr>
          </w:p>
        </w:tc>
        <w:tc>
          <w:tcPr>
            <w:tcW w:w="740" w:type="dxa"/>
            <w:vAlign w:val="bottom"/>
            <w:tcBorders>
              <w:bottom w:val="single" w:sz="8" w:color="0C479D"/>
            </w:tcBorders>
          </w:tcPr>
          <w:p>
            <w:pPr>
              <w:spacing w:after="0"/>
              <w:rPr>
                <w:sz w:val="18"/>
                <w:szCs w:val="18"/>
                <w:color w:val="auto"/>
              </w:rPr>
            </w:pPr>
          </w:p>
        </w:tc>
        <w:tc>
          <w:tcPr>
            <w:tcW w:w="7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(130,359)</w:t>
            </w: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Total consolidated revenues and other income</w:t>
            </w:r>
          </w:p>
        </w:tc>
        <w:tc>
          <w:tcPr>
            <w:tcW w:w="7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349,585</w:t>
            </w: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50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0C479D"/>
              </w:rPr>
              <w:t>Reconciliation of income (loss) attributable to ExxonMobil</w:t>
            </w: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segment net income (loss)</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35,052</w:t>
            </w: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40" w:type="dxa"/>
            <w:vAlign w:val="bottom"/>
            <w:tcBorders>
              <w:bottom w:val="single" w:sz="8" w:color="0C479D"/>
            </w:tcBorders>
            <w:gridSpan w:val="2"/>
          </w:tcPr>
          <w:p>
            <w:pPr>
              <w:spacing w:after="0"/>
              <w:rPr>
                <w:sz w:val="20"/>
                <w:szCs w:val="20"/>
                <w:color w:val="auto"/>
              </w:rPr>
            </w:pPr>
            <w:r>
              <w:rPr>
                <w:rFonts w:ascii="Times New Roman" w:cs="Times New Roman" w:eastAsia="Times New Roman" w:hAnsi="Times New Roman"/>
                <w:sz w:val="16"/>
                <w:szCs w:val="16"/>
                <w:color w:val="auto"/>
              </w:rPr>
              <w:t>Corporate and Financing income (loss)</w:t>
            </w:r>
          </w:p>
        </w:tc>
        <w:tc>
          <w:tcPr>
            <w:tcW w:w="560" w:type="dxa"/>
            <w:vAlign w:val="bottom"/>
            <w:tcBorders>
              <w:bottom w:val="single" w:sz="8" w:color="0C479D"/>
            </w:tcBorders>
          </w:tcPr>
          <w:p>
            <w:pPr>
              <w:spacing w:after="0"/>
              <w:rPr>
                <w:sz w:val="19"/>
                <w:szCs w:val="19"/>
                <w:color w:val="auto"/>
              </w:rPr>
            </w:pPr>
          </w:p>
        </w:tc>
        <w:tc>
          <w:tcPr>
            <w:tcW w:w="60" w:type="dxa"/>
            <w:vAlign w:val="bottom"/>
            <w:tcBorders>
              <w:bottom w:val="single" w:sz="8" w:color="0C479D"/>
            </w:tcBorders>
          </w:tcPr>
          <w:p>
            <w:pPr>
              <w:spacing w:after="0"/>
              <w:rPr>
                <w:sz w:val="19"/>
                <w:szCs w:val="19"/>
                <w:color w:val="auto"/>
              </w:rPr>
            </w:pPr>
          </w:p>
        </w:tc>
        <w:tc>
          <w:tcPr>
            <w:tcW w:w="740" w:type="dxa"/>
            <w:vAlign w:val="bottom"/>
            <w:tcBorders>
              <w:bottom w:val="single" w:sz="8" w:color="0C479D"/>
            </w:tcBorders>
          </w:tcPr>
          <w:p>
            <w:pPr>
              <w:spacing w:after="0"/>
              <w:rPr>
                <w:sz w:val="19"/>
                <w:szCs w:val="19"/>
                <w:color w:val="auto"/>
              </w:rPr>
            </w:pPr>
          </w:p>
        </w:tc>
        <w:tc>
          <w:tcPr>
            <w:tcW w:w="7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(1,372)</w:t>
            </w: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1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income (loss) attributable to ExxonMobil</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33,680</w:t>
            </w: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2"/>
        </w:trPr>
        <w:tc>
          <w:tcPr>
            <w:tcW w:w="3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gridSpan w:val="3"/>
          </w:tcPr>
          <w:p>
            <w:pPr>
              <w:spacing w:after="0"/>
              <w:rPr>
                <w:sz w:val="9"/>
                <w:szCs w:val="9"/>
                <w:color w:val="auto"/>
              </w:rPr>
            </w:pPr>
          </w:p>
        </w:tc>
        <w:tc>
          <w:tcPr>
            <w:tcW w:w="1500" w:type="dxa"/>
            <w:vAlign w:val="bottom"/>
            <w:gridSpan w:val="2"/>
          </w:tcPr>
          <w:p>
            <w:pPr>
              <w:spacing w:after="0"/>
              <w:rPr>
                <w:sz w:val="9"/>
                <w:szCs w:val="9"/>
                <w:color w:val="auto"/>
              </w:rPr>
            </w:pPr>
          </w:p>
        </w:tc>
        <w:tc>
          <w:tcPr>
            <w:tcW w:w="1440" w:type="dxa"/>
            <w:vAlign w:val="bottom"/>
            <w:gridSpan w:val="3"/>
          </w:tcPr>
          <w:p>
            <w:pPr>
              <w:spacing w:after="0"/>
              <w:rPr>
                <w:sz w:val="9"/>
                <w:szCs w:val="9"/>
                <w:color w:val="auto"/>
              </w:rPr>
            </w:pPr>
          </w:p>
        </w:tc>
        <w:tc>
          <w:tcPr>
            <w:tcW w:w="1460" w:type="dxa"/>
            <w:vAlign w:val="bottom"/>
            <w:gridSpan w:val="2"/>
          </w:tcPr>
          <w:p>
            <w:pPr>
              <w:spacing w:after="0"/>
              <w:rPr>
                <w:sz w:val="9"/>
                <w:szCs w:val="9"/>
                <w:color w:val="auto"/>
              </w:rPr>
            </w:pPr>
          </w:p>
        </w:tc>
        <w:tc>
          <w:tcPr>
            <w:tcW w:w="8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3140" w:type="dxa"/>
            <w:vAlign w:val="bottom"/>
            <w:gridSpan w:val="2"/>
            <w:vMerge w:val="restart"/>
            <w:shd w:val="clear" w:color="auto" w:fill="0C479D"/>
          </w:tcPr>
          <w:p>
            <w:pPr>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1360" w:type="dxa"/>
            <w:vAlign w:val="bottom"/>
            <w:tcBorders>
              <w:right w:val="single" w:sz="8" w:color="0C479D"/>
            </w:tcBorders>
            <w:gridSpan w:val="3"/>
            <w:shd w:val="clear" w:color="auto" w:fill="0C479D"/>
          </w:tcPr>
          <w:p>
            <w:pPr>
              <w:ind w:left="300"/>
              <w:spacing w:after="0"/>
              <w:rPr>
                <w:sz w:val="20"/>
                <w:szCs w:val="20"/>
                <w:color w:val="auto"/>
              </w:rPr>
            </w:pPr>
            <w:r>
              <w:rPr>
                <w:rFonts w:ascii="Times New Roman" w:cs="Times New Roman" w:eastAsia="Times New Roman" w:hAnsi="Times New Roman"/>
                <w:sz w:val="14"/>
                <w:szCs w:val="14"/>
                <w:b w:val="1"/>
                <w:bCs w:val="1"/>
                <w:color w:val="FFFFFF"/>
              </w:rPr>
              <w:t>Upstream</w:t>
            </w:r>
          </w:p>
        </w:tc>
        <w:tc>
          <w:tcPr>
            <w:tcW w:w="1500" w:type="dxa"/>
            <w:vAlign w:val="bottom"/>
            <w:gridSpan w:val="2"/>
            <w:shd w:val="clear" w:color="auto" w:fill="0C479D"/>
          </w:tcPr>
          <w:p>
            <w:pPr>
              <w:ind w:left="220"/>
              <w:spacing w:after="0"/>
              <w:rPr>
                <w:sz w:val="20"/>
                <w:szCs w:val="20"/>
                <w:color w:val="auto"/>
              </w:rPr>
            </w:pPr>
            <w:r>
              <w:rPr>
                <w:rFonts w:ascii="Times New Roman" w:cs="Times New Roman" w:eastAsia="Times New Roman" w:hAnsi="Times New Roman"/>
                <w:sz w:val="14"/>
                <w:szCs w:val="14"/>
                <w:b w:val="1"/>
                <w:bCs w:val="1"/>
                <w:color w:val="FFFFFF"/>
              </w:rPr>
              <w:t>Energy Products</w:t>
            </w:r>
          </w:p>
        </w:tc>
        <w:tc>
          <w:tcPr>
            <w:tcW w:w="1440" w:type="dxa"/>
            <w:vAlign w:val="bottom"/>
            <w:tcBorders>
              <w:right w:val="single" w:sz="8" w:color="0C479D"/>
            </w:tcBorders>
            <w:gridSpan w:val="3"/>
            <w:shd w:val="clear" w:color="auto" w:fill="0C479D"/>
          </w:tcPr>
          <w:p>
            <w:pPr>
              <w:jc w:val="right"/>
              <w:ind w:right="60"/>
              <w:spacing w:after="0"/>
              <w:rPr>
                <w:sz w:val="20"/>
                <w:szCs w:val="20"/>
                <w:color w:val="auto"/>
              </w:rPr>
            </w:pPr>
            <w:r>
              <w:rPr>
                <w:rFonts w:ascii="Times New Roman" w:cs="Times New Roman" w:eastAsia="Times New Roman" w:hAnsi="Times New Roman"/>
                <w:sz w:val="14"/>
                <w:szCs w:val="14"/>
                <w:b w:val="1"/>
                <w:bCs w:val="1"/>
                <w:color w:val="FFFFFF"/>
              </w:rPr>
              <w:t>Chemical Products</w:t>
            </w:r>
          </w:p>
        </w:tc>
        <w:tc>
          <w:tcPr>
            <w:tcW w:w="1460" w:type="dxa"/>
            <w:vAlign w:val="bottom"/>
            <w:gridSpan w:val="2"/>
            <w:shd w:val="clear" w:color="auto" w:fill="0C479D"/>
          </w:tcPr>
          <w:p>
            <w:pPr>
              <w:jc w:val="right"/>
              <w:ind w:right="80"/>
              <w:spacing w:after="0"/>
              <w:rPr>
                <w:sz w:val="20"/>
                <w:szCs w:val="20"/>
                <w:color w:val="auto"/>
              </w:rPr>
            </w:pPr>
            <w:r>
              <w:rPr>
                <w:rFonts w:ascii="Times New Roman" w:cs="Times New Roman" w:eastAsia="Times New Roman" w:hAnsi="Times New Roman"/>
                <w:sz w:val="14"/>
                <w:szCs w:val="14"/>
                <w:b w:val="1"/>
                <w:bCs w:val="1"/>
                <w:color w:val="FFFFFF"/>
              </w:rPr>
              <w:t>Specialty Products</w:t>
            </w:r>
          </w:p>
        </w:tc>
        <w:tc>
          <w:tcPr>
            <w:tcW w:w="800" w:type="dxa"/>
            <w:vAlign w:val="bottom"/>
            <w:gridSpan w:val="2"/>
            <w:shd w:val="clear" w:color="auto" w:fill="0C479D"/>
          </w:tcPr>
          <w:p>
            <w:pPr>
              <w:jc w:val="center"/>
              <w:ind w:right="20"/>
              <w:spacing w:after="0"/>
              <w:rPr>
                <w:sz w:val="20"/>
                <w:szCs w:val="20"/>
                <w:color w:val="auto"/>
              </w:rPr>
            </w:pPr>
            <w:r>
              <w:rPr>
                <w:rFonts w:ascii="Times New Roman" w:cs="Times New Roman" w:eastAsia="Times New Roman" w:hAnsi="Times New Roman"/>
                <w:sz w:val="14"/>
                <w:szCs w:val="14"/>
                <w:b w:val="1"/>
                <w:bCs w:val="1"/>
                <w:color w:val="FFFFFF"/>
              </w:rPr>
              <w:t>Segment</w:t>
            </w:r>
          </w:p>
        </w:tc>
        <w:tc>
          <w:tcPr>
            <w:tcW w:w="0" w:type="dxa"/>
            <w:vAlign w:val="bottom"/>
          </w:tcPr>
          <w:p>
            <w:pPr>
              <w:spacing w:after="0"/>
              <w:rPr>
                <w:sz w:val="1"/>
                <w:szCs w:val="1"/>
                <w:color w:val="auto"/>
              </w:rPr>
            </w:pPr>
          </w:p>
        </w:tc>
      </w:tr>
      <w:tr>
        <w:trPr>
          <w:trHeight w:val="109"/>
        </w:trPr>
        <w:tc>
          <w:tcPr>
            <w:tcW w:w="3140" w:type="dxa"/>
            <w:vAlign w:val="bottom"/>
            <w:gridSpan w:val="2"/>
            <w:vMerge w:val="continue"/>
            <w:shd w:val="clear" w:color="auto" w:fill="0C479D"/>
          </w:tcPr>
          <w:p>
            <w:pPr>
              <w:spacing w:after="0"/>
              <w:rPr>
                <w:sz w:val="9"/>
                <w:szCs w:val="9"/>
                <w:color w:val="auto"/>
              </w:rPr>
            </w:pPr>
          </w:p>
        </w:tc>
        <w:tc>
          <w:tcPr>
            <w:tcW w:w="620" w:type="dxa"/>
            <w:vAlign w:val="bottom"/>
            <w:gridSpan w:val="2"/>
            <w:vMerge w:val="restart"/>
            <w:shd w:val="clear" w:color="auto" w:fill="0C479D"/>
          </w:tcPr>
          <w:p>
            <w:pPr>
              <w:ind w:left="100"/>
              <w:spacing w:after="0"/>
              <w:rPr>
                <w:sz w:val="20"/>
                <w:szCs w:val="20"/>
                <w:color w:val="auto"/>
              </w:rPr>
            </w:pPr>
            <w:r>
              <w:rPr>
                <w:rFonts w:ascii="Times New Roman" w:cs="Times New Roman" w:eastAsia="Times New Roman" w:hAnsi="Times New Roman"/>
                <w:sz w:val="14"/>
                <w:szCs w:val="14"/>
                <w:b w:val="1"/>
                <w:bCs w:val="1"/>
                <w:color w:val="FFFFFF"/>
              </w:rPr>
              <w:t>U.S.</w:t>
            </w:r>
          </w:p>
        </w:tc>
        <w:tc>
          <w:tcPr>
            <w:tcW w:w="740" w:type="dxa"/>
            <w:vAlign w:val="bottom"/>
            <w:tcBorders>
              <w:right w:val="single" w:sz="8" w:color="0C479D"/>
            </w:tcBorders>
            <w:vMerge w:val="restart"/>
            <w:shd w:val="clear" w:color="auto" w:fill="0C479D"/>
          </w:tcPr>
          <w:p>
            <w:pPr>
              <w:jc w:val="right"/>
              <w:ind w:right="20"/>
              <w:spacing w:after="0"/>
              <w:rPr>
                <w:sz w:val="20"/>
                <w:szCs w:val="20"/>
                <w:color w:val="auto"/>
              </w:rPr>
            </w:pPr>
            <w:r>
              <w:rPr>
                <w:rFonts w:ascii="Times New Roman" w:cs="Times New Roman" w:eastAsia="Times New Roman" w:hAnsi="Times New Roman"/>
                <w:sz w:val="14"/>
                <w:szCs w:val="14"/>
                <w:b w:val="1"/>
                <w:bCs w:val="1"/>
                <w:color w:val="FFFFFF"/>
              </w:rPr>
              <w:t>Non-U.S.</w:t>
            </w:r>
          </w:p>
        </w:tc>
        <w:tc>
          <w:tcPr>
            <w:tcW w:w="740" w:type="dxa"/>
            <w:vAlign w:val="bottom"/>
            <w:vMerge w:val="restart"/>
            <w:shd w:val="clear" w:color="auto" w:fill="0C479D"/>
          </w:tcPr>
          <w:p>
            <w:pPr>
              <w:ind w:left="240"/>
              <w:spacing w:after="0"/>
              <w:rPr>
                <w:sz w:val="20"/>
                <w:szCs w:val="20"/>
                <w:color w:val="auto"/>
              </w:rPr>
            </w:pPr>
            <w:r>
              <w:rPr>
                <w:rFonts w:ascii="Times New Roman" w:cs="Times New Roman" w:eastAsia="Times New Roman" w:hAnsi="Times New Roman"/>
                <w:sz w:val="14"/>
                <w:szCs w:val="14"/>
                <w:b w:val="1"/>
                <w:bCs w:val="1"/>
                <w:color w:val="FFFFFF"/>
              </w:rPr>
              <w:t>U.S.</w:t>
            </w:r>
          </w:p>
        </w:tc>
        <w:tc>
          <w:tcPr>
            <w:tcW w:w="760" w:type="dxa"/>
            <w:vAlign w:val="bottom"/>
            <w:vMerge w:val="restart"/>
            <w:shd w:val="clear" w:color="auto" w:fill="0C479D"/>
          </w:tcPr>
          <w:p>
            <w:pPr>
              <w:jc w:val="right"/>
              <w:ind w:right="20"/>
              <w:spacing w:after="0"/>
              <w:rPr>
                <w:sz w:val="20"/>
                <w:szCs w:val="20"/>
                <w:color w:val="auto"/>
              </w:rPr>
            </w:pPr>
            <w:r>
              <w:rPr>
                <w:rFonts w:ascii="Times New Roman" w:cs="Times New Roman" w:eastAsia="Times New Roman" w:hAnsi="Times New Roman"/>
                <w:sz w:val="14"/>
                <w:szCs w:val="14"/>
                <w:b w:val="1"/>
                <w:bCs w:val="1"/>
                <w:color w:val="FFFFFF"/>
              </w:rPr>
              <w:t>Non-U.S.</w:t>
            </w:r>
          </w:p>
        </w:tc>
        <w:tc>
          <w:tcPr>
            <w:tcW w:w="720" w:type="dxa"/>
            <w:vAlign w:val="bottom"/>
            <w:gridSpan w:val="2"/>
            <w:vMerge w:val="restart"/>
            <w:shd w:val="clear" w:color="auto" w:fill="0C479D"/>
          </w:tcPr>
          <w:p>
            <w:pPr>
              <w:ind w:left="220"/>
              <w:spacing w:after="0"/>
              <w:rPr>
                <w:sz w:val="20"/>
                <w:szCs w:val="20"/>
                <w:color w:val="auto"/>
              </w:rPr>
            </w:pPr>
            <w:r>
              <w:rPr>
                <w:rFonts w:ascii="Times New Roman" w:cs="Times New Roman" w:eastAsia="Times New Roman" w:hAnsi="Times New Roman"/>
                <w:sz w:val="14"/>
                <w:szCs w:val="14"/>
                <w:b w:val="1"/>
                <w:bCs w:val="1"/>
                <w:color w:val="FFFFFF"/>
              </w:rPr>
              <w:t>U.S.</w:t>
            </w:r>
          </w:p>
        </w:tc>
        <w:tc>
          <w:tcPr>
            <w:tcW w:w="720" w:type="dxa"/>
            <w:vAlign w:val="bottom"/>
            <w:tcBorders>
              <w:right w:val="single" w:sz="8" w:color="0C479D"/>
            </w:tcBorders>
            <w:vMerge w:val="restart"/>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Non-U.S.</w:t>
            </w:r>
          </w:p>
        </w:tc>
        <w:tc>
          <w:tcPr>
            <w:tcW w:w="720" w:type="dxa"/>
            <w:vAlign w:val="bottom"/>
            <w:vMerge w:val="restart"/>
            <w:shd w:val="clear" w:color="auto" w:fill="0C479D"/>
          </w:tcPr>
          <w:p>
            <w:pPr>
              <w:jc w:val="right"/>
              <w:ind w:right="161"/>
              <w:spacing w:after="0"/>
              <w:rPr>
                <w:sz w:val="20"/>
                <w:szCs w:val="20"/>
                <w:color w:val="auto"/>
              </w:rPr>
            </w:pPr>
            <w:r>
              <w:rPr>
                <w:rFonts w:ascii="Times New Roman" w:cs="Times New Roman" w:eastAsia="Times New Roman" w:hAnsi="Times New Roman"/>
                <w:sz w:val="14"/>
                <w:szCs w:val="14"/>
                <w:b w:val="1"/>
                <w:bCs w:val="1"/>
                <w:color w:val="FFFFFF"/>
              </w:rPr>
              <w:t>U.S.</w:t>
            </w:r>
          </w:p>
        </w:tc>
        <w:tc>
          <w:tcPr>
            <w:tcW w:w="740" w:type="dxa"/>
            <w:vAlign w:val="bottom"/>
            <w:vMerge w:val="restart"/>
            <w:shd w:val="clear" w:color="auto" w:fill="0C479D"/>
          </w:tcPr>
          <w:p>
            <w:pPr>
              <w:jc w:val="right"/>
              <w:ind w:right="20"/>
              <w:spacing w:after="0"/>
              <w:rPr>
                <w:sz w:val="20"/>
                <w:szCs w:val="20"/>
                <w:color w:val="auto"/>
              </w:rPr>
            </w:pPr>
            <w:r>
              <w:rPr>
                <w:rFonts w:ascii="Times New Roman" w:cs="Times New Roman" w:eastAsia="Times New Roman" w:hAnsi="Times New Roman"/>
                <w:sz w:val="14"/>
                <w:szCs w:val="14"/>
                <w:b w:val="1"/>
                <w:bCs w:val="1"/>
                <w:color w:val="FFFFFF"/>
              </w:rPr>
              <w:t>Non-U.S.</w:t>
            </w:r>
          </w:p>
        </w:tc>
        <w:tc>
          <w:tcPr>
            <w:tcW w:w="800" w:type="dxa"/>
            <w:vAlign w:val="bottom"/>
            <w:gridSpan w:val="2"/>
            <w:vMerge w:val="restart"/>
            <w:shd w:val="clear" w:color="auto" w:fill="0C479D"/>
          </w:tcPr>
          <w:p>
            <w:pPr>
              <w:jc w:val="center"/>
              <w:ind w:right="20"/>
              <w:spacing w:after="0"/>
              <w:rPr>
                <w:sz w:val="20"/>
                <w:szCs w:val="20"/>
                <w:color w:val="auto"/>
              </w:rPr>
            </w:pPr>
            <w:r>
              <w:rPr>
                <w:rFonts w:ascii="Times New Roman" w:cs="Times New Roman" w:eastAsia="Times New Roman" w:hAnsi="Times New Roman"/>
                <w:sz w:val="14"/>
                <w:szCs w:val="14"/>
                <w:b w:val="1"/>
                <w:bCs w:val="1"/>
                <w:color w:val="FFFFFF"/>
                <w:w w:val="93"/>
              </w:rPr>
              <w:t>Total</w:t>
            </w:r>
          </w:p>
        </w:tc>
        <w:tc>
          <w:tcPr>
            <w:tcW w:w="0" w:type="dxa"/>
            <w:vAlign w:val="bottom"/>
          </w:tcPr>
          <w:p>
            <w:pPr>
              <w:spacing w:after="0"/>
              <w:rPr>
                <w:sz w:val="1"/>
                <w:szCs w:val="1"/>
                <w:color w:val="auto"/>
              </w:rPr>
            </w:pPr>
          </w:p>
        </w:tc>
      </w:tr>
      <w:tr>
        <w:trPr>
          <w:trHeight w:val="125"/>
        </w:trPr>
        <w:tc>
          <w:tcPr>
            <w:tcW w:w="3000" w:type="dxa"/>
            <w:vAlign w:val="bottom"/>
            <w:tcBorders>
              <w:bottom w:val="single" w:sz="8" w:color="0C479D"/>
            </w:tcBorders>
            <w:shd w:val="clear" w:color="auto" w:fill="0C479D"/>
          </w:tcPr>
          <w:p>
            <w:pPr>
              <w:spacing w:after="0"/>
              <w:rPr>
                <w:sz w:val="10"/>
                <w:szCs w:val="10"/>
                <w:color w:val="auto"/>
              </w:rPr>
            </w:pPr>
          </w:p>
        </w:tc>
        <w:tc>
          <w:tcPr>
            <w:tcW w:w="140" w:type="dxa"/>
            <w:vAlign w:val="bottom"/>
            <w:tcBorders>
              <w:bottom w:val="single" w:sz="8" w:color="0C479D"/>
            </w:tcBorders>
            <w:shd w:val="clear" w:color="auto" w:fill="0C479D"/>
          </w:tcPr>
          <w:p>
            <w:pPr>
              <w:spacing w:after="0"/>
              <w:rPr>
                <w:sz w:val="10"/>
                <w:szCs w:val="10"/>
                <w:color w:val="auto"/>
              </w:rPr>
            </w:pPr>
          </w:p>
        </w:tc>
        <w:tc>
          <w:tcPr>
            <w:tcW w:w="620" w:type="dxa"/>
            <w:vAlign w:val="bottom"/>
            <w:tcBorders>
              <w:bottom w:val="single" w:sz="8" w:color="0C479D"/>
            </w:tcBorders>
            <w:gridSpan w:val="2"/>
            <w:vMerge w:val="continue"/>
            <w:shd w:val="clear" w:color="auto" w:fill="0C479D"/>
          </w:tcPr>
          <w:p>
            <w:pPr>
              <w:spacing w:after="0"/>
              <w:rPr>
                <w:sz w:val="10"/>
                <w:szCs w:val="10"/>
                <w:color w:val="auto"/>
              </w:rPr>
            </w:pPr>
          </w:p>
        </w:tc>
        <w:tc>
          <w:tcPr>
            <w:tcW w:w="740" w:type="dxa"/>
            <w:vAlign w:val="bottom"/>
            <w:tcBorders>
              <w:bottom w:val="single" w:sz="8" w:color="0C479D"/>
              <w:right w:val="single" w:sz="8" w:color="0C479D"/>
            </w:tcBorders>
            <w:vMerge w:val="continue"/>
            <w:shd w:val="clear" w:color="auto" w:fill="0C479D"/>
          </w:tcPr>
          <w:p>
            <w:pPr>
              <w:spacing w:after="0"/>
              <w:rPr>
                <w:sz w:val="10"/>
                <w:szCs w:val="10"/>
                <w:color w:val="auto"/>
              </w:rPr>
            </w:pPr>
          </w:p>
        </w:tc>
        <w:tc>
          <w:tcPr>
            <w:tcW w:w="740" w:type="dxa"/>
            <w:vAlign w:val="bottom"/>
            <w:tcBorders>
              <w:bottom w:val="single" w:sz="8" w:color="0C479D"/>
            </w:tcBorders>
            <w:vMerge w:val="continue"/>
            <w:shd w:val="clear" w:color="auto" w:fill="0C479D"/>
          </w:tcPr>
          <w:p>
            <w:pPr>
              <w:spacing w:after="0"/>
              <w:rPr>
                <w:sz w:val="10"/>
                <w:szCs w:val="10"/>
                <w:color w:val="auto"/>
              </w:rPr>
            </w:pPr>
          </w:p>
        </w:tc>
        <w:tc>
          <w:tcPr>
            <w:tcW w:w="760" w:type="dxa"/>
            <w:vAlign w:val="bottom"/>
            <w:tcBorders>
              <w:bottom w:val="single" w:sz="8" w:color="0C479D"/>
            </w:tcBorders>
            <w:vMerge w:val="continue"/>
            <w:shd w:val="clear" w:color="auto" w:fill="0C479D"/>
          </w:tcPr>
          <w:p>
            <w:pPr>
              <w:spacing w:after="0"/>
              <w:rPr>
                <w:sz w:val="10"/>
                <w:szCs w:val="10"/>
                <w:color w:val="auto"/>
              </w:rPr>
            </w:pPr>
          </w:p>
        </w:tc>
        <w:tc>
          <w:tcPr>
            <w:tcW w:w="720" w:type="dxa"/>
            <w:vAlign w:val="bottom"/>
            <w:tcBorders>
              <w:bottom w:val="single" w:sz="8" w:color="0C479D"/>
            </w:tcBorders>
            <w:gridSpan w:val="2"/>
            <w:vMerge w:val="continue"/>
            <w:shd w:val="clear" w:color="auto" w:fill="0C479D"/>
          </w:tcPr>
          <w:p>
            <w:pPr>
              <w:spacing w:after="0"/>
              <w:rPr>
                <w:sz w:val="10"/>
                <w:szCs w:val="10"/>
                <w:color w:val="auto"/>
              </w:rPr>
            </w:pPr>
          </w:p>
        </w:tc>
        <w:tc>
          <w:tcPr>
            <w:tcW w:w="720" w:type="dxa"/>
            <w:vAlign w:val="bottom"/>
            <w:tcBorders>
              <w:bottom w:val="single" w:sz="8" w:color="0C479D"/>
              <w:right w:val="single" w:sz="8" w:color="0C479D"/>
            </w:tcBorders>
            <w:vMerge w:val="continue"/>
            <w:shd w:val="clear" w:color="auto" w:fill="0C479D"/>
          </w:tcPr>
          <w:p>
            <w:pPr>
              <w:spacing w:after="0"/>
              <w:rPr>
                <w:sz w:val="10"/>
                <w:szCs w:val="10"/>
                <w:color w:val="auto"/>
              </w:rPr>
            </w:pPr>
          </w:p>
        </w:tc>
        <w:tc>
          <w:tcPr>
            <w:tcW w:w="720" w:type="dxa"/>
            <w:vAlign w:val="bottom"/>
            <w:tcBorders>
              <w:bottom w:val="single" w:sz="8" w:color="0C479D"/>
            </w:tcBorders>
            <w:vMerge w:val="continue"/>
            <w:shd w:val="clear" w:color="auto" w:fill="0C479D"/>
          </w:tcPr>
          <w:p>
            <w:pPr>
              <w:spacing w:after="0"/>
              <w:rPr>
                <w:sz w:val="10"/>
                <w:szCs w:val="10"/>
                <w:color w:val="auto"/>
              </w:rPr>
            </w:pPr>
          </w:p>
        </w:tc>
        <w:tc>
          <w:tcPr>
            <w:tcW w:w="740" w:type="dxa"/>
            <w:vAlign w:val="bottom"/>
            <w:tcBorders>
              <w:bottom w:val="single" w:sz="8" w:color="0C479D"/>
            </w:tcBorders>
            <w:vMerge w:val="continue"/>
            <w:shd w:val="clear" w:color="auto" w:fill="0C479D"/>
          </w:tcPr>
          <w:p>
            <w:pPr>
              <w:spacing w:after="0"/>
              <w:rPr>
                <w:sz w:val="10"/>
                <w:szCs w:val="10"/>
                <w:color w:val="auto"/>
              </w:rPr>
            </w:pPr>
          </w:p>
        </w:tc>
        <w:tc>
          <w:tcPr>
            <w:tcW w:w="800" w:type="dxa"/>
            <w:vAlign w:val="bottom"/>
            <w:tcBorders>
              <w:bottom w:val="single" w:sz="8" w:color="0C479D"/>
            </w:tcBorders>
            <w:gridSpan w:val="2"/>
            <w:vMerge w:val="continue"/>
            <w:shd w:val="clear" w:color="auto" w:fill="0C479D"/>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3000" w:type="dxa"/>
            <w:vAlign w:val="bottom"/>
          </w:tcPr>
          <w:p>
            <w:pPr>
              <w:spacing w:after="0"/>
              <w:rPr>
                <w:sz w:val="20"/>
                <w:szCs w:val="20"/>
                <w:color w:val="auto"/>
              </w:rPr>
            </w:pPr>
            <w:r>
              <w:rPr>
                <w:rFonts w:ascii="Times New Roman" w:cs="Times New Roman" w:eastAsia="Times New Roman" w:hAnsi="Times New Roman"/>
                <w:sz w:val="16"/>
                <w:szCs w:val="16"/>
                <w:b w:val="1"/>
                <w:bCs w:val="1"/>
                <w:color w:val="0C479D"/>
              </w:rPr>
              <w:t>As of December 31, 2024</w:t>
            </w:r>
          </w:p>
        </w:tc>
        <w:tc>
          <w:tcPr>
            <w:tcW w:w="140" w:type="dxa"/>
            <w:vAlign w:val="bottom"/>
            <w:shd w:val="clear" w:color="auto" w:fill="F0F0F0"/>
          </w:tcPr>
          <w:p>
            <w:pPr>
              <w:spacing w:after="0"/>
              <w:rPr>
                <w:sz w:val="19"/>
                <w:szCs w:val="19"/>
                <w:color w:val="auto"/>
              </w:rPr>
            </w:pPr>
          </w:p>
        </w:tc>
        <w:tc>
          <w:tcPr>
            <w:tcW w:w="560" w:type="dxa"/>
            <w:vAlign w:val="bottom"/>
            <w:shd w:val="clear" w:color="auto" w:fill="F0F0F0"/>
          </w:tcPr>
          <w:p>
            <w:pPr>
              <w:spacing w:after="0"/>
              <w:rPr>
                <w:sz w:val="19"/>
                <w:szCs w:val="19"/>
                <w:color w:val="auto"/>
              </w:rPr>
            </w:pPr>
          </w:p>
        </w:tc>
        <w:tc>
          <w:tcPr>
            <w:tcW w:w="60" w:type="dxa"/>
            <w:vAlign w:val="bottom"/>
            <w:shd w:val="clear" w:color="auto" w:fill="F0F0F0"/>
          </w:tcPr>
          <w:p>
            <w:pPr>
              <w:spacing w:after="0"/>
              <w:rPr>
                <w:sz w:val="19"/>
                <w:szCs w:val="19"/>
                <w:color w:val="auto"/>
              </w:rPr>
            </w:pPr>
          </w:p>
        </w:tc>
        <w:tc>
          <w:tcPr>
            <w:tcW w:w="740" w:type="dxa"/>
            <w:vAlign w:val="bottom"/>
            <w:tcBorders>
              <w:right w:val="single" w:sz="8" w:color="F0F0F0"/>
            </w:tcBorders>
            <w:shd w:val="clear" w:color="auto" w:fill="F0F0F0"/>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shd w:val="clear" w:color="auto" w:fill="F0F0F0"/>
          </w:tcPr>
          <w:p>
            <w:pPr>
              <w:spacing w:after="0"/>
              <w:rPr>
                <w:sz w:val="19"/>
                <w:szCs w:val="19"/>
                <w:color w:val="auto"/>
              </w:rPr>
            </w:pPr>
          </w:p>
        </w:tc>
        <w:tc>
          <w:tcPr>
            <w:tcW w:w="40" w:type="dxa"/>
            <w:vAlign w:val="bottom"/>
            <w:shd w:val="clear" w:color="auto" w:fill="F0F0F0"/>
          </w:tcPr>
          <w:p>
            <w:pPr>
              <w:spacing w:after="0"/>
              <w:rPr>
                <w:sz w:val="19"/>
                <w:szCs w:val="19"/>
                <w:color w:val="auto"/>
              </w:rPr>
            </w:pPr>
          </w:p>
        </w:tc>
        <w:tc>
          <w:tcPr>
            <w:tcW w:w="720" w:type="dxa"/>
            <w:vAlign w:val="bottom"/>
            <w:tcBorders>
              <w:right w:val="single" w:sz="8" w:color="F0F0F0"/>
            </w:tcBorders>
            <w:shd w:val="clear" w:color="auto" w:fill="F0F0F0"/>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shd w:val="clear" w:color="auto" w:fill="DCDDDE"/>
          </w:tcPr>
          <w:p>
            <w:pPr>
              <w:spacing w:after="0"/>
              <w:rPr>
                <w:sz w:val="19"/>
                <w:szCs w:val="19"/>
                <w:color w:val="auto"/>
              </w:rPr>
            </w:pPr>
          </w:p>
        </w:tc>
        <w:tc>
          <w:tcPr>
            <w:tcW w:w="40" w:type="dxa"/>
            <w:vAlign w:val="bottom"/>
            <w:shd w:val="clear" w:color="auto" w:fill="DCDDDE"/>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Additions to property, plant and equipment </w:t>
            </w:r>
            <w:r>
              <w:rPr>
                <w:rFonts w:ascii="Times New Roman" w:cs="Times New Roman" w:eastAsia="Times New Roman" w:hAnsi="Times New Roman"/>
                <w:sz w:val="21"/>
                <w:szCs w:val="21"/>
                <w:i w:val="1"/>
                <w:iCs w:val="1"/>
                <w:color w:val="auto"/>
                <w:vertAlign w:val="superscript"/>
              </w:rPr>
              <w:t>(3)</w:t>
            </w:r>
          </w:p>
        </w:tc>
        <w:tc>
          <w:tcPr>
            <w:tcW w:w="140" w:type="dxa"/>
            <w:vAlign w:val="bottom"/>
            <w:shd w:val="clear" w:color="auto" w:fill="F0F0F0"/>
          </w:tcPr>
          <w:p>
            <w:pPr>
              <w:spacing w:after="0"/>
              <w:rPr>
                <w:sz w:val="21"/>
                <w:szCs w:val="21"/>
                <w:color w:val="auto"/>
              </w:rPr>
            </w:pPr>
          </w:p>
        </w:tc>
        <w:tc>
          <w:tcPr>
            <w:tcW w:w="5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94,649</w:t>
            </w:r>
          </w:p>
        </w:tc>
        <w:tc>
          <w:tcPr>
            <w:tcW w:w="60" w:type="dxa"/>
            <w:vAlign w:val="bottom"/>
            <w:shd w:val="clear" w:color="auto" w:fill="F0F0F0"/>
          </w:tcPr>
          <w:p>
            <w:pPr>
              <w:spacing w:after="0"/>
              <w:rPr>
                <w:sz w:val="21"/>
                <w:szCs w:val="21"/>
                <w:color w:val="auto"/>
              </w:rPr>
            </w:pPr>
          </w:p>
        </w:tc>
        <w:tc>
          <w:tcPr>
            <w:tcW w:w="740" w:type="dxa"/>
            <w:vAlign w:val="bottom"/>
            <w:tcBorders>
              <w:right w:val="single" w:sz="8" w:color="F0F0F0"/>
            </w:tcBorders>
            <w:shd w:val="clear" w:color="auto" w:fill="F0F0F0"/>
          </w:tcPr>
          <w:p>
            <w:pPr>
              <w:jc w:val="right"/>
              <w:ind w:right="20"/>
              <w:spacing w:after="0"/>
              <w:rPr>
                <w:sz w:val="20"/>
                <w:szCs w:val="20"/>
                <w:color w:val="auto"/>
              </w:rPr>
            </w:pPr>
            <w:r>
              <w:rPr>
                <w:rFonts w:ascii="Times New Roman" w:cs="Times New Roman" w:eastAsia="Times New Roman" w:hAnsi="Times New Roman"/>
                <w:sz w:val="16"/>
                <w:szCs w:val="16"/>
                <w:color w:val="auto"/>
              </w:rPr>
              <w:t>8,371</w:t>
            </w: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589</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1,450</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40" w:type="dxa"/>
            <w:vAlign w:val="bottom"/>
            <w:shd w:val="clear" w:color="auto" w:fill="F0F0F0"/>
          </w:tcPr>
          <w:p>
            <w:pPr>
              <w:spacing w:after="0"/>
              <w:rPr>
                <w:sz w:val="21"/>
                <w:szCs w:val="21"/>
                <w:color w:val="auto"/>
              </w:rPr>
            </w:pPr>
          </w:p>
        </w:tc>
        <w:tc>
          <w:tcPr>
            <w:tcW w:w="72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1,161</w:t>
            </w: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230</w:t>
            </w: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227</w:t>
            </w:r>
          </w:p>
        </w:tc>
        <w:tc>
          <w:tcPr>
            <w:tcW w:w="760" w:type="dxa"/>
            <w:vAlign w:val="bottom"/>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107,151</w:t>
            </w:r>
          </w:p>
        </w:tc>
        <w:tc>
          <w:tcPr>
            <w:tcW w:w="40" w:type="dxa"/>
            <w:vAlign w:val="bottom"/>
            <w:shd w:val="clear" w:color="auto" w:fill="DCDDDE"/>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Investments in equity companies</w:t>
            </w:r>
          </w:p>
        </w:tc>
        <w:tc>
          <w:tcPr>
            <w:tcW w:w="140" w:type="dxa"/>
            <w:vAlign w:val="bottom"/>
            <w:shd w:val="clear" w:color="auto" w:fill="F0F0F0"/>
          </w:tcPr>
          <w:p>
            <w:pPr>
              <w:spacing w:after="0"/>
              <w:rPr>
                <w:sz w:val="18"/>
                <w:szCs w:val="18"/>
                <w:color w:val="auto"/>
              </w:rPr>
            </w:pPr>
          </w:p>
        </w:tc>
        <w:tc>
          <w:tcPr>
            <w:tcW w:w="5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4,884</w:t>
            </w:r>
          </w:p>
        </w:tc>
        <w:tc>
          <w:tcPr>
            <w:tcW w:w="60" w:type="dxa"/>
            <w:vAlign w:val="bottom"/>
            <w:shd w:val="clear" w:color="auto" w:fill="F0F0F0"/>
          </w:tcPr>
          <w:p>
            <w:pPr>
              <w:spacing w:after="0"/>
              <w:rPr>
                <w:sz w:val="18"/>
                <w:szCs w:val="18"/>
                <w:color w:val="auto"/>
              </w:rPr>
            </w:pPr>
          </w:p>
        </w:tc>
        <w:tc>
          <w:tcPr>
            <w:tcW w:w="740" w:type="dxa"/>
            <w:vAlign w:val="bottom"/>
            <w:tcBorders>
              <w:right w:val="single" w:sz="8" w:color="F0F0F0"/>
            </w:tcBorders>
            <w:shd w:val="clear" w:color="auto" w:fill="F0F0F0"/>
          </w:tcPr>
          <w:p>
            <w:pPr>
              <w:jc w:val="right"/>
              <w:ind w:right="20"/>
              <w:spacing w:after="0"/>
              <w:rPr>
                <w:sz w:val="20"/>
                <w:szCs w:val="20"/>
                <w:color w:val="auto"/>
              </w:rPr>
            </w:pPr>
            <w:r>
              <w:rPr>
                <w:rFonts w:ascii="Times New Roman" w:cs="Times New Roman" w:eastAsia="Times New Roman" w:hAnsi="Times New Roman"/>
                <w:sz w:val="16"/>
                <w:szCs w:val="16"/>
                <w:color w:val="auto"/>
              </w:rPr>
              <w:t>21,396</w:t>
            </w: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444</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915</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3,016</w:t>
            </w:r>
          </w:p>
        </w:tc>
        <w:tc>
          <w:tcPr>
            <w:tcW w:w="40" w:type="dxa"/>
            <w:vAlign w:val="bottom"/>
            <w:shd w:val="clear" w:color="auto" w:fill="F0F0F0"/>
          </w:tcPr>
          <w:p>
            <w:pPr>
              <w:spacing w:after="0"/>
              <w:rPr>
                <w:sz w:val="18"/>
                <w:szCs w:val="18"/>
                <w:color w:val="auto"/>
              </w:rPr>
            </w:pPr>
          </w:p>
        </w:tc>
        <w:tc>
          <w:tcPr>
            <w:tcW w:w="72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2,649</w:t>
            </w: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814</w:t>
            </w:r>
          </w:p>
        </w:tc>
        <w:tc>
          <w:tcPr>
            <w:tcW w:w="760" w:type="dxa"/>
            <w:vAlign w:val="bottom"/>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34,118</w:t>
            </w:r>
          </w:p>
        </w:tc>
        <w:tc>
          <w:tcPr>
            <w:tcW w:w="40" w:type="dxa"/>
            <w:vAlign w:val="bottom"/>
            <w:shd w:val="clear" w:color="auto" w:fill="DCDDDE"/>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00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bottom w:val="single" w:sz="8" w:color="0C479D"/>
            </w:tcBorders>
            <w:shd w:val="clear" w:color="auto" w:fill="F0F0F0"/>
          </w:tcPr>
          <w:p>
            <w:pPr>
              <w:spacing w:after="0"/>
              <w:rPr>
                <w:sz w:val="19"/>
                <w:szCs w:val="19"/>
                <w:color w:val="auto"/>
              </w:rPr>
            </w:pPr>
          </w:p>
        </w:tc>
        <w:tc>
          <w:tcPr>
            <w:tcW w:w="5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w w:val="96"/>
              </w:rPr>
              <w:t>154,914</w:t>
            </w:r>
          </w:p>
        </w:tc>
        <w:tc>
          <w:tcPr>
            <w:tcW w:w="60" w:type="dxa"/>
            <w:vAlign w:val="bottom"/>
            <w:tcBorders>
              <w:bottom w:val="single" w:sz="8" w:color="0C479D"/>
            </w:tcBorders>
            <w:shd w:val="clear" w:color="auto" w:fill="F0F0F0"/>
          </w:tcPr>
          <w:p>
            <w:pPr>
              <w:spacing w:after="0"/>
              <w:rPr>
                <w:sz w:val="19"/>
                <w:szCs w:val="19"/>
                <w:color w:val="auto"/>
              </w:rPr>
            </w:pPr>
          </w:p>
        </w:tc>
        <w:tc>
          <w:tcPr>
            <w:tcW w:w="740" w:type="dxa"/>
            <w:vAlign w:val="bottom"/>
            <w:tcBorders>
              <w:bottom w:val="single" w:sz="8" w:color="0C479D"/>
              <w:right w:val="single" w:sz="8" w:color="F0F0F0"/>
            </w:tcBorders>
            <w:shd w:val="clear" w:color="auto" w:fill="F0F0F0"/>
          </w:tcPr>
          <w:p>
            <w:pPr>
              <w:jc w:val="right"/>
              <w:ind w:right="20"/>
              <w:spacing w:after="0"/>
              <w:rPr>
                <w:sz w:val="20"/>
                <w:szCs w:val="20"/>
                <w:color w:val="auto"/>
              </w:rPr>
            </w:pPr>
            <w:r>
              <w:rPr>
                <w:rFonts w:ascii="Times New Roman" w:cs="Times New Roman" w:eastAsia="Times New Roman" w:hAnsi="Times New Roman"/>
                <w:sz w:val="16"/>
                <w:szCs w:val="16"/>
                <w:color w:val="auto"/>
              </w:rPr>
              <w:t>134,609</w:t>
            </w:r>
          </w:p>
        </w:tc>
        <w:tc>
          <w:tcPr>
            <w:tcW w:w="740" w:type="dxa"/>
            <w:vAlign w:val="bottom"/>
            <w:tcBorders>
              <w:bottom w:val="single" w:sz="8" w:color="0C479D"/>
            </w:tcBorders>
          </w:tcPr>
          <w:p>
            <w:pPr>
              <w:jc w:val="right"/>
              <w:ind w:right="1"/>
              <w:spacing w:after="0"/>
              <w:rPr>
                <w:sz w:val="20"/>
                <w:szCs w:val="20"/>
                <w:color w:val="auto"/>
              </w:rPr>
            </w:pPr>
            <w:r>
              <w:rPr>
                <w:rFonts w:ascii="Times New Roman" w:cs="Times New Roman" w:eastAsia="Times New Roman" w:hAnsi="Times New Roman"/>
                <w:sz w:val="16"/>
                <w:szCs w:val="16"/>
                <w:color w:val="auto"/>
              </w:rPr>
              <w:t>32,143</w:t>
            </w:r>
          </w:p>
        </w:tc>
        <w:tc>
          <w:tcPr>
            <w:tcW w:w="76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color w:val="auto"/>
              </w:rPr>
              <w:t>43,399</w:t>
            </w:r>
          </w:p>
        </w:tc>
        <w:tc>
          <w:tcPr>
            <w:tcW w:w="68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17,445</w:t>
            </w:r>
          </w:p>
        </w:tc>
        <w:tc>
          <w:tcPr>
            <w:tcW w:w="40" w:type="dxa"/>
            <w:vAlign w:val="bottom"/>
            <w:tcBorders>
              <w:bottom w:val="single" w:sz="8" w:color="0C479D"/>
            </w:tcBorders>
            <w:shd w:val="clear" w:color="auto" w:fill="F0F0F0"/>
          </w:tcPr>
          <w:p>
            <w:pPr>
              <w:spacing w:after="0"/>
              <w:rPr>
                <w:sz w:val="19"/>
                <w:szCs w:val="19"/>
                <w:color w:val="auto"/>
              </w:rPr>
            </w:pPr>
          </w:p>
        </w:tc>
        <w:tc>
          <w:tcPr>
            <w:tcW w:w="720" w:type="dxa"/>
            <w:vAlign w:val="bottom"/>
            <w:tcBorders>
              <w:bottom w:val="single" w:sz="8" w:color="0C479D"/>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17,692</w:t>
            </w:r>
          </w:p>
        </w:tc>
        <w:tc>
          <w:tcPr>
            <w:tcW w:w="720" w:type="dxa"/>
            <w:vAlign w:val="bottom"/>
            <w:tcBorders>
              <w:bottom w:val="single" w:sz="8" w:color="0C479D"/>
            </w:tcBorders>
          </w:tcPr>
          <w:p>
            <w:pPr>
              <w:jc w:val="right"/>
              <w:ind w:right="1"/>
              <w:spacing w:after="0"/>
              <w:rPr>
                <w:sz w:val="20"/>
                <w:szCs w:val="20"/>
                <w:color w:val="auto"/>
              </w:rPr>
            </w:pPr>
            <w:r>
              <w:rPr>
                <w:rFonts w:ascii="Times New Roman" w:cs="Times New Roman" w:eastAsia="Times New Roman" w:hAnsi="Times New Roman"/>
                <w:sz w:val="16"/>
                <w:szCs w:val="16"/>
                <w:color w:val="auto"/>
              </w:rPr>
              <w:t>2,882</w:t>
            </w:r>
          </w:p>
        </w:tc>
        <w:tc>
          <w:tcPr>
            <w:tcW w:w="74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color w:val="auto"/>
              </w:rPr>
              <w:t>8,040</w:t>
            </w:r>
          </w:p>
        </w:tc>
        <w:tc>
          <w:tcPr>
            <w:tcW w:w="760" w:type="dxa"/>
            <w:vAlign w:val="bottom"/>
            <w:tcBorders>
              <w:bottom w:val="single" w:sz="8" w:color="0C479D"/>
            </w:tcBorders>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411,124</w:t>
            </w:r>
          </w:p>
        </w:tc>
        <w:tc>
          <w:tcPr>
            <w:tcW w:w="40" w:type="dxa"/>
            <w:vAlign w:val="bottom"/>
            <w:tcBorders>
              <w:bottom w:val="single" w:sz="8" w:color="0C479D"/>
            </w:tcBorders>
            <w:shd w:val="clear" w:color="auto" w:fill="DCDDDE"/>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3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30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0C479D"/>
              </w:rPr>
              <w:t>Reconciliation to Corporate Total</w:t>
            </w:r>
          </w:p>
        </w:tc>
        <w:tc>
          <w:tcPr>
            <w:tcW w:w="140" w:type="dxa"/>
            <w:vAlign w:val="bottom"/>
            <w:shd w:val="clear" w:color="auto" w:fill="0C479D"/>
          </w:tcPr>
          <w:p>
            <w:pPr>
              <w:spacing w:after="0"/>
              <w:rPr>
                <w:sz w:val="13"/>
                <w:szCs w:val="13"/>
                <w:color w:val="auto"/>
              </w:rPr>
            </w:pPr>
          </w:p>
        </w:tc>
        <w:tc>
          <w:tcPr>
            <w:tcW w:w="1360" w:type="dxa"/>
            <w:vAlign w:val="bottom"/>
            <w:tcBorders>
              <w:right w:val="single" w:sz="8" w:color="0C479D"/>
            </w:tcBorders>
            <w:gridSpan w:val="3"/>
            <w:vMerge w:val="restart"/>
            <w:shd w:val="clear" w:color="auto" w:fill="0C479D"/>
          </w:tcPr>
          <w:p>
            <w:pPr>
              <w:jc w:val="right"/>
              <w:ind w:right="240"/>
              <w:spacing w:after="0"/>
              <w:rPr>
                <w:sz w:val="20"/>
                <w:szCs w:val="20"/>
                <w:color w:val="auto"/>
              </w:rPr>
            </w:pPr>
            <w:r>
              <w:rPr>
                <w:rFonts w:ascii="Times New Roman" w:cs="Times New Roman" w:eastAsia="Times New Roman" w:hAnsi="Times New Roman"/>
                <w:sz w:val="14"/>
                <w:szCs w:val="14"/>
                <w:b w:val="1"/>
                <w:bCs w:val="1"/>
                <w:color w:val="FFFFFF"/>
              </w:rPr>
              <w:t>Segment Total</w:t>
            </w:r>
          </w:p>
        </w:tc>
        <w:tc>
          <w:tcPr>
            <w:tcW w:w="1500" w:type="dxa"/>
            <w:vAlign w:val="bottom"/>
            <w:gridSpan w:val="2"/>
            <w:shd w:val="clear" w:color="auto" w:fill="0C479D"/>
          </w:tcPr>
          <w:p>
            <w:pPr>
              <w:jc w:val="right"/>
              <w:ind w:right="240"/>
              <w:spacing w:after="0" w:line="151" w:lineRule="exact"/>
              <w:rPr>
                <w:sz w:val="20"/>
                <w:szCs w:val="20"/>
                <w:color w:val="auto"/>
              </w:rPr>
            </w:pPr>
            <w:r>
              <w:rPr>
                <w:rFonts w:ascii="Times New Roman" w:cs="Times New Roman" w:eastAsia="Times New Roman" w:hAnsi="Times New Roman"/>
                <w:sz w:val="14"/>
                <w:szCs w:val="14"/>
                <w:b w:val="1"/>
                <w:bCs w:val="1"/>
                <w:color w:val="FFFFFF"/>
              </w:rPr>
              <w:t>Corporate and</w:t>
            </w:r>
          </w:p>
        </w:tc>
        <w:tc>
          <w:tcPr>
            <w:tcW w:w="1440" w:type="dxa"/>
            <w:vAlign w:val="bottom"/>
            <w:tcBorders>
              <w:right w:val="single" w:sz="8" w:color="0C479D"/>
            </w:tcBorders>
            <w:gridSpan w:val="3"/>
            <w:vMerge w:val="restart"/>
            <w:shd w:val="clear" w:color="auto" w:fill="0C479D"/>
          </w:tcPr>
          <w:p>
            <w:pPr>
              <w:ind w:left="220"/>
              <w:spacing w:after="0"/>
              <w:rPr>
                <w:sz w:val="20"/>
                <w:szCs w:val="20"/>
                <w:color w:val="auto"/>
              </w:rPr>
            </w:pPr>
            <w:r>
              <w:rPr>
                <w:rFonts w:ascii="Times New Roman" w:cs="Times New Roman" w:eastAsia="Times New Roman" w:hAnsi="Times New Roman"/>
                <w:sz w:val="14"/>
                <w:szCs w:val="14"/>
                <w:b w:val="1"/>
                <w:bCs w:val="1"/>
                <w:color w:val="FFFFFF"/>
              </w:rPr>
              <w:t>Corporate Total</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3000" w:type="dxa"/>
            <w:vAlign w:val="bottom"/>
            <w:vMerge w:val="continue"/>
          </w:tcPr>
          <w:p>
            <w:pPr>
              <w:spacing w:after="0"/>
              <w:rPr>
                <w:sz w:val="11"/>
                <w:szCs w:val="11"/>
                <w:color w:val="auto"/>
              </w:rPr>
            </w:pPr>
          </w:p>
        </w:tc>
        <w:tc>
          <w:tcPr>
            <w:tcW w:w="140" w:type="dxa"/>
            <w:vAlign w:val="bottom"/>
            <w:shd w:val="clear" w:color="auto" w:fill="0C479D"/>
          </w:tcPr>
          <w:p>
            <w:pPr>
              <w:spacing w:after="0"/>
              <w:rPr>
                <w:sz w:val="11"/>
                <w:szCs w:val="11"/>
                <w:color w:val="auto"/>
              </w:rPr>
            </w:pPr>
          </w:p>
        </w:tc>
        <w:tc>
          <w:tcPr>
            <w:tcW w:w="1360" w:type="dxa"/>
            <w:vAlign w:val="bottom"/>
            <w:tcBorders>
              <w:right w:val="single" w:sz="8" w:color="0C479D"/>
            </w:tcBorders>
            <w:gridSpan w:val="3"/>
            <w:vMerge w:val="continue"/>
            <w:shd w:val="clear" w:color="auto" w:fill="0C479D"/>
          </w:tcPr>
          <w:p>
            <w:pPr>
              <w:spacing w:after="0"/>
              <w:rPr>
                <w:sz w:val="11"/>
                <w:szCs w:val="11"/>
                <w:color w:val="auto"/>
              </w:rPr>
            </w:pPr>
          </w:p>
        </w:tc>
        <w:tc>
          <w:tcPr>
            <w:tcW w:w="1500" w:type="dxa"/>
            <w:vAlign w:val="bottom"/>
            <w:gridSpan w:val="2"/>
            <w:vMerge w:val="restart"/>
            <w:shd w:val="clear" w:color="auto" w:fill="0C479D"/>
          </w:tcPr>
          <w:p>
            <w:pPr>
              <w:jc w:val="right"/>
              <w:ind w:right="380"/>
              <w:spacing w:after="0"/>
              <w:rPr>
                <w:sz w:val="20"/>
                <w:szCs w:val="20"/>
                <w:color w:val="auto"/>
              </w:rPr>
            </w:pPr>
            <w:r>
              <w:rPr>
                <w:rFonts w:ascii="Times New Roman" w:cs="Times New Roman" w:eastAsia="Times New Roman" w:hAnsi="Times New Roman"/>
                <w:sz w:val="14"/>
                <w:szCs w:val="14"/>
                <w:b w:val="1"/>
                <w:bCs w:val="1"/>
                <w:color w:val="FFFFFF"/>
              </w:rPr>
              <w:t>Financing</w:t>
            </w:r>
          </w:p>
        </w:tc>
        <w:tc>
          <w:tcPr>
            <w:tcW w:w="1440" w:type="dxa"/>
            <w:vAlign w:val="bottom"/>
            <w:tcBorders>
              <w:right w:val="single" w:sz="8" w:color="0C479D"/>
            </w:tcBorders>
            <w:gridSpan w:val="3"/>
            <w:vMerge w:val="continue"/>
            <w:shd w:val="clear" w:color="auto" w:fill="0C479D"/>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3000" w:type="dxa"/>
            <w:vAlign w:val="bottom"/>
          </w:tcPr>
          <w:p>
            <w:pPr>
              <w:spacing w:after="0"/>
              <w:rPr>
                <w:sz w:val="5"/>
                <w:szCs w:val="5"/>
                <w:color w:val="auto"/>
              </w:rPr>
            </w:pPr>
          </w:p>
        </w:tc>
        <w:tc>
          <w:tcPr>
            <w:tcW w:w="140" w:type="dxa"/>
            <w:vAlign w:val="bottom"/>
            <w:tcBorders>
              <w:bottom w:val="single" w:sz="8" w:color="0C479D"/>
            </w:tcBorders>
            <w:shd w:val="clear" w:color="auto" w:fill="0C479D"/>
          </w:tcPr>
          <w:p>
            <w:pPr>
              <w:spacing w:after="0"/>
              <w:rPr>
                <w:sz w:val="5"/>
                <w:szCs w:val="5"/>
                <w:color w:val="auto"/>
              </w:rPr>
            </w:pPr>
          </w:p>
        </w:tc>
        <w:tc>
          <w:tcPr>
            <w:tcW w:w="560" w:type="dxa"/>
            <w:vAlign w:val="bottom"/>
            <w:tcBorders>
              <w:bottom w:val="single" w:sz="8" w:color="0C479D"/>
            </w:tcBorders>
            <w:shd w:val="clear" w:color="auto" w:fill="0C479D"/>
          </w:tcPr>
          <w:p>
            <w:pPr>
              <w:spacing w:after="0"/>
              <w:rPr>
                <w:sz w:val="5"/>
                <w:szCs w:val="5"/>
                <w:color w:val="auto"/>
              </w:rPr>
            </w:pPr>
          </w:p>
        </w:tc>
        <w:tc>
          <w:tcPr>
            <w:tcW w:w="60" w:type="dxa"/>
            <w:vAlign w:val="bottom"/>
            <w:tcBorders>
              <w:bottom w:val="single" w:sz="8" w:color="0C479D"/>
            </w:tcBorders>
            <w:shd w:val="clear" w:color="auto" w:fill="0C479D"/>
          </w:tcPr>
          <w:p>
            <w:pPr>
              <w:spacing w:after="0"/>
              <w:rPr>
                <w:sz w:val="5"/>
                <w:szCs w:val="5"/>
                <w:color w:val="auto"/>
              </w:rPr>
            </w:pPr>
          </w:p>
        </w:tc>
        <w:tc>
          <w:tcPr>
            <w:tcW w:w="740" w:type="dxa"/>
            <w:vAlign w:val="bottom"/>
            <w:tcBorders>
              <w:bottom w:val="single" w:sz="8" w:color="0C479D"/>
              <w:right w:val="single" w:sz="8" w:color="0C479D"/>
            </w:tcBorders>
            <w:shd w:val="clear" w:color="auto" w:fill="0C479D"/>
          </w:tcPr>
          <w:p>
            <w:pPr>
              <w:spacing w:after="0"/>
              <w:rPr>
                <w:sz w:val="5"/>
                <w:szCs w:val="5"/>
                <w:color w:val="auto"/>
              </w:rPr>
            </w:pPr>
          </w:p>
        </w:tc>
        <w:tc>
          <w:tcPr>
            <w:tcW w:w="1500" w:type="dxa"/>
            <w:vAlign w:val="bottom"/>
            <w:tcBorders>
              <w:bottom w:val="single" w:sz="8" w:color="0C479D"/>
            </w:tcBorders>
            <w:gridSpan w:val="2"/>
            <w:vMerge w:val="continue"/>
            <w:shd w:val="clear" w:color="auto" w:fill="0C479D"/>
          </w:tcPr>
          <w:p>
            <w:pPr>
              <w:spacing w:after="0"/>
              <w:rPr>
                <w:sz w:val="5"/>
                <w:szCs w:val="5"/>
                <w:color w:val="auto"/>
              </w:rPr>
            </w:pPr>
          </w:p>
        </w:tc>
        <w:tc>
          <w:tcPr>
            <w:tcW w:w="680" w:type="dxa"/>
            <w:vAlign w:val="bottom"/>
            <w:tcBorders>
              <w:bottom w:val="single" w:sz="8" w:color="0C479D"/>
            </w:tcBorders>
            <w:shd w:val="clear" w:color="auto" w:fill="0C479D"/>
          </w:tcPr>
          <w:p>
            <w:pPr>
              <w:spacing w:after="0"/>
              <w:rPr>
                <w:sz w:val="5"/>
                <w:szCs w:val="5"/>
                <w:color w:val="auto"/>
              </w:rPr>
            </w:pPr>
          </w:p>
        </w:tc>
        <w:tc>
          <w:tcPr>
            <w:tcW w:w="40" w:type="dxa"/>
            <w:vAlign w:val="bottom"/>
            <w:tcBorders>
              <w:bottom w:val="single" w:sz="8" w:color="0C479D"/>
            </w:tcBorders>
            <w:shd w:val="clear" w:color="auto" w:fill="0C479D"/>
          </w:tcPr>
          <w:p>
            <w:pPr>
              <w:spacing w:after="0"/>
              <w:rPr>
                <w:sz w:val="5"/>
                <w:szCs w:val="5"/>
                <w:color w:val="auto"/>
              </w:rPr>
            </w:pPr>
          </w:p>
        </w:tc>
        <w:tc>
          <w:tcPr>
            <w:tcW w:w="720" w:type="dxa"/>
            <w:vAlign w:val="bottom"/>
            <w:tcBorders>
              <w:bottom w:val="single" w:sz="8" w:color="0C479D"/>
              <w:right w:val="single" w:sz="8" w:color="0C479D"/>
            </w:tcBorders>
            <w:shd w:val="clear" w:color="auto" w:fill="0C479D"/>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Additions to property, plant and equipment </w:t>
            </w:r>
            <w:r>
              <w:rPr>
                <w:rFonts w:ascii="Times New Roman" w:cs="Times New Roman" w:eastAsia="Times New Roman" w:hAnsi="Times New Roman"/>
                <w:sz w:val="21"/>
                <w:szCs w:val="21"/>
                <w:i w:val="1"/>
                <w:iCs w:val="1"/>
                <w:color w:val="auto"/>
                <w:vertAlign w:val="superscript"/>
              </w:rPr>
              <w:t>(3)</w:t>
            </w:r>
          </w:p>
        </w:tc>
        <w:tc>
          <w:tcPr>
            <w:tcW w:w="140" w:type="dxa"/>
            <w:vAlign w:val="bottom"/>
            <w:shd w:val="clear" w:color="auto" w:fill="F0F0F0"/>
          </w:tcPr>
          <w:p>
            <w:pPr>
              <w:spacing w:after="0"/>
              <w:rPr>
                <w:sz w:val="18"/>
                <w:szCs w:val="18"/>
                <w:color w:val="auto"/>
              </w:rPr>
            </w:pPr>
          </w:p>
        </w:tc>
        <w:tc>
          <w:tcPr>
            <w:tcW w:w="560" w:type="dxa"/>
            <w:vAlign w:val="bottom"/>
            <w:shd w:val="clear" w:color="auto" w:fill="F0F0F0"/>
          </w:tcPr>
          <w:p>
            <w:pPr>
              <w:spacing w:after="0"/>
              <w:rPr>
                <w:sz w:val="18"/>
                <w:szCs w:val="18"/>
                <w:color w:val="auto"/>
              </w:rPr>
            </w:pPr>
          </w:p>
        </w:tc>
        <w:tc>
          <w:tcPr>
            <w:tcW w:w="60" w:type="dxa"/>
            <w:vAlign w:val="bottom"/>
            <w:shd w:val="clear" w:color="auto" w:fill="F0F0F0"/>
          </w:tcPr>
          <w:p>
            <w:pPr>
              <w:spacing w:after="0"/>
              <w:rPr>
                <w:sz w:val="18"/>
                <w:szCs w:val="18"/>
                <w:color w:val="auto"/>
              </w:rPr>
            </w:pPr>
          </w:p>
        </w:tc>
        <w:tc>
          <w:tcPr>
            <w:tcW w:w="740" w:type="dxa"/>
            <w:vAlign w:val="bottom"/>
            <w:tcBorders>
              <w:right w:val="single" w:sz="8" w:color="F0F0F0"/>
            </w:tcBorders>
            <w:shd w:val="clear" w:color="auto" w:fill="F0F0F0"/>
          </w:tcPr>
          <w:p>
            <w:pPr>
              <w:jc w:val="right"/>
              <w:ind w:right="20"/>
              <w:spacing w:after="0"/>
              <w:rPr>
                <w:sz w:val="20"/>
                <w:szCs w:val="20"/>
                <w:color w:val="auto"/>
              </w:rPr>
            </w:pPr>
            <w:r>
              <w:rPr>
                <w:rFonts w:ascii="Times New Roman" w:cs="Times New Roman" w:eastAsia="Times New Roman" w:hAnsi="Times New Roman"/>
                <w:sz w:val="16"/>
                <w:szCs w:val="16"/>
                <w:color w:val="auto"/>
              </w:rPr>
              <w:t>107,151</w:t>
            </w:r>
          </w:p>
        </w:tc>
        <w:tc>
          <w:tcPr>
            <w:tcW w:w="740" w:type="dxa"/>
            <w:vAlign w:val="bottom"/>
          </w:tcPr>
          <w:p>
            <w:pPr>
              <w:spacing w:after="0"/>
              <w:rPr>
                <w:sz w:val="18"/>
                <w:szCs w:val="18"/>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2,181</w:t>
            </w:r>
          </w:p>
        </w:tc>
        <w:tc>
          <w:tcPr>
            <w:tcW w:w="680" w:type="dxa"/>
            <w:vAlign w:val="bottom"/>
            <w:shd w:val="clear" w:color="auto" w:fill="DCDDDE"/>
          </w:tcPr>
          <w:p>
            <w:pPr>
              <w:spacing w:after="0"/>
              <w:rPr>
                <w:sz w:val="18"/>
                <w:szCs w:val="18"/>
                <w:color w:val="auto"/>
              </w:rPr>
            </w:pPr>
          </w:p>
        </w:tc>
        <w:tc>
          <w:tcPr>
            <w:tcW w:w="40" w:type="dxa"/>
            <w:vAlign w:val="bottom"/>
            <w:shd w:val="clear" w:color="auto" w:fill="DCDDDE"/>
          </w:tcPr>
          <w:p>
            <w:pPr>
              <w:spacing w:after="0"/>
              <w:rPr>
                <w:sz w:val="18"/>
                <w:szCs w:val="18"/>
                <w:color w:val="auto"/>
              </w:rPr>
            </w:pPr>
          </w:p>
        </w:tc>
        <w:tc>
          <w:tcPr>
            <w:tcW w:w="720" w:type="dxa"/>
            <w:vAlign w:val="bottom"/>
            <w:tcBorders>
              <w:right w:val="single" w:sz="8" w:color="DCDDDE"/>
            </w:tcBorders>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109,332</w:t>
            </w: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Investments in equity companies</w:t>
            </w:r>
          </w:p>
        </w:tc>
        <w:tc>
          <w:tcPr>
            <w:tcW w:w="140" w:type="dxa"/>
            <w:vAlign w:val="bottom"/>
            <w:shd w:val="clear" w:color="auto" w:fill="F0F0F0"/>
          </w:tcPr>
          <w:p>
            <w:pPr>
              <w:spacing w:after="0"/>
              <w:rPr>
                <w:sz w:val="18"/>
                <w:szCs w:val="18"/>
                <w:color w:val="auto"/>
              </w:rPr>
            </w:pPr>
          </w:p>
        </w:tc>
        <w:tc>
          <w:tcPr>
            <w:tcW w:w="560" w:type="dxa"/>
            <w:vAlign w:val="bottom"/>
            <w:shd w:val="clear" w:color="auto" w:fill="F0F0F0"/>
          </w:tcPr>
          <w:p>
            <w:pPr>
              <w:spacing w:after="0"/>
              <w:rPr>
                <w:sz w:val="18"/>
                <w:szCs w:val="18"/>
                <w:color w:val="auto"/>
              </w:rPr>
            </w:pPr>
          </w:p>
        </w:tc>
        <w:tc>
          <w:tcPr>
            <w:tcW w:w="60" w:type="dxa"/>
            <w:vAlign w:val="bottom"/>
            <w:shd w:val="clear" w:color="auto" w:fill="F0F0F0"/>
          </w:tcPr>
          <w:p>
            <w:pPr>
              <w:spacing w:after="0"/>
              <w:rPr>
                <w:sz w:val="18"/>
                <w:szCs w:val="18"/>
                <w:color w:val="auto"/>
              </w:rPr>
            </w:pPr>
          </w:p>
        </w:tc>
        <w:tc>
          <w:tcPr>
            <w:tcW w:w="740" w:type="dxa"/>
            <w:vAlign w:val="bottom"/>
            <w:tcBorders>
              <w:right w:val="single" w:sz="8" w:color="F0F0F0"/>
            </w:tcBorders>
            <w:shd w:val="clear" w:color="auto" w:fill="F0F0F0"/>
          </w:tcPr>
          <w:p>
            <w:pPr>
              <w:jc w:val="right"/>
              <w:ind w:right="20"/>
              <w:spacing w:after="0"/>
              <w:rPr>
                <w:sz w:val="20"/>
                <w:szCs w:val="20"/>
                <w:color w:val="auto"/>
              </w:rPr>
            </w:pPr>
            <w:r>
              <w:rPr>
                <w:rFonts w:ascii="Times New Roman" w:cs="Times New Roman" w:eastAsia="Times New Roman" w:hAnsi="Times New Roman"/>
                <w:sz w:val="16"/>
                <w:szCs w:val="16"/>
                <w:color w:val="auto"/>
              </w:rPr>
              <w:t>34,118</w:t>
            </w:r>
          </w:p>
        </w:tc>
        <w:tc>
          <w:tcPr>
            <w:tcW w:w="7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680" w:type="dxa"/>
            <w:vAlign w:val="bottom"/>
            <w:shd w:val="clear" w:color="auto" w:fill="DCDDDE"/>
          </w:tcPr>
          <w:p>
            <w:pPr>
              <w:spacing w:after="0"/>
              <w:rPr>
                <w:sz w:val="18"/>
                <w:szCs w:val="18"/>
                <w:color w:val="auto"/>
              </w:rPr>
            </w:pPr>
          </w:p>
        </w:tc>
        <w:tc>
          <w:tcPr>
            <w:tcW w:w="40" w:type="dxa"/>
            <w:vAlign w:val="bottom"/>
            <w:shd w:val="clear" w:color="auto" w:fill="DCDDDE"/>
          </w:tcPr>
          <w:p>
            <w:pPr>
              <w:spacing w:after="0"/>
              <w:rPr>
                <w:sz w:val="18"/>
                <w:szCs w:val="18"/>
                <w:color w:val="auto"/>
              </w:rPr>
            </w:pPr>
          </w:p>
        </w:tc>
        <w:tc>
          <w:tcPr>
            <w:tcW w:w="720" w:type="dxa"/>
            <w:vAlign w:val="bottom"/>
            <w:tcBorders>
              <w:right w:val="single" w:sz="8" w:color="DCDDDE"/>
            </w:tcBorders>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34,010</w:t>
            </w: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shd w:val="clear" w:color="auto" w:fill="F0F0F0"/>
          </w:tcPr>
          <w:p>
            <w:pPr>
              <w:spacing w:after="0"/>
              <w:rPr>
                <w:sz w:val="19"/>
                <w:szCs w:val="19"/>
                <w:color w:val="auto"/>
              </w:rPr>
            </w:pPr>
          </w:p>
        </w:tc>
        <w:tc>
          <w:tcPr>
            <w:tcW w:w="560" w:type="dxa"/>
            <w:vAlign w:val="bottom"/>
            <w:shd w:val="clear" w:color="auto" w:fill="F0F0F0"/>
          </w:tcPr>
          <w:p>
            <w:pPr>
              <w:spacing w:after="0"/>
              <w:rPr>
                <w:sz w:val="19"/>
                <w:szCs w:val="19"/>
                <w:color w:val="auto"/>
              </w:rPr>
            </w:pPr>
          </w:p>
        </w:tc>
        <w:tc>
          <w:tcPr>
            <w:tcW w:w="60" w:type="dxa"/>
            <w:vAlign w:val="bottom"/>
            <w:shd w:val="clear" w:color="auto" w:fill="F0F0F0"/>
          </w:tcPr>
          <w:p>
            <w:pPr>
              <w:spacing w:after="0"/>
              <w:rPr>
                <w:sz w:val="19"/>
                <w:szCs w:val="19"/>
                <w:color w:val="auto"/>
              </w:rPr>
            </w:pPr>
          </w:p>
        </w:tc>
        <w:tc>
          <w:tcPr>
            <w:tcW w:w="740" w:type="dxa"/>
            <w:vAlign w:val="bottom"/>
            <w:tcBorders>
              <w:right w:val="single" w:sz="8" w:color="F0F0F0"/>
            </w:tcBorders>
            <w:shd w:val="clear" w:color="auto" w:fill="F0F0F0"/>
          </w:tcPr>
          <w:p>
            <w:pPr>
              <w:jc w:val="right"/>
              <w:ind w:right="20"/>
              <w:spacing w:after="0"/>
              <w:rPr>
                <w:sz w:val="20"/>
                <w:szCs w:val="20"/>
                <w:color w:val="auto"/>
              </w:rPr>
            </w:pPr>
            <w:r>
              <w:rPr>
                <w:rFonts w:ascii="Times New Roman" w:cs="Times New Roman" w:eastAsia="Times New Roman" w:hAnsi="Times New Roman"/>
                <w:sz w:val="16"/>
                <w:szCs w:val="16"/>
                <w:color w:val="auto"/>
              </w:rPr>
              <w:t>411,124</w:t>
            </w:r>
          </w:p>
        </w:tc>
        <w:tc>
          <w:tcPr>
            <w:tcW w:w="740" w:type="dxa"/>
            <w:vAlign w:val="bottom"/>
          </w:tcPr>
          <w:p>
            <w:pPr>
              <w:spacing w:after="0"/>
              <w:rPr>
                <w:sz w:val="19"/>
                <w:szCs w:val="19"/>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42,351</w:t>
            </w:r>
          </w:p>
        </w:tc>
        <w:tc>
          <w:tcPr>
            <w:tcW w:w="680" w:type="dxa"/>
            <w:vAlign w:val="bottom"/>
            <w:shd w:val="clear" w:color="auto" w:fill="DCDDDE"/>
          </w:tcPr>
          <w:p>
            <w:pPr>
              <w:spacing w:after="0"/>
              <w:rPr>
                <w:sz w:val="19"/>
                <w:szCs w:val="19"/>
                <w:color w:val="auto"/>
              </w:rPr>
            </w:pPr>
          </w:p>
        </w:tc>
        <w:tc>
          <w:tcPr>
            <w:tcW w:w="40" w:type="dxa"/>
            <w:vAlign w:val="bottom"/>
            <w:shd w:val="clear" w:color="auto" w:fill="DCDDDE"/>
          </w:tcPr>
          <w:p>
            <w:pPr>
              <w:spacing w:after="0"/>
              <w:rPr>
                <w:sz w:val="19"/>
                <w:szCs w:val="19"/>
                <w:color w:val="auto"/>
              </w:rPr>
            </w:pPr>
          </w:p>
        </w:tc>
        <w:tc>
          <w:tcPr>
            <w:tcW w:w="720" w:type="dxa"/>
            <w:vAlign w:val="bottom"/>
            <w:tcBorders>
              <w:right w:val="single" w:sz="8" w:color="DCDDDE"/>
            </w:tcBorders>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453,475</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780" w:right="140" w:firstLine="9"/>
        <w:spacing w:after="0" w:line="301" w:lineRule="auto"/>
        <w:tabs>
          <w:tab w:leader="none" w:pos="925" w:val="left"/>
        </w:tabs>
        <w:numPr>
          <w:ilvl w:val="0"/>
          <w:numId w:val="62"/>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Operating expenses, excl. depreciation and depletion includes the following GAAP line items, as reflected on the Income Statement: Production and manufacturing expenses; Selling, general and administrative expenses; Exploration expenses, including dry holes; and Non-service pension and postretirement benefit expense.</w:t>
      </w:r>
    </w:p>
    <w:p>
      <w:pPr>
        <w:spacing w:after="0" w:line="1" w:lineRule="exact"/>
        <w:rPr>
          <w:rFonts w:ascii="Times New Roman" w:cs="Times New Roman" w:eastAsia="Times New Roman" w:hAnsi="Times New Roman"/>
          <w:sz w:val="9"/>
          <w:szCs w:val="9"/>
          <w:i w:val="1"/>
          <w:iCs w:val="1"/>
          <w:color w:val="auto"/>
        </w:rPr>
      </w:pPr>
    </w:p>
    <w:p>
      <w:pPr>
        <w:ind w:left="940" w:hanging="151"/>
        <w:spacing w:after="0"/>
        <w:tabs>
          <w:tab w:leader="none" w:pos="940" w:val="left"/>
        </w:tabs>
        <w:numPr>
          <w:ilvl w:val="0"/>
          <w:numId w:val="62"/>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Primarily Corporate and Financing Interest revenue of $1,600 million.</w:t>
      </w:r>
    </w:p>
    <w:p>
      <w:pPr>
        <w:spacing w:after="0" w:line="68" w:lineRule="exact"/>
        <w:rPr>
          <w:rFonts w:ascii="Times New Roman" w:cs="Times New Roman" w:eastAsia="Times New Roman" w:hAnsi="Times New Roman"/>
          <w:sz w:val="9"/>
          <w:szCs w:val="9"/>
          <w:i w:val="1"/>
          <w:iCs w:val="1"/>
          <w:color w:val="auto"/>
        </w:rPr>
      </w:pPr>
    </w:p>
    <w:p>
      <w:pPr>
        <w:ind w:left="940" w:hanging="151"/>
        <w:spacing w:after="0"/>
        <w:tabs>
          <w:tab w:leader="none" w:pos="940" w:val="left"/>
        </w:tabs>
        <w:numPr>
          <w:ilvl w:val="0"/>
          <w:numId w:val="62"/>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 xml:space="preserve">Includes non-cash additions. See </w:t>
      </w:r>
      <w:r>
        <w:rPr>
          <w:rFonts w:ascii="Times New Roman" w:cs="Times New Roman" w:eastAsia="Times New Roman" w:hAnsi="Times New Roman"/>
          <w:sz w:val="14"/>
          <w:szCs w:val="14"/>
          <w:i w:val="1"/>
          <w:iCs w:val="1"/>
          <w:color w:val="0000FF"/>
        </w:rPr>
        <w:t>Note 21</w:t>
      </w:r>
      <w:r>
        <w:rPr>
          <w:rFonts w:ascii="Times New Roman" w:cs="Times New Roman" w:eastAsia="Times New Roman" w:hAnsi="Times New Roman"/>
          <w:sz w:val="14"/>
          <w:szCs w:val="14"/>
          <w:i w:val="1"/>
          <w:iCs w:val="1"/>
          <w:color w:val="auto"/>
        </w:rPr>
        <w:t xml:space="preserve"> for additions resulting from the Pioneer acquisition in 2024.</w:t>
      </w:r>
    </w:p>
    <w:p>
      <w:pPr>
        <w:spacing w:after="0" w:line="6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i w:val="1"/>
          <w:iCs w:val="1"/>
          <w:color w:val="auto"/>
        </w:rPr>
        <w:t>Due to rounding, numbers presented may not add up precisely to the totals indicated.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320" w:top="216" w:right="10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22"/>
          <w:szCs w:val="22"/>
          <w:b w:val="1"/>
          <w:bCs w:val="1"/>
          <w:color w:val="0C479D"/>
        </w:rPr>
        <w:t>NOTES TO CONSOLIDATED FINANCIAL STATEMENTS</w:t>
      </w:r>
    </w:p>
    <w:p>
      <w:pPr>
        <w:spacing w:after="0" w:line="200" w:lineRule="exact"/>
        <w:rPr>
          <w:sz w:val="20"/>
          <w:szCs w:val="20"/>
          <w:color w:val="auto"/>
        </w:rPr>
      </w:pPr>
    </w:p>
    <w:p>
      <w:pPr>
        <w:spacing w:after="0" w:line="321" w:lineRule="exact"/>
        <w:rPr>
          <w:sz w:val="20"/>
          <w:szCs w:val="20"/>
          <w:color w:val="auto"/>
        </w:rPr>
      </w:pPr>
    </w:p>
    <w:tbl>
      <w:tblPr>
        <w:tblLayout w:type="fixed"/>
        <w:tblInd w:w="780" w:type="dxa"/>
        <w:tblCellMar>
          <w:top w:w="0" w:type="dxa"/>
          <w:left w:w="0" w:type="dxa"/>
          <w:bottom w:w="0" w:type="dxa"/>
          <w:right w:w="0" w:type="dxa"/>
        </w:tblCellMar>
      </w:tblPr>
      <w:tr>
        <w:trPr>
          <w:trHeight w:val="178"/>
        </w:trPr>
        <w:tc>
          <w:tcPr>
            <w:tcW w:w="3200" w:type="dxa"/>
            <w:vAlign w:val="bottom"/>
            <w:gridSpan w:val="2"/>
            <w:vMerge w:val="restart"/>
            <w:shd w:val="clear" w:color="auto" w:fill="0C479D"/>
          </w:tcPr>
          <w:p>
            <w:pPr>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1300" w:type="dxa"/>
            <w:vAlign w:val="bottom"/>
            <w:tcBorders>
              <w:right w:val="single" w:sz="8" w:color="0C479D"/>
            </w:tcBorders>
            <w:gridSpan w:val="3"/>
            <w:shd w:val="clear" w:color="auto" w:fill="0C479D"/>
          </w:tcPr>
          <w:p>
            <w:pPr>
              <w:jc w:val="center"/>
              <w:ind w:right="120"/>
              <w:spacing w:after="0"/>
              <w:rPr>
                <w:sz w:val="20"/>
                <w:szCs w:val="20"/>
                <w:color w:val="auto"/>
              </w:rPr>
            </w:pPr>
            <w:r>
              <w:rPr>
                <w:rFonts w:ascii="Times New Roman" w:cs="Times New Roman" w:eastAsia="Times New Roman" w:hAnsi="Times New Roman"/>
                <w:sz w:val="14"/>
                <w:szCs w:val="14"/>
                <w:b w:val="1"/>
                <w:bCs w:val="1"/>
                <w:color w:val="FFFFFF"/>
              </w:rPr>
              <w:t>Upstream</w:t>
            </w:r>
          </w:p>
        </w:tc>
        <w:tc>
          <w:tcPr>
            <w:tcW w:w="1500" w:type="dxa"/>
            <w:vAlign w:val="bottom"/>
            <w:gridSpan w:val="2"/>
            <w:shd w:val="clear" w:color="auto" w:fill="0C479D"/>
          </w:tcPr>
          <w:p>
            <w:pPr>
              <w:ind w:left="220"/>
              <w:spacing w:after="0"/>
              <w:rPr>
                <w:sz w:val="20"/>
                <w:szCs w:val="20"/>
                <w:color w:val="auto"/>
              </w:rPr>
            </w:pPr>
            <w:r>
              <w:rPr>
                <w:rFonts w:ascii="Times New Roman" w:cs="Times New Roman" w:eastAsia="Times New Roman" w:hAnsi="Times New Roman"/>
                <w:sz w:val="14"/>
                <w:szCs w:val="14"/>
                <w:b w:val="1"/>
                <w:bCs w:val="1"/>
                <w:color w:val="FFFFFF"/>
              </w:rPr>
              <w:t>Energy Products</w:t>
            </w:r>
          </w:p>
        </w:tc>
        <w:tc>
          <w:tcPr>
            <w:tcW w:w="1440" w:type="dxa"/>
            <w:vAlign w:val="bottom"/>
            <w:tcBorders>
              <w:right w:val="single" w:sz="8" w:color="0C479D"/>
            </w:tcBorders>
            <w:gridSpan w:val="3"/>
            <w:shd w:val="clear" w:color="auto" w:fill="0C479D"/>
          </w:tcPr>
          <w:p>
            <w:pPr>
              <w:jc w:val="right"/>
              <w:ind w:right="60"/>
              <w:spacing w:after="0"/>
              <w:rPr>
                <w:sz w:val="20"/>
                <w:szCs w:val="20"/>
                <w:color w:val="auto"/>
              </w:rPr>
            </w:pPr>
            <w:r>
              <w:rPr>
                <w:rFonts w:ascii="Times New Roman" w:cs="Times New Roman" w:eastAsia="Times New Roman" w:hAnsi="Times New Roman"/>
                <w:sz w:val="14"/>
                <w:szCs w:val="14"/>
                <w:b w:val="1"/>
                <w:bCs w:val="1"/>
                <w:color w:val="FFFFFF"/>
              </w:rPr>
              <w:t>Chemical Products</w:t>
            </w:r>
          </w:p>
        </w:tc>
        <w:tc>
          <w:tcPr>
            <w:tcW w:w="1460" w:type="dxa"/>
            <w:vAlign w:val="bottom"/>
            <w:gridSpan w:val="2"/>
            <w:shd w:val="clear" w:color="auto" w:fill="0C479D"/>
          </w:tcPr>
          <w:p>
            <w:pPr>
              <w:jc w:val="right"/>
              <w:ind w:right="80"/>
              <w:spacing w:after="0"/>
              <w:rPr>
                <w:sz w:val="20"/>
                <w:szCs w:val="20"/>
                <w:color w:val="auto"/>
              </w:rPr>
            </w:pPr>
            <w:r>
              <w:rPr>
                <w:rFonts w:ascii="Times New Roman" w:cs="Times New Roman" w:eastAsia="Times New Roman" w:hAnsi="Times New Roman"/>
                <w:sz w:val="14"/>
                <w:szCs w:val="14"/>
                <w:b w:val="1"/>
                <w:bCs w:val="1"/>
                <w:color w:val="FFFFFF"/>
              </w:rPr>
              <w:t>Specialty Products</w:t>
            </w:r>
          </w:p>
        </w:tc>
        <w:tc>
          <w:tcPr>
            <w:tcW w:w="800" w:type="dxa"/>
            <w:vAlign w:val="bottom"/>
            <w:gridSpan w:val="2"/>
            <w:shd w:val="clear" w:color="auto" w:fill="0C479D"/>
          </w:tcPr>
          <w:p>
            <w:pPr>
              <w:jc w:val="center"/>
              <w:ind w:right="20"/>
              <w:spacing w:after="0"/>
              <w:rPr>
                <w:sz w:val="20"/>
                <w:szCs w:val="20"/>
                <w:color w:val="auto"/>
              </w:rPr>
            </w:pPr>
            <w:r>
              <w:rPr>
                <w:rFonts w:ascii="Times New Roman" w:cs="Times New Roman" w:eastAsia="Times New Roman" w:hAnsi="Times New Roman"/>
                <w:sz w:val="14"/>
                <w:szCs w:val="14"/>
                <w:b w:val="1"/>
                <w:bCs w:val="1"/>
                <w:color w:val="FFFFFF"/>
              </w:rPr>
              <w:t>Segment</w:t>
            </w:r>
          </w:p>
        </w:tc>
        <w:tc>
          <w:tcPr>
            <w:tcW w:w="0" w:type="dxa"/>
            <w:vAlign w:val="bottom"/>
          </w:tcPr>
          <w:p>
            <w:pPr>
              <w:spacing w:after="0"/>
              <w:rPr>
                <w:sz w:val="1"/>
                <w:szCs w:val="1"/>
                <w:color w:val="auto"/>
              </w:rPr>
            </w:pPr>
          </w:p>
        </w:tc>
      </w:tr>
      <w:tr>
        <w:trPr>
          <w:trHeight w:val="109"/>
        </w:trPr>
        <w:tc>
          <w:tcPr>
            <w:tcW w:w="3200" w:type="dxa"/>
            <w:vAlign w:val="bottom"/>
            <w:gridSpan w:val="2"/>
            <w:vMerge w:val="continue"/>
            <w:shd w:val="clear" w:color="auto" w:fill="0C479D"/>
          </w:tcPr>
          <w:p>
            <w:pPr>
              <w:spacing w:after="0"/>
              <w:rPr>
                <w:sz w:val="9"/>
                <w:szCs w:val="9"/>
                <w:color w:val="auto"/>
              </w:rPr>
            </w:pPr>
          </w:p>
        </w:tc>
        <w:tc>
          <w:tcPr>
            <w:tcW w:w="560" w:type="dxa"/>
            <w:vAlign w:val="bottom"/>
            <w:gridSpan w:val="2"/>
            <w:vMerge w:val="restart"/>
            <w:shd w:val="clear" w:color="auto" w:fill="0C479D"/>
          </w:tcPr>
          <w:p>
            <w:pPr>
              <w:ind w:left="60"/>
              <w:spacing w:after="0"/>
              <w:rPr>
                <w:sz w:val="20"/>
                <w:szCs w:val="20"/>
                <w:color w:val="auto"/>
              </w:rPr>
            </w:pPr>
            <w:r>
              <w:rPr>
                <w:rFonts w:ascii="Times New Roman" w:cs="Times New Roman" w:eastAsia="Times New Roman" w:hAnsi="Times New Roman"/>
                <w:sz w:val="14"/>
                <w:szCs w:val="14"/>
                <w:b w:val="1"/>
                <w:bCs w:val="1"/>
                <w:color w:val="FFFFFF"/>
              </w:rPr>
              <w:t>U.S.</w:t>
            </w:r>
          </w:p>
        </w:tc>
        <w:tc>
          <w:tcPr>
            <w:tcW w:w="740" w:type="dxa"/>
            <w:vAlign w:val="bottom"/>
            <w:tcBorders>
              <w:right w:val="single" w:sz="8" w:color="0C479D"/>
            </w:tcBorders>
            <w:vMerge w:val="restart"/>
            <w:shd w:val="clear" w:color="auto" w:fill="0C479D"/>
          </w:tcPr>
          <w:p>
            <w:pPr>
              <w:jc w:val="right"/>
              <w:ind w:right="20"/>
              <w:spacing w:after="0"/>
              <w:rPr>
                <w:sz w:val="20"/>
                <w:szCs w:val="20"/>
                <w:color w:val="auto"/>
              </w:rPr>
            </w:pPr>
            <w:r>
              <w:rPr>
                <w:rFonts w:ascii="Times New Roman" w:cs="Times New Roman" w:eastAsia="Times New Roman" w:hAnsi="Times New Roman"/>
                <w:sz w:val="14"/>
                <w:szCs w:val="14"/>
                <w:b w:val="1"/>
                <w:bCs w:val="1"/>
                <w:color w:val="FFFFFF"/>
              </w:rPr>
              <w:t>Non-U.S.</w:t>
            </w:r>
          </w:p>
        </w:tc>
        <w:tc>
          <w:tcPr>
            <w:tcW w:w="740" w:type="dxa"/>
            <w:vAlign w:val="bottom"/>
            <w:vMerge w:val="restart"/>
            <w:shd w:val="clear" w:color="auto" w:fill="0C479D"/>
          </w:tcPr>
          <w:p>
            <w:pPr>
              <w:ind w:left="240"/>
              <w:spacing w:after="0"/>
              <w:rPr>
                <w:sz w:val="20"/>
                <w:szCs w:val="20"/>
                <w:color w:val="auto"/>
              </w:rPr>
            </w:pPr>
            <w:r>
              <w:rPr>
                <w:rFonts w:ascii="Times New Roman" w:cs="Times New Roman" w:eastAsia="Times New Roman" w:hAnsi="Times New Roman"/>
                <w:sz w:val="14"/>
                <w:szCs w:val="14"/>
                <w:b w:val="1"/>
                <w:bCs w:val="1"/>
                <w:color w:val="FFFFFF"/>
              </w:rPr>
              <w:t>U.S.</w:t>
            </w:r>
          </w:p>
        </w:tc>
        <w:tc>
          <w:tcPr>
            <w:tcW w:w="760" w:type="dxa"/>
            <w:vAlign w:val="bottom"/>
            <w:vMerge w:val="restart"/>
            <w:shd w:val="clear" w:color="auto" w:fill="0C479D"/>
          </w:tcPr>
          <w:p>
            <w:pPr>
              <w:jc w:val="right"/>
              <w:ind w:right="20"/>
              <w:spacing w:after="0"/>
              <w:rPr>
                <w:sz w:val="20"/>
                <w:szCs w:val="20"/>
                <w:color w:val="auto"/>
              </w:rPr>
            </w:pPr>
            <w:r>
              <w:rPr>
                <w:rFonts w:ascii="Times New Roman" w:cs="Times New Roman" w:eastAsia="Times New Roman" w:hAnsi="Times New Roman"/>
                <w:sz w:val="14"/>
                <w:szCs w:val="14"/>
                <w:b w:val="1"/>
                <w:bCs w:val="1"/>
                <w:color w:val="FFFFFF"/>
              </w:rPr>
              <w:t>Non-U.S.</w:t>
            </w:r>
          </w:p>
        </w:tc>
        <w:tc>
          <w:tcPr>
            <w:tcW w:w="720" w:type="dxa"/>
            <w:vAlign w:val="bottom"/>
            <w:gridSpan w:val="2"/>
            <w:vMerge w:val="restart"/>
            <w:shd w:val="clear" w:color="auto" w:fill="0C479D"/>
          </w:tcPr>
          <w:p>
            <w:pPr>
              <w:ind w:left="220"/>
              <w:spacing w:after="0"/>
              <w:rPr>
                <w:sz w:val="20"/>
                <w:szCs w:val="20"/>
                <w:color w:val="auto"/>
              </w:rPr>
            </w:pPr>
            <w:r>
              <w:rPr>
                <w:rFonts w:ascii="Times New Roman" w:cs="Times New Roman" w:eastAsia="Times New Roman" w:hAnsi="Times New Roman"/>
                <w:sz w:val="14"/>
                <w:szCs w:val="14"/>
                <w:b w:val="1"/>
                <w:bCs w:val="1"/>
                <w:color w:val="FFFFFF"/>
              </w:rPr>
              <w:t>U.S.</w:t>
            </w:r>
          </w:p>
        </w:tc>
        <w:tc>
          <w:tcPr>
            <w:tcW w:w="720" w:type="dxa"/>
            <w:vAlign w:val="bottom"/>
            <w:tcBorders>
              <w:right w:val="single" w:sz="8" w:color="0C479D"/>
            </w:tcBorders>
            <w:vMerge w:val="restart"/>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Non-U.S.</w:t>
            </w:r>
          </w:p>
        </w:tc>
        <w:tc>
          <w:tcPr>
            <w:tcW w:w="720" w:type="dxa"/>
            <w:vAlign w:val="bottom"/>
            <w:vMerge w:val="restart"/>
            <w:shd w:val="clear" w:color="auto" w:fill="0C479D"/>
          </w:tcPr>
          <w:p>
            <w:pPr>
              <w:jc w:val="right"/>
              <w:ind w:right="161"/>
              <w:spacing w:after="0"/>
              <w:rPr>
                <w:sz w:val="20"/>
                <w:szCs w:val="20"/>
                <w:color w:val="auto"/>
              </w:rPr>
            </w:pPr>
            <w:r>
              <w:rPr>
                <w:rFonts w:ascii="Times New Roman" w:cs="Times New Roman" w:eastAsia="Times New Roman" w:hAnsi="Times New Roman"/>
                <w:sz w:val="14"/>
                <w:szCs w:val="14"/>
                <w:b w:val="1"/>
                <w:bCs w:val="1"/>
                <w:color w:val="FFFFFF"/>
              </w:rPr>
              <w:t>U.S.</w:t>
            </w:r>
          </w:p>
        </w:tc>
        <w:tc>
          <w:tcPr>
            <w:tcW w:w="740" w:type="dxa"/>
            <w:vAlign w:val="bottom"/>
            <w:vMerge w:val="restart"/>
            <w:shd w:val="clear" w:color="auto" w:fill="0C479D"/>
          </w:tcPr>
          <w:p>
            <w:pPr>
              <w:jc w:val="right"/>
              <w:ind w:right="20"/>
              <w:spacing w:after="0"/>
              <w:rPr>
                <w:sz w:val="20"/>
                <w:szCs w:val="20"/>
                <w:color w:val="auto"/>
              </w:rPr>
            </w:pPr>
            <w:r>
              <w:rPr>
                <w:rFonts w:ascii="Times New Roman" w:cs="Times New Roman" w:eastAsia="Times New Roman" w:hAnsi="Times New Roman"/>
                <w:sz w:val="14"/>
                <w:szCs w:val="14"/>
                <w:b w:val="1"/>
                <w:bCs w:val="1"/>
                <w:color w:val="FFFFFF"/>
              </w:rPr>
              <w:t>Non-U.S.</w:t>
            </w:r>
          </w:p>
        </w:tc>
        <w:tc>
          <w:tcPr>
            <w:tcW w:w="800" w:type="dxa"/>
            <w:vAlign w:val="bottom"/>
            <w:gridSpan w:val="2"/>
            <w:vMerge w:val="restart"/>
            <w:shd w:val="clear" w:color="auto" w:fill="0C479D"/>
          </w:tcPr>
          <w:p>
            <w:pPr>
              <w:jc w:val="center"/>
              <w:ind w:right="20"/>
              <w:spacing w:after="0"/>
              <w:rPr>
                <w:sz w:val="20"/>
                <w:szCs w:val="20"/>
                <w:color w:val="auto"/>
              </w:rPr>
            </w:pPr>
            <w:r>
              <w:rPr>
                <w:rFonts w:ascii="Times New Roman" w:cs="Times New Roman" w:eastAsia="Times New Roman" w:hAnsi="Times New Roman"/>
                <w:sz w:val="14"/>
                <w:szCs w:val="14"/>
                <w:b w:val="1"/>
                <w:bCs w:val="1"/>
                <w:color w:val="FFFFFF"/>
                <w:w w:val="93"/>
              </w:rPr>
              <w:t>Total</w:t>
            </w:r>
          </w:p>
        </w:tc>
        <w:tc>
          <w:tcPr>
            <w:tcW w:w="0" w:type="dxa"/>
            <w:vAlign w:val="bottom"/>
          </w:tcPr>
          <w:p>
            <w:pPr>
              <w:spacing w:after="0"/>
              <w:rPr>
                <w:sz w:val="1"/>
                <w:szCs w:val="1"/>
                <w:color w:val="auto"/>
              </w:rPr>
            </w:pPr>
          </w:p>
        </w:tc>
      </w:tr>
      <w:tr>
        <w:trPr>
          <w:trHeight w:val="125"/>
        </w:trPr>
        <w:tc>
          <w:tcPr>
            <w:tcW w:w="3020" w:type="dxa"/>
            <w:vAlign w:val="bottom"/>
            <w:tcBorders>
              <w:bottom w:val="single" w:sz="8" w:color="0C479D"/>
            </w:tcBorders>
            <w:shd w:val="clear" w:color="auto" w:fill="0C479D"/>
          </w:tcPr>
          <w:p>
            <w:pPr>
              <w:spacing w:after="0"/>
              <w:rPr>
                <w:sz w:val="10"/>
                <w:szCs w:val="10"/>
                <w:color w:val="auto"/>
              </w:rPr>
            </w:pPr>
          </w:p>
        </w:tc>
        <w:tc>
          <w:tcPr>
            <w:tcW w:w="180" w:type="dxa"/>
            <w:vAlign w:val="bottom"/>
            <w:tcBorders>
              <w:bottom w:val="single" w:sz="8" w:color="0C479D"/>
            </w:tcBorders>
            <w:shd w:val="clear" w:color="auto" w:fill="0C479D"/>
          </w:tcPr>
          <w:p>
            <w:pPr>
              <w:spacing w:after="0"/>
              <w:rPr>
                <w:sz w:val="10"/>
                <w:szCs w:val="10"/>
                <w:color w:val="auto"/>
              </w:rPr>
            </w:pPr>
          </w:p>
        </w:tc>
        <w:tc>
          <w:tcPr>
            <w:tcW w:w="560" w:type="dxa"/>
            <w:vAlign w:val="bottom"/>
            <w:tcBorders>
              <w:bottom w:val="single" w:sz="8" w:color="0C479D"/>
            </w:tcBorders>
            <w:gridSpan w:val="2"/>
            <w:vMerge w:val="continue"/>
            <w:shd w:val="clear" w:color="auto" w:fill="0C479D"/>
          </w:tcPr>
          <w:p>
            <w:pPr>
              <w:spacing w:after="0"/>
              <w:rPr>
                <w:sz w:val="10"/>
                <w:szCs w:val="10"/>
                <w:color w:val="auto"/>
              </w:rPr>
            </w:pPr>
          </w:p>
        </w:tc>
        <w:tc>
          <w:tcPr>
            <w:tcW w:w="740" w:type="dxa"/>
            <w:vAlign w:val="bottom"/>
            <w:tcBorders>
              <w:bottom w:val="single" w:sz="8" w:color="0C479D"/>
              <w:right w:val="single" w:sz="8" w:color="0C479D"/>
            </w:tcBorders>
            <w:vMerge w:val="continue"/>
            <w:shd w:val="clear" w:color="auto" w:fill="0C479D"/>
          </w:tcPr>
          <w:p>
            <w:pPr>
              <w:spacing w:after="0"/>
              <w:rPr>
                <w:sz w:val="10"/>
                <w:szCs w:val="10"/>
                <w:color w:val="auto"/>
              </w:rPr>
            </w:pPr>
          </w:p>
        </w:tc>
        <w:tc>
          <w:tcPr>
            <w:tcW w:w="740" w:type="dxa"/>
            <w:vAlign w:val="bottom"/>
            <w:tcBorders>
              <w:bottom w:val="single" w:sz="8" w:color="0C479D"/>
            </w:tcBorders>
            <w:vMerge w:val="continue"/>
            <w:shd w:val="clear" w:color="auto" w:fill="0C479D"/>
          </w:tcPr>
          <w:p>
            <w:pPr>
              <w:spacing w:after="0"/>
              <w:rPr>
                <w:sz w:val="10"/>
                <w:szCs w:val="10"/>
                <w:color w:val="auto"/>
              </w:rPr>
            </w:pPr>
          </w:p>
        </w:tc>
        <w:tc>
          <w:tcPr>
            <w:tcW w:w="760" w:type="dxa"/>
            <w:vAlign w:val="bottom"/>
            <w:tcBorders>
              <w:bottom w:val="single" w:sz="8" w:color="0C479D"/>
            </w:tcBorders>
            <w:vMerge w:val="continue"/>
            <w:shd w:val="clear" w:color="auto" w:fill="0C479D"/>
          </w:tcPr>
          <w:p>
            <w:pPr>
              <w:spacing w:after="0"/>
              <w:rPr>
                <w:sz w:val="10"/>
                <w:szCs w:val="10"/>
                <w:color w:val="auto"/>
              </w:rPr>
            </w:pPr>
          </w:p>
        </w:tc>
        <w:tc>
          <w:tcPr>
            <w:tcW w:w="720" w:type="dxa"/>
            <w:vAlign w:val="bottom"/>
            <w:tcBorders>
              <w:bottom w:val="single" w:sz="8" w:color="0C479D"/>
            </w:tcBorders>
            <w:gridSpan w:val="2"/>
            <w:vMerge w:val="continue"/>
            <w:shd w:val="clear" w:color="auto" w:fill="0C479D"/>
          </w:tcPr>
          <w:p>
            <w:pPr>
              <w:spacing w:after="0"/>
              <w:rPr>
                <w:sz w:val="10"/>
                <w:szCs w:val="10"/>
                <w:color w:val="auto"/>
              </w:rPr>
            </w:pPr>
          </w:p>
        </w:tc>
        <w:tc>
          <w:tcPr>
            <w:tcW w:w="720" w:type="dxa"/>
            <w:vAlign w:val="bottom"/>
            <w:tcBorders>
              <w:bottom w:val="single" w:sz="8" w:color="0C479D"/>
              <w:right w:val="single" w:sz="8" w:color="0C479D"/>
            </w:tcBorders>
            <w:vMerge w:val="continue"/>
            <w:shd w:val="clear" w:color="auto" w:fill="0C479D"/>
          </w:tcPr>
          <w:p>
            <w:pPr>
              <w:spacing w:after="0"/>
              <w:rPr>
                <w:sz w:val="10"/>
                <w:szCs w:val="10"/>
                <w:color w:val="auto"/>
              </w:rPr>
            </w:pPr>
          </w:p>
        </w:tc>
        <w:tc>
          <w:tcPr>
            <w:tcW w:w="720" w:type="dxa"/>
            <w:vAlign w:val="bottom"/>
            <w:tcBorders>
              <w:bottom w:val="single" w:sz="8" w:color="0C479D"/>
            </w:tcBorders>
            <w:vMerge w:val="continue"/>
            <w:shd w:val="clear" w:color="auto" w:fill="0C479D"/>
          </w:tcPr>
          <w:p>
            <w:pPr>
              <w:spacing w:after="0"/>
              <w:rPr>
                <w:sz w:val="10"/>
                <w:szCs w:val="10"/>
                <w:color w:val="auto"/>
              </w:rPr>
            </w:pPr>
          </w:p>
        </w:tc>
        <w:tc>
          <w:tcPr>
            <w:tcW w:w="740" w:type="dxa"/>
            <w:vAlign w:val="bottom"/>
            <w:tcBorders>
              <w:bottom w:val="single" w:sz="8" w:color="0C479D"/>
            </w:tcBorders>
            <w:vMerge w:val="continue"/>
            <w:shd w:val="clear" w:color="auto" w:fill="0C479D"/>
          </w:tcPr>
          <w:p>
            <w:pPr>
              <w:spacing w:after="0"/>
              <w:rPr>
                <w:sz w:val="10"/>
                <w:szCs w:val="10"/>
                <w:color w:val="auto"/>
              </w:rPr>
            </w:pPr>
          </w:p>
        </w:tc>
        <w:tc>
          <w:tcPr>
            <w:tcW w:w="800" w:type="dxa"/>
            <w:vAlign w:val="bottom"/>
            <w:tcBorders>
              <w:bottom w:val="single" w:sz="8" w:color="0C479D"/>
            </w:tcBorders>
            <w:gridSpan w:val="2"/>
            <w:vMerge w:val="continue"/>
            <w:shd w:val="clear" w:color="auto" w:fill="0C479D"/>
          </w:tcPr>
          <w:p>
            <w:pPr>
              <w:spacing w:after="0"/>
              <w:rPr>
                <w:sz w:val="10"/>
                <w:szCs w:val="10"/>
                <w:color w:val="auto"/>
              </w:rPr>
            </w:pPr>
          </w:p>
        </w:tc>
        <w:tc>
          <w:tcPr>
            <w:tcW w:w="0" w:type="dxa"/>
            <w:vAlign w:val="bottom"/>
          </w:tcPr>
          <w:p>
            <w:pPr>
              <w:spacing w:after="0"/>
              <w:rPr>
                <w:sz w:val="1"/>
                <w:szCs w:val="1"/>
                <w:color w:val="auto"/>
              </w:rPr>
            </w:pPr>
          </w:p>
        </w:tc>
      </w:tr>
      <w:tr>
        <w:trPr>
          <w:trHeight w:val="318"/>
        </w:trPr>
        <w:tc>
          <w:tcPr>
            <w:tcW w:w="3020" w:type="dxa"/>
            <w:vAlign w:val="bottom"/>
          </w:tcPr>
          <w:p>
            <w:pPr>
              <w:spacing w:after="0"/>
              <w:rPr>
                <w:sz w:val="20"/>
                <w:szCs w:val="20"/>
                <w:color w:val="auto"/>
              </w:rPr>
            </w:pPr>
            <w:r>
              <w:rPr>
                <w:rFonts w:ascii="Times New Roman" w:cs="Times New Roman" w:eastAsia="Times New Roman" w:hAnsi="Times New Roman"/>
                <w:sz w:val="16"/>
                <w:szCs w:val="16"/>
                <w:b w:val="1"/>
                <w:bCs w:val="1"/>
                <w:color w:val="0C479D"/>
              </w:rPr>
              <w:t>As of December 31, 2023</w:t>
            </w:r>
          </w:p>
        </w:tc>
        <w:tc>
          <w:tcPr>
            <w:tcW w:w="180" w:type="dxa"/>
            <w:vAlign w:val="bottom"/>
            <w:shd w:val="clear" w:color="auto" w:fill="F0F0F0"/>
          </w:tcPr>
          <w:p>
            <w:pPr>
              <w:spacing w:after="0"/>
              <w:rPr>
                <w:sz w:val="24"/>
                <w:szCs w:val="24"/>
                <w:color w:val="auto"/>
              </w:rPr>
            </w:pPr>
          </w:p>
        </w:tc>
        <w:tc>
          <w:tcPr>
            <w:tcW w:w="500" w:type="dxa"/>
            <w:vAlign w:val="bottom"/>
            <w:shd w:val="clear" w:color="auto" w:fill="F0F0F0"/>
          </w:tcPr>
          <w:p>
            <w:pPr>
              <w:spacing w:after="0"/>
              <w:rPr>
                <w:sz w:val="24"/>
                <w:szCs w:val="24"/>
                <w:color w:val="auto"/>
              </w:rPr>
            </w:pPr>
          </w:p>
        </w:tc>
        <w:tc>
          <w:tcPr>
            <w:tcW w:w="60" w:type="dxa"/>
            <w:vAlign w:val="bottom"/>
            <w:shd w:val="clear" w:color="auto" w:fill="F0F0F0"/>
          </w:tcPr>
          <w:p>
            <w:pPr>
              <w:spacing w:after="0"/>
              <w:rPr>
                <w:sz w:val="24"/>
                <w:szCs w:val="24"/>
                <w:color w:val="auto"/>
              </w:rPr>
            </w:pPr>
          </w:p>
        </w:tc>
        <w:tc>
          <w:tcPr>
            <w:tcW w:w="740" w:type="dxa"/>
            <w:vAlign w:val="bottom"/>
            <w:tcBorders>
              <w:right w:val="single" w:sz="8" w:color="F0F0F0"/>
            </w:tcBorders>
            <w:shd w:val="clear" w:color="auto" w:fill="F0F0F0"/>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shd w:val="clear" w:color="auto" w:fill="F0F0F0"/>
          </w:tcPr>
          <w:p>
            <w:pPr>
              <w:spacing w:after="0"/>
              <w:rPr>
                <w:sz w:val="24"/>
                <w:szCs w:val="24"/>
                <w:color w:val="auto"/>
              </w:rPr>
            </w:pPr>
          </w:p>
        </w:tc>
        <w:tc>
          <w:tcPr>
            <w:tcW w:w="40" w:type="dxa"/>
            <w:vAlign w:val="bottom"/>
            <w:shd w:val="clear" w:color="auto" w:fill="F0F0F0"/>
          </w:tcPr>
          <w:p>
            <w:pPr>
              <w:spacing w:after="0"/>
              <w:rPr>
                <w:sz w:val="24"/>
                <w:szCs w:val="24"/>
                <w:color w:val="auto"/>
              </w:rPr>
            </w:pPr>
          </w:p>
        </w:tc>
        <w:tc>
          <w:tcPr>
            <w:tcW w:w="720" w:type="dxa"/>
            <w:vAlign w:val="bottom"/>
            <w:tcBorders>
              <w:right w:val="single" w:sz="8" w:color="F0F0F0"/>
            </w:tcBorders>
            <w:shd w:val="clear" w:color="auto" w:fill="F0F0F0"/>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shd w:val="clear" w:color="auto" w:fill="DCDDDE"/>
          </w:tcPr>
          <w:p>
            <w:pPr>
              <w:spacing w:after="0"/>
              <w:rPr>
                <w:sz w:val="24"/>
                <w:szCs w:val="24"/>
                <w:color w:val="auto"/>
              </w:rPr>
            </w:pPr>
          </w:p>
        </w:tc>
        <w:tc>
          <w:tcPr>
            <w:tcW w:w="40" w:type="dxa"/>
            <w:vAlign w:val="bottom"/>
            <w:shd w:val="clear" w:color="auto" w:fill="DCDDD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6"/>
                <w:szCs w:val="16"/>
                <w:b w:val="1"/>
                <w:bCs w:val="1"/>
                <w:color w:val="0C479D"/>
              </w:rPr>
              <w:t>Revenues and other income</w:t>
            </w:r>
          </w:p>
        </w:tc>
        <w:tc>
          <w:tcPr>
            <w:tcW w:w="180" w:type="dxa"/>
            <w:vAlign w:val="bottom"/>
            <w:shd w:val="clear" w:color="auto" w:fill="F0F0F0"/>
          </w:tcPr>
          <w:p>
            <w:pPr>
              <w:spacing w:after="0"/>
              <w:rPr>
                <w:sz w:val="18"/>
                <w:szCs w:val="18"/>
                <w:color w:val="auto"/>
              </w:rPr>
            </w:pPr>
          </w:p>
        </w:tc>
        <w:tc>
          <w:tcPr>
            <w:tcW w:w="500" w:type="dxa"/>
            <w:vAlign w:val="bottom"/>
            <w:shd w:val="clear" w:color="auto" w:fill="F0F0F0"/>
          </w:tcPr>
          <w:p>
            <w:pPr>
              <w:spacing w:after="0"/>
              <w:rPr>
                <w:sz w:val="18"/>
                <w:szCs w:val="18"/>
                <w:color w:val="auto"/>
              </w:rPr>
            </w:pPr>
          </w:p>
        </w:tc>
        <w:tc>
          <w:tcPr>
            <w:tcW w:w="60" w:type="dxa"/>
            <w:vAlign w:val="bottom"/>
            <w:shd w:val="clear" w:color="auto" w:fill="F0F0F0"/>
          </w:tcPr>
          <w:p>
            <w:pPr>
              <w:spacing w:after="0"/>
              <w:rPr>
                <w:sz w:val="18"/>
                <w:szCs w:val="18"/>
                <w:color w:val="auto"/>
              </w:rPr>
            </w:pPr>
          </w:p>
        </w:tc>
        <w:tc>
          <w:tcPr>
            <w:tcW w:w="740" w:type="dxa"/>
            <w:vAlign w:val="bottom"/>
            <w:tcBorders>
              <w:right w:val="single" w:sz="8" w:color="F0F0F0"/>
            </w:tcBorders>
            <w:shd w:val="clear" w:color="auto" w:fill="F0F0F0"/>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shd w:val="clear" w:color="auto" w:fill="F0F0F0"/>
          </w:tcPr>
          <w:p>
            <w:pPr>
              <w:spacing w:after="0"/>
              <w:rPr>
                <w:sz w:val="18"/>
                <w:szCs w:val="18"/>
                <w:color w:val="auto"/>
              </w:rPr>
            </w:pPr>
          </w:p>
        </w:tc>
        <w:tc>
          <w:tcPr>
            <w:tcW w:w="40" w:type="dxa"/>
            <w:vAlign w:val="bottom"/>
            <w:shd w:val="clear" w:color="auto" w:fill="F0F0F0"/>
          </w:tcPr>
          <w:p>
            <w:pPr>
              <w:spacing w:after="0"/>
              <w:rPr>
                <w:sz w:val="18"/>
                <w:szCs w:val="18"/>
                <w:color w:val="auto"/>
              </w:rPr>
            </w:pPr>
          </w:p>
        </w:tc>
        <w:tc>
          <w:tcPr>
            <w:tcW w:w="720" w:type="dxa"/>
            <w:vAlign w:val="bottom"/>
            <w:tcBorders>
              <w:right w:val="single" w:sz="8" w:color="F0F0F0"/>
            </w:tcBorders>
            <w:shd w:val="clear" w:color="auto" w:fill="F0F0F0"/>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shd w:val="clear" w:color="auto" w:fill="DCDDDE"/>
          </w:tcPr>
          <w:p>
            <w:pPr>
              <w:spacing w:after="0"/>
              <w:rPr>
                <w:sz w:val="18"/>
                <w:szCs w:val="18"/>
                <w:color w:val="auto"/>
              </w:rPr>
            </w:pPr>
          </w:p>
        </w:tc>
        <w:tc>
          <w:tcPr>
            <w:tcW w:w="40" w:type="dxa"/>
            <w:vAlign w:val="bottom"/>
            <w:shd w:val="clear" w:color="auto" w:fill="DCDD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Sales and other operating revenue</w:t>
            </w:r>
          </w:p>
        </w:tc>
        <w:tc>
          <w:tcPr>
            <w:tcW w:w="180" w:type="dxa"/>
            <w:vAlign w:val="bottom"/>
            <w:shd w:val="clear" w:color="auto" w:fill="F0F0F0"/>
          </w:tcPr>
          <w:p>
            <w:pPr>
              <w:spacing w:after="0"/>
              <w:rPr>
                <w:sz w:val="18"/>
                <w:szCs w:val="18"/>
                <w:color w:val="auto"/>
              </w:rPr>
            </w:pPr>
          </w:p>
        </w:tc>
        <w:tc>
          <w:tcPr>
            <w:tcW w:w="5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9,500</w:t>
            </w:r>
          </w:p>
        </w:tc>
        <w:tc>
          <w:tcPr>
            <w:tcW w:w="60" w:type="dxa"/>
            <w:vAlign w:val="bottom"/>
            <w:shd w:val="clear" w:color="auto" w:fill="F0F0F0"/>
          </w:tcPr>
          <w:p>
            <w:pPr>
              <w:spacing w:after="0"/>
              <w:rPr>
                <w:sz w:val="18"/>
                <w:szCs w:val="18"/>
                <w:color w:val="auto"/>
              </w:rPr>
            </w:pPr>
          </w:p>
        </w:tc>
        <w:tc>
          <w:tcPr>
            <w:tcW w:w="740" w:type="dxa"/>
            <w:vAlign w:val="bottom"/>
            <w:tcBorders>
              <w:right w:val="single" w:sz="8" w:color="F0F0F0"/>
            </w:tcBorders>
            <w:shd w:val="clear" w:color="auto" w:fill="F0F0F0"/>
          </w:tcPr>
          <w:p>
            <w:pPr>
              <w:jc w:val="right"/>
              <w:ind w:right="20"/>
              <w:spacing w:after="0"/>
              <w:rPr>
                <w:sz w:val="20"/>
                <w:szCs w:val="20"/>
                <w:color w:val="auto"/>
              </w:rPr>
            </w:pPr>
            <w:r>
              <w:rPr>
                <w:rFonts w:ascii="Times New Roman" w:cs="Times New Roman" w:eastAsia="Times New Roman" w:hAnsi="Times New Roman"/>
                <w:sz w:val="16"/>
                <w:szCs w:val="16"/>
                <w:color w:val="auto"/>
              </w:rPr>
              <w:t>16,074</w:t>
            </w: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103,868</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164,515</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7,951</w:t>
            </w:r>
          </w:p>
        </w:tc>
        <w:tc>
          <w:tcPr>
            <w:tcW w:w="40" w:type="dxa"/>
            <w:vAlign w:val="bottom"/>
            <w:shd w:val="clear" w:color="auto" w:fill="F0F0F0"/>
          </w:tcPr>
          <w:p>
            <w:pPr>
              <w:spacing w:after="0"/>
              <w:rPr>
                <w:sz w:val="18"/>
                <w:szCs w:val="18"/>
                <w:color w:val="auto"/>
              </w:rPr>
            </w:pPr>
          </w:p>
        </w:tc>
        <w:tc>
          <w:tcPr>
            <w:tcW w:w="72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14,314</w:t>
            </w: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6,044</w:t>
            </w: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12,363</w:t>
            </w:r>
          </w:p>
        </w:tc>
        <w:tc>
          <w:tcPr>
            <w:tcW w:w="760" w:type="dxa"/>
            <w:vAlign w:val="bottom"/>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334,629</w:t>
            </w:r>
          </w:p>
        </w:tc>
        <w:tc>
          <w:tcPr>
            <w:tcW w:w="40" w:type="dxa"/>
            <w:vAlign w:val="bottom"/>
            <w:shd w:val="clear" w:color="auto" w:fill="DCDD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Income from equity affiliates</w:t>
            </w:r>
          </w:p>
        </w:tc>
        <w:tc>
          <w:tcPr>
            <w:tcW w:w="180" w:type="dxa"/>
            <w:vAlign w:val="bottom"/>
            <w:shd w:val="clear" w:color="auto" w:fill="F0F0F0"/>
          </w:tcPr>
          <w:p>
            <w:pPr>
              <w:spacing w:after="0"/>
              <w:rPr>
                <w:sz w:val="18"/>
                <w:szCs w:val="18"/>
                <w:color w:val="auto"/>
              </w:rPr>
            </w:pPr>
          </w:p>
        </w:tc>
        <w:tc>
          <w:tcPr>
            <w:tcW w:w="5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60" w:type="dxa"/>
            <w:vAlign w:val="bottom"/>
            <w:shd w:val="clear" w:color="auto" w:fill="F0F0F0"/>
          </w:tcPr>
          <w:p>
            <w:pPr>
              <w:spacing w:after="0"/>
              <w:rPr>
                <w:sz w:val="18"/>
                <w:szCs w:val="18"/>
                <w:color w:val="auto"/>
              </w:rPr>
            </w:pPr>
          </w:p>
        </w:tc>
        <w:tc>
          <w:tcPr>
            <w:tcW w:w="740" w:type="dxa"/>
            <w:vAlign w:val="bottom"/>
            <w:tcBorders>
              <w:right w:val="single" w:sz="8" w:color="F0F0F0"/>
            </w:tcBorders>
            <w:shd w:val="clear" w:color="auto" w:fill="F0F0F0"/>
          </w:tcPr>
          <w:p>
            <w:pPr>
              <w:jc w:val="right"/>
              <w:ind w:right="20"/>
              <w:spacing w:after="0"/>
              <w:rPr>
                <w:sz w:val="20"/>
                <w:szCs w:val="20"/>
                <w:color w:val="auto"/>
              </w:rPr>
            </w:pPr>
            <w:r>
              <w:rPr>
                <w:rFonts w:ascii="Times New Roman" w:cs="Times New Roman" w:eastAsia="Times New Roman" w:hAnsi="Times New Roman"/>
                <w:sz w:val="16"/>
                <w:szCs w:val="16"/>
                <w:color w:val="auto"/>
              </w:rPr>
              <w:t>5,550</w:t>
            </w: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140</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131</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40" w:type="dxa"/>
            <w:vAlign w:val="bottom"/>
            <w:shd w:val="clear" w:color="auto" w:fill="F0F0F0"/>
          </w:tcPr>
          <w:p>
            <w:pPr>
              <w:spacing w:after="0"/>
              <w:rPr>
                <w:sz w:val="18"/>
                <w:szCs w:val="18"/>
                <w:color w:val="auto"/>
              </w:rPr>
            </w:pPr>
          </w:p>
        </w:tc>
        <w:tc>
          <w:tcPr>
            <w:tcW w:w="72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760" w:type="dxa"/>
            <w:vAlign w:val="bottom"/>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6,746</w:t>
            </w:r>
          </w:p>
        </w:tc>
        <w:tc>
          <w:tcPr>
            <w:tcW w:w="40" w:type="dxa"/>
            <w:vAlign w:val="bottom"/>
            <w:shd w:val="clear" w:color="auto" w:fill="DCDD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Intersegment revenue</w:t>
            </w:r>
          </w:p>
        </w:tc>
        <w:tc>
          <w:tcPr>
            <w:tcW w:w="180" w:type="dxa"/>
            <w:vAlign w:val="bottom"/>
            <w:shd w:val="clear" w:color="auto" w:fill="F0F0F0"/>
          </w:tcPr>
          <w:p>
            <w:pPr>
              <w:spacing w:after="0"/>
              <w:rPr>
                <w:sz w:val="18"/>
                <w:szCs w:val="18"/>
                <w:color w:val="auto"/>
              </w:rPr>
            </w:pPr>
          </w:p>
        </w:tc>
        <w:tc>
          <w:tcPr>
            <w:tcW w:w="5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w w:val="99"/>
              </w:rPr>
              <w:t>20,971</w:t>
            </w:r>
          </w:p>
        </w:tc>
        <w:tc>
          <w:tcPr>
            <w:tcW w:w="60" w:type="dxa"/>
            <w:vAlign w:val="bottom"/>
            <w:shd w:val="clear" w:color="auto" w:fill="F0F0F0"/>
          </w:tcPr>
          <w:p>
            <w:pPr>
              <w:spacing w:after="0"/>
              <w:rPr>
                <w:sz w:val="18"/>
                <w:szCs w:val="18"/>
                <w:color w:val="auto"/>
              </w:rPr>
            </w:pPr>
          </w:p>
        </w:tc>
        <w:tc>
          <w:tcPr>
            <w:tcW w:w="740" w:type="dxa"/>
            <w:vAlign w:val="bottom"/>
            <w:tcBorders>
              <w:right w:val="single" w:sz="8" w:color="F0F0F0"/>
            </w:tcBorders>
            <w:shd w:val="clear" w:color="auto" w:fill="F0F0F0"/>
          </w:tcPr>
          <w:p>
            <w:pPr>
              <w:jc w:val="right"/>
              <w:ind w:right="20"/>
              <w:spacing w:after="0"/>
              <w:rPr>
                <w:sz w:val="20"/>
                <w:szCs w:val="20"/>
                <w:color w:val="auto"/>
              </w:rPr>
            </w:pPr>
            <w:r>
              <w:rPr>
                <w:rFonts w:ascii="Times New Roman" w:cs="Times New Roman" w:eastAsia="Times New Roman" w:hAnsi="Times New Roman"/>
                <w:sz w:val="16"/>
                <w:szCs w:val="16"/>
                <w:color w:val="auto"/>
              </w:rPr>
              <w:t>38,982</w:t>
            </w: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23,481</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28,258</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7,991</w:t>
            </w:r>
          </w:p>
        </w:tc>
        <w:tc>
          <w:tcPr>
            <w:tcW w:w="40" w:type="dxa"/>
            <w:vAlign w:val="bottom"/>
            <w:shd w:val="clear" w:color="auto" w:fill="F0F0F0"/>
          </w:tcPr>
          <w:p>
            <w:pPr>
              <w:spacing w:after="0"/>
              <w:rPr>
                <w:sz w:val="18"/>
                <w:szCs w:val="18"/>
                <w:color w:val="auto"/>
              </w:rPr>
            </w:pPr>
          </w:p>
        </w:tc>
        <w:tc>
          <w:tcPr>
            <w:tcW w:w="72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3,643</w:t>
            </w: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2,570</w:t>
            </w: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555</w:t>
            </w:r>
          </w:p>
        </w:tc>
        <w:tc>
          <w:tcPr>
            <w:tcW w:w="760" w:type="dxa"/>
            <w:vAlign w:val="bottom"/>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126,451</w:t>
            </w:r>
          </w:p>
        </w:tc>
        <w:tc>
          <w:tcPr>
            <w:tcW w:w="40" w:type="dxa"/>
            <w:vAlign w:val="bottom"/>
            <w:shd w:val="clear" w:color="auto" w:fill="DCDDD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2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6"/>
                <w:szCs w:val="16"/>
                <w:color w:val="auto"/>
              </w:rPr>
              <w:t>Other income</w:t>
            </w:r>
          </w:p>
        </w:tc>
        <w:tc>
          <w:tcPr>
            <w:tcW w:w="180" w:type="dxa"/>
            <w:vAlign w:val="bottom"/>
            <w:tcBorders>
              <w:bottom w:val="single" w:sz="8" w:color="0C479D"/>
            </w:tcBorders>
            <w:shd w:val="clear" w:color="auto" w:fill="F0F0F0"/>
          </w:tcPr>
          <w:p>
            <w:pPr>
              <w:spacing w:after="0"/>
              <w:rPr>
                <w:sz w:val="19"/>
                <w:szCs w:val="19"/>
                <w:color w:val="auto"/>
              </w:rPr>
            </w:pPr>
          </w:p>
        </w:tc>
        <w:tc>
          <w:tcPr>
            <w:tcW w:w="5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60" w:type="dxa"/>
            <w:vAlign w:val="bottom"/>
            <w:tcBorders>
              <w:bottom w:val="single" w:sz="8" w:color="0C479D"/>
            </w:tcBorders>
            <w:shd w:val="clear" w:color="auto" w:fill="F0F0F0"/>
          </w:tcPr>
          <w:p>
            <w:pPr>
              <w:spacing w:after="0"/>
              <w:rPr>
                <w:sz w:val="19"/>
                <w:szCs w:val="19"/>
                <w:color w:val="auto"/>
              </w:rPr>
            </w:pPr>
          </w:p>
        </w:tc>
        <w:tc>
          <w:tcPr>
            <w:tcW w:w="740" w:type="dxa"/>
            <w:vAlign w:val="bottom"/>
            <w:tcBorders>
              <w:bottom w:val="single" w:sz="8" w:color="0C479D"/>
              <w:right w:val="single" w:sz="8" w:color="F0F0F0"/>
            </w:tcBorders>
            <w:shd w:val="clear" w:color="auto" w:fill="F0F0F0"/>
          </w:tcPr>
          <w:p>
            <w:pPr>
              <w:jc w:val="right"/>
              <w:ind w:right="20"/>
              <w:spacing w:after="0"/>
              <w:rPr>
                <w:sz w:val="20"/>
                <w:szCs w:val="20"/>
                <w:color w:val="auto"/>
              </w:rPr>
            </w:pPr>
            <w:r>
              <w:rPr>
                <w:rFonts w:ascii="Times New Roman" w:cs="Times New Roman" w:eastAsia="Times New Roman" w:hAnsi="Times New Roman"/>
                <w:sz w:val="16"/>
                <w:szCs w:val="16"/>
                <w:color w:val="auto"/>
              </w:rPr>
              <w:t>466</w:t>
            </w:r>
          </w:p>
        </w:tc>
        <w:tc>
          <w:tcPr>
            <w:tcW w:w="740" w:type="dxa"/>
            <w:vAlign w:val="bottom"/>
            <w:tcBorders>
              <w:bottom w:val="single" w:sz="8" w:color="0C479D"/>
            </w:tcBorders>
          </w:tcPr>
          <w:p>
            <w:pPr>
              <w:jc w:val="right"/>
              <w:ind w:right="1"/>
              <w:spacing w:after="0"/>
              <w:rPr>
                <w:sz w:val="20"/>
                <w:szCs w:val="20"/>
                <w:color w:val="auto"/>
              </w:rPr>
            </w:pPr>
            <w:r>
              <w:rPr>
                <w:rFonts w:ascii="Times New Roman" w:cs="Times New Roman" w:eastAsia="Times New Roman" w:hAnsi="Times New Roman"/>
                <w:sz w:val="16"/>
                <w:szCs w:val="16"/>
                <w:color w:val="auto"/>
              </w:rPr>
              <w:t>183</w:t>
            </w:r>
          </w:p>
        </w:tc>
        <w:tc>
          <w:tcPr>
            <w:tcW w:w="76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color w:val="auto"/>
              </w:rPr>
              <w:t>87</w:t>
            </w:r>
          </w:p>
        </w:tc>
        <w:tc>
          <w:tcPr>
            <w:tcW w:w="68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40" w:type="dxa"/>
            <w:vAlign w:val="bottom"/>
            <w:tcBorders>
              <w:bottom w:val="single" w:sz="8" w:color="0C479D"/>
            </w:tcBorders>
            <w:shd w:val="clear" w:color="auto" w:fill="F0F0F0"/>
          </w:tcPr>
          <w:p>
            <w:pPr>
              <w:spacing w:after="0"/>
              <w:rPr>
                <w:sz w:val="19"/>
                <w:szCs w:val="19"/>
                <w:color w:val="auto"/>
              </w:rPr>
            </w:pPr>
          </w:p>
        </w:tc>
        <w:tc>
          <w:tcPr>
            <w:tcW w:w="720" w:type="dxa"/>
            <w:vAlign w:val="bottom"/>
            <w:tcBorders>
              <w:bottom w:val="single" w:sz="8" w:color="0C479D"/>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720" w:type="dxa"/>
            <w:vAlign w:val="bottom"/>
            <w:tcBorders>
              <w:bottom w:val="single" w:sz="8" w:color="0C479D"/>
            </w:tcBorders>
          </w:tcPr>
          <w:p>
            <w:pPr>
              <w:jc w:val="right"/>
              <w:ind w:right="1"/>
              <w:spacing w:after="0"/>
              <w:rPr>
                <w:sz w:val="20"/>
                <w:szCs w:val="20"/>
                <w:color w:val="auto"/>
              </w:rPr>
            </w:pPr>
            <w:r>
              <w:rPr>
                <w:rFonts w:ascii="Times New Roman" w:cs="Times New Roman" w:eastAsia="Times New Roman" w:hAnsi="Times New Roman"/>
                <w:sz w:val="16"/>
                <w:szCs w:val="16"/>
                <w:color w:val="auto"/>
              </w:rPr>
              <w:t>19</w:t>
            </w:r>
          </w:p>
        </w:tc>
        <w:tc>
          <w:tcPr>
            <w:tcW w:w="74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color w:val="auto"/>
              </w:rPr>
              <w:t>139</w:t>
            </w:r>
          </w:p>
        </w:tc>
        <w:tc>
          <w:tcPr>
            <w:tcW w:w="760" w:type="dxa"/>
            <w:vAlign w:val="bottom"/>
            <w:tcBorders>
              <w:bottom w:val="single" w:sz="8" w:color="0C479D"/>
            </w:tcBorders>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1,543</w:t>
            </w:r>
          </w:p>
        </w:tc>
        <w:tc>
          <w:tcPr>
            <w:tcW w:w="40" w:type="dxa"/>
            <w:vAlign w:val="bottom"/>
            <w:tcBorders>
              <w:bottom w:val="single" w:sz="8" w:color="0C479D"/>
            </w:tcBorders>
            <w:shd w:val="clear" w:color="auto" w:fill="DCDDD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Segment revenues and other income</w:t>
            </w:r>
          </w:p>
        </w:tc>
        <w:tc>
          <w:tcPr>
            <w:tcW w:w="180" w:type="dxa"/>
            <w:vAlign w:val="bottom"/>
            <w:shd w:val="clear" w:color="auto" w:fill="F0F0F0"/>
          </w:tcPr>
          <w:p>
            <w:pPr>
              <w:spacing w:after="0"/>
              <w:rPr>
                <w:sz w:val="18"/>
                <w:szCs w:val="18"/>
                <w:color w:val="auto"/>
              </w:rPr>
            </w:pPr>
          </w:p>
        </w:tc>
        <w:tc>
          <w:tcPr>
            <w:tcW w:w="5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31,165</w:t>
            </w:r>
          </w:p>
        </w:tc>
        <w:tc>
          <w:tcPr>
            <w:tcW w:w="60" w:type="dxa"/>
            <w:vAlign w:val="bottom"/>
            <w:shd w:val="clear" w:color="auto" w:fill="F0F0F0"/>
          </w:tcPr>
          <w:p>
            <w:pPr>
              <w:spacing w:after="0"/>
              <w:rPr>
                <w:sz w:val="18"/>
                <w:szCs w:val="18"/>
                <w:color w:val="auto"/>
              </w:rPr>
            </w:pPr>
          </w:p>
        </w:tc>
        <w:tc>
          <w:tcPr>
            <w:tcW w:w="740" w:type="dxa"/>
            <w:vAlign w:val="bottom"/>
            <w:tcBorders>
              <w:right w:val="single" w:sz="8" w:color="F0F0F0"/>
            </w:tcBorders>
            <w:shd w:val="clear" w:color="auto" w:fill="F0F0F0"/>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61,072</w:t>
            </w: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127,672</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192,991</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16,074</w:t>
            </w:r>
          </w:p>
        </w:tc>
        <w:tc>
          <w:tcPr>
            <w:tcW w:w="40" w:type="dxa"/>
            <w:vAlign w:val="bottom"/>
            <w:shd w:val="clear" w:color="auto" w:fill="F0F0F0"/>
          </w:tcPr>
          <w:p>
            <w:pPr>
              <w:spacing w:after="0"/>
              <w:rPr>
                <w:sz w:val="18"/>
                <w:szCs w:val="18"/>
                <w:color w:val="auto"/>
              </w:rPr>
            </w:pPr>
          </w:p>
        </w:tc>
        <w:tc>
          <w:tcPr>
            <w:tcW w:w="72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18,730</w:t>
            </w: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8,633</w:t>
            </w: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13,032</w:t>
            </w:r>
          </w:p>
        </w:tc>
        <w:tc>
          <w:tcPr>
            <w:tcW w:w="760" w:type="dxa"/>
            <w:vAlign w:val="bottom"/>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469,369</w:t>
            </w:r>
          </w:p>
        </w:tc>
        <w:tc>
          <w:tcPr>
            <w:tcW w:w="40" w:type="dxa"/>
            <w:vAlign w:val="bottom"/>
            <w:shd w:val="clear" w:color="auto" w:fill="DCDDD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020" w:type="dxa"/>
            <w:vAlign w:val="bottom"/>
          </w:tcPr>
          <w:p>
            <w:pPr>
              <w:spacing w:after="0"/>
              <w:rPr>
                <w:sz w:val="20"/>
                <w:szCs w:val="20"/>
                <w:color w:val="auto"/>
              </w:rPr>
            </w:pPr>
            <w:r>
              <w:rPr>
                <w:rFonts w:ascii="Times New Roman" w:cs="Times New Roman" w:eastAsia="Times New Roman" w:hAnsi="Times New Roman"/>
                <w:sz w:val="16"/>
                <w:szCs w:val="16"/>
                <w:b w:val="1"/>
                <w:bCs w:val="1"/>
                <w:color w:val="0C479D"/>
              </w:rPr>
              <w:t>Costs and other items</w:t>
            </w:r>
          </w:p>
        </w:tc>
        <w:tc>
          <w:tcPr>
            <w:tcW w:w="180" w:type="dxa"/>
            <w:vAlign w:val="bottom"/>
            <w:shd w:val="clear" w:color="auto" w:fill="F0F0F0"/>
          </w:tcPr>
          <w:p>
            <w:pPr>
              <w:spacing w:after="0"/>
              <w:rPr>
                <w:sz w:val="24"/>
                <w:szCs w:val="24"/>
                <w:color w:val="auto"/>
              </w:rPr>
            </w:pPr>
          </w:p>
        </w:tc>
        <w:tc>
          <w:tcPr>
            <w:tcW w:w="500" w:type="dxa"/>
            <w:vAlign w:val="bottom"/>
            <w:shd w:val="clear" w:color="auto" w:fill="F0F0F0"/>
          </w:tcPr>
          <w:p>
            <w:pPr>
              <w:spacing w:after="0"/>
              <w:rPr>
                <w:sz w:val="24"/>
                <w:szCs w:val="24"/>
                <w:color w:val="auto"/>
              </w:rPr>
            </w:pPr>
          </w:p>
        </w:tc>
        <w:tc>
          <w:tcPr>
            <w:tcW w:w="60" w:type="dxa"/>
            <w:vAlign w:val="bottom"/>
            <w:shd w:val="clear" w:color="auto" w:fill="F0F0F0"/>
          </w:tcPr>
          <w:p>
            <w:pPr>
              <w:spacing w:after="0"/>
              <w:rPr>
                <w:sz w:val="24"/>
                <w:szCs w:val="24"/>
                <w:color w:val="auto"/>
              </w:rPr>
            </w:pPr>
          </w:p>
        </w:tc>
        <w:tc>
          <w:tcPr>
            <w:tcW w:w="740" w:type="dxa"/>
            <w:vAlign w:val="bottom"/>
            <w:tcBorders>
              <w:right w:val="single" w:sz="8" w:color="F0F0F0"/>
            </w:tcBorders>
            <w:shd w:val="clear" w:color="auto" w:fill="F0F0F0"/>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shd w:val="clear" w:color="auto" w:fill="F0F0F0"/>
          </w:tcPr>
          <w:p>
            <w:pPr>
              <w:spacing w:after="0"/>
              <w:rPr>
                <w:sz w:val="24"/>
                <w:szCs w:val="24"/>
                <w:color w:val="auto"/>
              </w:rPr>
            </w:pPr>
          </w:p>
        </w:tc>
        <w:tc>
          <w:tcPr>
            <w:tcW w:w="40" w:type="dxa"/>
            <w:vAlign w:val="bottom"/>
            <w:shd w:val="clear" w:color="auto" w:fill="F0F0F0"/>
          </w:tcPr>
          <w:p>
            <w:pPr>
              <w:spacing w:after="0"/>
              <w:rPr>
                <w:sz w:val="24"/>
                <w:szCs w:val="24"/>
                <w:color w:val="auto"/>
              </w:rPr>
            </w:pPr>
          </w:p>
        </w:tc>
        <w:tc>
          <w:tcPr>
            <w:tcW w:w="720" w:type="dxa"/>
            <w:vAlign w:val="bottom"/>
            <w:tcBorders>
              <w:right w:val="single" w:sz="8" w:color="F0F0F0"/>
            </w:tcBorders>
            <w:shd w:val="clear" w:color="auto" w:fill="F0F0F0"/>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vMerge w:val="restart"/>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317,100</w:t>
            </w:r>
          </w:p>
        </w:tc>
        <w:tc>
          <w:tcPr>
            <w:tcW w:w="40" w:type="dxa"/>
            <w:vAlign w:val="bottom"/>
            <w:shd w:val="clear" w:color="auto" w:fill="DCDDD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Crude oil and product purchases</w:t>
            </w:r>
          </w:p>
        </w:tc>
        <w:tc>
          <w:tcPr>
            <w:tcW w:w="180" w:type="dxa"/>
            <w:vAlign w:val="bottom"/>
            <w:shd w:val="clear" w:color="auto" w:fill="F0F0F0"/>
          </w:tcPr>
          <w:p>
            <w:pPr>
              <w:spacing w:after="0"/>
              <w:rPr>
                <w:sz w:val="18"/>
                <w:szCs w:val="18"/>
                <w:color w:val="auto"/>
              </w:rPr>
            </w:pPr>
          </w:p>
        </w:tc>
        <w:tc>
          <w:tcPr>
            <w:tcW w:w="5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9,945</w:t>
            </w:r>
          </w:p>
        </w:tc>
        <w:tc>
          <w:tcPr>
            <w:tcW w:w="60" w:type="dxa"/>
            <w:vAlign w:val="bottom"/>
            <w:shd w:val="clear" w:color="auto" w:fill="F0F0F0"/>
          </w:tcPr>
          <w:p>
            <w:pPr>
              <w:spacing w:after="0"/>
              <w:rPr>
                <w:sz w:val="18"/>
                <w:szCs w:val="18"/>
                <w:color w:val="auto"/>
              </w:rPr>
            </w:pPr>
          </w:p>
        </w:tc>
        <w:tc>
          <w:tcPr>
            <w:tcW w:w="740" w:type="dxa"/>
            <w:vAlign w:val="bottom"/>
            <w:tcBorders>
              <w:right w:val="single" w:sz="8" w:color="F0F0F0"/>
            </w:tcBorders>
            <w:shd w:val="clear" w:color="auto" w:fill="F0F0F0"/>
          </w:tcPr>
          <w:p>
            <w:pPr>
              <w:jc w:val="right"/>
              <w:ind w:right="20"/>
              <w:spacing w:after="0"/>
              <w:rPr>
                <w:sz w:val="20"/>
                <w:szCs w:val="20"/>
                <w:color w:val="auto"/>
              </w:rPr>
            </w:pPr>
            <w:r>
              <w:rPr>
                <w:rFonts w:ascii="Times New Roman" w:cs="Times New Roman" w:eastAsia="Times New Roman" w:hAnsi="Times New Roman"/>
                <w:sz w:val="16"/>
                <w:szCs w:val="16"/>
                <w:color w:val="auto"/>
              </w:rPr>
              <w:t>11,279</w:t>
            </w: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107,796</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152,487</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8,824</w:t>
            </w:r>
          </w:p>
        </w:tc>
        <w:tc>
          <w:tcPr>
            <w:tcW w:w="40" w:type="dxa"/>
            <w:vAlign w:val="bottom"/>
            <w:shd w:val="clear" w:color="auto" w:fill="F0F0F0"/>
          </w:tcPr>
          <w:p>
            <w:pPr>
              <w:spacing w:after="0"/>
              <w:rPr>
                <w:sz w:val="18"/>
                <w:szCs w:val="18"/>
                <w:color w:val="auto"/>
              </w:rPr>
            </w:pPr>
          </w:p>
        </w:tc>
        <w:tc>
          <w:tcPr>
            <w:tcW w:w="72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13,096</w:t>
            </w: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4,718</w:t>
            </w: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8,955</w:t>
            </w:r>
          </w:p>
        </w:tc>
        <w:tc>
          <w:tcPr>
            <w:tcW w:w="760" w:type="dxa"/>
            <w:vAlign w:val="bottom"/>
            <w:vMerge w:val="continue"/>
            <w:shd w:val="clear" w:color="auto" w:fill="DCDDDE"/>
          </w:tcPr>
          <w:p>
            <w:pPr>
              <w:spacing w:after="0"/>
              <w:rPr>
                <w:sz w:val="18"/>
                <w:szCs w:val="18"/>
                <w:color w:val="auto"/>
              </w:rPr>
            </w:pPr>
          </w:p>
        </w:tc>
        <w:tc>
          <w:tcPr>
            <w:tcW w:w="40" w:type="dxa"/>
            <w:vAlign w:val="bottom"/>
            <w:shd w:val="clear" w:color="auto" w:fill="DCDDD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302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Operating expenses, excl. depreciation and</w:t>
            </w:r>
          </w:p>
        </w:tc>
        <w:tc>
          <w:tcPr>
            <w:tcW w:w="180" w:type="dxa"/>
            <w:vAlign w:val="bottom"/>
            <w:shd w:val="clear" w:color="auto" w:fill="F0F0F0"/>
          </w:tcPr>
          <w:p>
            <w:pPr>
              <w:spacing w:after="0"/>
              <w:rPr>
                <w:sz w:val="14"/>
                <w:szCs w:val="14"/>
                <w:color w:val="auto"/>
              </w:rPr>
            </w:pPr>
          </w:p>
        </w:tc>
        <w:tc>
          <w:tcPr>
            <w:tcW w:w="50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6,696</w:t>
            </w:r>
          </w:p>
        </w:tc>
        <w:tc>
          <w:tcPr>
            <w:tcW w:w="60" w:type="dxa"/>
            <w:vAlign w:val="bottom"/>
            <w:shd w:val="clear" w:color="auto" w:fill="F0F0F0"/>
          </w:tcPr>
          <w:p>
            <w:pPr>
              <w:spacing w:after="0"/>
              <w:rPr>
                <w:sz w:val="14"/>
                <w:szCs w:val="14"/>
                <w:color w:val="auto"/>
              </w:rPr>
            </w:pPr>
          </w:p>
        </w:tc>
        <w:tc>
          <w:tcPr>
            <w:tcW w:w="740" w:type="dxa"/>
            <w:vAlign w:val="bottom"/>
            <w:tcBorders>
              <w:right w:val="single" w:sz="8" w:color="F0F0F0"/>
            </w:tcBorders>
            <w:vMerge w:val="restart"/>
            <w:shd w:val="clear" w:color="auto" w:fill="F0F0F0"/>
          </w:tcPr>
          <w:p>
            <w:pPr>
              <w:jc w:val="right"/>
              <w:ind w:right="20"/>
              <w:spacing w:after="0"/>
              <w:rPr>
                <w:sz w:val="20"/>
                <w:szCs w:val="20"/>
                <w:color w:val="auto"/>
              </w:rPr>
            </w:pPr>
            <w:r>
              <w:rPr>
                <w:rFonts w:ascii="Times New Roman" w:cs="Times New Roman" w:eastAsia="Times New Roman" w:hAnsi="Times New Roman"/>
                <w:sz w:val="16"/>
                <w:szCs w:val="16"/>
                <w:color w:val="auto"/>
              </w:rPr>
              <w:t>10,960</w:t>
            </w:r>
          </w:p>
        </w:tc>
        <w:tc>
          <w:tcPr>
            <w:tcW w:w="7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7,851</w:t>
            </w:r>
          </w:p>
        </w:tc>
        <w:tc>
          <w:tcPr>
            <w:tcW w:w="76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9,434</w:t>
            </w:r>
          </w:p>
        </w:tc>
        <w:tc>
          <w:tcPr>
            <w:tcW w:w="68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4,560</w:t>
            </w:r>
          </w:p>
        </w:tc>
        <w:tc>
          <w:tcPr>
            <w:tcW w:w="40" w:type="dxa"/>
            <w:vAlign w:val="bottom"/>
            <w:shd w:val="clear" w:color="auto" w:fill="F0F0F0"/>
          </w:tcPr>
          <w:p>
            <w:pPr>
              <w:spacing w:after="0"/>
              <w:rPr>
                <w:sz w:val="14"/>
                <w:szCs w:val="14"/>
                <w:color w:val="auto"/>
              </w:rPr>
            </w:pPr>
          </w:p>
        </w:tc>
        <w:tc>
          <w:tcPr>
            <w:tcW w:w="720" w:type="dxa"/>
            <w:vAlign w:val="bottom"/>
            <w:tcBorders>
              <w:right w:val="single" w:sz="8" w:color="F0F0F0"/>
            </w:tcBorders>
            <w:vMerge w:val="restart"/>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4,643</w:t>
            </w:r>
          </w:p>
        </w:tc>
        <w:tc>
          <w:tcPr>
            <w:tcW w:w="7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1,822</w:t>
            </w:r>
          </w:p>
        </w:tc>
        <w:tc>
          <w:tcPr>
            <w:tcW w:w="74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2,238</w:t>
            </w:r>
          </w:p>
        </w:tc>
        <w:tc>
          <w:tcPr>
            <w:tcW w:w="760" w:type="dxa"/>
            <w:vAlign w:val="bottom"/>
            <w:vMerge w:val="restart"/>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48,204</w:t>
            </w:r>
          </w:p>
        </w:tc>
        <w:tc>
          <w:tcPr>
            <w:tcW w:w="40" w:type="dxa"/>
            <w:vAlign w:val="bottom"/>
            <w:shd w:val="clear" w:color="auto" w:fill="DCDDD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depletion </w:t>
            </w:r>
            <w:r>
              <w:rPr>
                <w:rFonts w:ascii="Times New Roman" w:cs="Times New Roman" w:eastAsia="Times New Roman" w:hAnsi="Times New Roman"/>
                <w:sz w:val="21"/>
                <w:szCs w:val="21"/>
                <w:i w:val="1"/>
                <w:iCs w:val="1"/>
                <w:color w:val="auto"/>
                <w:vertAlign w:val="superscript"/>
              </w:rPr>
              <w:t>(1)</w:t>
            </w:r>
          </w:p>
        </w:tc>
        <w:tc>
          <w:tcPr>
            <w:tcW w:w="180" w:type="dxa"/>
            <w:vAlign w:val="bottom"/>
            <w:shd w:val="clear" w:color="auto" w:fill="F0F0F0"/>
          </w:tcPr>
          <w:p>
            <w:pPr>
              <w:spacing w:after="0"/>
              <w:rPr>
                <w:sz w:val="18"/>
                <w:szCs w:val="18"/>
                <w:color w:val="auto"/>
              </w:rPr>
            </w:pPr>
          </w:p>
        </w:tc>
        <w:tc>
          <w:tcPr>
            <w:tcW w:w="500" w:type="dxa"/>
            <w:vAlign w:val="bottom"/>
            <w:vMerge w:val="continue"/>
            <w:shd w:val="clear" w:color="auto" w:fill="F0F0F0"/>
          </w:tcPr>
          <w:p>
            <w:pPr>
              <w:spacing w:after="0"/>
              <w:rPr>
                <w:sz w:val="18"/>
                <w:szCs w:val="18"/>
                <w:color w:val="auto"/>
              </w:rPr>
            </w:pPr>
          </w:p>
        </w:tc>
        <w:tc>
          <w:tcPr>
            <w:tcW w:w="60" w:type="dxa"/>
            <w:vAlign w:val="bottom"/>
            <w:shd w:val="clear" w:color="auto" w:fill="F0F0F0"/>
          </w:tcPr>
          <w:p>
            <w:pPr>
              <w:spacing w:after="0"/>
              <w:rPr>
                <w:sz w:val="18"/>
                <w:szCs w:val="18"/>
                <w:color w:val="auto"/>
              </w:rPr>
            </w:pPr>
          </w:p>
        </w:tc>
        <w:tc>
          <w:tcPr>
            <w:tcW w:w="740" w:type="dxa"/>
            <w:vAlign w:val="bottom"/>
            <w:tcBorders>
              <w:right w:val="single" w:sz="8" w:color="F0F0F0"/>
            </w:tcBorders>
            <w:vMerge w:val="continue"/>
            <w:shd w:val="clear" w:color="auto" w:fill="F0F0F0"/>
          </w:tcPr>
          <w:p>
            <w:pPr>
              <w:spacing w:after="0"/>
              <w:rPr>
                <w:sz w:val="18"/>
                <w:szCs w:val="18"/>
                <w:color w:val="auto"/>
              </w:rPr>
            </w:pPr>
          </w:p>
        </w:tc>
        <w:tc>
          <w:tcPr>
            <w:tcW w:w="74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680" w:type="dxa"/>
            <w:vAlign w:val="bottom"/>
            <w:vMerge w:val="continue"/>
            <w:shd w:val="clear" w:color="auto" w:fill="F0F0F0"/>
          </w:tcPr>
          <w:p>
            <w:pPr>
              <w:spacing w:after="0"/>
              <w:rPr>
                <w:sz w:val="18"/>
                <w:szCs w:val="18"/>
                <w:color w:val="auto"/>
              </w:rPr>
            </w:pPr>
          </w:p>
        </w:tc>
        <w:tc>
          <w:tcPr>
            <w:tcW w:w="40" w:type="dxa"/>
            <w:vAlign w:val="bottom"/>
            <w:shd w:val="clear" w:color="auto" w:fill="F0F0F0"/>
          </w:tcPr>
          <w:p>
            <w:pPr>
              <w:spacing w:after="0"/>
              <w:rPr>
                <w:sz w:val="18"/>
                <w:szCs w:val="18"/>
                <w:color w:val="auto"/>
              </w:rPr>
            </w:pPr>
          </w:p>
        </w:tc>
        <w:tc>
          <w:tcPr>
            <w:tcW w:w="720" w:type="dxa"/>
            <w:vAlign w:val="bottom"/>
            <w:tcBorders>
              <w:right w:val="single" w:sz="8" w:color="F0F0F0"/>
            </w:tcBorders>
            <w:vMerge w:val="continue"/>
            <w:shd w:val="clear" w:color="auto" w:fill="F0F0F0"/>
          </w:tcPr>
          <w:p>
            <w:pPr>
              <w:spacing w:after="0"/>
              <w:rPr>
                <w:sz w:val="18"/>
                <w:szCs w:val="18"/>
                <w:color w:val="auto"/>
              </w:rPr>
            </w:pPr>
          </w:p>
        </w:tc>
        <w:tc>
          <w:tcPr>
            <w:tcW w:w="72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760" w:type="dxa"/>
            <w:vAlign w:val="bottom"/>
            <w:vMerge w:val="continue"/>
            <w:shd w:val="clear" w:color="auto" w:fill="DCDDDE"/>
          </w:tcPr>
          <w:p>
            <w:pPr>
              <w:spacing w:after="0"/>
              <w:rPr>
                <w:sz w:val="18"/>
                <w:szCs w:val="18"/>
                <w:color w:val="auto"/>
              </w:rPr>
            </w:pPr>
          </w:p>
        </w:tc>
        <w:tc>
          <w:tcPr>
            <w:tcW w:w="40" w:type="dxa"/>
            <w:vAlign w:val="bottom"/>
            <w:shd w:val="clear" w:color="auto" w:fill="DCDDD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2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Depreciation and depletion (includes</w:t>
            </w:r>
          </w:p>
        </w:tc>
        <w:tc>
          <w:tcPr>
            <w:tcW w:w="180" w:type="dxa"/>
            <w:vAlign w:val="bottom"/>
            <w:shd w:val="clear" w:color="auto" w:fill="F0F0F0"/>
          </w:tcPr>
          <w:p>
            <w:pPr>
              <w:spacing w:after="0"/>
              <w:rPr>
                <w:sz w:val="14"/>
                <w:szCs w:val="14"/>
                <w:color w:val="auto"/>
              </w:rPr>
            </w:pPr>
          </w:p>
        </w:tc>
        <w:tc>
          <w:tcPr>
            <w:tcW w:w="50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8,863</w:t>
            </w:r>
          </w:p>
        </w:tc>
        <w:tc>
          <w:tcPr>
            <w:tcW w:w="60" w:type="dxa"/>
            <w:vAlign w:val="bottom"/>
            <w:shd w:val="clear" w:color="auto" w:fill="F0F0F0"/>
          </w:tcPr>
          <w:p>
            <w:pPr>
              <w:spacing w:after="0"/>
              <w:rPr>
                <w:sz w:val="14"/>
                <w:szCs w:val="14"/>
                <w:color w:val="auto"/>
              </w:rPr>
            </w:pPr>
          </w:p>
        </w:tc>
        <w:tc>
          <w:tcPr>
            <w:tcW w:w="740" w:type="dxa"/>
            <w:vAlign w:val="bottom"/>
            <w:tcBorders>
              <w:right w:val="single" w:sz="8" w:color="F0F0F0"/>
            </w:tcBorders>
            <w:vMerge w:val="restart"/>
            <w:shd w:val="clear" w:color="auto" w:fill="F0F0F0"/>
          </w:tcPr>
          <w:p>
            <w:pPr>
              <w:jc w:val="right"/>
              <w:ind w:right="20"/>
              <w:spacing w:after="0"/>
              <w:rPr>
                <w:sz w:val="20"/>
                <w:szCs w:val="20"/>
                <w:color w:val="auto"/>
              </w:rPr>
            </w:pPr>
            <w:r>
              <w:rPr>
                <w:rFonts w:ascii="Times New Roman" w:cs="Times New Roman" w:eastAsia="Times New Roman" w:hAnsi="Times New Roman"/>
                <w:sz w:val="16"/>
                <w:szCs w:val="16"/>
                <w:color w:val="auto"/>
              </w:rPr>
              <w:t>7,737</w:t>
            </w:r>
          </w:p>
        </w:tc>
        <w:tc>
          <w:tcPr>
            <w:tcW w:w="7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765</w:t>
            </w:r>
          </w:p>
        </w:tc>
        <w:tc>
          <w:tcPr>
            <w:tcW w:w="76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797</w:t>
            </w:r>
          </w:p>
        </w:tc>
        <w:tc>
          <w:tcPr>
            <w:tcW w:w="68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40" w:type="dxa"/>
            <w:vAlign w:val="bottom"/>
            <w:shd w:val="clear" w:color="auto" w:fill="F0F0F0"/>
          </w:tcPr>
          <w:p>
            <w:pPr>
              <w:spacing w:after="0"/>
              <w:rPr>
                <w:sz w:val="14"/>
                <w:szCs w:val="14"/>
                <w:color w:val="auto"/>
              </w:rPr>
            </w:pPr>
          </w:p>
        </w:tc>
        <w:tc>
          <w:tcPr>
            <w:tcW w:w="720" w:type="dxa"/>
            <w:vAlign w:val="bottom"/>
            <w:tcBorders>
              <w:right w:val="single" w:sz="8" w:color="F0F0F0"/>
            </w:tcBorders>
            <w:vMerge w:val="restart"/>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7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93</w:t>
            </w:r>
          </w:p>
        </w:tc>
        <w:tc>
          <w:tcPr>
            <w:tcW w:w="74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222</w:t>
            </w:r>
          </w:p>
        </w:tc>
        <w:tc>
          <w:tcPr>
            <w:tcW w:w="760" w:type="dxa"/>
            <w:vAlign w:val="bottom"/>
            <w:vMerge w:val="restart"/>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19,788</w:t>
            </w:r>
          </w:p>
        </w:tc>
        <w:tc>
          <w:tcPr>
            <w:tcW w:w="40" w:type="dxa"/>
            <w:vAlign w:val="bottom"/>
            <w:shd w:val="clear" w:color="auto" w:fill="DCDDD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impairments)</w:t>
            </w:r>
          </w:p>
        </w:tc>
        <w:tc>
          <w:tcPr>
            <w:tcW w:w="180" w:type="dxa"/>
            <w:vAlign w:val="bottom"/>
            <w:shd w:val="clear" w:color="auto" w:fill="F0F0F0"/>
          </w:tcPr>
          <w:p>
            <w:pPr>
              <w:spacing w:after="0"/>
              <w:rPr>
                <w:sz w:val="18"/>
                <w:szCs w:val="18"/>
                <w:color w:val="auto"/>
              </w:rPr>
            </w:pPr>
          </w:p>
        </w:tc>
        <w:tc>
          <w:tcPr>
            <w:tcW w:w="500" w:type="dxa"/>
            <w:vAlign w:val="bottom"/>
            <w:vMerge w:val="continue"/>
            <w:shd w:val="clear" w:color="auto" w:fill="F0F0F0"/>
          </w:tcPr>
          <w:p>
            <w:pPr>
              <w:spacing w:after="0"/>
              <w:rPr>
                <w:sz w:val="18"/>
                <w:szCs w:val="18"/>
                <w:color w:val="auto"/>
              </w:rPr>
            </w:pPr>
          </w:p>
        </w:tc>
        <w:tc>
          <w:tcPr>
            <w:tcW w:w="60" w:type="dxa"/>
            <w:vAlign w:val="bottom"/>
            <w:shd w:val="clear" w:color="auto" w:fill="F0F0F0"/>
          </w:tcPr>
          <w:p>
            <w:pPr>
              <w:spacing w:after="0"/>
              <w:rPr>
                <w:sz w:val="18"/>
                <w:szCs w:val="18"/>
                <w:color w:val="auto"/>
              </w:rPr>
            </w:pPr>
          </w:p>
        </w:tc>
        <w:tc>
          <w:tcPr>
            <w:tcW w:w="740" w:type="dxa"/>
            <w:vAlign w:val="bottom"/>
            <w:tcBorders>
              <w:right w:val="single" w:sz="8" w:color="F0F0F0"/>
            </w:tcBorders>
            <w:vMerge w:val="continue"/>
            <w:shd w:val="clear" w:color="auto" w:fill="F0F0F0"/>
          </w:tcPr>
          <w:p>
            <w:pPr>
              <w:spacing w:after="0"/>
              <w:rPr>
                <w:sz w:val="18"/>
                <w:szCs w:val="18"/>
                <w:color w:val="auto"/>
              </w:rPr>
            </w:pPr>
          </w:p>
        </w:tc>
        <w:tc>
          <w:tcPr>
            <w:tcW w:w="74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680" w:type="dxa"/>
            <w:vAlign w:val="bottom"/>
            <w:vMerge w:val="continue"/>
            <w:shd w:val="clear" w:color="auto" w:fill="F0F0F0"/>
          </w:tcPr>
          <w:p>
            <w:pPr>
              <w:spacing w:after="0"/>
              <w:rPr>
                <w:sz w:val="18"/>
                <w:szCs w:val="18"/>
                <w:color w:val="auto"/>
              </w:rPr>
            </w:pPr>
          </w:p>
        </w:tc>
        <w:tc>
          <w:tcPr>
            <w:tcW w:w="40" w:type="dxa"/>
            <w:vAlign w:val="bottom"/>
            <w:shd w:val="clear" w:color="auto" w:fill="F0F0F0"/>
          </w:tcPr>
          <w:p>
            <w:pPr>
              <w:spacing w:after="0"/>
              <w:rPr>
                <w:sz w:val="18"/>
                <w:szCs w:val="18"/>
                <w:color w:val="auto"/>
              </w:rPr>
            </w:pPr>
          </w:p>
        </w:tc>
        <w:tc>
          <w:tcPr>
            <w:tcW w:w="720" w:type="dxa"/>
            <w:vAlign w:val="bottom"/>
            <w:tcBorders>
              <w:right w:val="single" w:sz="8" w:color="F0F0F0"/>
            </w:tcBorders>
            <w:vMerge w:val="continue"/>
            <w:shd w:val="clear" w:color="auto" w:fill="F0F0F0"/>
          </w:tcPr>
          <w:p>
            <w:pPr>
              <w:spacing w:after="0"/>
              <w:rPr>
                <w:sz w:val="18"/>
                <w:szCs w:val="18"/>
                <w:color w:val="auto"/>
              </w:rPr>
            </w:pPr>
          </w:p>
        </w:tc>
        <w:tc>
          <w:tcPr>
            <w:tcW w:w="72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760" w:type="dxa"/>
            <w:vAlign w:val="bottom"/>
            <w:vMerge w:val="continue"/>
            <w:shd w:val="clear" w:color="auto" w:fill="DCDDDE"/>
          </w:tcPr>
          <w:p>
            <w:pPr>
              <w:spacing w:after="0"/>
              <w:rPr>
                <w:sz w:val="18"/>
                <w:szCs w:val="18"/>
                <w:color w:val="auto"/>
              </w:rPr>
            </w:pPr>
          </w:p>
        </w:tc>
        <w:tc>
          <w:tcPr>
            <w:tcW w:w="40" w:type="dxa"/>
            <w:vAlign w:val="bottom"/>
            <w:shd w:val="clear" w:color="auto" w:fill="DCDD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shd w:val="clear" w:color="auto" w:fill="F0F0F0"/>
          </w:tcPr>
          <w:p>
            <w:pPr>
              <w:spacing w:after="0"/>
              <w:rPr>
                <w:sz w:val="18"/>
                <w:szCs w:val="18"/>
                <w:color w:val="auto"/>
              </w:rPr>
            </w:pPr>
          </w:p>
        </w:tc>
        <w:tc>
          <w:tcPr>
            <w:tcW w:w="5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60" w:type="dxa"/>
            <w:vAlign w:val="bottom"/>
            <w:shd w:val="clear" w:color="auto" w:fill="F0F0F0"/>
          </w:tcPr>
          <w:p>
            <w:pPr>
              <w:spacing w:after="0"/>
              <w:rPr>
                <w:sz w:val="18"/>
                <w:szCs w:val="18"/>
                <w:color w:val="auto"/>
              </w:rPr>
            </w:pPr>
          </w:p>
        </w:tc>
        <w:tc>
          <w:tcPr>
            <w:tcW w:w="740" w:type="dxa"/>
            <w:vAlign w:val="bottom"/>
            <w:tcBorders>
              <w:right w:val="single" w:sz="8" w:color="F0F0F0"/>
            </w:tcBorders>
            <w:shd w:val="clear" w:color="auto" w:fill="F0F0F0"/>
          </w:tcPr>
          <w:p>
            <w:pPr>
              <w:jc w:val="right"/>
              <w:ind w:right="20"/>
              <w:spacing w:after="0"/>
              <w:rPr>
                <w:sz w:val="20"/>
                <w:szCs w:val="20"/>
                <w:color w:val="auto"/>
              </w:rPr>
            </w:pPr>
            <w:r>
              <w:rPr>
                <w:rFonts w:ascii="Times New Roman" w:cs="Times New Roman" w:eastAsia="Times New Roman" w:hAnsi="Times New Roman"/>
                <w:sz w:val="16"/>
                <w:szCs w:val="16"/>
                <w:color w:val="auto"/>
              </w:rPr>
              <w:t>74</w:t>
            </w: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shd w:val="clear" w:color="auto" w:fill="F0F0F0"/>
          </w:tcPr>
          <w:p>
            <w:pPr>
              <w:spacing w:after="0"/>
              <w:rPr>
                <w:sz w:val="18"/>
                <w:szCs w:val="18"/>
                <w:color w:val="auto"/>
              </w:rPr>
            </w:pPr>
          </w:p>
        </w:tc>
        <w:tc>
          <w:tcPr>
            <w:tcW w:w="72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760" w:type="dxa"/>
            <w:vAlign w:val="bottom"/>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173</w:t>
            </w:r>
          </w:p>
        </w:tc>
        <w:tc>
          <w:tcPr>
            <w:tcW w:w="40" w:type="dxa"/>
            <w:vAlign w:val="bottom"/>
            <w:shd w:val="clear" w:color="auto" w:fill="DCDDD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2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6"/>
                <w:szCs w:val="16"/>
                <w:color w:val="auto"/>
              </w:rPr>
              <w:t>Other taxes and duties</w:t>
            </w:r>
          </w:p>
        </w:tc>
        <w:tc>
          <w:tcPr>
            <w:tcW w:w="180" w:type="dxa"/>
            <w:vAlign w:val="bottom"/>
            <w:tcBorders>
              <w:bottom w:val="single" w:sz="8" w:color="0C479D"/>
            </w:tcBorders>
            <w:shd w:val="clear" w:color="auto" w:fill="F0F0F0"/>
          </w:tcPr>
          <w:p>
            <w:pPr>
              <w:spacing w:after="0"/>
              <w:rPr>
                <w:sz w:val="19"/>
                <w:szCs w:val="19"/>
                <w:color w:val="auto"/>
              </w:rPr>
            </w:pPr>
          </w:p>
        </w:tc>
        <w:tc>
          <w:tcPr>
            <w:tcW w:w="5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60" w:type="dxa"/>
            <w:vAlign w:val="bottom"/>
            <w:tcBorders>
              <w:bottom w:val="single" w:sz="8" w:color="0C479D"/>
            </w:tcBorders>
            <w:shd w:val="clear" w:color="auto" w:fill="F0F0F0"/>
          </w:tcPr>
          <w:p>
            <w:pPr>
              <w:spacing w:after="0"/>
              <w:rPr>
                <w:sz w:val="19"/>
                <w:szCs w:val="19"/>
                <w:color w:val="auto"/>
              </w:rPr>
            </w:pPr>
          </w:p>
        </w:tc>
        <w:tc>
          <w:tcPr>
            <w:tcW w:w="740" w:type="dxa"/>
            <w:vAlign w:val="bottom"/>
            <w:tcBorders>
              <w:bottom w:val="single" w:sz="8" w:color="0C479D"/>
              <w:right w:val="single" w:sz="8" w:color="F0F0F0"/>
            </w:tcBorders>
            <w:shd w:val="clear" w:color="auto" w:fill="F0F0F0"/>
          </w:tcPr>
          <w:p>
            <w:pPr>
              <w:jc w:val="right"/>
              <w:ind w:right="20"/>
              <w:spacing w:after="0"/>
              <w:rPr>
                <w:sz w:val="20"/>
                <w:szCs w:val="20"/>
                <w:color w:val="auto"/>
              </w:rPr>
            </w:pPr>
            <w:r>
              <w:rPr>
                <w:rFonts w:ascii="Times New Roman" w:cs="Times New Roman" w:eastAsia="Times New Roman" w:hAnsi="Times New Roman"/>
                <w:sz w:val="16"/>
                <w:szCs w:val="16"/>
                <w:color w:val="auto"/>
              </w:rPr>
              <w:t>2,684</w:t>
            </w:r>
          </w:p>
        </w:tc>
        <w:tc>
          <w:tcPr>
            <w:tcW w:w="740" w:type="dxa"/>
            <w:vAlign w:val="bottom"/>
            <w:tcBorders>
              <w:bottom w:val="single" w:sz="8" w:color="0C479D"/>
            </w:tcBorders>
          </w:tcPr>
          <w:p>
            <w:pPr>
              <w:jc w:val="right"/>
              <w:ind w:right="1"/>
              <w:spacing w:after="0"/>
              <w:rPr>
                <w:sz w:val="20"/>
                <w:szCs w:val="20"/>
                <w:color w:val="auto"/>
              </w:rPr>
            </w:pPr>
            <w:r>
              <w:rPr>
                <w:rFonts w:ascii="Times New Roman" w:cs="Times New Roman" w:eastAsia="Times New Roman" w:hAnsi="Times New Roman"/>
                <w:sz w:val="16"/>
                <w:szCs w:val="16"/>
                <w:color w:val="auto"/>
              </w:rPr>
              <w:t>3,421</w:t>
            </w:r>
          </w:p>
        </w:tc>
        <w:tc>
          <w:tcPr>
            <w:tcW w:w="76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color w:val="auto"/>
              </w:rPr>
              <w:t>22,226</w:t>
            </w:r>
          </w:p>
        </w:tc>
        <w:tc>
          <w:tcPr>
            <w:tcW w:w="68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40" w:type="dxa"/>
            <w:vAlign w:val="bottom"/>
            <w:tcBorders>
              <w:bottom w:val="single" w:sz="8" w:color="0C479D"/>
            </w:tcBorders>
            <w:shd w:val="clear" w:color="auto" w:fill="F0F0F0"/>
          </w:tcPr>
          <w:p>
            <w:pPr>
              <w:spacing w:after="0"/>
              <w:rPr>
                <w:sz w:val="19"/>
                <w:szCs w:val="19"/>
                <w:color w:val="auto"/>
              </w:rPr>
            </w:pPr>
          </w:p>
        </w:tc>
        <w:tc>
          <w:tcPr>
            <w:tcW w:w="720" w:type="dxa"/>
            <w:vAlign w:val="bottom"/>
            <w:tcBorders>
              <w:bottom w:val="single" w:sz="8" w:color="0C479D"/>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720" w:type="dxa"/>
            <w:vAlign w:val="bottom"/>
            <w:tcBorders>
              <w:bottom w:val="single" w:sz="8" w:color="0C479D"/>
            </w:tcBorders>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74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color w:val="auto"/>
              </w:rPr>
              <w:t>174</w:t>
            </w:r>
          </w:p>
        </w:tc>
        <w:tc>
          <w:tcPr>
            <w:tcW w:w="760" w:type="dxa"/>
            <w:vAlign w:val="bottom"/>
            <w:tcBorders>
              <w:bottom w:val="single" w:sz="8" w:color="0C479D"/>
            </w:tcBorders>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29,011</w:t>
            </w:r>
          </w:p>
        </w:tc>
        <w:tc>
          <w:tcPr>
            <w:tcW w:w="40" w:type="dxa"/>
            <w:vAlign w:val="bottom"/>
            <w:tcBorders>
              <w:bottom w:val="single" w:sz="8" w:color="0C479D"/>
            </w:tcBorders>
            <w:shd w:val="clear" w:color="auto" w:fill="DCDDDE"/>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02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6"/>
                <w:szCs w:val="16"/>
                <w:b w:val="1"/>
                <w:bCs w:val="1"/>
                <w:color w:val="auto"/>
              </w:rPr>
              <w:t>Total costs and other deductions</w:t>
            </w:r>
          </w:p>
        </w:tc>
        <w:tc>
          <w:tcPr>
            <w:tcW w:w="180" w:type="dxa"/>
            <w:vAlign w:val="bottom"/>
            <w:tcBorders>
              <w:bottom w:val="single" w:sz="8" w:color="0C479D"/>
            </w:tcBorders>
            <w:shd w:val="clear" w:color="auto" w:fill="F0F0F0"/>
          </w:tcPr>
          <w:p>
            <w:pPr>
              <w:spacing w:after="0"/>
              <w:rPr>
                <w:sz w:val="18"/>
                <w:szCs w:val="18"/>
                <w:color w:val="auto"/>
              </w:rPr>
            </w:pPr>
          </w:p>
        </w:tc>
        <w:tc>
          <w:tcPr>
            <w:tcW w:w="5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25,947</w:t>
            </w:r>
          </w:p>
        </w:tc>
        <w:tc>
          <w:tcPr>
            <w:tcW w:w="60" w:type="dxa"/>
            <w:vAlign w:val="bottom"/>
            <w:tcBorders>
              <w:bottom w:val="single" w:sz="8" w:color="0C479D"/>
            </w:tcBorders>
            <w:shd w:val="clear" w:color="auto" w:fill="F0F0F0"/>
          </w:tcPr>
          <w:p>
            <w:pPr>
              <w:spacing w:after="0"/>
              <w:rPr>
                <w:sz w:val="18"/>
                <w:szCs w:val="18"/>
                <w:color w:val="auto"/>
              </w:rPr>
            </w:pPr>
          </w:p>
        </w:tc>
        <w:tc>
          <w:tcPr>
            <w:tcW w:w="740" w:type="dxa"/>
            <w:vAlign w:val="bottom"/>
            <w:tcBorders>
              <w:bottom w:val="single" w:sz="8" w:color="0C479D"/>
              <w:right w:val="single" w:sz="8" w:color="F0F0F0"/>
            </w:tcBorders>
            <w:shd w:val="clear" w:color="auto" w:fill="F0F0F0"/>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32,734</w:t>
            </w:r>
          </w:p>
        </w:tc>
        <w:tc>
          <w:tcPr>
            <w:tcW w:w="740" w:type="dxa"/>
            <w:vAlign w:val="bottom"/>
            <w:tcBorders>
              <w:bottom w:val="single" w:sz="8" w:color="0C479D"/>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119,837</w:t>
            </w:r>
          </w:p>
        </w:tc>
        <w:tc>
          <w:tcPr>
            <w:tcW w:w="76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184,951</w:t>
            </w:r>
          </w:p>
        </w:tc>
        <w:tc>
          <w:tcPr>
            <w:tcW w:w="68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14,052</w:t>
            </w:r>
          </w:p>
        </w:tc>
        <w:tc>
          <w:tcPr>
            <w:tcW w:w="40" w:type="dxa"/>
            <w:vAlign w:val="bottom"/>
            <w:tcBorders>
              <w:bottom w:val="single" w:sz="8" w:color="0C479D"/>
            </w:tcBorders>
            <w:shd w:val="clear" w:color="auto" w:fill="F0F0F0"/>
          </w:tcPr>
          <w:p>
            <w:pPr>
              <w:spacing w:after="0"/>
              <w:rPr>
                <w:sz w:val="18"/>
                <w:szCs w:val="18"/>
                <w:color w:val="auto"/>
              </w:rPr>
            </w:pPr>
          </w:p>
        </w:tc>
        <w:tc>
          <w:tcPr>
            <w:tcW w:w="720" w:type="dxa"/>
            <w:vAlign w:val="bottom"/>
            <w:tcBorders>
              <w:bottom w:val="single" w:sz="8" w:color="0C479D"/>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18,525</w:t>
            </w:r>
          </w:p>
        </w:tc>
        <w:tc>
          <w:tcPr>
            <w:tcW w:w="720" w:type="dxa"/>
            <w:vAlign w:val="bottom"/>
            <w:tcBorders>
              <w:bottom w:val="single" w:sz="8" w:color="0C479D"/>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6,639</w:t>
            </w:r>
          </w:p>
        </w:tc>
        <w:tc>
          <w:tcPr>
            <w:tcW w:w="74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11,591</w:t>
            </w:r>
          </w:p>
        </w:tc>
        <w:tc>
          <w:tcPr>
            <w:tcW w:w="760" w:type="dxa"/>
            <w:vAlign w:val="bottom"/>
            <w:tcBorders>
              <w:bottom w:val="single" w:sz="8" w:color="0C479D"/>
            </w:tcBorders>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414,276</w:t>
            </w:r>
          </w:p>
        </w:tc>
        <w:tc>
          <w:tcPr>
            <w:tcW w:w="40" w:type="dxa"/>
            <w:vAlign w:val="bottom"/>
            <w:tcBorders>
              <w:bottom w:val="single" w:sz="8" w:color="0C479D"/>
            </w:tcBorders>
            <w:shd w:val="clear" w:color="auto" w:fill="DCDDD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Segment income (loss) before income taxes</w:t>
            </w:r>
          </w:p>
        </w:tc>
        <w:tc>
          <w:tcPr>
            <w:tcW w:w="180" w:type="dxa"/>
            <w:vAlign w:val="bottom"/>
            <w:shd w:val="clear" w:color="auto" w:fill="F0F0F0"/>
          </w:tcPr>
          <w:p>
            <w:pPr>
              <w:spacing w:after="0"/>
              <w:rPr>
                <w:sz w:val="18"/>
                <w:szCs w:val="18"/>
                <w:color w:val="auto"/>
              </w:rPr>
            </w:pPr>
          </w:p>
        </w:tc>
        <w:tc>
          <w:tcPr>
            <w:tcW w:w="5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5,218</w:t>
            </w:r>
          </w:p>
        </w:tc>
        <w:tc>
          <w:tcPr>
            <w:tcW w:w="60" w:type="dxa"/>
            <w:vAlign w:val="bottom"/>
            <w:shd w:val="clear" w:color="auto" w:fill="F0F0F0"/>
          </w:tcPr>
          <w:p>
            <w:pPr>
              <w:spacing w:after="0"/>
              <w:rPr>
                <w:sz w:val="18"/>
                <w:szCs w:val="18"/>
                <w:color w:val="auto"/>
              </w:rPr>
            </w:pPr>
          </w:p>
        </w:tc>
        <w:tc>
          <w:tcPr>
            <w:tcW w:w="740" w:type="dxa"/>
            <w:vAlign w:val="bottom"/>
            <w:tcBorders>
              <w:right w:val="single" w:sz="8" w:color="F0F0F0"/>
            </w:tcBorders>
            <w:shd w:val="clear" w:color="auto" w:fill="F0F0F0"/>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28,338</w:t>
            </w: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7,835</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8,040</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shd w:val="clear" w:color="auto" w:fill="F0F0F0"/>
          </w:tcPr>
          <w:p>
            <w:pPr>
              <w:spacing w:after="0"/>
              <w:rPr>
                <w:sz w:val="18"/>
                <w:szCs w:val="18"/>
                <w:color w:val="auto"/>
              </w:rPr>
            </w:pPr>
          </w:p>
        </w:tc>
        <w:tc>
          <w:tcPr>
            <w:tcW w:w="72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205</w:t>
            </w: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1,994</w:t>
            </w: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1,441</w:t>
            </w:r>
          </w:p>
        </w:tc>
        <w:tc>
          <w:tcPr>
            <w:tcW w:w="760" w:type="dxa"/>
            <w:vAlign w:val="bottom"/>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55,093</w:t>
            </w:r>
          </w:p>
        </w:tc>
        <w:tc>
          <w:tcPr>
            <w:tcW w:w="40" w:type="dxa"/>
            <w:vAlign w:val="bottom"/>
            <w:shd w:val="clear" w:color="auto" w:fill="DCDDD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02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180" w:type="dxa"/>
            <w:vAlign w:val="bottom"/>
            <w:tcBorders>
              <w:bottom w:val="single" w:sz="8" w:color="0C479D"/>
            </w:tcBorders>
            <w:shd w:val="clear" w:color="auto" w:fill="F0F0F0"/>
          </w:tcPr>
          <w:p>
            <w:pPr>
              <w:spacing w:after="0"/>
              <w:rPr>
                <w:sz w:val="18"/>
                <w:szCs w:val="18"/>
                <w:color w:val="auto"/>
              </w:rPr>
            </w:pPr>
          </w:p>
        </w:tc>
        <w:tc>
          <w:tcPr>
            <w:tcW w:w="5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60" w:type="dxa"/>
            <w:vAlign w:val="bottom"/>
            <w:tcBorders>
              <w:bottom w:val="single" w:sz="8" w:color="0C479D"/>
            </w:tcBorders>
            <w:shd w:val="clear" w:color="auto" w:fill="F0F0F0"/>
          </w:tcPr>
          <w:p>
            <w:pPr>
              <w:spacing w:after="0"/>
              <w:rPr>
                <w:sz w:val="18"/>
                <w:szCs w:val="18"/>
                <w:color w:val="auto"/>
              </w:rPr>
            </w:pPr>
          </w:p>
        </w:tc>
        <w:tc>
          <w:tcPr>
            <w:tcW w:w="740" w:type="dxa"/>
            <w:vAlign w:val="bottom"/>
            <w:tcBorders>
              <w:bottom w:val="single" w:sz="8" w:color="0C479D"/>
              <w:right w:val="single" w:sz="8" w:color="F0F0F0"/>
            </w:tcBorders>
            <w:shd w:val="clear" w:color="auto" w:fill="F0F0F0"/>
          </w:tcPr>
          <w:p>
            <w:pPr>
              <w:jc w:val="right"/>
              <w:ind w:right="20"/>
              <w:spacing w:after="0"/>
              <w:rPr>
                <w:sz w:val="20"/>
                <w:szCs w:val="20"/>
                <w:color w:val="auto"/>
              </w:rPr>
            </w:pPr>
            <w:r>
              <w:rPr>
                <w:rFonts w:ascii="Times New Roman" w:cs="Times New Roman" w:eastAsia="Times New Roman" w:hAnsi="Times New Roman"/>
                <w:sz w:val="16"/>
                <w:szCs w:val="16"/>
                <w:color w:val="auto"/>
              </w:rPr>
              <w:t>10,593</w:t>
            </w:r>
          </w:p>
        </w:tc>
        <w:tc>
          <w:tcPr>
            <w:tcW w:w="740" w:type="dxa"/>
            <w:vAlign w:val="bottom"/>
            <w:tcBorders>
              <w:bottom w:val="single" w:sz="8" w:color="0C479D"/>
            </w:tcBorders>
          </w:tcPr>
          <w:p>
            <w:pPr>
              <w:jc w:val="right"/>
              <w:ind w:right="1"/>
              <w:spacing w:after="0"/>
              <w:rPr>
                <w:sz w:val="20"/>
                <w:szCs w:val="20"/>
                <w:color w:val="auto"/>
              </w:rPr>
            </w:pPr>
            <w:r>
              <w:rPr>
                <w:rFonts w:ascii="Times New Roman" w:cs="Times New Roman" w:eastAsia="Times New Roman" w:hAnsi="Times New Roman"/>
                <w:sz w:val="16"/>
                <w:szCs w:val="16"/>
                <w:color w:val="auto"/>
              </w:rPr>
              <w:t>1,543</w:t>
            </w:r>
          </w:p>
        </w:tc>
        <w:tc>
          <w:tcPr>
            <w:tcW w:w="76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color w:val="auto"/>
              </w:rPr>
              <w:t>1,492</w:t>
            </w:r>
          </w:p>
        </w:tc>
        <w:tc>
          <w:tcPr>
            <w:tcW w:w="68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40" w:type="dxa"/>
            <w:vAlign w:val="bottom"/>
            <w:tcBorders>
              <w:bottom w:val="single" w:sz="8" w:color="0C479D"/>
            </w:tcBorders>
            <w:shd w:val="clear" w:color="auto" w:fill="F0F0F0"/>
          </w:tcPr>
          <w:p>
            <w:pPr>
              <w:spacing w:after="0"/>
              <w:rPr>
                <w:sz w:val="18"/>
                <w:szCs w:val="18"/>
                <w:color w:val="auto"/>
              </w:rPr>
            </w:pPr>
          </w:p>
        </w:tc>
        <w:tc>
          <w:tcPr>
            <w:tcW w:w="720" w:type="dxa"/>
            <w:vAlign w:val="bottom"/>
            <w:tcBorders>
              <w:bottom w:val="single" w:sz="8" w:color="0C479D"/>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720" w:type="dxa"/>
            <w:vAlign w:val="bottom"/>
            <w:tcBorders>
              <w:bottom w:val="single" w:sz="8" w:color="0C479D"/>
            </w:tcBorders>
          </w:tcPr>
          <w:p>
            <w:pPr>
              <w:jc w:val="right"/>
              <w:ind w:right="1"/>
              <w:spacing w:after="0"/>
              <w:rPr>
                <w:sz w:val="20"/>
                <w:szCs w:val="20"/>
                <w:color w:val="auto"/>
              </w:rPr>
            </w:pPr>
            <w:r>
              <w:rPr>
                <w:rFonts w:ascii="Times New Roman" w:cs="Times New Roman" w:eastAsia="Times New Roman" w:hAnsi="Times New Roman"/>
                <w:sz w:val="16"/>
                <w:szCs w:val="16"/>
                <w:color w:val="auto"/>
              </w:rPr>
              <w:t>458</w:t>
            </w:r>
          </w:p>
        </w:tc>
        <w:tc>
          <w:tcPr>
            <w:tcW w:w="74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color w:val="auto"/>
              </w:rPr>
              <w:t>235</w:t>
            </w:r>
          </w:p>
        </w:tc>
        <w:tc>
          <w:tcPr>
            <w:tcW w:w="760" w:type="dxa"/>
            <w:vAlign w:val="bottom"/>
            <w:tcBorders>
              <w:bottom w:val="single" w:sz="8" w:color="0C479D"/>
            </w:tcBorders>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15,891</w:t>
            </w:r>
          </w:p>
        </w:tc>
        <w:tc>
          <w:tcPr>
            <w:tcW w:w="40" w:type="dxa"/>
            <w:vAlign w:val="bottom"/>
            <w:tcBorders>
              <w:bottom w:val="single" w:sz="8" w:color="0C479D"/>
            </w:tcBorders>
            <w:shd w:val="clear" w:color="auto" w:fill="DCDDDE"/>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020" w:type="dxa"/>
            <w:vAlign w:val="bottom"/>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Segment net income (loss) incl.</w:t>
            </w:r>
          </w:p>
        </w:tc>
        <w:tc>
          <w:tcPr>
            <w:tcW w:w="180" w:type="dxa"/>
            <w:vAlign w:val="bottom"/>
            <w:shd w:val="clear" w:color="auto" w:fill="F0F0F0"/>
          </w:tcPr>
          <w:p>
            <w:pPr>
              <w:spacing w:after="0"/>
              <w:rPr>
                <w:sz w:val="13"/>
                <w:szCs w:val="13"/>
                <w:color w:val="auto"/>
              </w:rPr>
            </w:pPr>
          </w:p>
        </w:tc>
        <w:tc>
          <w:tcPr>
            <w:tcW w:w="50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4,202</w:t>
            </w:r>
          </w:p>
        </w:tc>
        <w:tc>
          <w:tcPr>
            <w:tcW w:w="60" w:type="dxa"/>
            <w:vAlign w:val="bottom"/>
            <w:shd w:val="clear" w:color="auto" w:fill="F0F0F0"/>
          </w:tcPr>
          <w:p>
            <w:pPr>
              <w:spacing w:after="0"/>
              <w:rPr>
                <w:sz w:val="13"/>
                <w:szCs w:val="13"/>
                <w:color w:val="auto"/>
              </w:rPr>
            </w:pPr>
          </w:p>
        </w:tc>
        <w:tc>
          <w:tcPr>
            <w:tcW w:w="740" w:type="dxa"/>
            <w:vAlign w:val="bottom"/>
            <w:tcBorders>
              <w:right w:val="single" w:sz="8" w:color="F0F0F0"/>
            </w:tcBorders>
            <w:vMerge w:val="restart"/>
            <w:shd w:val="clear" w:color="auto" w:fill="F0F0F0"/>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17,745</w:t>
            </w:r>
          </w:p>
        </w:tc>
        <w:tc>
          <w:tcPr>
            <w:tcW w:w="7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6,292</w:t>
            </w:r>
          </w:p>
        </w:tc>
        <w:tc>
          <w:tcPr>
            <w:tcW w:w="76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6,548</w:t>
            </w:r>
          </w:p>
        </w:tc>
        <w:tc>
          <w:tcPr>
            <w:tcW w:w="68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1,626</w:t>
            </w:r>
          </w:p>
        </w:tc>
        <w:tc>
          <w:tcPr>
            <w:tcW w:w="40" w:type="dxa"/>
            <w:vAlign w:val="bottom"/>
            <w:shd w:val="clear" w:color="auto" w:fill="F0F0F0"/>
          </w:tcPr>
          <w:p>
            <w:pPr>
              <w:spacing w:after="0"/>
              <w:rPr>
                <w:sz w:val="13"/>
                <w:szCs w:val="13"/>
                <w:color w:val="auto"/>
              </w:rPr>
            </w:pPr>
          </w:p>
        </w:tc>
        <w:tc>
          <w:tcPr>
            <w:tcW w:w="720" w:type="dxa"/>
            <w:vAlign w:val="bottom"/>
            <w:tcBorders>
              <w:right w:val="single" w:sz="8" w:color="F0F0F0"/>
            </w:tcBorders>
            <w:vMerge w:val="restart"/>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47</w:t>
            </w:r>
          </w:p>
        </w:tc>
        <w:tc>
          <w:tcPr>
            <w:tcW w:w="7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1,536</w:t>
            </w:r>
          </w:p>
        </w:tc>
        <w:tc>
          <w:tcPr>
            <w:tcW w:w="74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1,206</w:t>
            </w:r>
          </w:p>
        </w:tc>
        <w:tc>
          <w:tcPr>
            <w:tcW w:w="760" w:type="dxa"/>
            <w:vAlign w:val="bottom"/>
            <w:vMerge w:val="restart"/>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39,202</w:t>
            </w:r>
          </w:p>
        </w:tc>
        <w:tc>
          <w:tcPr>
            <w:tcW w:w="40" w:type="dxa"/>
            <w:vAlign w:val="bottom"/>
            <w:shd w:val="clear" w:color="auto" w:fill="DCDDDE"/>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3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noncontrolling interests</w:t>
            </w:r>
          </w:p>
        </w:tc>
        <w:tc>
          <w:tcPr>
            <w:tcW w:w="180" w:type="dxa"/>
            <w:vAlign w:val="bottom"/>
            <w:shd w:val="clear" w:color="auto" w:fill="F0F0F0"/>
          </w:tcPr>
          <w:p>
            <w:pPr>
              <w:spacing w:after="0"/>
              <w:rPr>
                <w:sz w:val="18"/>
                <w:szCs w:val="18"/>
                <w:color w:val="auto"/>
              </w:rPr>
            </w:pPr>
          </w:p>
        </w:tc>
        <w:tc>
          <w:tcPr>
            <w:tcW w:w="500" w:type="dxa"/>
            <w:vAlign w:val="bottom"/>
            <w:vMerge w:val="continue"/>
            <w:shd w:val="clear" w:color="auto" w:fill="F0F0F0"/>
          </w:tcPr>
          <w:p>
            <w:pPr>
              <w:spacing w:after="0"/>
              <w:rPr>
                <w:sz w:val="18"/>
                <w:szCs w:val="18"/>
                <w:color w:val="auto"/>
              </w:rPr>
            </w:pPr>
          </w:p>
        </w:tc>
        <w:tc>
          <w:tcPr>
            <w:tcW w:w="60" w:type="dxa"/>
            <w:vAlign w:val="bottom"/>
            <w:shd w:val="clear" w:color="auto" w:fill="F0F0F0"/>
          </w:tcPr>
          <w:p>
            <w:pPr>
              <w:spacing w:after="0"/>
              <w:rPr>
                <w:sz w:val="18"/>
                <w:szCs w:val="18"/>
                <w:color w:val="auto"/>
              </w:rPr>
            </w:pPr>
          </w:p>
        </w:tc>
        <w:tc>
          <w:tcPr>
            <w:tcW w:w="740" w:type="dxa"/>
            <w:vAlign w:val="bottom"/>
            <w:tcBorders>
              <w:right w:val="single" w:sz="8" w:color="F0F0F0"/>
            </w:tcBorders>
            <w:vMerge w:val="continue"/>
            <w:shd w:val="clear" w:color="auto" w:fill="F0F0F0"/>
          </w:tcPr>
          <w:p>
            <w:pPr>
              <w:spacing w:after="0"/>
              <w:rPr>
                <w:sz w:val="18"/>
                <w:szCs w:val="18"/>
                <w:color w:val="auto"/>
              </w:rPr>
            </w:pPr>
          </w:p>
        </w:tc>
        <w:tc>
          <w:tcPr>
            <w:tcW w:w="74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680" w:type="dxa"/>
            <w:vAlign w:val="bottom"/>
            <w:vMerge w:val="continue"/>
            <w:shd w:val="clear" w:color="auto" w:fill="F0F0F0"/>
          </w:tcPr>
          <w:p>
            <w:pPr>
              <w:spacing w:after="0"/>
              <w:rPr>
                <w:sz w:val="18"/>
                <w:szCs w:val="18"/>
                <w:color w:val="auto"/>
              </w:rPr>
            </w:pPr>
          </w:p>
        </w:tc>
        <w:tc>
          <w:tcPr>
            <w:tcW w:w="40" w:type="dxa"/>
            <w:vAlign w:val="bottom"/>
            <w:shd w:val="clear" w:color="auto" w:fill="F0F0F0"/>
          </w:tcPr>
          <w:p>
            <w:pPr>
              <w:spacing w:after="0"/>
              <w:rPr>
                <w:sz w:val="18"/>
                <w:szCs w:val="18"/>
                <w:color w:val="auto"/>
              </w:rPr>
            </w:pPr>
          </w:p>
        </w:tc>
        <w:tc>
          <w:tcPr>
            <w:tcW w:w="720" w:type="dxa"/>
            <w:vAlign w:val="bottom"/>
            <w:tcBorders>
              <w:right w:val="single" w:sz="8" w:color="F0F0F0"/>
            </w:tcBorders>
            <w:vMerge w:val="continue"/>
            <w:shd w:val="clear" w:color="auto" w:fill="F0F0F0"/>
          </w:tcPr>
          <w:p>
            <w:pPr>
              <w:spacing w:after="0"/>
              <w:rPr>
                <w:sz w:val="18"/>
                <w:szCs w:val="18"/>
                <w:color w:val="auto"/>
              </w:rPr>
            </w:pPr>
          </w:p>
        </w:tc>
        <w:tc>
          <w:tcPr>
            <w:tcW w:w="72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760" w:type="dxa"/>
            <w:vAlign w:val="bottom"/>
            <w:vMerge w:val="continue"/>
            <w:shd w:val="clear" w:color="auto" w:fill="DCDDDE"/>
          </w:tcPr>
          <w:p>
            <w:pPr>
              <w:spacing w:after="0"/>
              <w:rPr>
                <w:sz w:val="18"/>
                <w:szCs w:val="18"/>
                <w:color w:val="auto"/>
              </w:rPr>
            </w:pPr>
          </w:p>
        </w:tc>
        <w:tc>
          <w:tcPr>
            <w:tcW w:w="40" w:type="dxa"/>
            <w:vAlign w:val="bottom"/>
            <w:shd w:val="clear" w:color="auto" w:fill="DCDDD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020" w:type="dxa"/>
            <w:vAlign w:val="bottom"/>
          </w:tcPr>
          <w:p>
            <w:pPr>
              <w:spacing w:after="0" w:line="166" w:lineRule="exact"/>
              <w:rPr>
                <w:sz w:val="20"/>
                <w:szCs w:val="20"/>
                <w:color w:val="auto"/>
              </w:rPr>
            </w:pPr>
            <w:r>
              <w:rPr>
                <w:rFonts w:ascii="Times New Roman" w:cs="Times New Roman" w:eastAsia="Times New Roman" w:hAnsi="Times New Roman"/>
                <w:sz w:val="16"/>
                <w:szCs w:val="16"/>
                <w:color w:val="auto"/>
              </w:rPr>
              <w:t>Net income (loss) attributable to</w:t>
            </w:r>
          </w:p>
        </w:tc>
        <w:tc>
          <w:tcPr>
            <w:tcW w:w="180" w:type="dxa"/>
            <w:vAlign w:val="bottom"/>
            <w:shd w:val="clear" w:color="auto" w:fill="F0F0F0"/>
          </w:tcPr>
          <w:p>
            <w:pPr>
              <w:spacing w:after="0"/>
              <w:rPr>
                <w:sz w:val="14"/>
                <w:szCs w:val="14"/>
                <w:color w:val="auto"/>
              </w:rPr>
            </w:pPr>
          </w:p>
        </w:tc>
        <w:tc>
          <w:tcPr>
            <w:tcW w:w="50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F0F0F0"/>
          </w:tcPr>
          <w:p>
            <w:pPr>
              <w:spacing w:after="0"/>
              <w:rPr>
                <w:sz w:val="14"/>
                <w:szCs w:val="14"/>
                <w:color w:val="auto"/>
              </w:rPr>
            </w:pPr>
          </w:p>
        </w:tc>
        <w:tc>
          <w:tcPr>
            <w:tcW w:w="740" w:type="dxa"/>
            <w:vAlign w:val="bottom"/>
            <w:tcBorders>
              <w:right w:val="single" w:sz="8" w:color="F0F0F0"/>
            </w:tcBorders>
            <w:vMerge w:val="restart"/>
            <w:shd w:val="clear" w:color="auto" w:fill="F0F0F0"/>
          </w:tcPr>
          <w:p>
            <w:pPr>
              <w:jc w:val="right"/>
              <w:ind w:right="20"/>
              <w:spacing w:after="0"/>
              <w:rPr>
                <w:sz w:val="20"/>
                <w:szCs w:val="20"/>
                <w:color w:val="auto"/>
              </w:rPr>
            </w:pPr>
            <w:r>
              <w:rPr>
                <w:rFonts w:ascii="Times New Roman" w:cs="Times New Roman" w:eastAsia="Times New Roman" w:hAnsi="Times New Roman"/>
                <w:sz w:val="16"/>
                <w:szCs w:val="16"/>
                <w:color w:val="auto"/>
              </w:rPr>
              <w:t>639</w:t>
            </w:r>
          </w:p>
        </w:tc>
        <w:tc>
          <w:tcPr>
            <w:tcW w:w="7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169</w:t>
            </w:r>
          </w:p>
        </w:tc>
        <w:tc>
          <w:tcPr>
            <w:tcW w:w="76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529</w:t>
            </w:r>
          </w:p>
        </w:tc>
        <w:tc>
          <w:tcPr>
            <w:tcW w:w="68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F0F0F0"/>
          </w:tcPr>
          <w:p>
            <w:pPr>
              <w:spacing w:after="0"/>
              <w:rPr>
                <w:sz w:val="14"/>
                <w:szCs w:val="14"/>
                <w:color w:val="auto"/>
              </w:rPr>
            </w:pPr>
          </w:p>
        </w:tc>
        <w:tc>
          <w:tcPr>
            <w:tcW w:w="720" w:type="dxa"/>
            <w:vAlign w:val="bottom"/>
            <w:tcBorders>
              <w:right w:val="single" w:sz="8" w:color="F0F0F0"/>
            </w:tcBorders>
            <w:vMerge w:val="restart"/>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7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28</w:t>
            </w:r>
          </w:p>
        </w:tc>
        <w:tc>
          <w:tcPr>
            <w:tcW w:w="760" w:type="dxa"/>
            <w:vAlign w:val="bottom"/>
            <w:vMerge w:val="restart"/>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1,401</w:t>
            </w:r>
          </w:p>
        </w:tc>
        <w:tc>
          <w:tcPr>
            <w:tcW w:w="40" w:type="dxa"/>
            <w:vAlign w:val="bottom"/>
            <w:shd w:val="clear" w:color="auto" w:fill="DCDDD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02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180" w:type="dxa"/>
            <w:vAlign w:val="bottom"/>
            <w:tcBorders>
              <w:bottom w:val="single" w:sz="8" w:color="0C479D"/>
            </w:tcBorders>
            <w:shd w:val="clear" w:color="auto" w:fill="F0F0F0"/>
          </w:tcPr>
          <w:p>
            <w:pPr>
              <w:spacing w:after="0"/>
              <w:rPr>
                <w:sz w:val="18"/>
                <w:szCs w:val="18"/>
                <w:color w:val="auto"/>
              </w:rPr>
            </w:pPr>
          </w:p>
        </w:tc>
        <w:tc>
          <w:tcPr>
            <w:tcW w:w="500" w:type="dxa"/>
            <w:vAlign w:val="bottom"/>
            <w:tcBorders>
              <w:bottom w:val="single" w:sz="8" w:color="0C479D"/>
            </w:tcBorders>
            <w:vMerge w:val="continue"/>
            <w:shd w:val="clear" w:color="auto" w:fill="F0F0F0"/>
          </w:tcPr>
          <w:p>
            <w:pPr>
              <w:spacing w:after="0"/>
              <w:rPr>
                <w:sz w:val="18"/>
                <w:szCs w:val="18"/>
                <w:color w:val="auto"/>
              </w:rPr>
            </w:pPr>
          </w:p>
        </w:tc>
        <w:tc>
          <w:tcPr>
            <w:tcW w:w="60" w:type="dxa"/>
            <w:vAlign w:val="bottom"/>
            <w:tcBorders>
              <w:bottom w:val="single" w:sz="8" w:color="0C479D"/>
            </w:tcBorders>
            <w:shd w:val="clear" w:color="auto" w:fill="F0F0F0"/>
          </w:tcPr>
          <w:p>
            <w:pPr>
              <w:spacing w:after="0"/>
              <w:rPr>
                <w:sz w:val="18"/>
                <w:szCs w:val="18"/>
                <w:color w:val="auto"/>
              </w:rPr>
            </w:pPr>
          </w:p>
        </w:tc>
        <w:tc>
          <w:tcPr>
            <w:tcW w:w="740" w:type="dxa"/>
            <w:vAlign w:val="bottom"/>
            <w:tcBorders>
              <w:bottom w:val="single" w:sz="8" w:color="0C479D"/>
              <w:right w:val="single" w:sz="8" w:color="F0F0F0"/>
            </w:tcBorders>
            <w:vMerge w:val="continue"/>
            <w:shd w:val="clear" w:color="auto" w:fill="F0F0F0"/>
          </w:tcPr>
          <w:p>
            <w:pPr>
              <w:spacing w:after="0"/>
              <w:rPr>
                <w:sz w:val="18"/>
                <w:szCs w:val="18"/>
                <w:color w:val="auto"/>
              </w:rPr>
            </w:pPr>
          </w:p>
        </w:tc>
        <w:tc>
          <w:tcPr>
            <w:tcW w:w="740" w:type="dxa"/>
            <w:vAlign w:val="bottom"/>
            <w:tcBorders>
              <w:bottom w:val="single" w:sz="8" w:color="0C479D"/>
            </w:tcBorders>
            <w:vMerge w:val="continue"/>
          </w:tcPr>
          <w:p>
            <w:pPr>
              <w:spacing w:after="0"/>
              <w:rPr>
                <w:sz w:val="18"/>
                <w:szCs w:val="18"/>
                <w:color w:val="auto"/>
              </w:rPr>
            </w:pPr>
          </w:p>
        </w:tc>
        <w:tc>
          <w:tcPr>
            <w:tcW w:w="760" w:type="dxa"/>
            <w:vAlign w:val="bottom"/>
            <w:tcBorders>
              <w:bottom w:val="single" w:sz="8" w:color="0C479D"/>
            </w:tcBorders>
            <w:vMerge w:val="continue"/>
          </w:tcPr>
          <w:p>
            <w:pPr>
              <w:spacing w:after="0"/>
              <w:rPr>
                <w:sz w:val="18"/>
                <w:szCs w:val="18"/>
                <w:color w:val="auto"/>
              </w:rPr>
            </w:pPr>
          </w:p>
        </w:tc>
        <w:tc>
          <w:tcPr>
            <w:tcW w:w="680" w:type="dxa"/>
            <w:vAlign w:val="bottom"/>
            <w:tcBorders>
              <w:bottom w:val="single" w:sz="8" w:color="0C479D"/>
            </w:tcBorders>
            <w:vMerge w:val="continue"/>
            <w:shd w:val="clear" w:color="auto" w:fill="F0F0F0"/>
          </w:tcPr>
          <w:p>
            <w:pPr>
              <w:spacing w:after="0"/>
              <w:rPr>
                <w:sz w:val="18"/>
                <w:szCs w:val="18"/>
                <w:color w:val="auto"/>
              </w:rPr>
            </w:pPr>
          </w:p>
        </w:tc>
        <w:tc>
          <w:tcPr>
            <w:tcW w:w="40" w:type="dxa"/>
            <w:vAlign w:val="bottom"/>
            <w:tcBorders>
              <w:bottom w:val="single" w:sz="8" w:color="0C479D"/>
            </w:tcBorders>
            <w:shd w:val="clear" w:color="auto" w:fill="F0F0F0"/>
          </w:tcPr>
          <w:p>
            <w:pPr>
              <w:spacing w:after="0"/>
              <w:rPr>
                <w:sz w:val="18"/>
                <w:szCs w:val="18"/>
                <w:color w:val="auto"/>
              </w:rPr>
            </w:pPr>
          </w:p>
        </w:tc>
        <w:tc>
          <w:tcPr>
            <w:tcW w:w="720" w:type="dxa"/>
            <w:vAlign w:val="bottom"/>
            <w:tcBorders>
              <w:bottom w:val="single" w:sz="8" w:color="0C479D"/>
              <w:right w:val="single" w:sz="8" w:color="F0F0F0"/>
            </w:tcBorders>
            <w:vMerge w:val="continue"/>
            <w:shd w:val="clear" w:color="auto" w:fill="F0F0F0"/>
          </w:tcPr>
          <w:p>
            <w:pPr>
              <w:spacing w:after="0"/>
              <w:rPr>
                <w:sz w:val="18"/>
                <w:szCs w:val="18"/>
                <w:color w:val="auto"/>
              </w:rPr>
            </w:pPr>
          </w:p>
        </w:tc>
        <w:tc>
          <w:tcPr>
            <w:tcW w:w="720" w:type="dxa"/>
            <w:vAlign w:val="bottom"/>
            <w:tcBorders>
              <w:bottom w:val="single" w:sz="8" w:color="0C479D"/>
            </w:tcBorders>
            <w:vMerge w:val="continue"/>
          </w:tcPr>
          <w:p>
            <w:pPr>
              <w:spacing w:after="0"/>
              <w:rPr>
                <w:sz w:val="18"/>
                <w:szCs w:val="18"/>
                <w:color w:val="auto"/>
              </w:rPr>
            </w:pPr>
          </w:p>
        </w:tc>
        <w:tc>
          <w:tcPr>
            <w:tcW w:w="740" w:type="dxa"/>
            <w:vAlign w:val="bottom"/>
            <w:tcBorders>
              <w:bottom w:val="single" w:sz="8" w:color="0C479D"/>
            </w:tcBorders>
            <w:vMerge w:val="continue"/>
          </w:tcPr>
          <w:p>
            <w:pPr>
              <w:spacing w:after="0"/>
              <w:rPr>
                <w:sz w:val="18"/>
                <w:szCs w:val="18"/>
                <w:color w:val="auto"/>
              </w:rPr>
            </w:pPr>
          </w:p>
        </w:tc>
        <w:tc>
          <w:tcPr>
            <w:tcW w:w="760" w:type="dxa"/>
            <w:vAlign w:val="bottom"/>
            <w:tcBorders>
              <w:bottom w:val="single" w:sz="8" w:color="0C479D"/>
            </w:tcBorders>
            <w:vMerge w:val="continue"/>
            <w:shd w:val="clear" w:color="auto" w:fill="DCDDDE"/>
          </w:tcPr>
          <w:p>
            <w:pPr>
              <w:spacing w:after="0"/>
              <w:rPr>
                <w:sz w:val="18"/>
                <w:szCs w:val="18"/>
                <w:color w:val="auto"/>
              </w:rPr>
            </w:pPr>
          </w:p>
        </w:tc>
        <w:tc>
          <w:tcPr>
            <w:tcW w:w="40" w:type="dxa"/>
            <w:vAlign w:val="bottom"/>
            <w:tcBorders>
              <w:bottom w:val="single" w:sz="8" w:color="0C479D"/>
            </w:tcBorders>
            <w:shd w:val="clear" w:color="auto" w:fill="DCDDDE"/>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302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6"/>
                <w:szCs w:val="16"/>
                <w:b w:val="1"/>
                <w:bCs w:val="1"/>
                <w:color w:val="auto"/>
              </w:rPr>
              <w:t>Segment net income (loss)</w:t>
            </w:r>
          </w:p>
        </w:tc>
        <w:tc>
          <w:tcPr>
            <w:tcW w:w="180" w:type="dxa"/>
            <w:vAlign w:val="bottom"/>
            <w:tcBorders>
              <w:bottom w:val="single" w:sz="8" w:color="0C479D"/>
            </w:tcBorders>
            <w:shd w:val="clear" w:color="auto" w:fill="F0F0F0"/>
          </w:tcPr>
          <w:p>
            <w:pPr>
              <w:spacing w:after="0"/>
              <w:rPr>
                <w:sz w:val="21"/>
                <w:szCs w:val="21"/>
                <w:color w:val="auto"/>
              </w:rPr>
            </w:pPr>
          </w:p>
        </w:tc>
        <w:tc>
          <w:tcPr>
            <w:tcW w:w="5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4,202</w:t>
            </w:r>
          </w:p>
        </w:tc>
        <w:tc>
          <w:tcPr>
            <w:tcW w:w="60" w:type="dxa"/>
            <w:vAlign w:val="bottom"/>
            <w:tcBorders>
              <w:bottom w:val="single" w:sz="8" w:color="0C479D"/>
            </w:tcBorders>
            <w:shd w:val="clear" w:color="auto" w:fill="F0F0F0"/>
          </w:tcPr>
          <w:p>
            <w:pPr>
              <w:spacing w:after="0"/>
              <w:rPr>
                <w:sz w:val="21"/>
                <w:szCs w:val="21"/>
                <w:color w:val="auto"/>
              </w:rPr>
            </w:pPr>
          </w:p>
        </w:tc>
        <w:tc>
          <w:tcPr>
            <w:tcW w:w="740" w:type="dxa"/>
            <w:vAlign w:val="bottom"/>
            <w:tcBorders>
              <w:bottom w:val="single" w:sz="8" w:color="0C479D"/>
              <w:right w:val="single" w:sz="8" w:color="F0F0F0"/>
            </w:tcBorders>
            <w:shd w:val="clear" w:color="auto" w:fill="F0F0F0"/>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17,106</w:t>
            </w:r>
          </w:p>
        </w:tc>
        <w:tc>
          <w:tcPr>
            <w:tcW w:w="740" w:type="dxa"/>
            <w:vAlign w:val="bottom"/>
            <w:tcBorders>
              <w:bottom w:val="single" w:sz="8" w:color="0C479D"/>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6,123</w:t>
            </w:r>
          </w:p>
        </w:tc>
        <w:tc>
          <w:tcPr>
            <w:tcW w:w="76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6,019</w:t>
            </w:r>
          </w:p>
        </w:tc>
        <w:tc>
          <w:tcPr>
            <w:tcW w:w="68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1,626</w:t>
            </w:r>
          </w:p>
        </w:tc>
        <w:tc>
          <w:tcPr>
            <w:tcW w:w="40" w:type="dxa"/>
            <w:vAlign w:val="bottom"/>
            <w:tcBorders>
              <w:bottom w:val="single" w:sz="8" w:color="0C479D"/>
            </w:tcBorders>
            <w:shd w:val="clear" w:color="auto" w:fill="F0F0F0"/>
          </w:tcPr>
          <w:p>
            <w:pPr>
              <w:spacing w:after="0"/>
              <w:rPr>
                <w:sz w:val="21"/>
                <w:szCs w:val="21"/>
                <w:color w:val="auto"/>
              </w:rPr>
            </w:pPr>
          </w:p>
        </w:tc>
        <w:tc>
          <w:tcPr>
            <w:tcW w:w="720" w:type="dxa"/>
            <w:vAlign w:val="bottom"/>
            <w:tcBorders>
              <w:bottom w:val="single" w:sz="8" w:color="0C479D"/>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11</w:t>
            </w:r>
          </w:p>
        </w:tc>
        <w:tc>
          <w:tcPr>
            <w:tcW w:w="720" w:type="dxa"/>
            <w:vAlign w:val="bottom"/>
            <w:tcBorders>
              <w:bottom w:val="single" w:sz="8" w:color="0C479D"/>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1,536</w:t>
            </w:r>
          </w:p>
        </w:tc>
        <w:tc>
          <w:tcPr>
            <w:tcW w:w="74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1,178</w:t>
            </w:r>
          </w:p>
        </w:tc>
        <w:tc>
          <w:tcPr>
            <w:tcW w:w="760" w:type="dxa"/>
            <w:vAlign w:val="bottom"/>
            <w:tcBorders>
              <w:bottom w:val="single" w:sz="8" w:color="0C479D"/>
            </w:tcBorders>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37,801</w:t>
            </w:r>
          </w:p>
        </w:tc>
        <w:tc>
          <w:tcPr>
            <w:tcW w:w="40" w:type="dxa"/>
            <w:vAlign w:val="bottom"/>
            <w:tcBorders>
              <w:bottom w:val="single" w:sz="8" w:color="0C479D"/>
            </w:tcBorders>
            <w:shd w:val="clear" w:color="auto" w:fill="DCDDDE"/>
          </w:tcPr>
          <w:p>
            <w:pPr>
              <w:spacing w:after="0"/>
              <w:rPr>
                <w:sz w:val="21"/>
                <w:szCs w:val="21"/>
                <w:color w:val="auto"/>
              </w:rPr>
            </w:pPr>
          </w:p>
        </w:tc>
        <w:tc>
          <w:tcPr>
            <w:tcW w:w="0" w:type="dxa"/>
            <w:vAlign w:val="bottom"/>
          </w:tcPr>
          <w:p>
            <w:pPr>
              <w:spacing w:after="0"/>
              <w:rPr>
                <w:sz w:val="1"/>
                <w:szCs w:val="1"/>
                <w:color w:val="auto"/>
              </w:rPr>
            </w:pPr>
          </w:p>
        </w:tc>
      </w:tr>
      <w:tr>
        <w:trPr>
          <w:trHeight w:val="305"/>
        </w:trPr>
        <w:tc>
          <w:tcPr>
            <w:tcW w:w="3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0C479D"/>
              </w:rPr>
              <w:t>Reconciliation of consolidated revenues</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Segment revenues and other income</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469,369</w:t>
            </w: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00" w:type="dxa"/>
            <w:vAlign w:val="bottom"/>
            <w:gridSpan w:val="2"/>
          </w:tcPr>
          <w:p>
            <w:pPr>
              <w:spacing w:after="0" w:line="222" w:lineRule="exact"/>
              <w:rPr>
                <w:sz w:val="20"/>
                <w:szCs w:val="20"/>
                <w:color w:val="auto"/>
              </w:rPr>
            </w:pPr>
            <w:r>
              <w:rPr>
                <w:rFonts w:ascii="Times New Roman" w:cs="Times New Roman" w:eastAsia="Times New Roman" w:hAnsi="Times New Roman"/>
                <w:sz w:val="16"/>
                <w:szCs w:val="16"/>
                <w:color w:val="auto"/>
              </w:rPr>
              <w:t xml:space="preserve">Other revenues </w:t>
            </w:r>
            <w:r>
              <w:rPr>
                <w:rFonts w:ascii="Times New Roman" w:cs="Times New Roman" w:eastAsia="Times New Roman" w:hAnsi="Times New Roman"/>
                <w:sz w:val="21"/>
                <w:szCs w:val="21"/>
                <w:i w:val="1"/>
                <w:iCs w:val="1"/>
                <w:color w:val="auto"/>
                <w:vertAlign w:val="superscript"/>
              </w:rPr>
              <w:t>(2)</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1,664</w:t>
            </w: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0C479D"/>
            </w:tcBorders>
            <w:gridSpan w:val="2"/>
          </w:tcPr>
          <w:p>
            <w:pPr>
              <w:spacing w:after="0"/>
              <w:rPr>
                <w:sz w:val="20"/>
                <w:szCs w:val="20"/>
                <w:color w:val="auto"/>
              </w:rPr>
            </w:pPr>
            <w:r>
              <w:rPr>
                <w:rFonts w:ascii="Times New Roman" w:cs="Times New Roman" w:eastAsia="Times New Roman" w:hAnsi="Times New Roman"/>
                <w:sz w:val="16"/>
                <w:szCs w:val="16"/>
                <w:color w:val="auto"/>
              </w:rPr>
              <w:t>Elimination of intersegment revenues</w:t>
            </w:r>
          </w:p>
        </w:tc>
        <w:tc>
          <w:tcPr>
            <w:tcW w:w="500" w:type="dxa"/>
            <w:vAlign w:val="bottom"/>
            <w:tcBorders>
              <w:bottom w:val="single" w:sz="8" w:color="0C479D"/>
            </w:tcBorders>
          </w:tcPr>
          <w:p>
            <w:pPr>
              <w:spacing w:after="0"/>
              <w:rPr>
                <w:sz w:val="18"/>
                <w:szCs w:val="18"/>
                <w:color w:val="auto"/>
              </w:rPr>
            </w:pPr>
          </w:p>
        </w:tc>
        <w:tc>
          <w:tcPr>
            <w:tcW w:w="60" w:type="dxa"/>
            <w:vAlign w:val="bottom"/>
            <w:tcBorders>
              <w:bottom w:val="single" w:sz="8" w:color="0C479D"/>
            </w:tcBorders>
          </w:tcPr>
          <w:p>
            <w:pPr>
              <w:spacing w:after="0"/>
              <w:rPr>
                <w:sz w:val="18"/>
                <w:szCs w:val="18"/>
                <w:color w:val="auto"/>
              </w:rPr>
            </w:pPr>
          </w:p>
        </w:tc>
        <w:tc>
          <w:tcPr>
            <w:tcW w:w="740" w:type="dxa"/>
            <w:vAlign w:val="bottom"/>
            <w:tcBorders>
              <w:bottom w:val="single" w:sz="8" w:color="0C479D"/>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(126,451)</w:t>
            </w: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consolidated revenues and other income</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344,582</w:t>
            </w: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50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0C479D"/>
              </w:rPr>
              <w:t>Reconciliation of income (loss) attributable to ExxonMobil</w:t>
            </w: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segment net income (loss)</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37,801</w:t>
            </w: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00" w:type="dxa"/>
            <w:vAlign w:val="bottom"/>
            <w:tcBorders>
              <w:bottom w:val="single" w:sz="8" w:color="0C479D"/>
            </w:tcBorders>
            <w:gridSpan w:val="2"/>
          </w:tcPr>
          <w:p>
            <w:pPr>
              <w:spacing w:after="0"/>
              <w:rPr>
                <w:sz w:val="20"/>
                <w:szCs w:val="20"/>
                <w:color w:val="auto"/>
              </w:rPr>
            </w:pPr>
            <w:r>
              <w:rPr>
                <w:rFonts w:ascii="Times New Roman" w:cs="Times New Roman" w:eastAsia="Times New Roman" w:hAnsi="Times New Roman"/>
                <w:sz w:val="16"/>
                <w:szCs w:val="16"/>
                <w:color w:val="auto"/>
              </w:rPr>
              <w:t>Corporate and Financing income (loss)</w:t>
            </w:r>
          </w:p>
        </w:tc>
        <w:tc>
          <w:tcPr>
            <w:tcW w:w="500" w:type="dxa"/>
            <w:vAlign w:val="bottom"/>
            <w:tcBorders>
              <w:bottom w:val="single" w:sz="8" w:color="0C479D"/>
            </w:tcBorders>
          </w:tcPr>
          <w:p>
            <w:pPr>
              <w:spacing w:after="0"/>
              <w:rPr>
                <w:sz w:val="19"/>
                <w:szCs w:val="19"/>
                <w:color w:val="auto"/>
              </w:rPr>
            </w:pPr>
          </w:p>
        </w:tc>
        <w:tc>
          <w:tcPr>
            <w:tcW w:w="60" w:type="dxa"/>
            <w:vAlign w:val="bottom"/>
            <w:tcBorders>
              <w:bottom w:val="single" w:sz="8" w:color="0C479D"/>
            </w:tcBorders>
          </w:tcPr>
          <w:p>
            <w:pPr>
              <w:spacing w:after="0"/>
              <w:rPr>
                <w:sz w:val="19"/>
                <w:szCs w:val="19"/>
                <w:color w:val="auto"/>
              </w:rPr>
            </w:pPr>
          </w:p>
        </w:tc>
        <w:tc>
          <w:tcPr>
            <w:tcW w:w="740" w:type="dxa"/>
            <w:vAlign w:val="bottom"/>
            <w:tcBorders>
              <w:bottom w:val="single" w:sz="8" w:color="0C479D"/>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(1,791)</w:t>
            </w: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income (loss) attributable to ExxonMobil</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36,010</w:t>
            </w: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2"/>
        </w:trPr>
        <w:tc>
          <w:tcPr>
            <w:tcW w:w="3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gridSpan w:val="3"/>
          </w:tcPr>
          <w:p>
            <w:pPr>
              <w:spacing w:after="0"/>
              <w:rPr>
                <w:sz w:val="9"/>
                <w:szCs w:val="9"/>
                <w:color w:val="auto"/>
              </w:rPr>
            </w:pPr>
          </w:p>
        </w:tc>
        <w:tc>
          <w:tcPr>
            <w:tcW w:w="1500" w:type="dxa"/>
            <w:vAlign w:val="bottom"/>
            <w:gridSpan w:val="2"/>
          </w:tcPr>
          <w:p>
            <w:pPr>
              <w:spacing w:after="0"/>
              <w:rPr>
                <w:sz w:val="9"/>
                <w:szCs w:val="9"/>
                <w:color w:val="auto"/>
              </w:rPr>
            </w:pPr>
          </w:p>
        </w:tc>
        <w:tc>
          <w:tcPr>
            <w:tcW w:w="1440" w:type="dxa"/>
            <w:vAlign w:val="bottom"/>
            <w:gridSpan w:val="3"/>
          </w:tcPr>
          <w:p>
            <w:pPr>
              <w:spacing w:after="0"/>
              <w:rPr>
                <w:sz w:val="9"/>
                <w:szCs w:val="9"/>
                <w:color w:val="auto"/>
              </w:rPr>
            </w:pPr>
          </w:p>
        </w:tc>
        <w:tc>
          <w:tcPr>
            <w:tcW w:w="1460" w:type="dxa"/>
            <w:vAlign w:val="bottom"/>
            <w:gridSpan w:val="2"/>
          </w:tcPr>
          <w:p>
            <w:pPr>
              <w:spacing w:after="0"/>
              <w:rPr>
                <w:sz w:val="9"/>
                <w:szCs w:val="9"/>
                <w:color w:val="auto"/>
              </w:rPr>
            </w:pPr>
          </w:p>
        </w:tc>
        <w:tc>
          <w:tcPr>
            <w:tcW w:w="8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3200" w:type="dxa"/>
            <w:vAlign w:val="bottom"/>
            <w:gridSpan w:val="2"/>
            <w:vMerge w:val="restart"/>
            <w:shd w:val="clear" w:color="auto" w:fill="0C479D"/>
          </w:tcPr>
          <w:p>
            <w:pPr>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1300" w:type="dxa"/>
            <w:vAlign w:val="bottom"/>
            <w:tcBorders>
              <w:right w:val="single" w:sz="8" w:color="0C479D"/>
            </w:tcBorders>
            <w:gridSpan w:val="3"/>
            <w:shd w:val="clear" w:color="auto" w:fill="0C479D"/>
          </w:tcPr>
          <w:p>
            <w:pPr>
              <w:jc w:val="center"/>
              <w:ind w:right="120"/>
              <w:spacing w:after="0"/>
              <w:rPr>
                <w:sz w:val="20"/>
                <w:szCs w:val="20"/>
                <w:color w:val="auto"/>
              </w:rPr>
            </w:pPr>
            <w:r>
              <w:rPr>
                <w:rFonts w:ascii="Times New Roman" w:cs="Times New Roman" w:eastAsia="Times New Roman" w:hAnsi="Times New Roman"/>
                <w:sz w:val="14"/>
                <w:szCs w:val="14"/>
                <w:b w:val="1"/>
                <w:bCs w:val="1"/>
                <w:color w:val="FFFFFF"/>
              </w:rPr>
              <w:t>Upstream</w:t>
            </w:r>
          </w:p>
        </w:tc>
        <w:tc>
          <w:tcPr>
            <w:tcW w:w="1500" w:type="dxa"/>
            <w:vAlign w:val="bottom"/>
            <w:gridSpan w:val="2"/>
            <w:shd w:val="clear" w:color="auto" w:fill="0C479D"/>
          </w:tcPr>
          <w:p>
            <w:pPr>
              <w:ind w:left="220"/>
              <w:spacing w:after="0"/>
              <w:rPr>
                <w:sz w:val="20"/>
                <w:szCs w:val="20"/>
                <w:color w:val="auto"/>
              </w:rPr>
            </w:pPr>
            <w:r>
              <w:rPr>
                <w:rFonts w:ascii="Times New Roman" w:cs="Times New Roman" w:eastAsia="Times New Roman" w:hAnsi="Times New Roman"/>
                <w:sz w:val="14"/>
                <w:szCs w:val="14"/>
                <w:b w:val="1"/>
                <w:bCs w:val="1"/>
                <w:color w:val="FFFFFF"/>
              </w:rPr>
              <w:t>Energy Products</w:t>
            </w:r>
          </w:p>
        </w:tc>
        <w:tc>
          <w:tcPr>
            <w:tcW w:w="1440" w:type="dxa"/>
            <w:vAlign w:val="bottom"/>
            <w:tcBorders>
              <w:right w:val="single" w:sz="8" w:color="0C479D"/>
            </w:tcBorders>
            <w:gridSpan w:val="3"/>
            <w:shd w:val="clear" w:color="auto" w:fill="0C479D"/>
          </w:tcPr>
          <w:p>
            <w:pPr>
              <w:jc w:val="right"/>
              <w:ind w:right="60"/>
              <w:spacing w:after="0"/>
              <w:rPr>
                <w:sz w:val="20"/>
                <w:szCs w:val="20"/>
                <w:color w:val="auto"/>
              </w:rPr>
            </w:pPr>
            <w:r>
              <w:rPr>
                <w:rFonts w:ascii="Times New Roman" w:cs="Times New Roman" w:eastAsia="Times New Roman" w:hAnsi="Times New Roman"/>
                <w:sz w:val="14"/>
                <w:szCs w:val="14"/>
                <w:b w:val="1"/>
                <w:bCs w:val="1"/>
                <w:color w:val="FFFFFF"/>
              </w:rPr>
              <w:t>Chemical Products</w:t>
            </w:r>
          </w:p>
        </w:tc>
        <w:tc>
          <w:tcPr>
            <w:tcW w:w="1460" w:type="dxa"/>
            <w:vAlign w:val="bottom"/>
            <w:gridSpan w:val="2"/>
            <w:shd w:val="clear" w:color="auto" w:fill="0C479D"/>
          </w:tcPr>
          <w:p>
            <w:pPr>
              <w:jc w:val="right"/>
              <w:ind w:right="80"/>
              <w:spacing w:after="0"/>
              <w:rPr>
                <w:sz w:val="20"/>
                <w:szCs w:val="20"/>
                <w:color w:val="auto"/>
              </w:rPr>
            </w:pPr>
            <w:r>
              <w:rPr>
                <w:rFonts w:ascii="Times New Roman" w:cs="Times New Roman" w:eastAsia="Times New Roman" w:hAnsi="Times New Roman"/>
                <w:sz w:val="14"/>
                <w:szCs w:val="14"/>
                <w:b w:val="1"/>
                <w:bCs w:val="1"/>
                <w:color w:val="FFFFFF"/>
              </w:rPr>
              <w:t>Specialty Products</w:t>
            </w:r>
          </w:p>
        </w:tc>
        <w:tc>
          <w:tcPr>
            <w:tcW w:w="800" w:type="dxa"/>
            <w:vAlign w:val="bottom"/>
            <w:gridSpan w:val="2"/>
            <w:shd w:val="clear" w:color="auto" w:fill="0C479D"/>
          </w:tcPr>
          <w:p>
            <w:pPr>
              <w:jc w:val="center"/>
              <w:ind w:right="20"/>
              <w:spacing w:after="0"/>
              <w:rPr>
                <w:sz w:val="20"/>
                <w:szCs w:val="20"/>
                <w:color w:val="auto"/>
              </w:rPr>
            </w:pPr>
            <w:r>
              <w:rPr>
                <w:rFonts w:ascii="Times New Roman" w:cs="Times New Roman" w:eastAsia="Times New Roman" w:hAnsi="Times New Roman"/>
                <w:sz w:val="14"/>
                <w:szCs w:val="14"/>
                <w:b w:val="1"/>
                <w:bCs w:val="1"/>
                <w:color w:val="FFFFFF"/>
              </w:rPr>
              <w:t>Segment</w:t>
            </w:r>
          </w:p>
        </w:tc>
        <w:tc>
          <w:tcPr>
            <w:tcW w:w="0" w:type="dxa"/>
            <w:vAlign w:val="bottom"/>
          </w:tcPr>
          <w:p>
            <w:pPr>
              <w:spacing w:after="0"/>
              <w:rPr>
                <w:sz w:val="1"/>
                <w:szCs w:val="1"/>
                <w:color w:val="auto"/>
              </w:rPr>
            </w:pPr>
          </w:p>
        </w:tc>
      </w:tr>
      <w:tr>
        <w:trPr>
          <w:trHeight w:val="109"/>
        </w:trPr>
        <w:tc>
          <w:tcPr>
            <w:tcW w:w="3200" w:type="dxa"/>
            <w:vAlign w:val="bottom"/>
            <w:gridSpan w:val="2"/>
            <w:vMerge w:val="continue"/>
            <w:shd w:val="clear" w:color="auto" w:fill="0C479D"/>
          </w:tcPr>
          <w:p>
            <w:pPr>
              <w:spacing w:after="0"/>
              <w:rPr>
                <w:sz w:val="9"/>
                <w:szCs w:val="9"/>
                <w:color w:val="auto"/>
              </w:rPr>
            </w:pPr>
          </w:p>
        </w:tc>
        <w:tc>
          <w:tcPr>
            <w:tcW w:w="560" w:type="dxa"/>
            <w:vAlign w:val="bottom"/>
            <w:gridSpan w:val="2"/>
            <w:vMerge w:val="restart"/>
            <w:shd w:val="clear" w:color="auto" w:fill="0C479D"/>
          </w:tcPr>
          <w:p>
            <w:pPr>
              <w:ind w:left="60"/>
              <w:spacing w:after="0"/>
              <w:rPr>
                <w:sz w:val="20"/>
                <w:szCs w:val="20"/>
                <w:color w:val="auto"/>
              </w:rPr>
            </w:pPr>
            <w:r>
              <w:rPr>
                <w:rFonts w:ascii="Times New Roman" w:cs="Times New Roman" w:eastAsia="Times New Roman" w:hAnsi="Times New Roman"/>
                <w:sz w:val="14"/>
                <w:szCs w:val="14"/>
                <w:b w:val="1"/>
                <w:bCs w:val="1"/>
                <w:color w:val="FFFFFF"/>
              </w:rPr>
              <w:t>U.S.</w:t>
            </w:r>
          </w:p>
        </w:tc>
        <w:tc>
          <w:tcPr>
            <w:tcW w:w="740" w:type="dxa"/>
            <w:vAlign w:val="bottom"/>
            <w:tcBorders>
              <w:right w:val="single" w:sz="8" w:color="0C479D"/>
            </w:tcBorders>
            <w:vMerge w:val="restart"/>
            <w:shd w:val="clear" w:color="auto" w:fill="0C479D"/>
          </w:tcPr>
          <w:p>
            <w:pPr>
              <w:jc w:val="right"/>
              <w:ind w:right="20"/>
              <w:spacing w:after="0"/>
              <w:rPr>
                <w:sz w:val="20"/>
                <w:szCs w:val="20"/>
                <w:color w:val="auto"/>
              </w:rPr>
            </w:pPr>
            <w:r>
              <w:rPr>
                <w:rFonts w:ascii="Times New Roman" w:cs="Times New Roman" w:eastAsia="Times New Roman" w:hAnsi="Times New Roman"/>
                <w:sz w:val="14"/>
                <w:szCs w:val="14"/>
                <w:b w:val="1"/>
                <w:bCs w:val="1"/>
                <w:color w:val="FFFFFF"/>
              </w:rPr>
              <w:t>Non-U.S.</w:t>
            </w:r>
          </w:p>
        </w:tc>
        <w:tc>
          <w:tcPr>
            <w:tcW w:w="740" w:type="dxa"/>
            <w:vAlign w:val="bottom"/>
            <w:vMerge w:val="restart"/>
            <w:shd w:val="clear" w:color="auto" w:fill="0C479D"/>
          </w:tcPr>
          <w:p>
            <w:pPr>
              <w:ind w:left="240"/>
              <w:spacing w:after="0"/>
              <w:rPr>
                <w:sz w:val="20"/>
                <w:szCs w:val="20"/>
                <w:color w:val="auto"/>
              </w:rPr>
            </w:pPr>
            <w:r>
              <w:rPr>
                <w:rFonts w:ascii="Times New Roman" w:cs="Times New Roman" w:eastAsia="Times New Roman" w:hAnsi="Times New Roman"/>
                <w:sz w:val="14"/>
                <w:szCs w:val="14"/>
                <w:b w:val="1"/>
                <w:bCs w:val="1"/>
                <w:color w:val="FFFFFF"/>
              </w:rPr>
              <w:t>U.S.</w:t>
            </w:r>
          </w:p>
        </w:tc>
        <w:tc>
          <w:tcPr>
            <w:tcW w:w="760" w:type="dxa"/>
            <w:vAlign w:val="bottom"/>
            <w:vMerge w:val="restart"/>
            <w:shd w:val="clear" w:color="auto" w:fill="0C479D"/>
          </w:tcPr>
          <w:p>
            <w:pPr>
              <w:jc w:val="right"/>
              <w:ind w:right="20"/>
              <w:spacing w:after="0"/>
              <w:rPr>
                <w:sz w:val="20"/>
                <w:szCs w:val="20"/>
                <w:color w:val="auto"/>
              </w:rPr>
            </w:pPr>
            <w:r>
              <w:rPr>
                <w:rFonts w:ascii="Times New Roman" w:cs="Times New Roman" w:eastAsia="Times New Roman" w:hAnsi="Times New Roman"/>
                <w:sz w:val="14"/>
                <w:szCs w:val="14"/>
                <w:b w:val="1"/>
                <w:bCs w:val="1"/>
                <w:color w:val="FFFFFF"/>
              </w:rPr>
              <w:t>Non-U.S.</w:t>
            </w:r>
          </w:p>
        </w:tc>
        <w:tc>
          <w:tcPr>
            <w:tcW w:w="720" w:type="dxa"/>
            <w:vAlign w:val="bottom"/>
            <w:gridSpan w:val="2"/>
            <w:vMerge w:val="restart"/>
            <w:shd w:val="clear" w:color="auto" w:fill="0C479D"/>
          </w:tcPr>
          <w:p>
            <w:pPr>
              <w:ind w:left="220"/>
              <w:spacing w:after="0"/>
              <w:rPr>
                <w:sz w:val="20"/>
                <w:szCs w:val="20"/>
                <w:color w:val="auto"/>
              </w:rPr>
            </w:pPr>
            <w:r>
              <w:rPr>
                <w:rFonts w:ascii="Times New Roman" w:cs="Times New Roman" w:eastAsia="Times New Roman" w:hAnsi="Times New Roman"/>
                <w:sz w:val="14"/>
                <w:szCs w:val="14"/>
                <w:b w:val="1"/>
                <w:bCs w:val="1"/>
                <w:color w:val="FFFFFF"/>
              </w:rPr>
              <w:t>U.S.</w:t>
            </w:r>
          </w:p>
        </w:tc>
        <w:tc>
          <w:tcPr>
            <w:tcW w:w="720" w:type="dxa"/>
            <w:vAlign w:val="bottom"/>
            <w:tcBorders>
              <w:right w:val="single" w:sz="8" w:color="0C479D"/>
            </w:tcBorders>
            <w:vMerge w:val="restart"/>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Non-U.S.</w:t>
            </w:r>
          </w:p>
        </w:tc>
        <w:tc>
          <w:tcPr>
            <w:tcW w:w="720" w:type="dxa"/>
            <w:vAlign w:val="bottom"/>
            <w:vMerge w:val="restart"/>
            <w:shd w:val="clear" w:color="auto" w:fill="0C479D"/>
          </w:tcPr>
          <w:p>
            <w:pPr>
              <w:jc w:val="right"/>
              <w:ind w:right="161"/>
              <w:spacing w:after="0"/>
              <w:rPr>
                <w:sz w:val="20"/>
                <w:szCs w:val="20"/>
                <w:color w:val="auto"/>
              </w:rPr>
            </w:pPr>
            <w:r>
              <w:rPr>
                <w:rFonts w:ascii="Times New Roman" w:cs="Times New Roman" w:eastAsia="Times New Roman" w:hAnsi="Times New Roman"/>
                <w:sz w:val="14"/>
                <w:szCs w:val="14"/>
                <w:b w:val="1"/>
                <w:bCs w:val="1"/>
                <w:color w:val="FFFFFF"/>
              </w:rPr>
              <w:t>U.S.</w:t>
            </w:r>
          </w:p>
        </w:tc>
        <w:tc>
          <w:tcPr>
            <w:tcW w:w="740" w:type="dxa"/>
            <w:vAlign w:val="bottom"/>
            <w:vMerge w:val="restart"/>
            <w:shd w:val="clear" w:color="auto" w:fill="0C479D"/>
          </w:tcPr>
          <w:p>
            <w:pPr>
              <w:jc w:val="right"/>
              <w:ind w:right="20"/>
              <w:spacing w:after="0"/>
              <w:rPr>
                <w:sz w:val="20"/>
                <w:szCs w:val="20"/>
                <w:color w:val="auto"/>
              </w:rPr>
            </w:pPr>
            <w:r>
              <w:rPr>
                <w:rFonts w:ascii="Times New Roman" w:cs="Times New Roman" w:eastAsia="Times New Roman" w:hAnsi="Times New Roman"/>
                <w:sz w:val="14"/>
                <w:szCs w:val="14"/>
                <w:b w:val="1"/>
                <w:bCs w:val="1"/>
                <w:color w:val="FFFFFF"/>
              </w:rPr>
              <w:t>Non-U.S.</w:t>
            </w:r>
          </w:p>
        </w:tc>
        <w:tc>
          <w:tcPr>
            <w:tcW w:w="800" w:type="dxa"/>
            <w:vAlign w:val="bottom"/>
            <w:gridSpan w:val="2"/>
            <w:vMerge w:val="restart"/>
            <w:shd w:val="clear" w:color="auto" w:fill="0C479D"/>
          </w:tcPr>
          <w:p>
            <w:pPr>
              <w:jc w:val="center"/>
              <w:ind w:right="20"/>
              <w:spacing w:after="0"/>
              <w:rPr>
                <w:sz w:val="20"/>
                <w:szCs w:val="20"/>
                <w:color w:val="auto"/>
              </w:rPr>
            </w:pPr>
            <w:r>
              <w:rPr>
                <w:rFonts w:ascii="Times New Roman" w:cs="Times New Roman" w:eastAsia="Times New Roman" w:hAnsi="Times New Roman"/>
                <w:sz w:val="14"/>
                <w:szCs w:val="14"/>
                <w:b w:val="1"/>
                <w:bCs w:val="1"/>
                <w:color w:val="FFFFFF"/>
                <w:w w:val="93"/>
              </w:rPr>
              <w:t>Total</w:t>
            </w:r>
          </w:p>
        </w:tc>
        <w:tc>
          <w:tcPr>
            <w:tcW w:w="0" w:type="dxa"/>
            <w:vAlign w:val="bottom"/>
          </w:tcPr>
          <w:p>
            <w:pPr>
              <w:spacing w:after="0"/>
              <w:rPr>
                <w:sz w:val="1"/>
                <w:szCs w:val="1"/>
                <w:color w:val="auto"/>
              </w:rPr>
            </w:pPr>
          </w:p>
        </w:tc>
      </w:tr>
      <w:tr>
        <w:trPr>
          <w:trHeight w:val="125"/>
        </w:trPr>
        <w:tc>
          <w:tcPr>
            <w:tcW w:w="3020" w:type="dxa"/>
            <w:vAlign w:val="bottom"/>
            <w:tcBorders>
              <w:bottom w:val="single" w:sz="8" w:color="0C479D"/>
            </w:tcBorders>
            <w:shd w:val="clear" w:color="auto" w:fill="0C479D"/>
          </w:tcPr>
          <w:p>
            <w:pPr>
              <w:spacing w:after="0"/>
              <w:rPr>
                <w:sz w:val="10"/>
                <w:szCs w:val="10"/>
                <w:color w:val="auto"/>
              </w:rPr>
            </w:pPr>
          </w:p>
        </w:tc>
        <w:tc>
          <w:tcPr>
            <w:tcW w:w="180" w:type="dxa"/>
            <w:vAlign w:val="bottom"/>
            <w:tcBorders>
              <w:bottom w:val="single" w:sz="8" w:color="0C479D"/>
            </w:tcBorders>
            <w:shd w:val="clear" w:color="auto" w:fill="0C479D"/>
          </w:tcPr>
          <w:p>
            <w:pPr>
              <w:spacing w:after="0"/>
              <w:rPr>
                <w:sz w:val="10"/>
                <w:szCs w:val="10"/>
                <w:color w:val="auto"/>
              </w:rPr>
            </w:pPr>
          </w:p>
        </w:tc>
        <w:tc>
          <w:tcPr>
            <w:tcW w:w="560" w:type="dxa"/>
            <w:vAlign w:val="bottom"/>
            <w:tcBorders>
              <w:bottom w:val="single" w:sz="8" w:color="0C479D"/>
            </w:tcBorders>
            <w:gridSpan w:val="2"/>
            <w:vMerge w:val="continue"/>
            <w:shd w:val="clear" w:color="auto" w:fill="0C479D"/>
          </w:tcPr>
          <w:p>
            <w:pPr>
              <w:spacing w:after="0"/>
              <w:rPr>
                <w:sz w:val="10"/>
                <w:szCs w:val="10"/>
                <w:color w:val="auto"/>
              </w:rPr>
            </w:pPr>
          </w:p>
        </w:tc>
        <w:tc>
          <w:tcPr>
            <w:tcW w:w="740" w:type="dxa"/>
            <w:vAlign w:val="bottom"/>
            <w:tcBorders>
              <w:bottom w:val="single" w:sz="8" w:color="0C479D"/>
              <w:right w:val="single" w:sz="8" w:color="0C479D"/>
            </w:tcBorders>
            <w:vMerge w:val="continue"/>
            <w:shd w:val="clear" w:color="auto" w:fill="0C479D"/>
          </w:tcPr>
          <w:p>
            <w:pPr>
              <w:spacing w:after="0"/>
              <w:rPr>
                <w:sz w:val="10"/>
                <w:szCs w:val="10"/>
                <w:color w:val="auto"/>
              </w:rPr>
            </w:pPr>
          </w:p>
        </w:tc>
        <w:tc>
          <w:tcPr>
            <w:tcW w:w="740" w:type="dxa"/>
            <w:vAlign w:val="bottom"/>
            <w:tcBorders>
              <w:bottom w:val="single" w:sz="8" w:color="0C479D"/>
            </w:tcBorders>
            <w:vMerge w:val="continue"/>
            <w:shd w:val="clear" w:color="auto" w:fill="0C479D"/>
          </w:tcPr>
          <w:p>
            <w:pPr>
              <w:spacing w:after="0"/>
              <w:rPr>
                <w:sz w:val="10"/>
                <w:szCs w:val="10"/>
                <w:color w:val="auto"/>
              </w:rPr>
            </w:pPr>
          </w:p>
        </w:tc>
        <w:tc>
          <w:tcPr>
            <w:tcW w:w="760" w:type="dxa"/>
            <w:vAlign w:val="bottom"/>
            <w:tcBorders>
              <w:bottom w:val="single" w:sz="8" w:color="0C479D"/>
            </w:tcBorders>
            <w:vMerge w:val="continue"/>
            <w:shd w:val="clear" w:color="auto" w:fill="0C479D"/>
          </w:tcPr>
          <w:p>
            <w:pPr>
              <w:spacing w:after="0"/>
              <w:rPr>
                <w:sz w:val="10"/>
                <w:szCs w:val="10"/>
                <w:color w:val="auto"/>
              </w:rPr>
            </w:pPr>
          </w:p>
        </w:tc>
        <w:tc>
          <w:tcPr>
            <w:tcW w:w="720" w:type="dxa"/>
            <w:vAlign w:val="bottom"/>
            <w:tcBorders>
              <w:bottom w:val="single" w:sz="8" w:color="0C479D"/>
            </w:tcBorders>
            <w:gridSpan w:val="2"/>
            <w:vMerge w:val="continue"/>
            <w:shd w:val="clear" w:color="auto" w:fill="0C479D"/>
          </w:tcPr>
          <w:p>
            <w:pPr>
              <w:spacing w:after="0"/>
              <w:rPr>
                <w:sz w:val="10"/>
                <w:szCs w:val="10"/>
                <w:color w:val="auto"/>
              </w:rPr>
            </w:pPr>
          </w:p>
        </w:tc>
        <w:tc>
          <w:tcPr>
            <w:tcW w:w="720" w:type="dxa"/>
            <w:vAlign w:val="bottom"/>
            <w:tcBorders>
              <w:bottom w:val="single" w:sz="8" w:color="0C479D"/>
              <w:right w:val="single" w:sz="8" w:color="0C479D"/>
            </w:tcBorders>
            <w:vMerge w:val="continue"/>
            <w:shd w:val="clear" w:color="auto" w:fill="0C479D"/>
          </w:tcPr>
          <w:p>
            <w:pPr>
              <w:spacing w:after="0"/>
              <w:rPr>
                <w:sz w:val="10"/>
                <w:szCs w:val="10"/>
                <w:color w:val="auto"/>
              </w:rPr>
            </w:pPr>
          </w:p>
        </w:tc>
        <w:tc>
          <w:tcPr>
            <w:tcW w:w="720" w:type="dxa"/>
            <w:vAlign w:val="bottom"/>
            <w:tcBorders>
              <w:bottom w:val="single" w:sz="8" w:color="0C479D"/>
            </w:tcBorders>
            <w:vMerge w:val="continue"/>
            <w:shd w:val="clear" w:color="auto" w:fill="0C479D"/>
          </w:tcPr>
          <w:p>
            <w:pPr>
              <w:spacing w:after="0"/>
              <w:rPr>
                <w:sz w:val="10"/>
                <w:szCs w:val="10"/>
                <w:color w:val="auto"/>
              </w:rPr>
            </w:pPr>
          </w:p>
        </w:tc>
        <w:tc>
          <w:tcPr>
            <w:tcW w:w="740" w:type="dxa"/>
            <w:vAlign w:val="bottom"/>
            <w:tcBorders>
              <w:bottom w:val="single" w:sz="8" w:color="0C479D"/>
            </w:tcBorders>
            <w:vMerge w:val="continue"/>
            <w:shd w:val="clear" w:color="auto" w:fill="0C479D"/>
          </w:tcPr>
          <w:p>
            <w:pPr>
              <w:spacing w:after="0"/>
              <w:rPr>
                <w:sz w:val="10"/>
                <w:szCs w:val="10"/>
                <w:color w:val="auto"/>
              </w:rPr>
            </w:pPr>
          </w:p>
        </w:tc>
        <w:tc>
          <w:tcPr>
            <w:tcW w:w="800" w:type="dxa"/>
            <w:vAlign w:val="bottom"/>
            <w:tcBorders>
              <w:bottom w:val="single" w:sz="8" w:color="0C479D"/>
            </w:tcBorders>
            <w:gridSpan w:val="2"/>
            <w:vMerge w:val="continue"/>
            <w:shd w:val="clear" w:color="auto" w:fill="0C479D"/>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3020" w:type="dxa"/>
            <w:vAlign w:val="bottom"/>
          </w:tcPr>
          <w:p>
            <w:pPr>
              <w:spacing w:after="0"/>
              <w:rPr>
                <w:sz w:val="20"/>
                <w:szCs w:val="20"/>
                <w:color w:val="auto"/>
              </w:rPr>
            </w:pPr>
            <w:r>
              <w:rPr>
                <w:rFonts w:ascii="Times New Roman" w:cs="Times New Roman" w:eastAsia="Times New Roman" w:hAnsi="Times New Roman"/>
                <w:sz w:val="16"/>
                <w:szCs w:val="16"/>
                <w:b w:val="1"/>
                <w:bCs w:val="1"/>
                <w:color w:val="0C479D"/>
              </w:rPr>
              <w:t>As of December 31, 2023</w:t>
            </w:r>
          </w:p>
        </w:tc>
        <w:tc>
          <w:tcPr>
            <w:tcW w:w="180" w:type="dxa"/>
            <w:vAlign w:val="bottom"/>
            <w:shd w:val="clear" w:color="auto" w:fill="F0F0F0"/>
          </w:tcPr>
          <w:p>
            <w:pPr>
              <w:spacing w:after="0"/>
              <w:rPr>
                <w:sz w:val="18"/>
                <w:szCs w:val="18"/>
                <w:color w:val="auto"/>
              </w:rPr>
            </w:pPr>
          </w:p>
        </w:tc>
        <w:tc>
          <w:tcPr>
            <w:tcW w:w="500" w:type="dxa"/>
            <w:vAlign w:val="bottom"/>
            <w:shd w:val="clear" w:color="auto" w:fill="F0F0F0"/>
          </w:tcPr>
          <w:p>
            <w:pPr>
              <w:spacing w:after="0"/>
              <w:rPr>
                <w:sz w:val="18"/>
                <w:szCs w:val="18"/>
                <w:color w:val="auto"/>
              </w:rPr>
            </w:pPr>
          </w:p>
        </w:tc>
        <w:tc>
          <w:tcPr>
            <w:tcW w:w="60" w:type="dxa"/>
            <w:vAlign w:val="bottom"/>
            <w:shd w:val="clear" w:color="auto" w:fill="F0F0F0"/>
          </w:tcPr>
          <w:p>
            <w:pPr>
              <w:spacing w:after="0"/>
              <w:rPr>
                <w:sz w:val="18"/>
                <w:szCs w:val="18"/>
                <w:color w:val="auto"/>
              </w:rPr>
            </w:pPr>
          </w:p>
        </w:tc>
        <w:tc>
          <w:tcPr>
            <w:tcW w:w="740" w:type="dxa"/>
            <w:vAlign w:val="bottom"/>
            <w:tcBorders>
              <w:right w:val="single" w:sz="8" w:color="F0F0F0"/>
            </w:tcBorders>
            <w:shd w:val="clear" w:color="auto" w:fill="F0F0F0"/>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shd w:val="clear" w:color="auto" w:fill="F0F0F0"/>
          </w:tcPr>
          <w:p>
            <w:pPr>
              <w:spacing w:after="0"/>
              <w:rPr>
                <w:sz w:val="18"/>
                <w:szCs w:val="18"/>
                <w:color w:val="auto"/>
              </w:rPr>
            </w:pPr>
          </w:p>
        </w:tc>
        <w:tc>
          <w:tcPr>
            <w:tcW w:w="40" w:type="dxa"/>
            <w:vAlign w:val="bottom"/>
            <w:shd w:val="clear" w:color="auto" w:fill="F0F0F0"/>
          </w:tcPr>
          <w:p>
            <w:pPr>
              <w:spacing w:after="0"/>
              <w:rPr>
                <w:sz w:val="18"/>
                <w:szCs w:val="18"/>
                <w:color w:val="auto"/>
              </w:rPr>
            </w:pPr>
          </w:p>
        </w:tc>
        <w:tc>
          <w:tcPr>
            <w:tcW w:w="720" w:type="dxa"/>
            <w:vAlign w:val="bottom"/>
            <w:tcBorders>
              <w:right w:val="single" w:sz="8" w:color="F0F0F0"/>
            </w:tcBorders>
            <w:shd w:val="clear" w:color="auto" w:fill="F0F0F0"/>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shd w:val="clear" w:color="auto" w:fill="DCDDDE"/>
          </w:tcPr>
          <w:p>
            <w:pPr>
              <w:spacing w:after="0"/>
              <w:rPr>
                <w:sz w:val="18"/>
                <w:szCs w:val="18"/>
                <w:color w:val="auto"/>
              </w:rPr>
            </w:pPr>
          </w:p>
        </w:tc>
        <w:tc>
          <w:tcPr>
            <w:tcW w:w="40" w:type="dxa"/>
            <w:vAlign w:val="bottom"/>
            <w:shd w:val="clear" w:color="auto" w:fill="DCDDD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020" w:type="dxa"/>
            <w:vAlign w:val="bottom"/>
          </w:tcPr>
          <w:p>
            <w:pPr>
              <w:spacing w:after="0" w:line="220" w:lineRule="exact"/>
              <w:rPr>
                <w:sz w:val="20"/>
                <w:szCs w:val="20"/>
                <w:color w:val="auto"/>
              </w:rPr>
            </w:pPr>
            <w:r>
              <w:rPr>
                <w:rFonts w:ascii="Times New Roman" w:cs="Times New Roman" w:eastAsia="Times New Roman" w:hAnsi="Times New Roman"/>
                <w:sz w:val="16"/>
                <w:szCs w:val="16"/>
                <w:color w:val="auto"/>
              </w:rPr>
              <w:t xml:space="preserve">Additions to property, plant and equipment </w:t>
            </w:r>
            <w:r>
              <w:rPr>
                <w:rFonts w:ascii="Times New Roman" w:cs="Times New Roman" w:eastAsia="Times New Roman" w:hAnsi="Times New Roman"/>
                <w:sz w:val="21"/>
                <w:szCs w:val="21"/>
                <w:i w:val="1"/>
                <w:iCs w:val="1"/>
                <w:color w:val="auto"/>
                <w:vertAlign w:val="superscript"/>
              </w:rPr>
              <w:t>(3)</w:t>
            </w:r>
          </w:p>
        </w:tc>
        <w:tc>
          <w:tcPr>
            <w:tcW w:w="180" w:type="dxa"/>
            <w:vAlign w:val="bottom"/>
            <w:shd w:val="clear" w:color="auto" w:fill="F0F0F0"/>
          </w:tcPr>
          <w:p>
            <w:pPr>
              <w:spacing w:after="0"/>
              <w:rPr>
                <w:sz w:val="19"/>
                <w:szCs w:val="19"/>
                <w:color w:val="auto"/>
              </w:rPr>
            </w:pPr>
          </w:p>
        </w:tc>
        <w:tc>
          <w:tcPr>
            <w:tcW w:w="5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w w:val="99"/>
              </w:rPr>
              <w:t>10,372</w:t>
            </w:r>
          </w:p>
        </w:tc>
        <w:tc>
          <w:tcPr>
            <w:tcW w:w="60" w:type="dxa"/>
            <w:vAlign w:val="bottom"/>
            <w:shd w:val="clear" w:color="auto" w:fill="F0F0F0"/>
          </w:tcPr>
          <w:p>
            <w:pPr>
              <w:spacing w:after="0"/>
              <w:rPr>
                <w:sz w:val="19"/>
                <w:szCs w:val="19"/>
                <w:color w:val="auto"/>
              </w:rPr>
            </w:pPr>
          </w:p>
        </w:tc>
        <w:tc>
          <w:tcPr>
            <w:tcW w:w="740" w:type="dxa"/>
            <w:vAlign w:val="bottom"/>
            <w:tcBorders>
              <w:right w:val="single" w:sz="8" w:color="F0F0F0"/>
            </w:tcBorders>
            <w:shd w:val="clear" w:color="auto" w:fill="F0F0F0"/>
          </w:tcPr>
          <w:p>
            <w:pPr>
              <w:jc w:val="right"/>
              <w:ind w:right="20"/>
              <w:spacing w:after="0"/>
              <w:rPr>
                <w:sz w:val="20"/>
                <w:szCs w:val="20"/>
                <w:color w:val="auto"/>
              </w:rPr>
            </w:pPr>
            <w:r>
              <w:rPr>
                <w:rFonts w:ascii="Times New Roman" w:cs="Times New Roman" w:eastAsia="Times New Roman" w:hAnsi="Times New Roman"/>
                <w:sz w:val="16"/>
                <w:szCs w:val="16"/>
                <w:color w:val="auto"/>
              </w:rPr>
              <w:t>8,217</w:t>
            </w: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1,106</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1,455</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40" w:type="dxa"/>
            <w:vAlign w:val="bottom"/>
            <w:shd w:val="clear" w:color="auto" w:fill="F0F0F0"/>
          </w:tcPr>
          <w:p>
            <w:pPr>
              <w:spacing w:after="0"/>
              <w:rPr>
                <w:sz w:val="19"/>
                <w:szCs w:val="19"/>
                <w:color w:val="auto"/>
              </w:rPr>
            </w:pPr>
          </w:p>
        </w:tc>
        <w:tc>
          <w:tcPr>
            <w:tcW w:w="72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1,775</w:t>
            </w: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81</w:t>
            </w: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370</w:t>
            </w:r>
          </w:p>
        </w:tc>
        <w:tc>
          <w:tcPr>
            <w:tcW w:w="760" w:type="dxa"/>
            <w:vAlign w:val="bottom"/>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23,976</w:t>
            </w:r>
          </w:p>
        </w:tc>
        <w:tc>
          <w:tcPr>
            <w:tcW w:w="40" w:type="dxa"/>
            <w:vAlign w:val="bottom"/>
            <w:shd w:val="clear" w:color="auto" w:fill="DCDDD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Investments in equity companies</w:t>
            </w:r>
          </w:p>
        </w:tc>
        <w:tc>
          <w:tcPr>
            <w:tcW w:w="180" w:type="dxa"/>
            <w:vAlign w:val="bottom"/>
            <w:shd w:val="clear" w:color="auto" w:fill="F0F0F0"/>
          </w:tcPr>
          <w:p>
            <w:pPr>
              <w:spacing w:after="0"/>
              <w:rPr>
                <w:sz w:val="18"/>
                <w:szCs w:val="18"/>
                <w:color w:val="auto"/>
              </w:rPr>
            </w:pPr>
          </w:p>
        </w:tc>
        <w:tc>
          <w:tcPr>
            <w:tcW w:w="5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4,436</w:t>
            </w:r>
          </w:p>
        </w:tc>
        <w:tc>
          <w:tcPr>
            <w:tcW w:w="60" w:type="dxa"/>
            <w:vAlign w:val="bottom"/>
            <w:shd w:val="clear" w:color="auto" w:fill="F0F0F0"/>
          </w:tcPr>
          <w:p>
            <w:pPr>
              <w:spacing w:after="0"/>
              <w:rPr>
                <w:sz w:val="18"/>
                <w:szCs w:val="18"/>
                <w:color w:val="auto"/>
              </w:rPr>
            </w:pPr>
          </w:p>
        </w:tc>
        <w:tc>
          <w:tcPr>
            <w:tcW w:w="740" w:type="dxa"/>
            <w:vAlign w:val="bottom"/>
            <w:tcBorders>
              <w:right w:val="single" w:sz="8" w:color="F0F0F0"/>
            </w:tcBorders>
            <w:shd w:val="clear" w:color="auto" w:fill="F0F0F0"/>
          </w:tcPr>
          <w:p>
            <w:pPr>
              <w:jc w:val="right"/>
              <w:ind w:right="20"/>
              <w:spacing w:after="0"/>
              <w:rPr>
                <w:sz w:val="20"/>
                <w:szCs w:val="20"/>
                <w:color w:val="auto"/>
              </w:rPr>
            </w:pPr>
            <w:r>
              <w:rPr>
                <w:rFonts w:ascii="Times New Roman" w:cs="Times New Roman" w:eastAsia="Times New Roman" w:hAnsi="Times New Roman"/>
                <w:sz w:val="16"/>
                <w:szCs w:val="16"/>
                <w:color w:val="auto"/>
              </w:rPr>
              <w:t>21,485</w:t>
            </w: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406</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1,135</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3,086</w:t>
            </w:r>
          </w:p>
        </w:tc>
        <w:tc>
          <w:tcPr>
            <w:tcW w:w="40" w:type="dxa"/>
            <w:vAlign w:val="bottom"/>
            <w:shd w:val="clear" w:color="auto" w:fill="F0F0F0"/>
          </w:tcPr>
          <w:p>
            <w:pPr>
              <w:spacing w:after="0"/>
              <w:rPr>
                <w:sz w:val="18"/>
                <w:szCs w:val="18"/>
                <w:color w:val="auto"/>
              </w:rPr>
            </w:pPr>
          </w:p>
        </w:tc>
        <w:tc>
          <w:tcPr>
            <w:tcW w:w="72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2,700</w:t>
            </w: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952</w:t>
            </w:r>
          </w:p>
        </w:tc>
        <w:tc>
          <w:tcPr>
            <w:tcW w:w="760" w:type="dxa"/>
            <w:vAlign w:val="bottom"/>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34,200</w:t>
            </w:r>
          </w:p>
        </w:tc>
        <w:tc>
          <w:tcPr>
            <w:tcW w:w="40" w:type="dxa"/>
            <w:vAlign w:val="bottom"/>
            <w:shd w:val="clear" w:color="auto" w:fill="DCDDDE"/>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02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0C479D"/>
            </w:tcBorders>
            <w:shd w:val="clear" w:color="auto" w:fill="F0F0F0"/>
          </w:tcPr>
          <w:p>
            <w:pPr>
              <w:spacing w:after="0"/>
              <w:rPr>
                <w:sz w:val="19"/>
                <w:szCs w:val="19"/>
                <w:color w:val="auto"/>
              </w:rPr>
            </w:pPr>
          </w:p>
        </w:tc>
        <w:tc>
          <w:tcPr>
            <w:tcW w:w="5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w w:val="99"/>
              </w:rPr>
              <w:t>67,452</w:t>
            </w:r>
          </w:p>
        </w:tc>
        <w:tc>
          <w:tcPr>
            <w:tcW w:w="60" w:type="dxa"/>
            <w:vAlign w:val="bottom"/>
            <w:tcBorders>
              <w:bottom w:val="single" w:sz="8" w:color="0C479D"/>
            </w:tcBorders>
            <w:shd w:val="clear" w:color="auto" w:fill="F0F0F0"/>
          </w:tcPr>
          <w:p>
            <w:pPr>
              <w:spacing w:after="0"/>
              <w:rPr>
                <w:sz w:val="19"/>
                <w:szCs w:val="19"/>
                <w:color w:val="auto"/>
              </w:rPr>
            </w:pPr>
          </w:p>
        </w:tc>
        <w:tc>
          <w:tcPr>
            <w:tcW w:w="740" w:type="dxa"/>
            <w:vAlign w:val="bottom"/>
            <w:tcBorders>
              <w:bottom w:val="single" w:sz="8" w:color="0C479D"/>
              <w:right w:val="single" w:sz="8" w:color="F0F0F0"/>
            </w:tcBorders>
            <w:shd w:val="clear" w:color="auto" w:fill="F0F0F0"/>
          </w:tcPr>
          <w:p>
            <w:pPr>
              <w:jc w:val="right"/>
              <w:ind w:right="20"/>
              <w:spacing w:after="0"/>
              <w:rPr>
                <w:sz w:val="20"/>
                <w:szCs w:val="20"/>
                <w:color w:val="auto"/>
              </w:rPr>
            </w:pPr>
            <w:r>
              <w:rPr>
                <w:rFonts w:ascii="Times New Roman" w:cs="Times New Roman" w:eastAsia="Times New Roman" w:hAnsi="Times New Roman"/>
                <w:sz w:val="16"/>
                <w:szCs w:val="16"/>
                <w:color w:val="auto"/>
              </w:rPr>
              <w:t>138,914</w:t>
            </w:r>
          </w:p>
        </w:tc>
        <w:tc>
          <w:tcPr>
            <w:tcW w:w="740" w:type="dxa"/>
            <w:vAlign w:val="bottom"/>
            <w:tcBorders>
              <w:bottom w:val="single" w:sz="8" w:color="0C479D"/>
            </w:tcBorders>
          </w:tcPr>
          <w:p>
            <w:pPr>
              <w:jc w:val="right"/>
              <w:ind w:right="1"/>
              <w:spacing w:after="0"/>
              <w:rPr>
                <w:sz w:val="20"/>
                <w:szCs w:val="20"/>
                <w:color w:val="auto"/>
              </w:rPr>
            </w:pPr>
            <w:r>
              <w:rPr>
                <w:rFonts w:ascii="Times New Roman" w:cs="Times New Roman" w:eastAsia="Times New Roman" w:hAnsi="Times New Roman"/>
                <w:sz w:val="16"/>
                <w:szCs w:val="16"/>
                <w:color w:val="auto"/>
              </w:rPr>
              <w:t>32,123</w:t>
            </w:r>
          </w:p>
        </w:tc>
        <w:tc>
          <w:tcPr>
            <w:tcW w:w="76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color w:val="auto"/>
              </w:rPr>
              <w:t>42,337</w:t>
            </w:r>
          </w:p>
        </w:tc>
        <w:tc>
          <w:tcPr>
            <w:tcW w:w="68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17,599</w:t>
            </w:r>
          </w:p>
        </w:tc>
        <w:tc>
          <w:tcPr>
            <w:tcW w:w="40" w:type="dxa"/>
            <w:vAlign w:val="bottom"/>
            <w:tcBorders>
              <w:bottom w:val="single" w:sz="8" w:color="0C479D"/>
            </w:tcBorders>
            <w:shd w:val="clear" w:color="auto" w:fill="F0F0F0"/>
          </w:tcPr>
          <w:p>
            <w:pPr>
              <w:spacing w:after="0"/>
              <w:rPr>
                <w:sz w:val="19"/>
                <w:szCs w:val="19"/>
                <w:color w:val="auto"/>
              </w:rPr>
            </w:pPr>
          </w:p>
        </w:tc>
        <w:tc>
          <w:tcPr>
            <w:tcW w:w="720" w:type="dxa"/>
            <w:vAlign w:val="bottom"/>
            <w:tcBorders>
              <w:bottom w:val="single" w:sz="8" w:color="0C479D"/>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17,076</w:t>
            </w:r>
          </w:p>
        </w:tc>
        <w:tc>
          <w:tcPr>
            <w:tcW w:w="720" w:type="dxa"/>
            <w:vAlign w:val="bottom"/>
            <w:tcBorders>
              <w:bottom w:val="single" w:sz="8" w:color="0C479D"/>
            </w:tcBorders>
          </w:tcPr>
          <w:p>
            <w:pPr>
              <w:jc w:val="right"/>
              <w:ind w:right="1"/>
              <w:spacing w:after="0"/>
              <w:rPr>
                <w:sz w:val="20"/>
                <w:szCs w:val="20"/>
                <w:color w:val="auto"/>
              </w:rPr>
            </w:pPr>
            <w:r>
              <w:rPr>
                <w:rFonts w:ascii="Times New Roman" w:cs="Times New Roman" w:eastAsia="Times New Roman" w:hAnsi="Times New Roman"/>
                <w:sz w:val="16"/>
                <w:szCs w:val="16"/>
                <w:color w:val="auto"/>
              </w:rPr>
              <w:t>2,620</w:t>
            </w:r>
          </w:p>
        </w:tc>
        <w:tc>
          <w:tcPr>
            <w:tcW w:w="74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color w:val="auto"/>
              </w:rPr>
              <w:t>8,379</w:t>
            </w:r>
          </w:p>
        </w:tc>
        <w:tc>
          <w:tcPr>
            <w:tcW w:w="760" w:type="dxa"/>
            <w:vAlign w:val="bottom"/>
            <w:tcBorders>
              <w:bottom w:val="single" w:sz="8" w:color="0C479D"/>
            </w:tcBorders>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326,500</w:t>
            </w:r>
          </w:p>
        </w:tc>
        <w:tc>
          <w:tcPr>
            <w:tcW w:w="40" w:type="dxa"/>
            <w:vAlign w:val="bottom"/>
            <w:tcBorders>
              <w:bottom w:val="single" w:sz="8" w:color="0C479D"/>
            </w:tcBorders>
            <w:shd w:val="clear" w:color="auto" w:fill="DCDDDE"/>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3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30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0C479D"/>
              </w:rPr>
              <w:t>Reconciliation to Corporate Total</w:t>
            </w:r>
          </w:p>
        </w:tc>
        <w:tc>
          <w:tcPr>
            <w:tcW w:w="180" w:type="dxa"/>
            <w:vAlign w:val="bottom"/>
            <w:shd w:val="clear" w:color="auto" w:fill="0C479D"/>
          </w:tcPr>
          <w:p>
            <w:pPr>
              <w:spacing w:after="0"/>
              <w:rPr>
                <w:sz w:val="13"/>
                <w:szCs w:val="13"/>
                <w:color w:val="auto"/>
              </w:rPr>
            </w:pPr>
          </w:p>
        </w:tc>
        <w:tc>
          <w:tcPr>
            <w:tcW w:w="1300" w:type="dxa"/>
            <w:vAlign w:val="bottom"/>
            <w:tcBorders>
              <w:right w:val="single" w:sz="8" w:color="0C479D"/>
            </w:tcBorders>
            <w:gridSpan w:val="3"/>
            <w:vMerge w:val="restart"/>
            <w:shd w:val="clear" w:color="auto" w:fill="0C479D"/>
          </w:tcPr>
          <w:p>
            <w:pPr>
              <w:jc w:val="center"/>
              <w:ind w:right="120"/>
              <w:spacing w:after="0"/>
              <w:rPr>
                <w:sz w:val="20"/>
                <w:szCs w:val="20"/>
                <w:color w:val="auto"/>
              </w:rPr>
            </w:pPr>
            <w:r>
              <w:rPr>
                <w:rFonts w:ascii="Times New Roman" w:cs="Times New Roman" w:eastAsia="Times New Roman" w:hAnsi="Times New Roman"/>
                <w:sz w:val="14"/>
                <w:szCs w:val="14"/>
                <w:b w:val="1"/>
                <w:bCs w:val="1"/>
                <w:color w:val="FFFFFF"/>
                <w:w w:val="99"/>
              </w:rPr>
              <w:t>Segment Total</w:t>
            </w:r>
          </w:p>
        </w:tc>
        <w:tc>
          <w:tcPr>
            <w:tcW w:w="1500" w:type="dxa"/>
            <w:vAlign w:val="bottom"/>
            <w:gridSpan w:val="2"/>
            <w:shd w:val="clear" w:color="auto" w:fill="0C479D"/>
          </w:tcPr>
          <w:p>
            <w:pPr>
              <w:jc w:val="right"/>
              <w:ind w:right="240"/>
              <w:spacing w:after="0" w:line="151" w:lineRule="exact"/>
              <w:rPr>
                <w:sz w:val="20"/>
                <w:szCs w:val="20"/>
                <w:color w:val="auto"/>
              </w:rPr>
            </w:pPr>
            <w:r>
              <w:rPr>
                <w:rFonts w:ascii="Times New Roman" w:cs="Times New Roman" w:eastAsia="Times New Roman" w:hAnsi="Times New Roman"/>
                <w:sz w:val="14"/>
                <w:szCs w:val="14"/>
                <w:b w:val="1"/>
                <w:bCs w:val="1"/>
                <w:color w:val="FFFFFF"/>
              </w:rPr>
              <w:t>Corporate and</w:t>
            </w:r>
          </w:p>
        </w:tc>
        <w:tc>
          <w:tcPr>
            <w:tcW w:w="1440" w:type="dxa"/>
            <w:vAlign w:val="bottom"/>
            <w:tcBorders>
              <w:right w:val="single" w:sz="8" w:color="0C479D"/>
            </w:tcBorders>
            <w:gridSpan w:val="3"/>
            <w:vMerge w:val="restart"/>
            <w:shd w:val="clear" w:color="auto" w:fill="0C479D"/>
          </w:tcPr>
          <w:p>
            <w:pPr>
              <w:ind w:left="220"/>
              <w:spacing w:after="0"/>
              <w:rPr>
                <w:sz w:val="20"/>
                <w:szCs w:val="20"/>
                <w:color w:val="auto"/>
              </w:rPr>
            </w:pPr>
            <w:r>
              <w:rPr>
                <w:rFonts w:ascii="Times New Roman" w:cs="Times New Roman" w:eastAsia="Times New Roman" w:hAnsi="Times New Roman"/>
                <w:sz w:val="14"/>
                <w:szCs w:val="14"/>
                <w:b w:val="1"/>
                <w:bCs w:val="1"/>
                <w:color w:val="FFFFFF"/>
              </w:rPr>
              <w:t>Corporate Total</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3020" w:type="dxa"/>
            <w:vAlign w:val="bottom"/>
            <w:vMerge w:val="continue"/>
          </w:tcPr>
          <w:p>
            <w:pPr>
              <w:spacing w:after="0"/>
              <w:rPr>
                <w:sz w:val="11"/>
                <w:szCs w:val="11"/>
                <w:color w:val="auto"/>
              </w:rPr>
            </w:pPr>
          </w:p>
        </w:tc>
        <w:tc>
          <w:tcPr>
            <w:tcW w:w="180" w:type="dxa"/>
            <w:vAlign w:val="bottom"/>
            <w:shd w:val="clear" w:color="auto" w:fill="0C479D"/>
          </w:tcPr>
          <w:p>
            <w:pPr>
              <w:spacing w:after="0"/>
              <w:rPr>
                <w:sz w:val="11"/>
                <w:szCs w:val="11"/>
                <w:color w:val="auto"/>
              </w:rPr>
            </w:pPr>
          </w:p>
        </w:tc>
        <w:tc>
          <w:tcPr>
            <w:tcW w:w="1300" w:type="dxa"/>
            <w:vAlign w:val="bottom"/>
            <w:tcBorders>
              <w:right w:val="single" w:sz="8" w:color="0C479D"/>
            </w:tcBorders>
            <w:gridSpan w:val="3"/>
            <w:vMerge w:val="continue"/>
            <w:shd w:val="clear" w:color="auto" w:fill="0C479D"/>
          </w:tcPr>
          <w:p>
            <w:pPr>
              <w:spacing w:after="0"/>
              <w:rPr>
                <w:sz w:val="11"/>
                <w:szCs w:val="11"/>
                <w:color w:val="auto"/>
              </w:rPr>
            </w:pPr>
          </w:p>
        </w:tc>
        <w:tc>
          <w:tcPr>
            <w:tcW w:w="1500" w:type="dxa"/>
            <w:vAlign w:val="bottom"/>
            <w:gridSpan w:val="2"/>
            <w:vMerge w:val="restart"/>
            <w:shd w:val="clear" w:color="auto" w:fill="0C479D"/>
          </w:tcPr>
          <w:p>
            <w:pPr>
              <w:jc w:val="right"/>
              <w:ind w:right="380"/>
              <w:spacing w:after="0"/>
              <w:rPr>
                <w:sz w:val="20"/>
                <w:szCs w:val="20"/>
                <w:color w:val="auto"/>
              </w:rPr>
            </w:pPr>
            <w:r>
              <w:rPr>
                <w:rFonts w:ascii="Times New Roman" w:cs="Times New Roman" w:eastAsia="Times New Roman" w:hAnsi="Times New Roman"/>
                <w:sz w:val="14"/>
                <w:szCs w:val="14"/>
                <w:b w:val="1"/>
                <w:bCs w:val="1"/>
                <w:color w:val="FFFFFF"/>
              </w:rPr>
              <w:t>Financing</w:t>
            </w:r>
          </w:p>
        </w:tc>
        <w:tc>
          <w:tcPr>
            <w:tcW w:w="1440" w:type="dxa"/>
            <w:vAlign w:val="bottom"/>
            <w:tcBorders>
              <w:right w:val="single" w:sz="8" w:color="0C479D"/>
            </w:tcBorders>
            <w:gridSpan w:val="3"/>
            <w:vMerge w:val="continue"/>
            <w:shd w:val="clear" w:color="auto" w:fill="0C479D"/>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3020" w:type="dxa"/>
            <w:vAlign w:val="bottom"/>
          </w:tcPr>
          <w:p>
            <w:pPr>
              <w:spacing w:after="0"/>
              <w:rPr>
                <w:sz w:val="5"/>
                <w:szCs w:val="5"/>
                <w:color w:val="auto"/>
              </w:rPr>
            </w:pPr>
          </w:p>
        </w:tc>
        <w:tc>
          <w:tcPr>
            <w:tcW w:w="180" w:type="dxa"/>
            <w:vAlign w:val="bottom"/>
            <w:tcBorders>
              <w:bottom w:val="single" w:sz="8" w:color="0C479D"/>
            </w:tcBorders>
            <w:shd w:val="clear" w:color="auto" w:fill="0C479D"/>
          </w:tcPr>
          <w:p>
            <w:pPr>
              <w:spacing w:after="0"/>
              <w:rPr>
                <w:sz w:val="5"/>
                <w:szCs w:val="5"/>
                <w:color w:val="auto"/>
              </w:rPr>
            </w:pPr>
          </w:p>
        </w:tc>
        <w:tc>
          <w:tcPr>
            <w:tcW w:w="500" w:type="dxa"/>
            <w:vAlign w:val="bottom"/>
            <w:tcBorders>
              <w:bottom w:val="single" w:sz="8" w:color="0C479D"/>
            </w:tcBorders>
            <w:shd w:val="clear" w:color="auto" w:fill="0C479D"/>
          </w:tcPr>
          <w:p>
            <w:pPr>
              <w:spacing w:after="0"/>
              <w:rPr>
                <w:sz w:val="5"/>
                <w:szCs w:val="5"/>
                <w:color w:val="auto"/>
              </w:rPr>
            </w:pPr>
          </w:p>
        </w:tc>
        <w:tc>
          <w:tcPr>
            <w:tcW w:w="60" w:type="dxa"/>
            <w:vAlign w:val="bottom"/>
            <w:tcBorders>
              <w:bottom w:val="single" w:sz="8" w:color="0C479D"/>
            </w:tcBorders>
            <w:shd w:val="clear" w:color="auto" w:fill="0C479D"/>
          </w:tcPr>
          <w:p>
            <w:pPr>
              <w:spacing w:after="0"/>
              <w:rPr>
                <w:sz w:val="5"/>
                <w:szCs w:val="5"/>
                <w:color w:val="auto"/>
              </w:rPr>
            </w:pPr>
          </w:p>
        </w:tc>
        <w:tc>
          <w:tcPr>
            <w:tcW w:w="740" w:type="dxa"/>
            <w:vAlign w:val="bottom"/>
            <w:tcBorders>
              <w:bottom w:val="single" w:sz="8" w:color="0C479D"/>
              <w:right w:val="single" w:sz="8" w:color="0C479D"/>
            </w:tcBorders>
            <w:shd w:val="clear" w:color="auto" w:fill="0C479D"/>
          </w:tcPr>
          <w:p>
            <w:pPr>
              <w:spacing w:after="0"/>
              <w:rPr>
                <w:sz w:val="5"/>
                <w:szCs w:val="5"/>
                <w:color w:val="auto"/>
              </w:rPr>
            </w:pPr>
          </w:p>
        </w:tc>
        <w:tc>
          <w:tcPr>
            <w:tcW w:w="1500" w:type="dxa"/>
            <w:vAlign w:val="bottom"/>
            <w:tcBorders>
              <w:bottom w:val="single" w:sz="8" w:color="0C479D"/>
            </w:tcBorders>
            <w:gridSpan w:val="2"/>
            <w:vMerge w:val="continue"/>
            <w:shd w:val="clear" w:color="auto" w:fill="0C479D"/>
          </w:tcPr>
          <w:p>
            <w:pPr>
              <w:spacing w:after="0"/>
              <w:rPr>
                <w:sz w:val="5"/>
                <w:szCs w:val="5"/>
                <w:color w:val="auto"/>
              </w:rPr>
            </w:pPr>
          </w:p>
        </w:tc>
        <w:tc>
          <w:tcPr>
            <w:tcW w:w="680" w:type="dxa"/>
            <w:vAlign w:val="bottom"/>
            <w:tcBorders>
              <w:bottom w:val="single" w:sz="8" w:color="0C479D"/>
            </w:tcBorders>
            <w:shd w:val="clear" w:color="auto" w:fill="0C479D"/>
          </w:tcPr>
          <w:p>
            <w:pPr>
              <w:spacing w:after="0"/>
              <w:rPr>
                <w:sz w:val="5"/>
                <w:szCs w:val="5"/>
                <w:color w:val="auto"/>
              </w:rPr>
            </w:pPr>
          </w:p>
        </w:tc>
        <w:tc>
          <w:tcPr>
            <w:tcW w:w="40" w:type="dxa"/>
            <w:vAlign w:val="bottom"/>
            <w:tcBorders>
              <w:bottom w:val="single" w:sz="8" w:color="0C479D"/>
            </w:tcBorders>
            <w:shd w:val="clear" w:color="auto" w:fill="0C479D"/>
          </w:tcPr>
          <w:p>
            <w:pPr>
              <w:spacing w:after="0"/>
              <w:rPr>
                <w:sz w:val="5"/>
                <w:szCs w:val="5"/>
                <w:color w:val="auto"/>
              </w:rPr>
            </w:pPr>
          </w:p>
        </w:tc>
        <w:tc>
          <w:tcPr>
            <w:tcW w:w="720" w:type="dxa"/>
            <w:vAlign w:val="bottom"/>
            <w:tcBorders>
              <w:bottom w:val="single" w:sz="8" w:color="0C479D"/>
              <w:right w:val="single" w:sz="8" w:color="0C479D"/>
            </w:tcBorders>
            <w:shd w:val="clear" w:color="auto" w:fill="0C479D"/>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Additions to property, plant and equipment </w:t>
            </w:r>
            <w:r>
              <w:rPr>
                <w:rFonts w:ascii="Times New Roman" w:cs="Times New Roman" w:eastAsia="Times New Roman" w:hAnsi="Times New Roman"/>
                <w:sz w:val="21"/>
                <w:szCs w:val="21"/>
                <w:i w:val="1"/>
                <w:iCs w:val="1"/>
                <w:color w:val="auto"/>
                <w:vertAlign w:val="superscript"/>
              </w:rPr>
              <w:t>(3)</w:t>
            </w:r>
          </w:p>
        </w:tc>
        <w:tc>
          <w:tcPr>
            <w:tcW w:w="180" w:type="dxa"/>
            <w:vAlign w:val="bottom"/>
            <w:shd w:val="clear" w:color="auto" w:fill="F0F0F0"/>
          </w:tcPr>
          <w:p>
            <w:pPr>
              <w:spacing w:after="0"/>
              <w:rPr>
                <w:sz w:val="18"/>
                <w:szCs w:val="18"/>
                <w:color w:val="auto"/>
              </w:rPr>
            </w:pPr>
          </w:p>
        </w:tc>
        <w:tc>
          <w:tcPr>
            <w:tcW w:w="500" w:type="dxa"/>
            <w:vAlign w:val="bottom"/>
            <w:shd w:val="clear" w:color="auto" w:fill="F0F0F0"/>
          </w:tcPr>
          <w:p>
            <w:pPr>
              <w:spacing w:after="0"/>
              <w:rPr>
                <w:sz w:val="18"/>
                <w:szCs w:val="18"/>
                <w:color w:val="auto"/>
              </w:rPr>
            </w:pPr>
          </w:p>
        </w:tc>
        <w:tc>
          <w:tcPr>
            <w:tcW w:w="60" w:type="dxa"/>
            <w:vAlign w:val="bottom"/>
            <w:shd w:val="clear" w:color="auto" w:fill="F0F0F0"/>
          </w:tcPr>
          <w:p>
            <w:pPr>
              <w:spacing w:after="0"/>
              <w:rPr>
                <w:sz w:val="18"/>
                <w:szCs w:val="18"/>
                <w:color w:val="auto"/>
              </w:rPr>
            </w:pPr>
          </w:p>
        </w:tc>
        <w:tc>
          <w:tcPr>
            <w:tcW w:w="740" w:type="dxa"/>
            <w:vAlign w:val="bottom"/>
            <w:tcBorders>
              <w:right w:val="single" w:sz="8" w:color="F0F0F0"/>
            </w:tcBorders>
            <w:shd w:val="clear" w:color="auto" w:fill="F0F0F0"/>
          </w:tcPr>
          <w:p>
            <w:pPr>
              <w:jc w:val="right"/>
              <w:ind w:right="20"/>
              <w:spacing w:after="0"/>
              <w:rPr>
                <w:sz w:val="20"/>
                <w:szCs w:val="20"/>
                <w:color w:val="auto"/>
              </w:rPr>
            </w:pPr>
            <w:r>
              <w:rPr>
                <w:rFonts w:ascii="Times New Roman" w:cs="Times New Roman" w:eastAsia="Times New Roman" w:hAnsi="Times New Roman"/>
                <w:sz w:val="16"/>
                <w:szCs w:val="16"/>
                <w:color w:val="auto"/>
              </w:rPr>
              <w:t>23,976</w:t>
            </w:r>
          </w:p>
        </w:tc>
        <w:tc>
          <w:tcPr>
            <w:tcW w:w="740" w:type="dxa"/>
            <w:vAlign w:val="bottom"/>
          </w:tcPr>
          <w:p>
            <w:pPr>
              <w:spacing w:after="0"/>
              <w:rPr>
                <w:sz w:val="18"/>
                <w:szCs w:val="18"/>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5,062</w:t>
            </w:r>
          </w:p>
        </w:tc>
        <w:tc>
          <w:tcPr>
            <w:tcW w:w="680" w:type="dxa"/>
            <w:vAlign w:val="bottom"/>
            <w:shd w:val="clear" w:color="auto" w:fill="DCDDDE"/>
          </w:tcPr>
          <w:p>
            <w:pPr>
              <w:spacing w:after="0"/>
              <w:rPr>
                <w:sz w:val="18"/>
                <w:szCs w:val="18"/>
                <w:color w:val="auto"/>
              </w:rPr>
            </w:pPr>
          </w:p>
        </w:tc>
        <w:tc>
          <w:tcPr>
            <w:tcW w:w="40" w:type="dxa"/>
            <w:vAlign w:val="bottom"/>
            <w:shd w:val="clear" w:color="auto" w:fill="DCDDDE"/>
          </w:tcPr>
          <w:p>
            <w:pPr>
              <w:spacing w:after="0"/>
              <w:rPr>
                <w:sz w:val="18"/>
                <w:szCs w:val="18"/>
                <w:color w:val="auto"/>
              </w:rPr>
            </w:pPr>
          </w:p>
        </w:tc>
        <w:tc>
          <w:tcPr>
            <w:tcW w:w="720" w:type="dxa"/>
            <w:vAlign w:val="bottom"/>
            <w:tcBorders>
              <w:right w:val="single" w:sz="8" w:color="DCDDDE"/>
            </w:tcBorders>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29,038</w:t>
            </w: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Investments in equity companies</w:t>
            </w:r>
          </w:p>
        </w:tc>
        <w:tc>
          <w:tcPr>
            <w:tcW w:w="180" w:type="dxa"/>
            <w:vAlign w:val="bottom"/>
            <w:shd w:val="clear" w:color="auto" w:fill="F0F0F0"/>
          </w:tcPr>
          <w:p>
            <w:pPr>
              <w:spacing w:after="0"/>
              <w:rPr>
                <w:sz w:val="18"/>
                <w:szCs w:val="18"/>
                <w:color w:val="auto"/>
              </w:rPr>
            </w:pPr>
          </w:p>
        </w:tc>
        <w:tc>
          <w:tcPr>
            <w:tcW w:w="500" w:type="dxa"/>
            <w:vAlign w:val="bottom"/>
            <w:shd w:val="clear" w:color="auto" w:fill="F0F0F0"/>
          </w:tcPr>
          <w:p>
            <w:pPr>
              <w:spacing w:after="0"/>
              <w:rPr>
                <w:sz w:val="18"/>
                <w:szCs w:val="18"/>
                <w:color w:val="auto"/>
              </w:rPr>
            </w:pPr>
          </w:p>
        </w:tc>
        <w:tc>
          <w:tcPr>
            <w:tcW w:w="60" w:type="dxa"/>
            <w:vAlign w:val="bottom"/>
            <w:shd w:val="clear" w:color="auto" w:fill="F0F0F0"/>
          </w:tcPr>
          <w:p>
            <w:pPr>
              <w:spacing w:after="0"/>
              <w:rPr>
                <w:sz w:val="18"/>
                <w:szCs w:val="18"/>
                <w:color w:val="auto"/>
              </w:rPr>
            </w:pPr>
          </w:p>
        </w:tc>
        <w:tc>
          <w:tcPr>
            <w:tcW w:w="740" w:type="dxa"/>
            <w:vAlign w:val="bottom"/>
            <w:tcBorders>
              <w:right w:val="single" w:sz="8" w:color="F0F0F0"/>
            </w:tcBorders>
            <w:shd w:val="clear" w:color="auto" w:fill="F0F0F0"/>
          </w:tcPr>
          <w:p>
            <w:pPr>
              <w:jc w:val="right"/>
              <w:ind w:right="20"/>
              <w:spacing w:after="0"/>
              <w:rPr>
                <w:sz w:val="20"/>
                <w:szCs w:val="20"/>
                <w:color w:val="auto"/>
              </w:rPr>
            </w:pPr>
            <w:r>
              <w:rPr>
                <w:rFonts w:ascii="Times New Roman" w:cs="Times New Roman" w:eastAsia="Times New Roman" w:hAnsi="Times New Roman"/>
                <w:sz w:val="16"/>
                <w:szCs w:val="16"/>
                <w:color w:val="auto"/>
              </w:rPr>
              <w:t>34,200</w:t>
            </w:r>
          </w:p>
        </w:tc>
        <w:tc>
          <w:tcPr>
            <w:tcW w:w="7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680" w:type="dxa"/>
            <w:vAlign w:val="bottom"/>
            <w:shd w:val="clear" w:color="auto" w:fill="DCDDDE"/>
          </w:tcPr>
          <w:p>
            <w:pPr>
              <w:spacing w:after="0"/>
              <w:rPr>
                <w:sz w:val="18"/>
                <w:szCs w:val="18"/>
                <w:color w:val="auto"/>
              </w:rPr>
            </w:pPr>
          </w:p>
        </w:tc>
        <w:tc>
          <w:tcPr>
            <w:tcW w:w="40" w:type="dxa"/>
            <w:vAlign w:val="bottom"/>
            <w:shd w:val="clear" w:color="auto" w:fill="DCDDDE"/>
          </w:tcPr>
          <w:p>
            <w:pPr>
              <w:spacing w:after="0"/>
              <w:rPr>
                <w:sz w:val="18"/>
                <w:szCs w:val="18"/>
                <w:color w:val="auto"/>
              </w:rPr>
            </w:pPr>
          </w:p>
        </w:tc>
        <w:tc>
          <w:tcPr>
            <w:tcW w:w="720" w:type="dxa"/>
            <w:vAlign w:val="bottom"/>
            <w:tcBorders>
              <w:right w:val="single" w:sz="8" w:color="DCDDDE"/>
            </w:tcBorders>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34,080</w:t>
            </w: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shd w:val="clear" w:color="auto" w:fill="F0F0F0"/>
          </w:tcPr>
          <w:p>
            <w:pPr>
              <w:spacing w:after="0"/>
              <w:rPr>
                <w:sz w:val="19"/>
                <w:szCs w:val="19"/>
                <w:color w:val="auto"/>
              </w:rPr>
            </w:pPr>
          </w:p>
        </w:tc>
        <w:tc>
          <w:tcPr>
            <w:tcW w:w="500" w:type="dxa"/>
            <w:vAlign w:val="bottom"/>
            <w:shd w:val="clear" w:color="auto" w:fill="F0F0F0"/>
          </w:tcPr>
          <w:p>
            <w:pPr>
              <w:spacing w:after="0"/>
              <w:rPr>
                <w:sz w:val="19"/>
                <w:szCs w:val="19"/>
                <w:color w:val="auto"/>
              </w:rPr>
            </w:pPr>
          </w:p>
        </w:tc>
        <w:tc>
          <w:tcPr>
            <w:tcW w:w="60" w:type="dxa"/>
            <w:vAlign w:val="bottom"/>
            <w:shd w:val="clear" w:color="auto" w:fill="F0F0F0"/>
          </w:tcPr>
          <w:p>
            <w:pPr>
              <w:spacing w:after="0"/>
              <w:rPr>
                <w:sz w:val="19"/>
                <w:szCs w:val="19"/>
                <w:color w:val="auto"/>
              </w:rPr>
            </w:pPr>
          </w:p>
        </w:tc>
        <w:tc>
          <w:tcPr>
            <w:tcW w:w="740" w:type="dxa"/>
            <w:vAlign w:val="bottom"/>
            <w:tcBorders>
              <w:right w:val="single" w:sz="8" w:color="F0F0F0"/>
            </w:tcBorders>
            <w:shd w:val="clear" w:color="auto" w:fill="F0F0F0"/>
          </w:tcPr>
          <w:p>
            <w:pPr>
              <w:jc w:val="right"/>
              <w:ind w:right="20"/>
              <w:spacing w:after="0"/>
              <w:rPr>
                <w:sz w:val="20"/>
                <w:szCs w:val="20"/>
                <w:color w:val="auto"/>
              </w:rPr>
            </w:pPr>
            <w:r>
              <w:rPr>
                <w:rFonts w:ascii="Times New Roman" w:cs="Times New Roman" w:eastAsia="Times New Roman" w:hAnsi="Times New Roman"/>
                <w:sz w:val="16"/>
                <w:szCs w:val="16"/>
                <w:color w:val="auto"/>
              </w:rPr>
              <w:t>326,500</w:t>
            </w:r>
          </w:p>
        </w:tc>
        <w:tc>
          <w:tcPr>
            <w:tcW w:w="740" w:type="dxa"/>
            <w:vAlign w:val="bottom"/>
          </w:tcPr>
          <w:p>
            <w:pPr>
              <w:spacing w:after="0"/>
              <w:rPr>
                <w:sz w:val="19"/>
                <w:szCs w:val="19"/>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49,817</w:t>
            </w:r>
          </w:p>
        </w:tc>
        <w:tc>
          <w:tcPr>
            <w:tcW w:w="680" w:type="dxa"/>
            <w:vAlign w:val="bottom"/>
            <w:shd w:val="clear" w:color="auto" w:fill="DCDDDE"/>
          </w:tcPr>
          <w:p>
            <w:pPr>
              <w:spacing w:after="0"/>
              <w:rPr>
                <w:sz w:val="19"/>
                <w:szCs w:val="19"/>
                <w:color w:val="auto"/>
              </w:rPr>
            </w:pPr>
          </w:p>
        </w:tc>
        <w:tc>
          <w:tcPr>
            <w:tcW w:w="40" w:type="dxa"/>
            <w:vAlign w:val="bottom"/>
            <w:shd w:val="clear" w:color="auto" w:fill="DCDDDE"/>
          </w:tcPr>
          <w:p>
            <w:pPr>
              <w:spacing w:after="0"/>
              <w:rPr>
                <w:sz w:val="19"/>
                <w:szCs w:val="19"/>
                <w:color w:val="auto"/>
              </w:rPr>
            </w:pPr>
          </w:p>
        </w:tc>
        <w:tc>
          <w:tcPr>
            <w:tcW w:w="720" w:type="dxa"/>
            <w:vAlign w:val="bottom"/>
            <w:tcBorders>
              <w:right w:val="single" w:sz="8" w:color="DCDDDE"/>
            </w:tcBorders>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376,317</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780" w:right="140" w:firstLine="9"/>
        <w:spacing w:after="0" w:line="301" w:lineRule="auto"/>
        <w:tabs>
          <w:tab w:leader="none" w:pos="925" w:val="left"/>
        </w:tabs>
        <w:numPr>
          <w:ilvl w:val="0"/>
          <w:numId w:val="63"/>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Operating expenses, excl. depreciation and depletion includes the following GAAP line items, as reflected on the Income Statement: Production and manufacturing expenses; Selling, general and administrative expenses; Exploration expenses, including dry holes; and Non-service pension and postretirement benefit expense.</w:t>
      </w:r>
    </w:p>
    <w:p>
      <w:pPr>
        <w:spacing w:after="0" w:line="1" w:lineRule="exact"/>
        <w:rPr>
          <w:rFonts w:ascii="Times New Roman" w:cs="Times New Roman" w:eastAsia="Times New Roman" w:hAnsi="Times New Roman"/>
          <w:sz w:val="9"/>
          <w:szCs w:val="9"/>
          <w:i w:val="1"/>
          <w:iCs w:val="1"/>
          <w:color w:val="auto"/>
        </w:rPr>
      </w:pPr>
    </w:p>
    <w:p>
      <w:pPr>
        <w:ind w:left="940" w:hanging="151"/>
        <w:spacing w:after="0"/>
        <w:tabs>
          <w:tab w:leader="none" w:pos="940" w:val="left"/>
        </w:tabs>
        <w:numPr>
          <w:ilvl w:val="0"/>
          <w:numId w:val="63"/>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Primarily Corporate and Financing Interest revenue of $1,628 million.</w:t>
      </w:r>
    </w:p>
    <w:p>
      <w:pPr>
        <w:spacing w:after="0" w:line="68" w:lineRule="exact"/>
        <w:rPr>
          <w:rFonts w:ascii="Times New Roman" w:cs="Times New Roman" w:eastAsia="Times New Roman" w:hAnsi="Times New Roman"/>
          <w:sz w:val="9"/>
          <w:szCs w:val="9"/>
          <w:i w:val="1"/>
          <w:iCs w:val="1"/>
          <w:color w:val="auto"/>
        </w:rPr>
      </w:pPr>
    </w:p>
    <w:p>
      <w:pPr>
        <w:ind w:left="940" w:hanging="151"/>
        <w:spacing w:after="0"/>
        <w:tabs>
          <w:tab w:leader="none" w:pos="940" w:val="left"/>
        </w:tabs>
        <w:numPr>
          <w:ilvl w:val="0"/>
          <w:numId w:val="63"/>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Includes non-cash additions.</w:t>
      </w:r>
    </w:p>
    <w:p>
      <w:pPr>
        <w:spacing w:after="0" w:line="6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i w:val="1"/>
          <w:iCs w:val="1"/>
          <w:color w:val="auto"/>
        </w:rPr>
        <w:t>Due to rounding, numbers presented may not add up precisely to the totals indicated.</w:t>
      </w:r>
    </w:p>
    <w:p>
      <w:pPr>
        <w:spacing w:after="0" w:line="200" w:lineRule="exact"/>
        <w:rPr>
          <w:sz w:val="20"/>
          <w:szCs w:val="20"/>
          <w:color w:val="auto"/>
        </w:rPr>
      </w:pPr>
    </w:p>
    <w:p>
      <w:pPr>
        <w:spacing w:after="0" w:line="37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320" w:top="216" w:right="10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22"/>
          <w:szCs w:val="22"/>
          <w:b w:val="1"/>
          <w:bCs w:val="1"/>
          <w:color w:val="0C479D"/>
        </w:rPr>
        <w:t>NOTES TO CONSOLIDATED FINANCIAL STATEMENTS</w:t>
      </w:r>
    </w:p>
    <w:p>
      <w:pPr>
        <w:spacing w:after="0" w:line="200" w:lineRule="exact"/>
        <w:rPr>
          <w:sz w:val="20"/>
          <w:szCs w:val="20"/>
          <w:color w:val="auto"/>
        </w:rPr>
      </w:pPr>
    </w:p>
    <w:p>
      <w:pPr>
        <w:spacing w:after="0" w:line="321" w:lineRule="exact"/>
        <w:rPr>
          <w:sz w:val="20"/>
          <w:szCs w:val="20"/>
          <w:color w:val="auto"/>
        </w:rPr>
      </w:pPr>
    </w:p>
    <w:tbl>
      <w:tblPr>
        <w:tblLayout w:type="fixed"/>
        <w:tblInd w:w="780" w:type="dxa"/>
        <w:tblCellMar>
          <w:top w:w="0" w:type="dxa"/>
          <w:left w:w="0" w:type="dxa"/>
          <w:bottom w:w="0" w:type="dxa"/>
          <w:right w:w="0" w:type="dxa"/>
        </w:tblCellMar>
      </w:tblPr>
      <w:tr>
        <w:trPr>
          <w:trHeight w:val="178"/>
        </w:trPr>
        <w:tc>
          <w:tcPr>
            <w:tcW w:w="3200" w:type="dxa"/>
            <w:vAlign w:val="bottom"/>
            <w:gridSpan w:val="2"/>
            <w:vMerge w:val="restart"/>
            <w:shd w:val="clear" w:color="auto" w:fill="0C479D"/>
          </w:tcPr>
          <w:p>
            <w:pPr>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1300" w:type="dxa"/>
            <w:vAlign w:val="bottom"/>
            <w:tcBorders>
              <w:right w:val="single" w:sz="8" w:color="0C479D"/>
            </w:tcBorders>
            <w:gridSpan w:val="3"/>
            <w:shd w:val="clear" w:color="auto" w:fill="0C479D"/>
          </w:tcPr>
          <w:p>
            <w:pPr>
              <w:jc w:val="center"/>
              <w:ind w:right="120"/>
              <w:spacing w:after="0"/>
              <w:rPr>
                <w:sz w:val="20"/>
                <w:szCs w:val="20"/>
                <w:color w:val="auto"/>
              </w:rPr>
            </w:pPr>
            <w:r>
              <w:rPr>
                <w:rFonts w:ascii="Times New Roman" w:cs="Times New Roman" w:eastAsia="Times New Roman" w:hAnsi="Times New Roman"/>
                <w:sz w:val="14"/>
                <w:szCs w:val="14"/>
                <w:b w:val="1"/>
                <w:bCs w:val="1"/>
                <w:color w:val="FFFFFF"/>
              </w:rPr>
              <w:t>Upstream</w:t>
            </w:r>
          </w:p>
        </w:tc>
        <w:tc>
          <w:tcPr>
            <w:tcW w:w="1500" w:type="dxa"/>
            <w:vAlign w:val="bottom"/>
            <w:gridSpan w:val="2"/>
            <w:shd w:val="clear" w:color="auto" w:fill="0C479D"/>
          </w:tcPr>
          <w:p>
            <w:pPr>
              <w:ind w:left="220"/>
              <w:spacing w:after="0"/>
              <w:rPr>
                <w:sz w:val="20"/>
                <w:szCs w:val="20"/>
                <w:color w:val="auto"/>
              </w:rPr>
            </w:pPr>
            <w:r>
              <w:rPr>
                <w:rFonts w:ascii="Times New Roman" w:cs="Times New Roman" w:eastAsia="Times New Roman" w:hAnsi="Times New Roman"/>
                <w:sz w:val="14"/>
                <w:szCs w:val="14"/>
                <w:b w:val="1"/>
                <w:bCs w:val="1"/>
                <w:color w:val="FFFFFF"/>
              </w:rPr>
              <w:t>Energy Products</w:t>
            </w:r>
          </w:p>
        </w:tc>
        <w:tc>
          <w:tcPr>
            <w:tcW w:w="1440" w:type="dxa"/>
            <w:vAlign w:val="bottom"/>
            <w:tcBorders>
              <w:right w:val="single" w:sz="8" w:color="0C479D"/>
            </w:tcBorders>
            <w:gridSpan w:val="3"/>
            <w:shd w:val="clear" w:color="auto" w:fill="0C479D"/>
          </w:tcPr>
          <w:p>
            <w:pPr>
              <w:jc w:val="right"/>
              <w:ind w:right="60"/>
              <w:spacing w:after="0"/>
              <w:rPr>
                <w:sz w:val="20"/>
                <w:szCs w:val="20"/>
                <w:color w:val="auto"/>
              </w:rPr>
            </w:pPr>
            <w:r>
              <w:rPr>
                <w:rFonts w:ascii="Times New Roman" w:cs="Times New Roman" w:eastAsia="Times New Roman" w:hAnsi="Times New Roman"/>
                <w:sz w:val="14"/>
                <w:szCs w:val="14"/>
                <w:b w:val="1"/>
                <w:bCs w:val="1"/>
                <w:color w:val="FFFFFF"/>
              </w:rPr>
              <w:t>Chemical Products</w:t>
            </w:r>
          </w:p>
        </w:tc>
        <w:tc>
          <w:tcPr>
            <w:tcW w:w="1460" w:type="dxa"/>
            <w:vAlign w:val="bottom"/>
            <w:gridSpan w:val="2"/>
            <w:shd w:val="clear" w:color="auto" w:fill="0C479D"/>
          </w:tcPr>
          <w:p>
            <w:pPr>
              <w:jc w:val="right"/>
              <w:ind w:right="80"/>
              <w:spacing w:after="0"/>
              <w:rPr>
                <w:sz w:val="20"/>
                <w:szCs w:val="20"/>
                <w:color w:val="auto"/>
              </w:rPr>
            </w:pPr>
            <w:r>
              <w:rPr>
                <w:rFonts w:ascii="Times New Roman" w:cs="Times New Roman" w:eastAsia="Times New Roman" w:hAnsi="Times New Roman"/>
                <w:sz w:val="14"/>
                <w:szCs w:val="14"/>
                <w:b w:val="1"/>
                <w:bCs w:val="1"/>
                <w:color w:val="FFFFFF"/>
              </w:rPr>
              <w:t>Specialty Products</w:t>
            </w:r>
          </w:p>
        </w:tc>
        <w:tc>
          <w:tcPr>
            <w:tcW w:w="800" w:type="dxa"/>
            <w:vAlign w:val="bottom"/>
            <w:gridSpan w:val="2"/>
            <w:shd w:val="clear" w:color="auto" w:fill="0C479D"/>
          </w:tcPr>
          <w:p>
            <w:pPr>
              <w:jc w:val="center"/>
              <w:ind w:right="20"/>
              <w:spacing w:after="0"/>
              <w:rPr>
                <w:sz w:val="20"/>
                <w:szCs w:val="20"/>
                <w:color w:val="auto"/>
              </w:rPr>
            </w:pPr>
            <w:r>
              <w:rPr>
                <w:rFonts w:ascii="Times New Roman" w:cs="Times New Roman" w:eastAsia="Times New Roman" w:hAnsi="Times New Roman"/>
                <w:sz w:val="14"/>
                <w:szCs w:val="14"/>
                <w:b w:val="1"/>
                <w:bCs w:val="1"/>
                <w:color w:val="FFFFFF"/>
              </w:rPr>
              <w:t>Segment</w:t>
            </w:r>
          </w:p>
        </w:tc>
        <w:tc>
          <w:tcPr>
            <w:tcW w:w="0" w:type="dxa"/>
            <w:vAlign w:val="bottom"/>
          </w:tcPr>
          <w:p>
            <w:pPr>
              <w:spacing w:after="0"/>
              <w:rPr>
                <w:sz w:val="1"/>
                <w:szCs w:val="1"/>
                <w:color w:val="auto"/>
              </w:rPr>
            </w:pPr>
          </w:p>
        </w:tc>
      </w:tr>
      <w:tr>
        <w:trPr>
          <w:trHeight w:val="109"/>
        </w:trPr>
        <w:tc>
          <w:tcPr>
            <w:tcW w:w="3200" w:type="dxa"/>
            <w:vAlign w:val="bottom"/>
            <w:gridSpan w:val="2"/>
            <w:vMerge w:val="continue"/>
            <w:shd w:val="clear" w:color="auto" w:fill="0C479D"/>
          </w:tcPr>
          <w:p>
            <w:pPr>
              <w:spacing w:after="0"/>
              <w:rPr>
                <w:sz w:val="9"/>
                <w:szCs w:val="9"/>
                <w:color w:val="auto"/>
              </w:rPr>
            </w:pPr>
          </w:p>
        </w:tc>
        <w:tc>
          <w:tcPr>
            <w:tcW w:w="560" w:type="dxa"/>
            <w:vAlign w:val="bottom"/>
            <w:gridSpan w:val="2"/>
            <w:vMerge w:val="restart"/>
            <w:shd w:val="clear" w:color="auto" w:fill="0C479D"/>
          </w:tcPr>
          <w:p>
            <w:pPr>
              <w:ind w:left="60"/>
              <w:spacing w:after="0"/>
              <w:rPr>
                <w:sz w:val="20"/>
                <w:szCs w:val="20"/>
                <w:color w:val="auto"/>
              </w:rPr>
            </w:pPr>
            <w:r>
              <w:rPr>
                <w:rFonts w:ascii="Times New Roman" w:cs="Times New Roman" w:eastAsia="Times New Roman" w:hAnsi="Times New Roman"/>
                <w:sz w:val="14"/>
                <w:szCs w:val="14"/>
                <w:b w:val="1"/>
                <w:bCs w:val="1"/>
                <w:color w:val="FFFFFF"/>
              </w:rPr>
              <w:t>U.S.</w:t>
            </w:r>
          </w:p>
        </w:tc>
        <w:tc>
          <w:tcPr>
            <w:tcW w:w="740" w:type="dxa"/>
            <w:vAlign w:val="bottom"/>
            <w:tcBorders>
              <w:right w:val="single" w:sz="8" w:color="0C479D"/>
            </w:tcBorders>
            <w:vMerge w:val="restart"/>
            <w:shd w:val="clear" w:color="auto" w:fill="0C479D"/>
          </w:tcPr>
          <w:p>
            <w:pPr>
              <w:jc w:val="right"/>
              <w:ind w:right="20"/>
              <w:spacing w:after="0"/>
              <w:rPr>
                <w:sz w:val="20"/>
                <w:szCs w:val="20"/>
                <w:color w:val="auto"/>
              </w:rPr>
            </w:pPr>
            <w:r>
              <w:rPr>
                <w:rFonts w:ascii="Times New Roman" w:cs="Times New Roman" w:eastAsia="Times New Roman" w:hAnsi="Times New Roman"/>
                <w:sz w:val="14"/>
                <w:szCs w:val="14"/>
                <w:b w:val="1"/>
                <w:bCs w:val="1"/>
                <w:color w:val="FFFFFF"/>
              </w:rPr>
              <w:t>Non-U.S.</w:t>
            </w:r>
          </w:p>
        </w:tc>
        <w:tc>
          <w:tcPr>
            <w:tcW w:w="740" w:type="dxa"/>
            <w:vAlign w:val="bottom"/>
            <w:vMerge w:val="restart"/>
            <w:shd w:val="clear" w:color="auto" w:fill="0C479D"/>
          </w:tcPr>
          <w:p>
            <w:pPr>
              <w:ind w:left="240"/>
              <w:spacing w:after="0"/>
              <w:rPr>
                <w:sz w:val="20"/>
                <w:szCs w:val="20"/>
                <w:color w:val="auto"/>
              </w:rPr>
            </w:pPr>
            <w:r>
              <w:rPr>
                <w:rFonts w:ascii="Times New Roman" w:cs="Times New Roman" w:eastAsia="Times New Roman" w:hAnsi="Times New Roman"/>
                <w:sz w:val="14"/>
                <w:szCs w:val="14"/>
                <w:b w:val="1"/>
                <w:bCs w:val="1"/>
                <w:color w:val="FFFFFF"/>
              </w:rPr>
              <w:t>U.S.</w:t>
            </w:r>
          </w:p>
        </w:tc>
        <w:tc>
          <w:tcPr>
            <w:tcW w:w="760" w:type="dxa"/>
            <w:vAlign w:val="bottom"/>
            <w:vMerge w:val="restart"/>
            <w:shd w:val="clear" w:color="auto" w:fill="0C479D"/>
          </w:tcPr>
          <w:p>
            <w:pPr>
              <w:jc w:val="right"/>
              <w:ind w:right="20"/>
              <w:spacing w:after="0"/>
              <w:rPr>
                <w:sz w:val="20"/>
                <w:szCs w:val="20"/>
                <w:color w:val="auto"/>
              </w:rPr>
            </w:pPr>
            <w:r>
              <w:rPr>
                <w:rFonts w:ascii="Times New Roman" w:cs="Times New Roman" w:eastAsia="Times New Roman" w:hAnsi="Times New Roman"/>
                <w:sz w:val="14"/>
                <w:szCs w:val="14"/>
                <w:b w:val="1"/>
                <w:bCs w:val="1"/>
                <w:color w:val="FFFFFF"/>
              </w:rPr>
              <w:t>Non-U.S.</w:t>
            </w:r>
          </w:p>
        </w:tc>
        <w:tc>
          <w:tcPr>
            <w:tcW w:w="720" w:type="dxa"/>
            <w:vAlign w:val="bottom"/>
            <w:gridSpan w:val="2"/>
            <w:vMerge w:val="restart"/>
            <w:shd w:val="clear" w:color="auto" w:fill="0C479D"/>
          </w:tcPr>
          <w:p>
            <w:pPr>
              <w:ind w:left="220"/>
              <w:spacing w:after="0"/>
              <w:rPr>
                <w:sz w:val="20"/>
                <w:szCs w:val="20"/>
                <w:color w:val="auto"/>
              </w:rPr>
            </w:pPr>
            <w:r>
              <w:rPr>
                <w:rFonts w:ascii="Times New Roman" w:cs="Times New Roman" w:eastAsia="Times New Roman" w:hAnsi="Times New Roman"/>
                <w:sz w:val="14"/>
                <w:szCs w:val="14"/>
                <w:b w:val="1"/>
                <w:bCs w:val="1"/>
                <w:color w:val="FFFFFF"/>
              </w:rPr>
              <w:t>U.S.</w:t>
            </w:r>
          </w:p>
        </w:tc>
        <w:tc>
          <w:tcPr>
            <w:tcW w:w="720" w:type="dxa"/>
            <w:vAlign w:val="bottom"/>
            <w:tcBorders>
              <w:right w:val="single" w:sz="8" w:color="0C479D"/>
            </w:tcBorders>
            <w:vMerge w:val="restart"/>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Non-U.S.</w:t>
            </w:r>
          </w:p>
        </w:tc>
        <w:tc>
          <w:tcPr>
            <w:tcW w:w="720" w:type="dxa"/>
            <w:vAlign w:val="bottom"/>
            <w:vMerge w:val="restart"/>
            <w:shd w:val="clear" w:color="auto" w:fill="0C479D"/>
          </w:tcPr>
          <w:p>
            <w:pPr>
              <w:jc w:val="right"/>
              <w:ind w:right="161"/>
              <w:spacing w:after="0"/>
              <w:rPr>
                <w:sz w:val="20"/>
                <w:szCs w:val="20"/>
                <w:color w:val="auto"/>
              </w:rPr>
            </w:pPr>
            <w:r>
              <w:rPr>
                <w:rFonts w:ascii="Times New Roman" w:cs="Times New Roman" w:eastAsia="Times New Roman" w:hAnsi="Times New Roman"/>
                <w:sz w:val="14"/>
                <w:szCs w:val="14"/>
                <w:b w:val="1"/>
                <w:bCs w:val="1"/>
                <w:color w:val="FFFFFF"/>
              </w:rPr>
              <w:t>U.S.</w:t>
            </w:r>
          </w:p>
        </w:tc>
        <w:tc>
          <w:tcPr>
            <w:tcW w:w="740" w:type="dxa"/>
            <w:vAlign w:val="bottom"/>
            <w:vMerge w:val="restart"/>
            <w:shd w:val="clear" w:color="auto" w:fill="0C479D"/>
          </w:tcPr>
          <w:p>
            <w:pPr>
              <w:jc w:val="right"/>
              <w:ind w:right="20"/>
              <w:spacing w:after="0"/>
              <w:rPr>
                <w:sz w:val="20"/>
                <w:szCs w:val="20"/>
                <w:color w:val="auto"/>
              </w:rPr>
            </w:pPr>
            <w:r>
              <w:rPr>
                <w:rFonts w:ascii="Times New Roman" w:cs="Times New Roman" w:eastAsia="Times New Roman" w:hAnsi="Times New Roman"/>
                <w:sz w:val="14"/>
                <w:szCs w:val="14"/>
                <w:b w:val="1"/>
                <w:bCs w:val="1"/>
                <w:color w:val="FFFFFF"/>
              </w:rPr>
              <w:t>Non-U.S.</w:t>
            </w:r>
          </w:p>
        </w:tc>
        <w:tc>
          <w:tcPr>
            <w:tcW w:w="800" w:type="dxa"/>
            <w:vAlign w:val="bottom"/>
            <w:gridSpan w:val="2"/>
            <w:vMerge w:val="restart"/>
            <w:shd w:val="clear" w:color="auto" w:fill="0C479D"/>
          </w:tcPr>
          <w:p>
            <w:pPr>
              <w:jc w:val="center"/>
              <w:ind w:right="20"/>
              <w:spacing w:after="0"/>
              <w:rPr>
                <w:sz w:val="20"/>
                <w:szCs w:val="20"/>
                <w:color w:val="auto"/>
              </w:rPr>
            </w:pPr>
            <w:r>
              <w:rPr>
                <w:rFonts w:ascii="Times New Roman" w:cs="Times New Roman" w:eastAsia="Times New Roman" w:hAnsi="Times New Roman"/>
                <w:sz w:val="14"/>
                <w:szCs w:val="14"/>
                <w:b w:val="1"/>
                <w:bCs w:val="1"/>
                <w:color w:val="FFFFFF"/>
                <w:w w:val="93"/>
              </w:rPr>
              <w:t>Total</w:t>
            </w:r>
          </w:p>
        </w:tc>
        <w:tc>
          <w:tcPr>
            <w:tcW w:w="0" w:type="dxa"/>
            <w:vAlign w:val="bottom"/>
          </w:tcPr>
          <w:p>
            <w:pPr>
              <w:spacing w:after="0"/>
              <w:rPr>
                <w:sz w:val="1"/>
                <w:szCs w:val="1"/>
                <w:color w:val="auto"/>
              </w:rPr>
            </w:pPr>
          </w:p>
        </w:tc>
      </w:tr>
      <w:tr>
        <w:trPr>
          <w:trHeight w:val="125"/>
        </w:trPr>
        <w:tc>
          <w:tcPr>
            <w:tcW w:w="3020" w:type="dxa"/>
            <w:vAlign w:val="bottom"/>
            <w:tcBorders>
              <w:bottom w:val="single" w:sz="8" w:color="0C479D"/>
            </w:tcBorders>
            <w:shd w:val="clear" w:color="auto" w:fill="0C479D"/>
          </w:tcPr>
          <w:p>
            <w:pPr>
              <w:spacing w:after="0"/>
              <w:rPr>
                <w:sz w:val="10"/>
                <w:szCs w:val="10"/>
                <w:color w:val="auto"/>
              </w:rPr>
            </w:pPr>
          </w:p>
        </w:tc>
        <w:tc>
          <w:tcPr>
            <w:tcW w:w="180" w:type="dxa"/>
            <w:vAlign w:val="bottom"/>
            <w:tcBorders>
              <w:bottom w:val="single" w:sz="8" w:color="0C479D"/>
            </w:tcBorders>
            <w:shd w:val="clear" w:color="auto" w:fill="0C479D"/>
          </w:tcPr>
          <w:p>
            <w:pPr>
              <w:spacing w:after="0"/>
              <w:rPr>
                <w:sz w:val="10"/>
                <w:szCs w:val="10"/>
                <w:color w:val="auto"/>
              </w:rPr>
            </w:pPr>
          </w:p>
        </w:tc>
        <w:tc>
          <w:tcPr>
            <w:tcW w:w="560" w:type="dxa"/>
            <w:vAlign w:val="bottom"/>
            <w:tcBorders>
              <w:bottom w:val="single" w:sz="8" w:color="0C479D"/>
            </w:tcBorders>
            <w:gridSpan w:val="2"/>
            <w:vMerge w:val="continue"/>
            <w:shd w:val="clear" w:color="auto" w:fill="0C479D"/>
          </w:tcPr>
          <w:p>
            <w:pPr>
              <w:spacing w:after="0"/>
              <w:rPr>
                <w:sz w:val="10"/>
                <w:szCs w:val="10"/>
                <w:color w:val="auto"/>
              </w:rPr>
            </w:pPr>
          </w:p>
        </w:tc>
        <w:tc>
          <w:tcPr>
            <w:tcW w:w="740" w:type="dxa"/>
            <w:vAlign w:val="bottom"/>
            <w:tcBorders>
              <w:bottom w:val="single" w:sz="8" w:color="0C479D"/>
              <w:right w:val="single" w:sz="8" w:color="0C479D"/>
            </w:tcBorders>
            <w:vMerge w:val="continue"/>
            <w:shd w:val="clear" w:color="auto" w:fill="0C479D"/>
          </w:tcPr>
          <w:p>
            <w:pPr>
              <w:spacing w:after="0"/>
              <w:rPr>
                <w:sz w:val="10"/>
                <w:szCs w:val="10"/>
                <w:color w:val="auto"/>
              </w:rPr>
            </w:pPr>
          </w:p>
        </w:tc>
        <w:tc>
          <w:tcPr>
            <w:tcW w:w="740" w:type="dxa"/>
            <w:vAlign w:val="bottom"/>
            <w:tcBorders>
              <w:bottom w:val="single" w:sz="8" w:color="0C479D"/>
            </w:tcBorders>
            <w:vMerge w:val="continue"/>
            <w:shd w:val="clear" w:color="auto" w:fill="0C479D"/>
          </w:tcPr>
          <w:p>
            <w:pPr>
              <w:spacing w:after="0"/>
              <w:rPr>
                <w:sz w:val="10"/>
                <w:szCs w:val="10"/>
                <w:color w:val="auto"/>
              </w:rPr>
            </w:pPr>
          </w:p>
        </w:tc>
        <w:tc>
          <w:tcPr>
            <w:tcW w:w="760" w:type="dxa"/>
            <w:vAlign w:val="bottom"/>
            <w:tcBorders>
              <w:bottom w:val="single" w:sz="8" w:color="0C479D"/>
            </w:tcBorders>
            <w:vMerge w:val="continue"/>
            <w:shd w:val="clear" w:color="auto" w:fill="0C479D"/>
          </w:tcPr>
          <w:p>
            <w:pPr>
              <w:spacing w:after="0"/>
              <w:rPr>
                <w:sz w:val="10"/>
                <w:szCs w:val="10"/>
                <w:color w:val="auto"/>
              </w:rPr>
            </w:pPr>
          </w:p>
        </w:tc>
        <w:tc>
          <w:tcPr>
            <w:tcW w:w="720" w:type="dxa"/>
            <w:vAlign w:val="bottom"/>
            <w:tcBorders>
              <w:bottom w:val="single" w:sz="8" w:color="0C479D"/>
            </w:tcBorders>
            <w:gridSpan w:val="2"/>
            <w:vMerge w:val="continue"/>
            <w:shd w:val="clear" w:color="auto" w:fill="0C479D"/>
          </w:tcPr>
          <w:p>
            <w:pPr>
              <w:spacing w:after="0"/>
              <w:rPr>
                <w:sz w:val="10"/>
                <w:szCs w:val="10"/>
                <w:color w:val="auto"/>
              </w:rPr>
            </w:pPr>
          </w:p>
        </w:tc>
        <w:tc>
          <w:tcPr>
            <w:tcW w:w="720" w:type="dxa"/>
            <w:vAlign w:val="bottom"/>
            <w:tcBorders>
              <w:bottom w:val="single" w:sz="8" w:color="0C479D"/>
              <w:right w:val="single" w:sz="8" w:color="0C479D"/>
            </w:tcBorders>
            <w:vMerge w:val="continue"/>
            <w:shd w:val="clear" w:color="auto" w:fill="0C479D"/>
          </w:tcPr>
          <w:p>
            <w:pPr>
              <w:spacing w:after="0"/>
              <w:rPr>
                <w:sz w:val="10"/>
                <w:szCs w:val="10"/>
                <w:color w:val="auto"/>
              </w:rPr>
            </w:pPr>
          </w:p>
        </w:tc>
        <w:tc>
          <w:tcPr>
            <w:tcW w:w="720" w:type="dxa"/>
            <w:vAlign w:val="bottom"/>
            <w:tcBorders>
              <w:bottom w:val="single" w:sz="8" w:color="0C479D"/>
            </w:tcBorders>
            <w:vMerge w:val="continue"/>
            <w:shd w:val="clear" w:color="auto" w:fill="0C479D"/>
          </w:tcPr>
          <w:p>
            <w:pPr>
              <w:spacing w:after="0"/>
              <w:rPr>
                <w:sz w:val="10"/>
                <w:szCs w:val="10"/>
                <w:color w:val="auto"/>
              </w:rPr>
            </w:pPr>
          </w:p>
        </w:tc>
        <w:tc>
          <w:tcPr>
            <w:tcW w:w="740" w:type="dxa"/>
            <w:vAlign w:val="bottom"/>
            <w:tcBorders>
              <w:bottom w:val="single" w:sz="8" w:color="0C479D"/>
            </w:tcBorders>
            <w:vMerge w:val="continue"/>
            <w:shd w:val="clear" w:color="auto" w:fill="0C479D"/>
          </w:tcPr>
          <w:p>
            <w:pPr>
              <w:spacing w:after="0"/>
              <w:rPr>
                <w:sz w:val="10"/>
                <w:szCs w:val="10"/>
                <w:color w:val="auto"/>
              </w:rPr>
            </w:pPr>
          </w:p>
        </w:tc>
        <w:tc>
          <w:tcPr>
            <w:tcW w:w="800" w:type="dxa"/>
            <w:vAlign w:val="bottom"/>
            <w:tcBorders>
              <w:bottom w:val="single" w:sz="8" w:color="0C479D"/>
            </w:tcBorders>
            <w:gridSpan w:val="2"/>
            <w:vMerge w:val="continue"/>
            <w:shd w:val="clear" w:color="auto" w:fill="0C479D"/>
          </w:tcPr>
          <w:p>
            <w:pPr>
              <w:spacing w:after="0"/>
              <w:rPr>
                <w:sz w:val="10"/>
                <w:szCs w:val="10"/>
                <w:color w:val="auto"/>
              </w:rPr>
            </w:pPr>
          </w:p>
        </w:tc>
        <w:tc>
          <w:tcPr>
            <w:tcW w:w="0" w:type="dxa"/>
            <w:vAlign w:val="bottom"/>
          </w:tcPr>
          <w:p>
            <w:pPr>
              <w:spacing w:after="0"/>
              <w:rPr>
                <w:sz w:val="1"/>
                <w:szCs w:val="1"/>
                <w:color w:val="auto"/>
              </w:rPr>
            </w:pPr>
          </w:p>
        </w:tc>
      </w:tr>
      <w:tr>
        <w:trPr>
          <w:trHeight w:val="318"/>
        </w:trPr>
        <w:tc>
          <w:tcPr>
            <w:tcW w:w="3020" w:type="dxa"/>
            <w:vAlign w:val="bottom"/>
          </w:tcPr>
          <w:p>
            <w:pPr>
              <w:spacing w:after="0"/>
              <w:rPr>
                <w:sz w:val="20"/>
                <w:szCs w:val="20"/>
                <w:color w:val="auto"/>
              </w:rPr>
            </w:pPr>
            <w:r>
              <w:rPr>
                <w:rFonts w:ascii="Times New Roman" w:cs="Times New Roman" w:eastAsia="Times New Roman" w:hAnsi="Times New Roman"/>
                <w:sz w:val="16"/>
                <w:szCs w:val="16"/>
                <w:b w:val="1"/>
                <w:bCs w:val="1"/>
                <w:color w:val="0C479D"/>
              </w:rPr>
              <w:t>As of December 31, 2022</w:t>
            </w:r>
          </w:p>
        </w:tc>
        <w:tc>
          <w:tcPr>
            <w:tcW w:w="180" w:type="dxa"/>
            <w:vAlign w:val="bottom"/>
            <w:shd w:val="clear" w:color="auto" w:fill="F0F0F0"/>
          </w:tcPr>
          <w:p>
            <w:pPr>
              <w:spacing w:after="0"/>
              <w:rPr>
                <w:sz w:val="24"/>
                <w:szCs w:val="24"/>
                <w:color w:val="auto"/>
              </w:rPr>
            </w:pPr>
          </w:p>
        </w:tc>
        <w:tc>
          <w:tcPr>
            <w:tcW w:w="500" w:type="dxa"/>
            <w:vAlign w:val="bottom"/>
            <w:shd w:val="clear" w:color="auto" w:fill="F0F0F0"/>
          </w:tcPr>
          <w:p>
            <w:pPr>
              <w:spacing w:after="0"/>
              <w:rPr>
                <w:sz w:val="24"/>
                <w:szCs w:val="24"/>
                <w:color w:val="auto"/>
              </w:rPr>
            </w:pPr>
          </w:p>
        </w:tc>
        <w:tc>
          <w:tcPr>
            <w:tcW w:w="60" w:type="dxa"/>
            <w:vAlign w:val="bottom"/>
            <w:shd w:val="clear" w:color="auto" w:fill="F0F0F0"/>
          </w:tcPr>
          <w:p>
            <w:pPr>
              <w:spacing w:after="0"/>
              <w:rPr>
                <w:sz w:val="24"/>
                <w:szCs w:val="24"/>
                <w:color w:val="auto"/>
              </w:rPr>
            </w:pPr>
          </w:p>
        </w:tc>
        <w:tc>
          <w:tcPr>
            <w:tcW w:w="740" w:type="dxa"/>
            <w:vAlign w:val="bottom"/>
            <w:tcBorders>
              <w:right w:val="single" w:sz="8" w:color="F0F0F0"/>
            </w:tcBorders>
            <w:shd w:val="clear" w:color="auto" w:fill="F0F0F0"/>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shd w:val="clear" w:color="auto" w:fill="F0F0F0"/>
          </w:tcPr>
          <w:p>
            <w:pPr>
              <w:spacing w:after="0"/>
              <w:rPr>
                <w:sz w:val="24"/>
                <w:szCs w:val="24"/>
                <w:color w:val="auto"/>
              </w:rPr>
            </w:pPr>
          </w:p>
        </w:tc>
        <w:tc>
          <w:tcPr>
            <w:tcW w:w="40" w:type="dxa"/>
            <w:vAlign w:val="bottom"/>
            <w:shd w:val="clear" w:color="auto" w:fill="F0F0F0"/>
          </w:tcPr>
          <w:p>
            <w:pPr>
              <w:spacing w:after="0"/>
              <w:rPr>
                <w:sz w:val="24"/>
                <w:szCs w:val="24"/>
                <w:color w:val="auto"/>
              </w:rPr>
            </w:pPr>
          </w:p>
        </w:tc>
        <w:tc>
          <w:tcPr>
            <w:tcW w:w="720" w:type="dxa"/>
            <w:vAlign w:val="bottom"/>
            <w:tcBorders>
              <w:right w:val="single" w:sz="8" w:color="F0F0F0"/>
            </w:tcBorders>
            <w:shd w:val="clear" w:color="auto" w:fill="F0F0F0"/>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shd w:val="clear" w:color="auto" w:fill="DCDDDE"/>
          </w:tcPr>
          <w:p>
            <w:pPr>
              <w:spacing w:after="0"/>
              <w:rPr>
                <w:sz w:val="24"/>
                <w:szCs w:val="24"/>
                <w:color w:val="auto"/>
              </w:rPr>
            </w:pPr>
          </w:p>
        </w:tc>
        <w:tc>
          <w:tcPr>
            <w:tcW w:w="40" w:type="dxa"/>
            <w:vAlign w:val="bottom"/>
            <w:shd w:val="clear" w:color="auto" w:fill="DCDDD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6"/>
                <w:szCs w:val="16"/>
                <w:b w:val="1"/>
                <w:bCs w:val="1"/>
                <w:color w:val="0C479D"/>
              </w:rPr>
              <w:t>Revenues and other income</w:t>
            </w:r>
          </w:p>
        </w:tc>
        <w:tc>
          <w:tcPr>
            <w:tcW w:w="180" w:type="dxa"/>
            <w:vAlign w:val="bottom"/>
            <w:shd w:val="clear" w:color="auto" w:fill="F0F0F0"/>
          </w:tcPr>
          <w:p>
            <w:pPr>
              <w:spacing w:after="0"/>
              <w:rPr>
                <w:sz w:val="18"/>
                <w:szCs w:val="18"/>
                <w:color w:val="auto"/>
              </w:rPr>
            </w:pPr>
          </w:p>
        </w:tc>
        <w:tc>
          <w:tcPr>
            <w:tcW w:w="500" w:type="dxa"/>
            <w:vAlign w:val="bottom"/>
            <w:shd w:val="clear" w:color="auto" w:fill="F0F0F0"/>
          </w:tcPr>
          <w:p>
            <w:pPr>
              <w:spacing w:after="0"/>
              <w:rPr>
                <w:sz w:val="18"/>
                <w:szCs w:val="18"/>
                <w:color w:val="auto"/>
              </w:rPr>
            </w:pPr>
          </w:p>
        </w:tc>
        <w:tc>
          <w:tcPr>
            <w:tcW w:w="60" w:type="dxa"/>
            <w:vAlign w:val="bottom"/>
            <w:shd w:val="clear" w:color="auto" w:fill="F0F0F0"/>
          </w:tcPr>
          <w:p>
            <w:pPr>
              <w:spacing w:after="0"/>
              <w:rPr>
                <w:sz w:val="18"/>
                <w:szCs w:val="18"/>
                <w:color w:val="auto"/>
              </w:rPr>
            </w:pPr>
          </w:p>
        </w:tc>
        <w:tc>
          <w:tcPr>
            <w:tcW w:w="740" w:type="dxa"/>
            <w:vAlign w:val="bottom"/>
            <w:tcBorders>
              <w:right w:val="single" w:sz="8" w:color="F0F0F0"/>
            </w:tcBorders>
            <w:shd w:val="clear" w:color="auto" w:fill="F0F0F0"/>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shd w:val="clear" w:color="auto" w:fill="F0F0F0"/>
          </w:tcPr>
          <w:p>
            <w:pPr>
              <w:spacing w:after="0"/>
              <w:rPr>
                <w:sz w:val="18"/>
                <w:szCs w:val="18"/>
                <w:color w:val="auto"/>
              </w:rPr>
            </w:pPr>
          </w:p>
        </w:tc>
        <w:tc>
          <w:tcPr>
            <w:tcW w:w="40" w:type="dxa"/>
            <w:vAlign w:val="bottom"/>
            <w:shd w:val="clear" w:color="auto" w:fill="F0F0F0"/>
          </w:tcPr>
          <w:p>
            <w:pPr>
              <w:spacing w:after="0"/>
              <w:rPr>
                <w:sz w:val="18"/>
                <w:szCs w:val="18"/>
                <w:color w:val="auto"/>
              </w:rPr>
            </w:pPr>
          </w:p>
        </w:tc>
        <w:tc>
          <w:tcPr>
            <w:tcW w:w="720" w:type="dxa"/>
            <w:vAlign w:val="bottom"/>
            <w:tcBorders>
              <w:right w:val="single" w:sz="8" w:color="F0F0F0"/>
            </w:tcBorders>
            <w:shd w:val="clear" w:color="auto" w:fill="F0F0F0"/>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shd w:val="clear" w:color="auto" w:fill="DCDDDE"/>
          </w:tcPr>
          <w:p>
            <w:pPr>
              <w:spacing w:after="0"/>
              <w:rPr>
                <w:sz w:val="18"/>
                <w:szCs w:val="18"/>
                <w:color w:val="auto"/>
              </w:rPr>
            </w:pPr>
          </w:p>
        </w:tc>
        <w:tc>
          <w:tcPr>
            <w:tcW w:w="40" w:type="dxa"/>
            <w:vAlign w:val="bottom"/>
            <w:shd w:val="clear" w:color="auto" w:fill="DCDD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Sales and other operating revenue</w:t>
            </w:r>
          </w:p>
        </w:tc>
        <w:tc>
          <w:tcPr>
            <w:tcW w:w="180" w:type="dxa"/>
            <w:vAlign w:val="bottom"/>
            <w:shd w:val="clear" w:color="auto" w:fill="F0F0F0"/>
          </w:tcPr>
          <w:p>
            <w:pPr>
              <w:spacing w:after="0"/>
              <w:rPr>
                <w:sz w:val="18"/>
                <w:szCs w:val="18"/>
                <w:color w:val="auto"/>
              </w:rPr>
            </w:pPr>
          </w:p>
        </w:tc>
        <w:tc>
          <w:tcPr>
            <w:tcW w:w="5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w w:val="99"/>
              </w:rPr>
              <w:t>14,579</w:t>
            </w:r>
          </w:p>
        </w:tc>
        <w:tc>
          <w:tcPr>
            <w:tcW w:w="60" w:type="dxa"/>
            <w:vAlign w:val="bottom"/>
            <w:shd w:val="clear" w:color="auto" w:fill="F0F0F0"/>
          </w:tcPr>
          <w:p>
            <w:pPr>
              <w:spacing w:after="0"/>
              <w:rPr>
                <w:sz w:val="18"/>
                <w:szCs w:val="18"/>
                <w:color w:val="auto"/>
              </w:rPr>
            </w:pPr>
          </w:p>
        </w:tc>
        <w:tc>
          <w:tcPr>
            <w:tcW w:w="740" w:type="dxa"/>
            <w:vAlign w:val="bottom"/>
            <w:tcBorders>
              <w:right w:val="single" w:sz="8" w:color="F0F0F0"/>
            </w:tcBorders>
            <w:shd w:val="clear" w:color="auto" w:fill="F0F0F0"/>
          </w:tcPr>
          <w:p>
            <w:pPr>
              <w:jc w:val="right"/>
              <w:ind w:right="20"/>
              <w:spacing w:after="0"/>
              <w:rPr>
                <w:sz w:val="20"/>
                <w:szCs w:val="20"/>
                <w:color w:val="auto"/>
              </w:rPr>
            </w:pPr>
            <w:r>
              <w:rPr>
                <w:rFonts w:ascii="Times New Roman" w:cs="Times New Roman" w:eastAsia="Times New Roman" w:hAnsi="Times New Roman"/>
                <w:sz w:val="16"/>
                <w:szCs w:val="16"/>
                <w:color w:val="auto"/>
              </w:rPr>
              <w:t>30,585</w:t>
            </w: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117,824</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188,153</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10,670</w:t>
            </w:r>
          </w:p>
        </w:tc>
        <w:tc>
          <w:tcPr>
            <w:tcW w:w="40" w:type="dxa"/>
            <w:vAlign w:val="bottom"/>
            <w:shd w:val="clear" w:color="auto" w:fill="F0F0F0"/>
          </w:tcPr>
          <w:p>
            <w:pPr>
              <w:spacing w:after="0"/>
              <w:rPr>
                <w:sz w:val="18"/>
                <w:szCs w:val="18"/>
                <w:color w:val="auto"/>
              </w:rPr>
            </w:pPr>
          </w:p>
        </w:tc>
        <w:tc>
          <w:tcPr>
            <w:tcW w:w="72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16,949</w:t>
            </w: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6,152</w:t>
            </w: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13,727</w:t>
            </w:r>
          </w:p>
        </w:tc>
        <w:tc>
          <w:tcPr>
            <w:tcW w:w="760" w:type="dxa"/>
            <w:vAlign w:val="bottom"/>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398,639</w:t>
            </w:r>
          </w:p>
        </w:tc>
        <w:tc>
          <w:tcPr>
            <w:tcW w:w="40" w:type="dxa"/>
            <w:vAlign w:val="bottom"/>
            <w:shd w:val="clear" w:color="auto" w:fill="DCDD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Income from equity affiliates</w:t>
            </w:r>
          </w:p>
        </w:tc>
        <w:tc>
          <w:tcPr>
            <w:tcW w:w="180" w:type="dxa"/>
            <w:vAlign w:val="bottom"/>
            <w:shd w:val="clear" w:color="auto" w:fill="F0F0F0"/>
          </w:tcPr>
          <w:p>
            <w:pPr>
              <w:spacing w:after="0"/>
              <w:rPr>
                <w:sz w:val="18"/>
                <w:szCs w:val="18"/>
                <w:color w:val="auto"/>
              </w:rPr>
            </w:pPr>
          </w:p>
        </w:tc>
        <w:tc>
          <w:tcPr>
            <w:tcW w:w="5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60" w:type="dxa"/>
            <w:vAlign w:val="bottom"/>
            <w:shd w:val="clear" w:color="auto" w:fill="F0F0F0"/>
          </w:tcPr>
          <w:p>
            <w:pPr>
              <w:spacing w:after="0"/>
              <w:rPr>
                <w:sz w:val="18"/>
                <w:szCs w:val="18"/>
                <w:color w:val="auto"/>
              </w:rPr>
            </w:pPr>
          </w:p>
        </w:tc>
        <w:tc>
          <w:tcPr>
            <w:tcW w:w="740" w:type="dxa"/>
            <w:vAlign w:val="bottom"/>
            <w:tcBorders>
              <w:right w:val="single" w:sz="8" w:color="F0F0F0"/>
            </w:tcBorders>
            <w:shd w:val="clear" w:color="auto" w:fill="F0F0F0"/>
          </w:tcPr>
          <w:p>
            <w:pPr>
              <w:jc w:val="right"/>
              <w:ind w:right="20"/>
              <w:spacing w:after="0"/>
              <w:rPr>
                <w:sz w:val="20"/>
                <w:szCs w:val="20"/>
                <w:color w:val="auto"/>
              </w:rPr>
            </w:pPr>
            <w:r>
              <w:rPr>
                <w:rFonts w:ascii="Times New Roman" w:cs="Times New Roman" w:eastAsia="Times New Roman" w:hAnsi="Times New Roman"/>
                <w:sz w:val="16"/>
                <w:szCs w:val="16"/>
                <w:color w:val="auto"/>
              </w:rPr>
              <w:t>10,133</w:t>
            </w: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126</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322</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40" w:type="dxa"/>
            <w:vAlign w:val="bottom"/>
            <w:shd w:val="clear" w:color="auto" w:fill="F0F0F0"/>
          </w:tcPr>
          <w:p>
            <w:pPr>
              <w:spacing w:after="0"/>
              <w:rPr>
                <w:sz w:val="18"/>
                <w:szCs w:val="18"/>
                <w:color w:val="auto"/>
              </w:rPr>
            </w:pPr>
          </w:p>
        </w:tc>
        <w:tc>
          <w:tcPr>
            <w:tcW w:w="72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771</w:t>
            </w: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760" w:type="dxa"/>
            <w:vAlign w:val="bottom"/>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11,831</w:t>
            </w:r>
          </w:p>
        </w:tc>
        <w:tc>
          <w:tcPr>
            <w:tcW w:w="40" w:type="dxa"/>
            <w:vAlign w:val="bottom"/>
            <w:shd w:val="clear" w:color="auto" w:fill="DCDD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Intersegment revenue</w:t>
            </w:r>
          </w:p>
        </w:tc>
        <w:tc>
          <w:tcPr>
            <w:tcW w:w="180" w:type="dxa"/>
            <w:vAlign w:val="bottom"/>
            <w:shd w:val="clear" w:color="auto" w:fill="F0F0F0"/>
          </w:tcPr>
          <w:p>
            <w:pPr>
              <w:spacing w:after="0"/>
              <w:rPr>
                <w:sz w:val="18"/>
                <w:szCs w:val="18"/>
                <w:color w:val="auto"/>
              </w:rPr>
            </w:pPr>
          </w:p>
        </w:tc>
        <w:tc>
          <w:tcPr>
            <w:tcW w:w="5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w w:val="99"/>
              </w:rPr>
              <w:t>25,658</w:t>
            </w:r>
          </w:p>
        </w:tc>
        <w:tc>
          <w:tcPr>
            <w:tcW w:w="60" w:type="dxa"/>
            <w:vAlign w:val="bottom"/>
            <w:shd w:val="clear" w:color="auto" w:fill="F0F0F0"/>
          </w:tcPr>
          <w:p>
            <w:pPr>
              <w:spacing w:after="0"/>
              <w:rPr>
                <w:sz w:val="18"/>
                <w:szCs w:val="18"/>
                <w:color w:val="auto"/>
              </w:rPr>
            </w:pPr>
          </w:p>
        </w:tc>
        <w:tc>
          <w:tcPr>
            <w:tcW w:w="740" w:type="dxa"/>
            <w:vAlign w:val="bottom"/>
            <w:tcBorders>
              <w:right w:val="single" w:sz="8" w:color="F0F0F0"/>
            </w:tcBorders>
            <w:shd w:val="clear" w:color="auto" w:fill="F0F0F0"/>
          </w:tcPr>
          <w:p>
            <w:pPr>
              <w:jc w:val="right"/>
              <w:ind w:right="20"/>
              <w:spacing w:after="0"/>
              <w:rPr>
                <w:sz w:val="20"/>
                <w:szCs w:val="20"/>
                <w:color w:val="auto"/>
              </w:rPr>
            </w:pPr>
            <w:r>
              <w:rPr>
                <w:rFonts w:ascii="Times New Roman" w:cs="Times New Roman" w:eastAsia="Times New Roman" w:hAnsi="Times New Roman"/>
                <w:sz w:val="16"/>
                <w:szCs w:val="16"/>
                <w:color w:val="auto"/>
              </w:rPr>
              <w:t>46,076</w:t>
            </w: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29,001</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36,894</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9,081</w:t>
            </w:r>
          </w:p>
        </w:tc>
        <w:tc>
          <w:tcPr>
            <w:tcW w:w="40" w:type="dxa"/>
            <w:vAlign w:val="bottom"/>
            <w:shd w:val="clear" w:color="auto" w:fill="F0F0F0"/>
          </w:tcPr>
          <w:p>
            <w:pPr>
              <w:spacing w:after="0"/>
              <w:rPr>
                <w:sz w:val="18"/>
                <w:szCs w:val="18"/>
                <w:color w:val="auto"/>
              </w:rPr>
            </w:pPr>
          </w:p>
        </w:tc>
        <w:tc>
          <w:tcPr>
            <w:tcW w:w="72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5,201</w:t>
            </w: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2,587</w:t>
            </w: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825</w:t>
            </w:r>
          </w:p>
        </w:tc>
        <w:tc>
          <w:tcPr>
            <w:tcW w:w="760" w:type="dxa"/>
            <w:vAlign w:val="bottom"/>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155,323</w:t>
            </w:r>
          </w:p>
        </w:tc>
        <w:tc>
          <w:tcPr>
            <w:tcW w:w="40" w:type="dxa"/>
            <w:vAlign w:val="bottom"/>
            <w:shd w:val="clear" w:color="auto" w:fill="DCDDD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2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6"/>
                <w:szCs w:val="16"/>
                <w:color w:val="auto"/>
              </w:rPr>
              <w:t>Other income</w:t>
            </w:r>
          </w:p>
        </w:tc>
        <w:tc>
          <w:tcPr>
            <w:tcW w:w="180" w:type="dxa"/>
            <w:vAlign w:val="bottom"/>
            <w:tcBorders>
              <w:bottom w:val="single" w:sz="8" w:color="0C479D"/>
            </w:tcBorders>
            <w:shd w:val="clear" w:color="auto" w:fill="F0F0F0"/>
          </w:tcPr>
          <w:p>
            <w:pPr>
              <w:spacing w:after="0"/>
              <w:rPr>
                <w:sz w:val="19"/>
                <w:szCs w:val="19"/>
                <w:color w:val="auto"/>
              </w:rPr>
            </w:pPr>
          </w:p>
        </w:tc>
        <w:tc>
          <w:tcPr>
            <w:tcW w:w="5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60" w:type="dxa"/>
            <w:vAlign w:val="bottom"/>
            <w:tcBorders>
              <w:bottom w:val="single" w:sz="8" w:color="0C479D"/>
            </w:tcBorders>
            <w:shd w:val="clear" w:color="auto" w:fill="F0F0F0"/>
          </w:tcPr>
          <w:p>
            <w:pPr>
              <w:spacing w:after="0"/>
              <w:rPr>
                <w:sz w:val="19"/>
                <w:szCs w:val="19"/>
                <w:color w:val="auto"/>
              </w:rPr>
            </w:pPr>
          </w:p>
        </w:tc>
        <w:tc>
          <w:tcPr>
            <w:tcW w:w="740" w:type="dxa"/>
            <w:vAlign w:val="bottom"/>
            <w:tcBorders>
              <w:bottom w:val="single" w:sz="8" w:color="0C479D"/>
              <w:right w:val="single" w:sz="8" w:color="F0F0F0"/>
            </w:tcBorders>
            <w:shd w:val="clear" w:color="auto" w:fill="F0F0F0"/>
          </w:tcPr>
          <w:p>
            <w:pPr>
              <w:jc w:val="right"/>
              <w:ind w:right="20"/>
              <w:spacing w:after="0"/>
              <w:rPr>
                <w:sz w:val="20"/>
                <w:szCs w:val="20"/>
                <w:color w:val="auto"/>
              </w:rPr>
            </w:pPr>
            <w:r>
              <w:rPr>
                <w:rFonts w:ascii="Times New Roman" w:cs="Times New Roman" w:eastAsia="Times New Roman" w:hAnsi="Times New Roman"/>
                <w:sz w:val="16"/>
                <w:szCs w:val="16"/>
                <w:color w:val="auto"/>
              </w:rPr>
              <w:t>1,504</w:t>
            </w:r>
          </w:p>
        </w:tc>
        <w:tc>
          <w:tcPr>
            <w:tcW w:w="740" w:type="dxa"/>
            <w:vAlign w:val="bottom"/>
            <w:tcBorders>
              <w:bottom w:val="single" w:sz="8" w:color="0C479D"/>
            </w:tcBorders>
          </w:tcPr>
          <w:p>
            <w:pPr>
              <w:jc w:val="right"/>
              <w:ind w:right="1"/>
              <w:spacing w:after="0"/>
              <w:rPr>
                <w:sz w:val="20"/>
                <w:szCs w:val="20"/>
                <w:color w:val="auto"/>
              </w:rPr>
            </w:pPr>
            <w:r>
              <w:rPr>
                <w:rFonts w:ascii="Times New Roman" w:cs="Times New Roman" w:eastAsia="Times New Roman" w:hAnsi="Times New Roman"/>
                <w:sz w:val="16"/>
                <w:szCs w:val="16"/>
                <w:color w:val="auto"/>
              </w:rPr>
              <w:t>184</w:t>
            </w:r>
          </w:p>
        </w:tc>
        <w:tc>
          <w:tcPr>
            <w:tcW w:w="76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color w:val="auto"/>
              </w:rPr>
              <w:t>208</w:t>
            </w:r>
          </w:p>
        </w:tc>
        <w:tc>
          <w:tcPr>
            <w:tcW w:w="68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40" w:type="dxa"/>
            <w:vAlign w:val="bottom"/>
            <w:tcBorders>
              <w:bottom w:val="single" w:sz="8" w:color="0C479D"/>
            </w:tcBorders>
            <w:shd w:val="clear" w:color="auto" w:fill="F0F0F0"/>
          </w:tcPr>
          <w:p>
            <w:pPr>
              <w:spacing w:after="0"/>
              <w:rPr>
                <w:sz w:val="19"/>
                <w:szCs w:val="19"/>
                <w:color w:val="auto"/>
              </w:rPr>
            </w:pPr>
          </w:p>
        </w:tc>
        <w:tc>
          <w:tcPr>
            <w:tcW w:w="720" w:type="dxa"/>
            <w:vAlign w:val="bottom"/>
            <w:tcBorders>
              <w:bottom w:val="single" w:sz="8" w:color="0C479D"/>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720" w:type="dxa"/>
            <w:vAlign w:val="bottom"/>
            <w:tcBorders>
              <w:bottom w:val="single" w:sz="8" w:color="0C479D"/>
            </w:tcBorders>
          </w:tcPr>
          <w:p>
            <w:pPr>
              <w:jc w:val="right"/>
              <w:ind w:right="1"/>
              <w:spacing w:after="0"/>
              <w:rPr>
                <w:sz w:val="20"/>
                <w:szCs w:val="20"/>
                <w:color w:val="auto"/>
              </w:rPr>
            </w:pPr>
            <w:r>
              <w:rPr>
                <w:rFonts w:ascii="Times New Roman" w:cs="Times New Roman" w:eastAsia="Times New Roman" w:hAnsi="Times New Roman"/>
                <w:sz w:val="16"/>
                <w:szCs w:val="16"/>
                <w:color w:val="auto"/>
              </w:rPr>
              <w:t>25</w:t>
            </w:r>
          </w:p>
        </w:tc>
        <w:tc>
          <w:tcPr>
            <w:tcW w:w="74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color w:val="auto"/>
              </w:rPr>
              <w:t>112</w:t>
            </w:r>
          </w:p>
        </w:tc>
        <w:tc>
          <w:tcPr>
            <w:tcW w:w="760" w:type="dxa"/>
            <w:vAlign w:val="bottom"/>
            <w:tcBorders>
              <w:bottom w:val="single" w:sz="8" w:color="0C479D"/>
            </w:tcBorders>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2,551</w:t>
            </w:r>
          </w:p>
        </w:tc>
        <w:tc>
          <w:tcPr>
            <w:tcW w:w="40" w:type="dxa"/>
            <w:vAlign w:val="bottom"/>
            <w:tcBorders>
              <w:bottom w:val="single" w:sz="8" w:color="0C479D"/>
            </w:tcBorders>
            <w:shd w:val="clear" w:color="auto" w:fill="DCDDD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Segment revenues and other income</w:t>
            </w:r>
          </w:p>
        </w:tc>
        <w:tc>
          <w:tcPr>
            <w:tcW w:w="180" w:type="dxa"/>
            <w:vAlign w:val="bottom"/>
            <w:shd w:val="clear" w:color="auto" w:fill="F0F0F0"/>
          </w:tcPr>
          <w:p>
            <w:pPr>
              <w:spacing w:after="0"/>
              <w:rPr>
                <w:sz w:val="18"/>
                <w:szCs w:val="18"/>
                <w:color w:val="auto"/>
              </w:rPr>
            </w:pPr>
          </w:p>
        </w:tc>
        <w:tc>
          <w:tcPr>
            <w:tcW w:w="5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41,097</w:t>
            </w:r>
          </w:p>
        </w:tc>
        <w:tc>
          <w:tcPr>
            <w:tcW w:w="60" w:type="dxa"/>
            <w:vAlign w:val="bottom"/>
            <w:shd w:val="clear" w:color="auto" w:fill="F0F0F0"/>
          </w:tcPr>
          <w:p>
            <w:pPr>
              <w:spacing w:after="0"/>
              <w:rPr>
                <w:sz w:val="18"/>
                <w:szCs w:val="18"/>
                <w:color w:val="auto"/>
              </w:rPr>
            </w:pPr>
          </w:p>
        </w:tc>
        <w:tc>
          <w:tcPr>
            <w:tcW w:w="740" w:type="dxa"/>
            <w:vAlign w:val="bottom"/>
            <w:tcBorders>
              <w:right w:val="single" w:sz="8" w:color="F0F0F0"/>
            </w:tcBorders>
            <w:shd w:val="clear" w:color="auto" w:fill="F0F0F0"/>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88,298</w:t>
            </w: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147,135</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225,577</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19,881</w:t>
            </w:r>
          </w:p>
        </w:tc>
        <w:tc>
          <w:tcPr>
            <w:tcW w:w="40" w:type="dxa"/>
            <w:vAlign w:val="bottom"/>
            <w:shd w:val="clear" w:color="auto" w:fill="F0F0F0"/>
          </w:tcPr>
          <w:p>
            <w:pPr>
              <w:spacing w:after="0"/>
              <w:rPr>
                <w:sz w:val="18"/>
                <w:szCs w:val="18"/>
                <w:color w:val="auto"/>
              </w:rPr>
            </w:pPr>
          </w:p>
        </w:tc>
        <w:tc>
          <w:tcPr>
            <w:tcW w:w="72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22,951</w:t>
            </w: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8,764</w:t>
            </w: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14,641</w:t>
            </w:r>
          </w:p>
        </w:tc>
        <w:tc>
          <w:tcPr>
            <w:tcW w:w="760" w:type="dxa"/>
            <w:vAlign w:val="bottom"/>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568,344</w:t>
            </w:r>
          </w:p>
        </w:tc>
        <w:tc>
          <w:tcPr>
            <w:tcW w:w="40" w:type="dxa"/>
            <w:vAlign w:val="bottom"/>
            <w:shd w:val="clear" w:color="auto" w:fill="DCDDD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020" w:type="dxa"/>
            <w:vAlign w:val="bottom"/>
          </w:tcPr>
          <w:p>
            <w:pPr>
              <w:spacing w:after="0"/>
              <w:rPr>
                <w:sz w:val="20"/>
                <w:szCs w:val="20"/>
                <w:color w:val="auto"/>
              </w:rPr>
            </w:pPr>
            <w:r>
              <w:rPr>
                <w:rFonts w:ascii="Times New Roman" w:cs="Times New Roman" w:eastAsia="Times New Roman" w:hAnsi="Times New Roman"/>
                <w:sz w:val="16"/>
                <w:szCs w:val="16"/>
                <w:b w:val="1"/>
                <w:bCs w:val="1"/>
                <w:color w:val="0C479D"/>
              </w:rPr>
              <w:t>Costs and other items</w:t>
            </w:r>
          </w:p>
        </w:tc>
        <w:tc>
          <w:tcPr>
            <w:tcW w:w="180" w:type="dxa"/>
            <w:vAlign w:val="bottom"/>
            <w:shd w:val="clear" w:color="auto" w:fill="F0F0F0"/>
          </w:tcPr>
          <w:p>
            <w:pPr>
              <w:spacing w:after="0"/>
              <w:rPr>
                <w:sz w:val="24"/>
                <w:szCs w:val="24"/>
                <w:color w:val="auto"/>
              </w:rPr>
            </w:pPr>
          </w:p>
        </w:tc>
        <w:tc>
          <w:tcPr>
            <w:tcW w:w="500" w:type="dxa"/>
            <w:vAlign w:val="bottom"/>
            <w:shd w:val="clear" w:color="auto" w:fill="F0F0F0"/>
          </w:tcPr>
          <w:p>
            <w:pPr>
              <w:spacing w:after="0"/>
              <w:rPr>
                <w:sz w:val="24"/>
                <w:szCs w:val="24"/>
                <w:color w:val="auto"/>
              </w:rPr>
            </w:pPr>
          </w:p>
        </w:tc>
        <w:tc>
          <w:tcPr>
            <w:tcW w:w="60" w:type="dxa"/>
            <w:vAlign w:val="bottom"/>
            <w:shd w:val="clear" w:color="auto" w:fill="F0F0F0"/>
          </w:tcPr>
          <w:p>
            <w:pPr>
              <w:spacing w:after="0"/>
              <w:rPr>
                <w:sz w:val="24"/>
                <w:szCs w:val="24"/>
                <w:color w:val="auto"/>
              </w:rPr>
            </w:pPr>
          </w:p>
        </w:tc>
        <w:tc>
          <w:tcPr>
            <w:tcW w:w="740" w:type="dxa"/>
            <w:vAlign w:val="bottom"/>
            <w:tcBorders>
              <w:right w:val="single" w:sz="8" w:color="F0F0F0"/>
            </w:tcBorders>
            <w:shd w:val="clear" w:color="auto" w:fill="F0F0F0"/>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shd w:val="clear" w:color="auto" w:fill="F0F0F0"/>
          </w:tcPr>
          <w:p>
            <w:pPr>
              <w:spacing w:after="0"/>
              <w:rPr>
                <w:sz w:val="24"/>
                <w:szCs w:val="24"/>
                <w:color w:val="auto"/>
              </w:rPr>
            </w:pPr>
          </w:p>
        </w:tc>
        <w:tc>
          <w:tcPr>
            <w:tcW w:w="40" w:type="dxa"/>
            <w:vAlign w:val="bottom"/>
            <w:shd w:val="clear" w:color="auto" w:fill="F0F0F0"/>
          </w:tcPr>
          <w:p>
            <w:pPr>
              <w:spacing w:after="0"/>
              <w:rPr>
                <w:sz w:val="24"/>
                <w:szCs w:val="24"/>
                <w:color w:val="auto"/>
              </w:rPr>
            </w:pPr>
          </w:p>
        </w:tc>
        <w:tc>
          <w:tcPr>
            <w:tcW w:w="720" w:type="dxa"/>
            <w:vAlign w:val="bottom"/>
            <w:tcBorders>
              <w:right w:val="single" w:sz="8" w:color="F0F0F0"/>
            </w:tcBorders>
            <w:shd w:val="clear" w:color="auto" w:fill="F0F0F0"/>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vMerge w:val="restart"/>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382,418</w:t>
            </w:r>
          </w:p>
        </w:tc>
        <w:tc>
          <w:tcPr>
            <w:tcW w:w="40" w:type="dxa"/>
            <w:vAlign w:val="bottom"/>
            <w:shd w:val="clear" w:color="auto" w:fill="DCDDD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Crude oil and product purchases</w:t>
            </w:r>
          </w:p>
        </w:tc>
        <w:tc>
          <w:tcPr>
            <w:tcW w:w="180" w:type="dxa"/>
            <w:vAlign w:val="bottom"/>
            <w:shd w:val="clear" w:color="auto" w:fill="F0F0F0"/>
          </w:tcPr>
          <w:p>
            <w:pPr>
              <w:spacing w:after="0"/>
              <w:rPr>
                <w:sz w:val="18"/>
                <w:szCs w:val="18"/>
                <w:color w:val="auto"/>
              </w:rPr>
            </w:pPr>
          </w:p>
        </w:tc>
        <w:tc>
          <w:tcPr>
            <w:tcW w:w="5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w w:val="99"/>
              </w:rPr>
              <w:t>12,786</w:t>
            </w:r>
          </w:p>
        </w:tc>
        <w:tc>
          <w:tcPr>
            <w:tcW w:w="60" w:type="dxa"/>
            <w:vAlign w:val="bottom"/>
            <w:shd w:val="clear" w:color="auto" w:fill="F0F0F0"/>
          </w:tcPr>
          <w:p>
            <w:pPr>
              <w:spacing w:after="0"/>
              <w:rPr>
                <w:sz w:val="18"/>
                <w:szCs w:val="18"/>
                <w:color w:val="auto"/>
              </w:rPr>
            </w:pPr>
          </w:p>
        </w:tc>
        <w:tc>
          <w:tcPr>
            <w:tcW w:w="740" w:type="dxa"/>
            <w:vAlign w:val="bottom"/>
            <w:tcBorders>
              <w:right w:val="single" w:sz="8" w:color="F0F0F0"/>
            </w:tcBorders>
            <w:shd w:val="clear" w:color="auto" w:fill="F0F0F0"/>
          </w:tcPr>
          <w:p>
            <w:pPr>
              <w:jc w:val="right"/>
              <w:ind w:right="20"/>
              <w:spacing w:after="0"/>
              <w:rPr>
                <w:sz w:val="20"/>
                <w:szCs w:val="20"/>
                <w:color w:val="auto"/>
              </w:rPr>
            </w:pPr>
            <w:r>
              <w:rPr>
                <w:rFonts w:ascii="Times New Roman" w:cs="Times New Roman" w:eastAsia="Times New Roman" w:hAnsi="Times New Roman"/>
                <w:sz w:val="16"/>
                <w:szCs w:val="16"/>
                <w:color w:val="auto"/>
              </w:rPr>
              <w:t>20,770</w:t>
            </w: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123,675</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182,293</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11,551</w:t>
            </w:r>
          </w:p>
        </w:tc>
        <w:tc>
          <w:tcPr>
            <w:tcW w:w="40" w:type="dxa"/>
            <w:vAlign w:val="bottom"/>
            <w:shd w:val="clear" w:color="auto" w:fill="F0F0F0"/>
          </w:tcPr>
          <w:p>
            <w:pPr>
              <w:spacing w:after="0"/>
              <w:rPr>
                <w:sz w:val="18"/>
                <w:szCs w:val="18"/>
                <w:color w:val="auto"/>
              </w:rPr>
            </w:pPr>
          </w:p>
        </w:tc>
        <w:tc>
          <w:tcPr>
            <w:tcW w:w="72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15,847</w:t>
            </w: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5,112</w:t>
            </w: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10,384</w:t>
            </w:r>
          </w:p>
        </w:tc>
        <w:tc>
          <w:tcPr>
            <w:tcW w:w="760" w:type="dxa"/>
            <w:vAlign w:val="bottom"/>
            <w:vMerge w:val="continue"/>
            <w:shd w:val="clear" w:color="auto" w:fill="DCDDDE"/>
          </w:tcPr>
          <w:p>
            <w:pPr>
              <w:spacing w:after="0"/>
              <w:rPr>
                <w:sz w:val="18"/>
                <w:szCs w:val="18"/>
                <w:color w:val="auto"/>
              </w:rPr>
            </w:pPr>
          </w:p>
        </w:tc>
        <w:tc>
          <w:tcPr>
            <w:tcW w:w="40" w:type="dxa"/>
            <w:vAlign w:val="bottom"/>
            <w:shd w:val="clear" w:color="auto" w:fill="DCDDDE"/>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3020" w:type="dxa"/>
            <w:vAlign w:val="bottom"/>
          </w:tcPr>
          <w:p>
            <w:pPr>
              <w:spacing w:after="0" w:line="168" w:lineRule="exact"/>
              <w:rPr>
                <w:sz w:val="20"/>
                <w:szCs w:val="20"/>
                <w:color w:val="auto"/>
              </w:rPr>
            </w:pPr>
            <w:r>
              <w:rPr>
                <w:rFonts w:ascii="Times New Roman" w:cs="Times New Roman" w:eastAsia="Times New Roman" w:hAnsi="Times New Roman"/>
                <w:sz w:val="16"/>
                <w:szCs w:val="16"/>
                <w:color w:val="auto"/>
              </w:rPr>
              <w:t>Operating expenses, excl. depreciation and</w:t>
            </w:r>
          </w:p>
        </w:tc>
        <w:tc>
          <w:tcPr>
            <w:tcW w:w="180" w:type="dxa"/>
            <w:vAlign w:val="bottom"/>
            <w:shd w:val="clear" w:color="auto" w:fill="F0F0F0"/>
          </w:tcPr>
          <w:p>
            <w:pPr>
              <w:spacing w:after="0"/>
              <w:rPr>
                <w:sz w:val="14"/>
                <w:szCs w:val="14"/>
                <w:color w:val="auto"/>
              </w:rPr>
            </w:pPr>
          </w:p>
        </w:tc>
        <w:tc>
          <w:tcPr>
            <w:tcW w:w="50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6,693</w:t>
            </w:r>
          </w:p>
        </w:tc>
        <w:tc>
          <w:tcPr>
            <w:tcW w:w="60" w:type="dxa"/>
            <w:vAlign w:val="bottom"/>
            <w:shd w:val="clear" w:color="auto" w:fill="F0F0F0"/>
          </w:tcPr>
          <w:p>
            <w:pPr>
              <w:spacing w:after="0"/>
              <w:rPr>
                <w:sz w:val="14"/>
                <w:szCs w:val="14"/>
                <w:color w:val="auto"/>
              </w:rPr>
            </w:pPr>
          </w:p>
        </w:tc>
        <w:tc>
          <w:tcPr>
            <w:tcW w:w="740" w:type="dxa"/>
            <w:vAlign w:val="bottom"/>
            <w:tcBorders>
              <w:right w:val="single" w:sz="8" w:color="F0F0F0"/>
            </w:tcBorders>
            <w:vMerge w:val="restart"/>
            <w:shd w:val="clear" w:color="auto" w:fill="F0F0F0"/>
          </w:tcPr>
          <w:p>
            <w:pPr>
              <w:jc w:val="right"/>
              <w:ind w:right="20"/>
              <w:spacing w:after="0"/>
              <w:rPr>
                <w:sz w:val="20"/>
                <w:szCs w:val="20"/>
                <w:color w:val="auto"/>
              </w:rPr>
            </w:pPr>
            <w:r>
              <w:rPr>
                <w:rFonts w:ascii="Times New Roman" w:cs="Times New Roman" w:eastAsia="Times New Roman" w:hAnsi="Times New Roman"/>
                <w:sz w:val="16"/>
                <w:szCs w:val="16"/>
                <w:color w:val="auto"/>
              </w:rPr>
              <w:t>12,723</w:t>
            </w:r>
          </w:p>
        </w:tc>
        <w:tc>
          <w:tcPr>
            <w:tcW w:w="7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8,373</w:t>
            </w:r>
          </w:p>
        </w:tc>
        <w:tc>
          <w:tcPr>
            <w:tcW w:w="76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12,092</w:t>
            </w:r>
          </w:p>
        </w:tc>
        <w:tc>
          <w:tcPr>
            <w:tcW w:w="68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4,900</w:t>
            </w:r>
          </w:p>
        </w:tc>
        <w:tc>
          <w:tcPr>
            <w:tcW w:w="40" w:type="dxa"/>
            <w:vAlign w:val="bottom"/>
            <w:shd w:val="clear" w:color="auto" w:fill="F0F0F0"/>
          </w:tcPr>
          <w:p>
            <w:pPr>
              <w:spacing w:after="0"/>
              <w:rPr>
                <w:sz w:val="14"/>
                <w:szCs w:val="14"/>
                <w:color w:val="auto"/>
              </w:rPr>
            </w:pPr>
          </w:p>
        </w:tc>
        <w:tc>
          <w:tcPr>
            <w:tcW w:w="720" w:type="dxa"/>
            <w:vAlign w:val="bottom"/>
            <w:tcBorders>
              <w:right w:val="single" w:sz="8" w:color="F0F0F0"/>
            </w:tcBorders>
            <w:vMerge w:val="restart"/>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5,022</w:t>
            </w:r>
          </w:p>
        </w:tc>
        <w:tc>
          <w:tcPr>
            <w:tcW w:w="7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2,028</w:t>
            </w:r>
          </w:p>
        </w:tc>
        <w:tc>
          <w:tcPr>
            <w:tcW w:w="74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2,388</w:t>
            </w:r>
          </w:p>
        </w:tc>
        <w:tc>
          <w:tcPr>
            <w:tcW w:w="760" w:type="dxa"/>
            <w:vAlign w:val="bottom"/>
            <w:vMerge w:val="restart"/>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54,219</w:t>
            </w:r>
          </w:p>
        </w:tc>
        <w:tc>
          <w:tcPr>
            <w:tcW w:w="40" w:type="dxa"/>
            <w:vAlign w:val="bottom"/>
            <w:shd w:val="clear" w:color="auto" w:fill="DCDDD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depletion </w:t>
            </w:r>
            <w:r>
              <w:rPr>
                <w:rFonts w:ascii="Times New Roman" w:cs="Times New Roman" w:eastAsia="Times New Roman" w:hAnsi="Times New Roman"/>
                <w:sz w:val="21"/>
                <w:szCs w:val="21"/>
                <w:i w:val="1"/>
                <w:iCs w:val="1"/>
                <w:color w:val="auto"/>
                <w:vertAlign w:val="superscript"/>
              </w:rPr>
              <w:t>(1)</w:t>
            </w:r>
          </w:p>
        </w:tc>
        <w:tc>
          <w:tcPr>
            <w:tcW w:w="180" w:type="dxa"/>
            <w:vAlign w:val="bottom"/>
            <w:shd w:val="clear" w:color="auto" w:fill="F0F0F0"/>
          </w:tcPr>
          <w:p>
            <w:pPr>
              <w:spacing w:after="0"/>
              <w:rPr>
                <w:sz w:val="18"/>
                <w:szCs w:val="18"/>
                <w:color w:val="auto"/>
              </w:rPr>
            </w:pPr>
          </w:p>
        </w:tc>
        <w:tc>
          <w:tcPr>
            <w:tcW w:w="500" w:type="dxa"/>
            <w:vAlign w:val="bottom"/>
            <w:vMerge w:val="continue"/>
            <w:shd w:val="clear" w:color="auto" w:fill="F0F0F0"/>
          </w:tcPr>
          <w:p>
            <w:pPr>
              <w:spacing w:after="0"/>
              <w:rPr>
                <w:sz w:val="18"/>
                <w:szCs w:val="18"/>
                <w:color w:val="auto"/>
              </w:rPr>
            </w:pPr>
          </w:p>
        </w:tc>
        <w:tc>
          <w:tcPr>
            <w:tcW w:w="60" w:type="dxa"/>
            <w:vAlign w:val="bottom"/>
            <w:shd w:val="clear" w:color="auto" w:fill="F0F0F0"/>
          </w:tcPr>
          <w:p>
            <w:pPr>
              <w:spacing w:after="0"/>
              <w:rPr>
                <w:sz w:val="18"/>
                <w:szCs w:val="18"/>
                <w:color w:val="auto"/>
              </w:rPr>
            </w:pPr>
          </w:p>
        </w:tc>
        <w:tc>
          <w:tcPr>
            <w:tcW w:w="740" w:type="dxa"/>
            <w:vAlign w:val="bottom"/>
            <w:tcBorders>
              <w:right w:val="single" w:sz="8" w:color="F0F0F0"/>
            </w:tcBorders>
            <w:vMerge w:val="continue"/>
            <w:shd w:val="clear" w:color="auto" w:fill="F0F0F0"/>
          </w:tcPr>
          <w:p>
            <w:pPr>
              <w:spacing w:after="0"/>
              <w:rPr>
                <w:sz w:val="18"/>
                <w:szCs w:val="18"/>
                <w:color w:val="auto"/>
              </w:rPr>
            </w:pPr>
          </w:p>
        </w:tc>
        <w:tc>
          <w:tcPr>
            <w:tcW w:w="74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680" w:type="dxa"/>
            <w:vAlign w:val="bottom"/>
            <w:vMerge w:val="continue"/>
            <w:shd w:val="clear" w:color="auto" w:fill="F0F0F0"/>
          </w:tcPr>
          <w:p>
            <w:pPr>
              <w:spacing w:after="0"/>
              <w:rPr>
                <w:sz w:val="18"/>
                <w:szCs w:val="18"/>
                <w:color w:val="auto"/>
              </w:rPr>
            </w:pPr>
          </w:p>
        </w:tc>
        <w:tc>
          <w:tcPr>
            <w:tcW w:w="40" w:type="dxa"/>
            <w:vAlign w:val="bottom"/>
            <w:shd w:val="clear" w:color="auto" w:fill="F0F0F0"/>
          </w:tcPr>
          <w:p>
            <w:pPr>
              <w:spacing w:after="0"/>
              <w:rPr>
                <w:sz w:val="18"/>
                <w:szCs w:val="18"/>
                <w:color w:val="auto"/>
              </w:rPr>
            </w:pPr>
          </w:p>
        </w:tc>
        <w:tc>
          <w:tcPr>
            <w:tcW w:w="720" w:type="dxa"/>
            <w:vAlign w:val="bottom"/>
            <w:tcBorders>
              <w:right w:val="single" w:sz="8" w:color="F0F0F0"/>
            </w:tcBorders>
            <w:vMerge w:val="continue"/>
            <w:shd w:val="clear" w:color="auto" w:fill="F0F0F0"/>
          </w:tcPr>
          <w:p>
            <w:pPr>
              <w:spacing w:after="0"/>
              <w:rPr>
                <w:sz w:val="18"/>
                <w:szCs w:val="18"/>
                <w:color w:val="auto"/>
              </w:rPr>
            </w:pPr>
          </w:p>
        </w:tc>
        <w:tc>
          <w:tcPr>
            <w:tcW w:w="72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760" w:type="dxa"/>
            <w:vAlign w:val="bottom"/>
            <w:vMerge w:val="continue"/>
            <w:shd w:val="clear" w:color="auto" w:fill="DCDDDE"/>
          </w:tcPr>
          <w:p>
            <w:pPr>
              <w:spacing w:after="0"/>
              <w:rPr>
                <w:sz w:val="18"/>
                <w:szCs w:val="18"/>
                <w:color w:val="auto"/>
              </w:rPr>
            </w:pPr>
          </w:p>
        </w:tc>
        <w:tc>
          <w:tcPr>
            <w:tcW w:w="40" w:type="dxa"/>
            <w:vAlign w:val="bottom"/>
            <w:shd w:val="clear" w:color="auto" w:fill="DCDDD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02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Depreciation and depletion (includes</w:t>
            </w:r>
          </w:p>
        </w:tc>
        <w:tc>
          <w:tcPr>
            <w:tcW w:w="180" w:type="dxa"/>
            <w:vAlign w:val="bottom"/>
            <w:shd w:val="clear" w:color="auto" w:fill="F0F0F0"/>
          </w:tcPr>
          <w:p>
            <w:pPr>
              <w:spacing w:after="0"/>
              <w:rPr>
                <w:sz w:val="14"/>
                <w:szCs w:val="14"/>
                <w:color w:val="auto"/>
              </w:rPr>
            </w:pPr>
          </w:p>
        </w:tc>
        <w:tc>
          <w:tcPr>
            <w:tcW w:w="50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5,791</w:t>
            </w:r>
          </w:p>
        </w:tc>
        <w:tc>
          <w:tcPr>
            <w:tcW w:w="60" w:type="dxa"/>
            <w:vAlign w:val="bottom"/>
            <w:shd w:val="clear" w:color="auto" w:fill="F0F0F0"/>
          </w:tcPr>
          <w:p>
            <w:pPr>
              <w:spacing w:after="0"/>
              <w:rPr>
                <w:sz w:val="14"/>
                <w:szCs w:val="14"/>
                <w:color w:val="auto"/>
              </w:rPr>
            </w:pPr>
          </w:p>
        </w:tc>
        <w:tc>
          <w:tcPr>
            <w:tcW w:w="740" w:type="dxa"/>
            <w:vAlign w:val="bottom"/>
            <w:tcBorders>
              <w:right w:val="single" w:sz="8" w:color="F0F0F0"/>
            </w:tcBorders>
            <w:vMerge w:val="restart"/>
            <w:shd w:val="clear" w:color="auto" w:fill="F0F0F0"/>
          </w:tcPr>
          <w:p>
            <w:pPr>
              <w:jc w:val="right"/>
              <w:ind w:right="20"/>
              <w:spacing w:after="0"/>
              <w:rPr>
                <w:sz w:val="20"/>
                <w:szCs w:val="20"/>
                <w:color w:val="auto"/>
              </w:rPr>
            </w:pPr>
            <w:r>
              <w:rPr>
                <w:rFonts w:ascii="Times New Roman" w:cs="Times New Roman" w:eastAsia="Times New Roman" w:hAnsi="Times New Roman"/>
                <w:sz w:val="16"/>
                <w:szCs w:val="16"/>
                <w:color w:val="auto"/>
              </w:rPr>
              <w:t>14,013</w:t>
            </w:r>
          </w:p>
        </w:tc>
        <w:tc>
          <w:tcPr>
            <w:tcW w:w="7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741</w:t>
            </w:r>
          </w:p>
        </w:tc>
        <w:tc>
          <w:tcPr>
            <w:tcW w:w="76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1,246</w:t>
            </w:r>
          </w:p>
        </w:tc>
        <w:tc>
          <w:tcPr>
            <w:tcW w:w="68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40" w:type="dxa"/>
            <w:vAlign w:val="bottom"/>
            <w:shd w:val="clear" w:color="auto" w:fill="F0F0F0"/>
          </w:tcPr>
          <w:p>
            <w:pPr>
              <w:spacing w:after="0"/>
              <w:rPr>
                <w:sz w:val="14"/>
                <w:szCs w:val="14"/>
                <w:color w:val="auto"/>
              </w:rPr>
            </w:pPr>
          </w:p>
        </w:tc>
        <w:tc>
          <w:tcPr>
            <w:tcW w:w="720" w:type="dxa"/>
            <w:vAlign w:val="bottom"/>
            <w:tcBorders>
              <w:right w:val="single" w:sz="8" w:color="F0F0F0"/>
            </w:tcBorders>
            <w:vMerge w:val="restart"/>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7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95</w:t>
            </w:r>
          </w:p>
        </w:tc>
        <w:tc>
          <w:tcPr>
            <w:tcW w:w="74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193</w:t>
            </w:r>
          </w:p>
        </w:tc>
        <w:tc>
          <w:tcPr>
            <w:tcW w:w="760" w:type="dxa"/>
            <w:vAlign w:val="bottom"/>
            <w:vMerge w:val="restart"/>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23,067</w:t>
            </w:r>
          </w:p>
        </w:tc>
        <w:tc>
          <w:tcPr>
            <w:tcW w:w="40" w:type="dxa"/>
            <w:vAlign w:val="bottom"/>
            <w:shd w:val="clear" w:color="auto" w:fill="DCDDD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impairments)</w:t>
            </w:r>
          </w:p>
        </w:tc>
        <w:tc>
          <w:tcPr>
            <w:tcW w:w="180" w:type="dxa"/>
            <w:vAlign w:val="bottom"/>
            <w:shd w:val="clear" w:color="auto" w:fill="F0F0F0"/>
          </w:tcPr>
          <w:p>
            <w:pPr>
              <w:spacing w:after="0"/>
              <w:rPr>
                <w:sz w:val="18"/>
                <w:szCs w:val="18"/>
                <w:color w:val="auto"/>
              </w:rPr>
            </w:pPr>
          </w:p>
        </w:tc>
        <w:tc>
          <w:tcPr>
            <w:tcW w:w="500" w:type="dxa"/>
            <w:vAlign w:val="bottom"/>
            <w:vMerge w:val="continue"/>
            <w:shd w:val="clear" w:color="auto" w:fill="F0F0F0"/>
          </w:tcPr>
          <w:p>
            <w:pPr>
              <w:spacing w:after="0"/>
              <w:rPr>
                <w:sz w:val="18"/>
                <w:szCs w:val="18"/>
                <w:color w:val="auto"/>
              </w:rPr>
            </w:pPr>
          </w:p>
        </w:tc>
        <w:tc>
          <w:tcPr>
            <w:tcW w:w="60" w:type="dxa"/>
            <w:vAlign w:val="bottom"/>
            <w:shd w:val="clear" w:color="auto" w:fill="F0F0F0"/>
          </w:tcPr>
          <w:p>
            <w:pPr>
              <w:spacing w:after="0"/>
              <w:rPr>
                <w:sz w:val="18"/>
                <w:szCs w:val="18"/>
                <w:color w:val="auto"/>
              </w:rPr>
            </w:pPr>
          </w:p>
        </w:tc>
        <w:tc>
          <w:tcPr>
            <w:tcW w:w="740" w:type="dxa"/>
            <w:vAlign w:val="bottom"/>
            <w:tcBorders>
              <w:right w:val="single" w:sz="8" w:color="F0F0F0"/>
            </w:tcBorders>
            <w:vMerge w:val="continue"/>
            <w:shd w:val="clear" w:color="auto" w:fill="F0F0F0"/>
          </w:tcPr>
          <w:p>
            <w:pPr>
              <w:spacing w:after="0"/>
              <w:rPr>
                <w:sz w:val="18"/>
                <w:szCs w:val="18"/>
                <w:color w:val="auto"/>
              </w:rPr>
            </w:pPr>
          </w:p>
        </w:tc>
        <w:tc>
          <w:tcPr>
            <w:tcW w:w="74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680" w:type="dxa"/>
            <w:vAlign w:val="bottom"/>
            <w:vMerge w:val="continue"/>
            <w:shd w:val="clear" w:color="auto" w:fill="F0F0F0"/>
          </w:tcPr>
          <w:p>
            <w:pPr>
              <w:spacing w:after="0"/>
              <w:rPr>
                <w:sz w:val="18"/>
                <w:szCs w:val="18"/>
                <w:color w:val="auto"/>
              </w:rPr>
            </w:pPr>
          </w:p>
        </w:tc>
        <w:tc>
          <w:tcPr>
            <w:tcW w:w="40" w:type="dxa"/>
            <w:vAlign w:val="bottom"/>
            <w:shd w:val="clear" w:color="auto" w:fill="F0F0F0"/>
          </w:tcPr>
          <w:p>
            <w:pPr>
              <w:spacing w:after="0"/>
              <w:rPr>
                <w:sz w:val="18"/>
                <w:szCs w:val="18"/>
                <w:color w:val="auto"/>
              </w:rPr>
            </w:pPr>
          </w:p>
        </w:tc>
        <w:tc>
          <w:tcPr>
            <w:tcW w:w="720" w:type="dxa"/>
            <w:vAlign w:val="bottom"/>
            <w:tcBorders>
              <w:right w:val="single" w:sz="8" w:color="F0F0F0"/>
            </w:tcBorders>
            <w:vMerge w:val="continue"/>
            <w:shd w:val="clear" w:color="auto" w:fill="F0F0F0"/>
          </w:tcPr>
          <w:p>
            <w:pPr>
              <w:spacing w:after="0"/>
              <w:rPr>
                <w:sz w:val="18"/>
                <w:szCs w:val="18"/>
                <w:color w:val="auto"/>
              </w:rPr>
            </w:pPr>
          </w:p>
        </w:tc>
        <w:tc>
          <w:tcPr>
            <w:tcW w:w="72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760" w:type="dxa"/>
            <w:vAlign w:val="bottom"/>
            <w:vMerge w:val="continue"/>
            <w:shd w:val="clear" w:color="auto" w:fill="DCDDDE"/>
          </w:tcPr>
          <w:p>
            <w:pPr>
              <w:spacing w:after="0"/>
              <w:rPr>
                <w:sz w:val="18"/>
                <w:szCs w:val="18"/>
                <w:color w:val="auto"/>
              </w:rPr>
            </w:pPr>
          </w:p>
        </w:tc>
        <w:tc>
          <w:tcPr>
            <w:tcW w:w="40" w:type="dxa"/>
            <w:vAlign w:val="bottom"/>
            <w:shd w:val="clear" w:color="auto" w:fill="DCDD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shd w:val="clear" w:color="auto" w:fill="F0F0F0"/>
          </w:tcPr>
          <w:p>
            <w:pPr>
              <w:spacing w:after="0"/>
              <w:rPr>
                <w:sz w:val="18"/>
                <w:szCs w:val="18"/>
                <w:color w:val="auto"/>
              </w:rPr>
            </w:pPr>
          </w:p>
        </w:tc>
        <w:tc>
          <w:tcPr>
            <w:tcW w:w="5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60" w:type="dxa"/>
            <w:vAlign w:val="bottom"/>
            <w:shd w:val="clear" w:color="auto" w:fill="F0F0F0"/>
          </w:tcPr>
          <w:p>
            <w:pPr>
              <w:spacing w:after="0"/>
              <w:rPr>
                <w:sz w:val="18"/>
                <w:szCs w:val="18"/>
                <w:color w:val="auto"/>
              </w:rPr>
            </w:pPr>
          </w:p>
        </w:tc>
        <w:tc>
          <w:tcPr>
            <w:tcW w:w="740" w:type="dxa"/>
            <w:vAlign w:val="bottom"/>
            <w:tcBorders>
              <w:right w:val="single" w:sz="8" w:color="F0F0F0"/>
            </w:tcBorders>
            <w:shd w:val="clear" w:color="auto" w:fill="F0F0F0"/>
          </w:tcPr>
          <w:p>
            <w:pPr>
              <w:jc w:val="right"/>
              <w:ind w:right="20"/>
              <w:spacing w:after="0"/>
              <w:rPr>
                <w:sz w:val="20"/>
                <w:szCs w:val="20"/>
                <w:color w:val="auto"/>
              </w:rPr>
            </w:pPr>
            <w:r>
              <w:rPr>
                <w:rFonts w:ascii="Times New Roman" w:cs="Times New Roman" w:eastAsia="Times New Roman" w:hAnsi="Times New Roman"/>
                <w:sz w:val="16"/>
                <w:szCs w:val="16"/>
                <w:color w:val="auto"/>
              </w:rPr>
              <w:t>38</w:t>
            </w: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F0F0F0"/>
          </w:tcPr>
          <w:p>
            <w:pPr>
              <w:spacing w:after="0"/>
              <w:rPr>
                <w:sz w:val="18"/>
                <w:szCs w:val="18"/>
                <w:color w:val="auto"/>
              </w:rPr>
            </w:pPr>
          </w:p>
        </w:tc>
        <w:tc>
          <w:tcPr>
            <w:tcW w:w="72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760" w:type="dxa"/>
            <w:vAlign w:val="bottom"/>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99</w:t>
            </w:r>
          </w:p>
        </w:tc>
        <w:tc>
          <w:tcPr>
            <w:tcW w:w="40" w:type="dxa"/>
            <w:vAlign w:val="bottom"/>
            <w:shd w:val="clear" w:color="auto" w:fill="DCDDD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2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6"/>
                <w:szCs w:val="16"/>
                <w:color w:val="auto"/>
              </w:rPr>
              <w:t>Other taxes and duties</w:t>
            </w:r>
          </w:p>
        </w:tc>
        <w:tc>
          <w:tcPr>
            <w:tcW w:w="180" w:type="dxa"/>
            <w:vAlign w:val="bottom"/>
            <w:tcBorders>
              <w:bottom w:val="single" w:sz="8" w:color="0C479D"/>
            </w:tcBorders>
            <w:shd w:val="clear" w:color="auto" w:fill="F0F0F0"/>
          </w:tcPr>
          <w:p>
            <w:pPr>
              <w:spacing w:after="0"/>
              <w:rPr>
                <w:sz w:val="19"/>
                <w:szCs w:val="19"/>
                <w:color w:val="auto"/>
              </w:rPr>
            </w:pPr>
          </w:p>
        </w:tc>
        <w:tc>
          <w:tcPr>
            <w:tcW w:w="5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60" w:type="dxa"/>
            <w:vAlign w:val="bottom"/>
            <w:tcBorders>
              <w:bottom w:val="single" w:sz="8" w:color="0C479D"/>
            </w:tcBorders>
            <w:shd w:val="clear" w:color="auto" w:fill="F0F0F0"/>
          </w:tcPr>
          <w:p>
            <w:pPr>
              <w:spacing w:after="0"/>
              <w:rPr>
                <w:sz w:val="19"/>
                <w:szCs w:val="19"/>
                <w:color w:val="auto"/>
              </w:rPr>
            </w:pPr>
          </w:p>
        </w:tc>
        <w:tc>
          <w:tcPr>
            <w:tcW w:w="740" w:type="dxa"/>
            <w:vAlign w:val="bottom"/>
            <w:tcBorders>
              <w:bottom w:val="single" w:sz="8" w:color="0C479D"/>
              <w:right w:val="single" w:sz="8" w:color="F0F0F0"/>
            </w:tcBorders>
            <w:shd w:val="clear" w:color="auto" w:fill="F0F0F0"/>
          </w:tcPr>
          <w:p>
            <w:pPr>
              <w:jc w:val="right"/>
              <w:ind w:right="20"/>
              <w:spacing w:after="0"/>
              <w:rPr>
                <w:sz w:val="20"/>
                <w:szCs w:val="20"/>
                <w:color w:val="auto"/>
              </w:rPr>
            </w:pPr>
            <w:r>
              <w:rPr>
                <w:rFonts w:ascii="Times New Roman" w:cs="Times New Roman" w:eastAsia="Times New Roman" w:hAnsi="Times New Roman"/>
                <w:sz w:val="16"/>
                <w:szCs w:val="16"/>
                <w:color w:val="auto"/>
              </w:rPr>
              <w:t>3,559</w:t>
            </w:r>
          </w:p>
        </w:tc>
        <w:tc>
          <w:tcPr>
            <w:tcW w:w="740" w:type="dxa"/>
            <w:vAlign w:val="bottom"/>
            <w:tcBorders>
              <w:bottom w:val="single" w:sz="8" w:color="0C479D"/>
            </w:tcBorders>
          </w:tcPr>
          <w:p>
            <w:pPr>
              <w:jc w:val="right"/>
              <w:ind w:right="1"/>
              <w:spacing w:after="0"/>
              <w:rPr>
                <w:sz w:val="20"/>
                <w:szCs w:val="20"/>
                <w:color w:val="auto"/>
              </w:rPr>
            </w:pPr>
            <w:r>
              <w:rPr>
                <w:rFonts w:ascii="Times New Roman" w:cs="Times New Roman" w:eastAsia="Times New Roman" w:hAnsi="Times New Roman"/>
                <w:sz w:val="16"/>
                <w:szCs w:val="16"/>
                <w:color w:val="auto"/>
              </w:rPr>
              <w:t>3,306</w:t>
            </w:r>
          </w:p>
        </w:tc>
        <w:tc>
          <w:tcPr>
            <w:tcW w:w="76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color w:val="auto"/>
              </w:rPr>
              <w:t>20,040</w:t>
            </w:r>
          </w:p>
        </w:tc>
        <w:tc>
          <w:tcPr>
            <w:tcW w:w="68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40" w:type="dxa"/>
            <w:vAlign w:val="bottom"/>
            <w:tcBorders>
              <w:bottom w:val="single" w:sz="8" w:color="0C479D"/>
            </w:tcBorders>
            <w:shd w:val="clear" w:color="auto" w:fill="F0F0F0"/>
          </w:tcPr>
          <w:p>
            <w:pPr>
              <w:spacing w:after="0"/>
              <w:rPr>
                <w:sz w:val="19"/>
                <w:szCs w:val="19"/>
                <w:color w:val="auto"/>
              </w:rPr>
            </w:pPr>
          </w:p>
        </w:tc>
        <w:tc>
          <w:tcPr>
            <w:tcW w:w="720" w:type="dxa"/>
            <w:vAlign w:val="bottom"/>
            <w:tcBorders>
              <w:bottom w:val="single" w:sz="8" w:color="0C479D"/>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720" w:type="dxa"/>
            <w:vAlign w:val="bottom"/>
            <w:tcBorders>
              <w:bottom w:val="single" w:sz="8" w:color="0C479D"/>
            </w:tcBorders>
          </w:tcPr>
          <w:p>
            <w:pPr>
              <w:jc w:val="right"/>
              <w:ind w:right="1"/>
              <w:spacing w:after="0"/>
              <w:rPr>
                <w:sz w:val="20"/>
                <w:szCs w:val="20"/>
                <w:color w:val="auto"/>
              </w:rPr>
            </w:pPr>
            <w:r>
              <w:rPr>
                <w:rFonts w:ascii="Times New Roman" w:cs="Times New Roman" w:eastAsia="Times New Roman" w:hAnsi="Times New Roman"/>
                <w:sz w:val="16"/>
                <w:szCs w:val="16"/>
                <w:color w:val="auto"/>
              </w:rPr>
              <w:t>5</w:t>
            </w:r>
          </w:p>
        </w:tc>
        <w:tc>
          <w:tcPr>
            <w:tcW w:w="74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color w:val="auto"/>
              </w:rPr>
              <w:t>172</w:t>
            </w:r>
          </w:p>
        </w:tc>
        <w:tc>
          <w:tcPr>
            <w:tcW w:w="760" w:type="dxa"/>
            <w:vAlign w:val="bottom"/>
            <w:tcBorders>
              <w:bottom w:val="single" w:sz="8" w:color="0C479D"/>
            </w:tcBorders>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27,919</w:t>
            </w:r>
          </w:p>
        </w:tc>
        <w:tc>
          <w:tcPr>
            <w:tcW w:w="40" w:type="dxa"/>
            <w:vAlign w:val="bottom"/>
            <w:tcBorders>
              <w:bottom w:val="single" w:sz="8" w:color="0C479D"/>
            </w:tcBorders>
            <w:shd w:val="clear" w:color="auto" w:fill="DCDDDE"/>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02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6"/>
                <w:szCs w:val="16"/>
                <w:b w:val="1"/>
                <w:bCs w:val="1"/>
                <w:color w:val="auto"/>
              </w:rPr>
              <w:t>Total costs and other deductions</w:t>
            </w:r>
          </w:p>
        </w:tc>
        <w:tc>
          <w:tcPr>
            <w:tcW w:w="180" w:type="dxa"/>
            <w:vAlign w:val="bottom"/>
            <w:tcBorders>
              <w:bottom w:val="single" w:sz="8" w:color="0C479D"/>
            </w:tcBorders>
            <w:shd w:val="clear" w:color="auto" w:fill="F0F0F0"/>
          </w:tcPr>
          <w:p>
            <w:pPr>
              <w:spacing w:after="0"/>
              <w:rPr>
                <w:sz w:val="18"/>
                <w:szCs w:val="18"/>
                <w:color w:val="auto"/>
              </w:rPr>
            </w:pPr>
          </w:p>
        </w:tc>
        <w:tc>
          <w:tcPr>
            <w:tcW w:w="5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26,039</w:t>
            </w:r>
          </w:p>
        </w:tc>
        <w:tc>
          <w:tcPr>
            <w:tcW w:w="60" w:type="dxa"/>
            <w:vAlign w:val="bottom"/>
            <w:tcBorders>
              <w:bottom w:val="single" w:sz="8" w:color="0C479D"/>
            </w:tcBorders>
            <w:shd w:val="clear" w:color="auto" w:fill="F0F0F0"/>
          </w:tcPr>
          <w:p>
            <w:pPr>
              <w:spacing w:after="0"/>
              <w:rPr>
                <w:sz w:val="18"/>
                <w:szCs w:val="18"/>
                <w:color w:val="auto"/>
              </w:rPr>
            </w:pPr>
          </w:p>
        </w:tc>
        <w:tc>
          <w:tcPr>
            <w:tcW w:w="740" w:type="dxa"/>
            <w:vAlign w:val="bottom"/>
            <w:tcBorders>
              <w:bottom w:val="single" w:sz="8" w:color="0C479D"/>
              <w:right w:val="single" w:sz="8" w:color="F0F0F0"/>
            </w:tcBorders>
            <w:shd w:val="clear" w:color="auto" w:fill="F0F0F0"/>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51,103</w:t>
            </w:r>
          </w:p>
        </w:tc>
        <w:tc>
          <w:tcPr>
            <w:tcW w:w="740" w:type="dxa"/>
            <w:vAlign w:val="bottom"/>
            <w:tcBorders>
              <w:bottom w:val="single" w:sz="8" w:color="0C479D"/>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136,096</w:t>
            </w:r>
          </w:p>
        </w:tc>
        <w:tc>
          <w:tcPr>
            <w:tcW w:w="76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215,678</w:t>
            </w:r>
          </w:p>
        </w:tc>
        <w:tc>
          <w:tcPr>
            <w:tcW w:w="68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17,033</w:t>
            </w:r>
          </w:p>
        </w:tc>
        <w:tc>
          <w:tcPr>
            <w:tcW w:w="40" w:type="dxa"/>
            <w:vAlign w:val="bottom"/>
            <w:tcBorders>
              <w:bottom w:val="single" w:sz="8" w:color="0C479D"/>
            </w:tcBorders>
            <w:shd w:val="clear" w:color="auto" w:fill="F0F0F0"/>
          </w:tcPr>
          <w:p>
            <w:pPr>
              <w:spacing w:after="0"/>
              <w:rPr>
                <w:sz w:val="18"/>
                <w:szCs w:val="18"/>
                <w:color w:val="auto"/>
              </w:rPr>
            </w:pPr>
          </w:p>
        </w:tc>
        <w:tc>
          <w:tcPr>
            <w:tcW w:w="720" w:type="dxa"/>
            <w:vAlign w:val="bottom"/>
            <w:tcBorders>
              <w:bottom w:val="single" w:sz="8" w:color="0C479D"/>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21,395</w:t>
            </w:r>
          </w:p>
        </w:tc>
        <w:tc>
          <w:tcPr>
            <w:tcW w:w="720" w:type="dxa"/>
            <w:vAlign w:val="bottom"/>
            <w:tcBorders>
              <w:bottom w:val="single" w:sz="8" w:color="0C479D"/>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7,240</w:t>
            </w:r>
          </w:p>
        </w:tc>
        <w:tc>
          <w:tcPr>
            <w:tcW w:w="74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13,138</w:t>
            </w:r>
          </w:p>
        </w:tc>
        <w:tc>
          <w:tcPr>
            <w:tcW w:w="760" w:type="dxa"/>
            <w:vAlign w:val="bottom"/>
            <w:tcBorders>
              <w:bottom w:val="single" w:sz="8" w:color="0C479D"/>
            </w:tcBorders>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487,722</w:t>
            </w:r>
          </w:p>
        </w:tc>
        <w:tc>
          <w:tcPr>
            <w:tcW w:w="40" w:type="dxa"/>
            <w:vAlign w:val="bottom"/>
            <w:tcBorders>
              <w:bottom w:val="single" w:sz="8" w:color="0C479D"/>
            </w:tcBorders>
            <w:shd w:val="clear" w:color="auto" w:fill="DCDDD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Segment income (loss) before income taxes</w:t>
            </w:r>
          </w:p>
        </w:tc>
        <w:tc>
          <w:tcPr>
            <w:tcW w:w="180" w:type="dxa"/>
            <w:vAlign w:val="bottom"/>
            <w:shd w:val="clear" w:color="auto" w:fill="F0F0F0"/>
          </w:tcPr>
          <w:p>
            <w:pPr>
              <w:spacing w:after="0"/>
              <w:rPr>
                <w:sz w:val="18"/>
                <w:szCs w:val="18"/>
                <w:color w:val="auto"/>
              </w:rPr>
            </w:pPr>
          </w:p>
        </w:tc>
        <w:tc>
          <w:tcPr>
            <w:tcW w:w="5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15,058</w:t>
            </w:r>
          </w:p>
        </w:tc>
        <w:tc>
          <w:tcPr>
            <w:tcW w:w="60" w:type="dxa"/>
            <w:vAlign w:val="bottom"/>
            <w:shd w:val="clear" w:color="auto" w:fill="F0F0F0"/>
          </w:tcPr>
          <w:p>
            <w:pPr>
              <w:spacing w:after="0"/>
              <w:rPr>
                <w:sz w:val="18"/>
                <w:szCs w:val="18"/>
                <w:color w:val="auto"/>
              </w:rPr>
            </w:pPr>
          </w:p>
        </w:tc>
        <w:tc>
          <w:tcPr>
            <w:tcW w:w="740" w:type="dxa"/>
            <w:vAlign w:val="bottom"/>
            <w:tcBorders>
              <w:right w:val="single" w:sz="8" w:color="F0F0F0"/>
            </w:tcBorders>
            <w:shd w:val="clear" w:color="auto" w:fill="F0F0F0"/>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37,195</w:t>
            </w: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11,039</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9,899</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2,848</w:t>
            </w:r>
          </w:p>
        </w:tc>
        <w:tc>
          <w:tcPr>
            <w:tcW w:w="40" w:type="dxa"/>
            <w:vAlign w:val="bottom"/>
            <w:shd w:val="clear" w:color="auto" w:fill="F0F0F0"/>
          </w:tcPr>
          <w:p>
            <w:pPr>
              <w:spacing w:after="0"/>
              <w:rPr>
                <w:sz w:val="18"/>
                <w:szCs w:val="18"/>
                <w:color w:val="auto"/>
              </w:rPr>
            </w:pPr>
          </w:p>
        </w:tc>
        <w:tc>
          <w:tcPr>
            <w:tcW w:w="72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1,556</w:t>
            </w: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1,524</w:t>
            </w: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1,503</w:t>
            </w:r>
          </w:p>
        </w:tc>
        <w:tc>
          <w:tcPr>
            <w:tcW w:w="760" w:type="dxa"/>
            <w:vAlign w:val="bottom"/>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80,622</w:t>
            </w:r>
          </w:p>
        </w:tc>
        <w:tc>
          <w:tcPr>
            <w:tcW w:w="40" w:type="dxa"/>
            <w:vAlign w:val="bottom"/>
            <w:shd w:val="clear" w:color="auto" w:fill="DCDDD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02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180" w:type="dxa"/>
            <w:vAlign w:val="bottom"/>
            <w:tcBorders>
              <w:bottom w:val="single" w:sz="8" w:color="0C479D"/>
            </w:tcBorders>
            <w:shd w:val="clear" w:color="auto" w:fill="F0F0F0"/>
          </w:tcPr>
          <w:p>
            <w:pPr>
              <w:spacing w:after="0"/>
              <w:rPr>
                <w:sz w:val="18"/>
                <w:szCs w:val="18"/>
                <w:color w:val="auto"/>
              </w:rPr>
            </w:pPr>
          </w:p>
        </w:tc>
        <w:tc>
          <w:tcPr>
            <w:tcW w:w="5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3,330</w:t>
            </w:r>
          </w:p>
        </w:tc>
        <w:tc>
          <w:tcPr>
            <w:tcW w:w="60" w:type="dxa"/>
            <w:vAlign w:val="bottom"/>
            <w:tcBorders>
              <w:bottom w:val="single" w:sz="8" w:color="0C479D"/>
            </w:tcBorders>
            <w:shd w:val="clear" w:color="auto" w:fill="F0F0F0"/>
          </w:tcPr>
          <w:p>
            <w:pPr>
              <w:spacing w:after="0"/>
              <w:rPr>
                <w:sz w:val="18"/>
                <w:szCs w:val="18"/>
                <w:color w:val="auto"/>
              </w:rPr>
            </w:pPr>
          </w:p>
        </w:tc>
        <w:tc>
          <w:tcPr>
            <w:tcW w:w="740" w:type="dxa"/>
            <w:vAlign w:val="bottom"/>
            <w:tcBorders>
              <w:bottom w:val="single" w:sz="8" w:color="0C479D"/>
              <w:right w:val="single" w:sz="8" w:color="F0F0F0"/>
            </w:tcBorders>
            <w:shd w:val="clear" w:color="auto" w:fill="F0F0F0"/>
          </w:tcPr>
          <w:p>
            <w:pPr>
              <w:jc w:val="right"/>
              <w:ind w:right="20"/>
              <w:spacing w:after="0"/>
              <w:rPr>
                <w:sz w:val="20"/>
                <w:szCs w:val="20"/>
                <w:color w:val="auto"/>
              </w:rPr>
            </w:pPr>
            <w:r>
              <w:rPr>
                <w:rFonts w:ascii="Times New Roman" w:cs="Times New Roman" w:eastAsia="Times New Roman" w:hAnsi="Times New Roman"/>
                <w:sz w:val="16"/>
                <w:szCs w:val="16"/>
                <w:color w:val="auto"/>
              </w:rPr>
              <w:t>11,575</w:t>
            </w:r>
          </w:p>
        </w:tc>
        <w:tc>
          <w:tcPr>
            <w:tcW w:w="740" w:type="dxa"/>
            <w:vAlign w:val="bottom"/>
            <w:tcBorders>
              <w:bottom w:val="single" w:sz="8" w:color="0C479D"/>
            </w:tcBorders>
          </w:tcPr>
          <w:p>
            <w:pPr>
              <w:jc w:val="right"/>
              <w:ind w:right="1"/>
              <w:spacing w:after="0"/>
              <w:rPr>
                <w:sz w:val="20"/>
                <w:szCs w:val="20"/>
                <w:color w:val="auto"/>
              </w:rPr>
            </w:pPr>
            <w:r>
              <w:rPr>
                <w:rFonts w:ascii="Times New Roman" w:cs="Times New Roman" w:eastAsia="Times New Roman" w:hAnsi="Times New Roman"/>
                <w:sz w:val="16"/>
                <w:szCs w:val="16"/>
                <w:color w:val="auto"/>
              </w:rPr>
              <w:t>2,615</w:t>
            </w:r>
          </w:p>
        </w:tc>
        <w:tc>
          <w:tcPr>
            <w:tcW w:w="76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color w:val="auto"/>
              </w:rPr>
              <w:t>2,420</w:t>
            </w:r>
          </w:p>
        </w:tc>
        <w:tc>
          <w:tcPr>
            <w:tcW w:w="68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40" w:type="dxa"/>
            <w:vAlign w:val="bottom"/>
            <w:tcBorders>
              <w:bottom w:val="single" w:sz="8" w:color="0C479D"/>
            </w:tcBorders>
            <w:shd w:val="clear" w:color="auto" w:fill="F0F0F0"/>
          </w:tcPr>
          <w:p>
            <w:pPr>
              <w:spacing w:after="0"/>
              <w:rPr>
                <w:sz w:val="18"/>
                <w:szCs w:val="18"/>
                <w:color w:val="auto"/>
              </w:rPr>
            </w:pPr>
          </w:p>
        </w:tc>
        <w:tc>
          <w:tcPr>
            <w:tcW w:w="720" w:type="dxa"/>
            <w:vAlign w:val="bottom"/>
            <w:tcBorders>
              <w:bottom w:val="single" w:sz="8" w:color="0C479D"/>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720" w:type="dxa"/>
            <w:vAlign w:val="bottom"/>
            <w:tcBorders>
              <w:bottom w:val="single" w:sz="8" w:color="0C479D"/>
            </w:tcBorders>
          </w:tcPr>
          <w:p>
            <w:pPr>
              <w:jc w:val="right"/>
              <w:ind w:right="1"/>
              <w:spacing w:after="0"/>
              <w:rPr>
                <w:sz w:val="20"/>
                <w:szCs w:val="20"/>
                <w:color w:val="auto"/>
              </w:rPr>
            </w:pPr>
            <w:r>
              <w:rPr>
                <w:rFonts w:ascii="Times New Roman" w:cs="Times New Roman" w:eastAsia="Times New Roman" w:hAnsi="Times New Roman"/>
                <w:sz w:val="16"/>
                <w:szCs w:val="16"/>
                <w:color w:val="auto"/>
              </w:rPr>
              <w:t>334</w:t>
            </w:r>
          </w:p>
        </w:tc>
        <w:tc>
          <w:tcPr>
            <w:tcW w:w="74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color w:val="auto"/>
              </w:rPr>
              <w:t>252</w:t>
            </w:r>
          </w:p>
        </w:tc>
        <w:tc>
          <w:tcPr>
            <w:tcW w:w="760" w:type="dxa"/>
            <w:vAlign w:val="bottom"/>
            <w:tcBorders>
              <w:bottom w:val="single" w:sz="8" w:color="0C479D"/>
            </w:tcBorders>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21,338</w:t>
            </w:r>
          </w:p>
        </w:tc>
        <w:tc>
          <w:tcPr>
            <w:tcW w:w="40" w:type="dxa"/>
            <w:vAlign w:val="bottom"/>
            <w:tcBorders>
              <w:bottom w:val="single" w:sz="8" w:color="0C479D"/>
            </w:tcBorders>
            <w:shd w:val="clear" w:color="auto" w:fill="DCDDDE"/>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020" w:type="dxa"/>
            <w:vAlign w:val="bottom"/>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Segment net income (loss) incl.</w:t>
            </w:r>
          </w:p>
        </w:tc>
        <w:tc>
          <w:tcPr>
            <w:tcW w:w="180" w:type="dxa"/>
            <w:vAlign w:val="bottom"/>
            <w:shd w:val="clear" w:color="auto" w:fill="F0F0F0"/>
          </w:tcPr>
          <w:p>
            <w:pPr>
              <w:spacing w:after="0"/>
              <w:rPr>
                <w:sz w:val="13"/>
                <w:szCs w:val="13"/>
                <w:color w:val="auto"/>
              </w:rPr>
            </w:pPr>
          </w:p>
        </w:tc>
        <w:tc>
          <w:tcPr>
            <w:tcW w:w="50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11,728</w:t>
            </w:r>
          </w:p>
        </w:tc>
        <w:tc>
          <w:tcPr>
            <w:tcW w:w="60" w:type="dxa"/>
            <w:vAlign w:val="bottom"/>
            <w:shd w:val="clear" w:color="auto" w:fill="F0F0F0"/>
          </w:tcPr>
          <w:p>
            <w:pPr>
              <w:spacing w:after="0"/>
              <w:rPr>
                <w:sz w:val="13"/>
                <w:szCs w:val="13"/>
                <w:color w:val="auto"/>
              </w:rPr>
            </w:pPr>
          </w:p>
        </w:tc>
        <w:tc>
          <w:tcPr>
            <w:tcW w:w="740" w:type="dxa"/>
            <w:vAlign w:val="bottom"/>
            <w:tcBorders>
              <w:right w:val="single" w:sz="8" w:color="F0F0F0"/>
            </w:tcBorders>
            <w:vMerge w:val="restart"/>
            <w:shd w:val="clear" w:color="auto" w:fill="F0F0F0"/>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25,620</w:t>
            </w:r>
          </w:p>
        </w:tc>
        <w:tc>
          <w:tcPr>
            <w:tcW w:w="7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8,424</w:t>
            </w:r>
          </w:p>
        </w:tc>
        <w:tc>
          <w:tcPr>
            <w:tcW w:w="76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7,479</w:t>
            </w:r>
          </w:p>
        </w:tc>
        <w:tc>
          <w:tcPr>
            <w:tcW w:w="68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2,328</w:t>
            </w:r>
          </w:p>
        </w:tc>
        <w:tc>
          <w:tcPr>
            <w:tcW w:w="40" w:type="dxa"/>
            <w:vAlign w:val="bottom"/>
            <w:shd w:val="clear" w:color="auto" w:fill="F0F0F0"/>
          </w:tcPr>
          <w:p>
            <w:pPr>
              <w:spacing w:after="0"/>
              <w:rPr>
                <w:sz w:val="13"/>
                <w:szCs w:val="13"/>
                <w:color w:val="auto"/>
              </w:rPr>
            </w:pPr>
          </w:p>
        </w:tc>
        <w:tc>
          <w:tcPr>
            <w:tcW w:w="720" w:type="dxa"/>
            <w:vAlign w:val="bottom"/>
            <w:tcBorders>
              <w:right w:val="single" w:sz="8" w:color="F0F0F0"/>
            </w:tcBorders>
            <w:vMerge w:val="restart"/>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1,264</w:t>
            </w:r>
          </w:p>
        </w:tc>
        <w:tc>
          <w:tcPr>
            <w:tcW w:w="7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1,190</w:t>
            </w:r>
          </w:p>
        </w:tc>
        <w:tc>
          <w:tcPr>
            <w:tcW w:w="74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1,251</w:t>
            </w:r>
          </w:p>
        </w:tc>
        <w:tc>
          <w:tcPr>
            <w:tcW w:w="760" w:type="dxa"/>
            <w:vAlign w:val="bottom"/>
            <w:vMerge w:val="restart"/>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59,284</w:t>
            </w:r>
          </w:p>
        </w:tc>
        <w:tc>
          <w:tcPr>
            <w:tcW w:w="40" w:type="dxa"/>
            <w:vAlign w:val="bottom"/>
            <w:shd w:val="clear" w:color="auto" w:fill="DCDDDE"/>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3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noncontrolling interests</w:t>
            </w:r>
          </w:p>
        </w:tc>
        <w:tc>
          <w:tcPr>
            <w:tcW w:w="180" w:type="dxa"/>
            <w:vAlign w:val="bottom"/>
            <w:shd w:val="clear" w:color="auto" w:fill="F0F0F0"/>
          </w:tcPr>
          <w:p>
            <w:pPr>
              <w:spacing w:after="0"/>
              <w:rPr>
                <w:sz w:val="18"/>
                <w:szCs w:val="18"/>
                <w:color w:val="auto"/>
              </w:rPr>
            </w:pPr>
          </w:p>
        </w:tc>
        <w:tc>
          <w:tcPr>
            <w:tcW w:w="500" w:type="dxa"/>
            <w:vAlign w:val="bottom"/>
            <w:vMerge w:val="continue"/>
            <w:shd w:val="clear" w:color="auto" w:fill="F0F0F0"/>
          </w:tcPr>
          <w:p>
            <w:pPr>
              <w:spacing w:after="0"/>
              <w:rPr>
                <w:sz w:val="18"/>
                <w:szCs w:val="18"/>
                <w:color w:val="auto"/>
              </w:rPr>
            </w:pPr>
          </w:p>
        </w:tc>
        <w:tc>
          <w:tcPr>
            <w:tcW w:w="60" w:type="dxa"/>
            <w:vAlign w:val="bottom"/>
            <w:shd w:val="clear" w:color="auto" w:fill="F0F0F0"/>
          </w:tcPr>
          <w:p>
            <w:pPr>
              <w:spacing w:after="0"/>
              <w:rPr>
                <w:sz w:val="18"/>
                <w:szCs w:val="18"/>
                <w:color w:val="auto"/>
              </w:rPr>
            </w:pPr>
          </w:p>
        </w:tc>
        <w:tc>
          <w:tcPr>
            <w:tcW w:w="740" w:type="dxa"/>
            <w:vAlign w:val="bottom"/>
            <w:tcBorders>
              <w:right w:val="single" w:sz="8" w:color="F0F0F0"/>
            </w:tcBorders>
            <w:vMerge w:val="continue"/>
            <w:shd w:val="clear" w:color="auto" w:fill="F0F0F0"/>
          </w:tcPr>
          <w:p>
            <w:pPr>
              <w:spacing w:after="0"/>
              <w:rPr>
                <w:sz w:val="18"/>
                <w:szCs w:val="18"/>
                <w:color w:val="auto"/>
              </w:rPr>
            </w:pPr>
          </w:p>
        </w:tc>
        <w:tc>
          <w:tcPr>
            <w:tcW w:w="74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680" w:type="dxa"/>
            <w:vAlign w:val="bottom"/>
            <w:vMerge w:val="continue"/>
            <w:shd w:val="clear" w:color="auto" w:fill="F0F0F0"/>
          </w:tcPr>
          <w:p>
            <w:pPr>
              <w:spacing w:after="0"/>
              <w:rPr>
                <w:sz w:val="18"/>
                <w:szCs w:val="18"/>
                <w:color w:val="auto"/>
              </w:rPr>
            </w:pPr>
          </w:p>
        </w:tc>
        <w:tc>
          <w:tcPr>
            <w:tcW w:w="40" w:type="dxa"/>
            <w:vAlign w:val="bottom"/>
            <w:shd w:val="clear" w:color="auto" w:fill="F0F0F0"/>
          </w:tcPr>
          <w:p>
            <w:pPr>
              <w:spacing w:after="0"/>
              <w:rPr>
                <w:sz w:val="18"/>
                <w:szCs w:val="18"/>
                <w:color w:val="auto"/>
              </w:rPr>
            </w:pPr>
          </w:p>
        </w:tc>
        <w:tc>
          <w:tcPr>
            <w:tcW w:w="720" w:type="dxa"/>
            <w:vAlign w:val="bottom"/>
            <w:tcBorders>
              <w:right w:val="single" w:sz="8" w:color="F0F0F0"/>
            </w:tcBorders>
            <w:vMerge w:val="continue"/>
            <w:shd w:val="clear" w:color="auto" w:fill="F0F0F0"/>
          </w:tcPr>
          <w:p>
            <w:pPr>
              <w:spacing w:after="0"/>
              <w:rPr>
                <w:sz w:val="18"/>
                <w:szCs w:val="18"/>
                <w:color w:val="auto"/>
              </w:rPr>
            </w:pPr>
          </w:p>
        </w:tc>
        <w:tc>
          <w:tcPr>
            <w:tcW w:w="72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760" w:type="dxa"/>
            <w:vAlign w:val="bottom"/>
            <w:vMerge w:val="continue"/>
            <w:shd w:val="clear" w:color="auto" w:fill="DCDDDE"/>
          </w:tcPr>
          <w:p>
            <w:pPr>
              <w:spacing w:after="0"/>
              <w:rPr>
                <w:sz w:val="18"/>
                <w:szCs w:val="18"/>
                <w:color w:val="auto"/>
              </w:rPr>
            </w:pPr>
          </w:p>
        </w:tc>
        <w:tc>
          <w:tcPr>
            <w:tcW w:w="40" w:type="dxa"/>
            <w:vAlign w:val="bottom"/>
            <w:shd w:val="clear" w:color="auto" w:fill="DCDDD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020" w:type="dxa"/>
            <w:vAlign w:val="bottom"/>
          </w:tcPr>
          <w:p>
            <w:pPr>
              <w:spacing w:after="0" w:line="166" w:lineRule="exact"/>
              <w:rPr>
                <w:sz w:val="20"/>
                <w:szCs w:val="20"/>
                <w:color w:val="auto"/>
              </w:rPr>
            </w:pPr>
            <w:r>
              <w:rPr>
                <w:rFonts w:ascii="Times New Roman" w:cs="Times New Roman" w:eastAsia="Times New Roman" w:hAnsi="Times New Roman"/>
                <w:sz w:val="16"/>
                <w:szCs w:val="16"/>
                <w:color w:val="auto"/>
              </w:rPr>
              <w:t>Net income (loss) attributable to</w:t>
            </w:r>
          </w:p>
        </w:tc>
        <w:tc>
          <w:tcPr>
            <w:tcW w:w="180" w:type="dxa"/>
            <w:vAlign w:val="bottom"/>
            <w:shd w:val="clear" w:color="auto" w:fill="F0F0F0"/>
          </w:tcPr>
          <w:p>
            <w:pPr>
              <w:spacing w:after="0"/>
              <w:rPr>
                <w:sz w:val="14"/>
                <w:szCs w:val="14"/>
                <w:color w:val="auto"/>
              </w:rPr>
            </w:pPr>
          </w:p>
        </w:tc>
        <w:tc>
          <w:tcPr>
            <w:tcW w:w="50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F0F0F0"/>
          </w:tcPr>
          <w:p>
            <w:pPr>
              <w:spacing w:after="0"/>
              <w:rPr>
                <w:sz w:val="14"/>
                <w:szCs w:val="14"/>
                <w:color w:val="auto"/>
              </w:rPr>
            </w:pPr>
          </w:p>
        </w:tc>
        <w:tc>
          <w:tcPr>
            <w:tcW w:w="740" w:type="dxa"/>
            <w:vAlign w:val="bottom"/>
            <w:tcBorders>
              <w:right w:val="single" w:sz="8" w:color="F0F0F0"/>
            </w:tcBorders>
            <w:vMerge w:val="restart"/>
            <w:shd w:val="clear" w:color="auto" w:fill="F0F0F0"/>
          </w:tcPr>
          <w:p>
            <w:pPr>
              <w:jc w:val="right"/>
              <w:ind w:right="20"/>
              <w:spacing w:after="0"/>
              <w:rPr>
                <w:sz w:val="20"/>
                <w:szCs w:val="20"/>
                <w:color w:val="auto"/>
              </w:rPr>
            </w:pPr>
            <w:r>
              <w:rPr>
                <w:rFonts w:ascii="Times New Roman" w:cs="Times New Roman" w:eastAsia="Times New Roman" w:hAnsi="Times New Roman"/>
                <w:sz w:val="16"/>
                <w:szCs w:val="16"/>
                <w:color w:val="auto"/>
              </w:rPr>
              <w:t>869</w:t>
            </w:r>
          </w:p>
        </w:tc>
        <w:tc>
          <w:tcPr>
            <w:tcW w:w="7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84</w:t>
            </w:r>
          </w:p>
        </w:tc>
        <w:tc>
          <w:tcPr>
            <w:tcW w:w="76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853</w:t>
            </w:r>
          </w:p>
        </w:tc>
        <w:tc>
          <w:tcPr>
            <w:tcW w:w="68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F0F0F0"/>
          </w:tcPr>
          <w:p>
            <w:pPr>
              <w:spacing w:after="0"/>
              <w:rPr>
                <w:sz w:val="14"/>
                <w:szCs w:val="14"/>
                <w:color w:val="auto"/>
              </w:rPr>
            </w:pPr>
          </w:p>
        </w:tc>
        <w:tc>
          <w:tcPr>
            <w:tcW w:w="720" w:type="dxa"/>
            <w:vAlign w:val="bottom"/>
            <w:tcBorders>
              <w:right w:val="single" w:sz="8" w:color="F0F0F0"/>
            </w:tcBorders>
            <w:vMerge w:val="restart"/>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7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26</w:t>
            </w:r>
          </w:p>
        </w:tc>
        <w:tc>
          <w:tcPr>
            <w:tcW w:w="760" w:type="dxa"/>
            <w:vAlign w:val="bottom"/>
            <w:vMerge w:val="restart"/>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1,881</w:t>
            </w:r>
          </w:p>
        </w:tc>
        <w:tc>
          <w:tcPr>
            <w:tcW w:w="40" w:type="dxa"/>
            <w:vAlign w:val="bottom"/>
            <w:shd w:val="clear" w:color="auto" w:fill="DCDDD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02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180" w:type="dxa"/>
            <w:vAlign w:val="bottom"/>
            <w:tcBorders>
              <w:bottom w:val="single" w:sz="8" w:color="0C479D"/>
            </w:tcBorders>
            <w:shd w:val="clear" w:color="auto" w:fill="F0F0F0"/>
          </w:tcPr>
          <w:p>
            <w:pPr>
              <w:spacing w:after="0"/>
              <w:rPr>
                <w:sz w:val="18"/>
                <w:szCs w:val="18"/>
                <w:color w:val="auto"/>
              </w:rPr>
            </w:pPr>
          </w:p>
        </w:tc>
        <w:tc>
          <w:tcPr>
            <w:tcW w:w="500" w:type="dxa"/>
            <w:vAlign w:val="bottom"/>
            <w:tcBorders>
              <w:bottom w:val="single" w:sz="8" w:color="0C479D"/>
            </w:tcBorders>
            <w:vMerge w:val="continue"/>
            <w:shd w:val="clear" w:color="auto" w:fill="F0F0F0"/>
          </w:tcPr>
          <w:p>
            <w:pPr>
              <w:spacing w:after="0"/>
              <w:rPr>
                <w:sz w:val="18"/>
                <w:szCs w:val="18"/>
                <w:color w:val="auto"/>
              </w:rPr>
            </w:pPr>
          </w:p>
        </w:tc>
        <w:tc>
          <w:tcPr>
            <w:tcW w:w="60" w:type="dxa"/>
            <w:vAlign w:val="bottom"/>
            <w:tcBorders>
              <w:bottom w:val="single" w:sz="8" w:color="0C479D"/>
            </w:tcBorders>
            <w:shd w:val="clear" w:color="auto" w:fill="F0F0F0"/>
          </w:tcPr>
          <w:p>
            <w:pPr>
              <w:spacing w:after="0"/>
              <w:rPr>
                <w:sz w:val="18"/>
                <w:szCs w:val="18"/>
                <w:color w:val="auto"/>
              </w:rPr>
            </w:pPr>
          </w:p>
        </w:tc>
        <w:tc>
          <w:tcPr>
            <w:tcW w:w="740" w:type="dxa"/>
            <w:vAlign w:val="bottom"/>
            <w:tcBorders>
              <w:bottom w:val="single" w:sz="8" w:color="0C479D"/>
              <w:right w:val="single" w:sz="8" w:color="F0F0F0"/>
            </w:tcBorders>
            <w:vMerge w:val="continue"/>
            <w:shd w:val="clear" w:color="auto" w:fill="F0F0F0"/>
          </w:tcPr>
          <w:p>
            <w:pPr>
              <w:spacing w:after="0"/>
              <w:rPr>
                <w:sz w:val="18"/>
                <w:szCs w:val="18"/>
                <w:color w:val="auto"/>
              </w:rPr>
            </w:pPr>
          </w:p>
        </w:tc>
        <w:tc>
          <w:tcPr>
            <w:tcW w:w="740" w:type="dxa"/>
            <w:vAlign w:val="bottom"/>
            <w:tcBorders>
              <w:bottom w:val="single" w:sz="8" w:color="0C479D"/>
            </w:tcBorders>
            <w:vMerge w:val="continue"/>
          </w:tcPr>
          <w:p>
            <w:pPr>
              <w:spacing w:after="0"/>
              <w:rPr>
                <w:sz w:val="18"/>
                <w:szCs w:val="18"/>
                <w:color w:val="auto"/>
              </w:rPr>
            </w:pPr>
          </w:p>
        </w:tc>
        <w:tc>
          <w:tcPr>
            <w:tcW w:w="760" w:type="dxa"/>
            <w:vAlign w:val="bottom"/>
            <w:tcBorders>
              <w:bottom w:val="single" w:sz="8" w:color="0C479D"/>
            </w:tcBorders>
            <w:vMerge w:val="continue"/>
          </w:tcPr>
          <w:p>
            <w:pPr>
              <w:spacing w:after="0"/>
              <w:rPr>
                <w:sz w:val="18"/>
                <w:szCs w:val="18"/>
                <w:color w:val="auto"/>
              </w:rPr>
            </w:pPr>
          </w:p>
        </w:tc>
        <w:tc>
          <w:tcPr>
            <w:tcW w:w="680" w:type="dxa"/>
            <w:vAlign w:val="bottom"/>
            <w:tcBorders>
              <w:bottom w:val="single" w:sz="8" w:color="0C479D"/>
            </w:tcBorders>
            <w:vMerge w:val="continue"/>
            <w:shd w:val="clear" w:color="auto" w:fill="F0F0F0"/>
          </w:tcPr>
          <w:p>
            <w:pPr>
              <w:spacing w:after="0"/>
              <w:rPr>
                <w:sz w:val="18"/>
                <w:szCs w:val="18"/>
                <w:color w:val="auto"/>
              </w:rPr>
            </w:pPr>
          </w:p>
        </w:tc>
        <w:tc>
          <w:tcPr>
            <w:tcW w:w="40" w:type="dxa"/>
            <w:vAlign w:val="bottom"/>
            <w:tcBorders>
              <w:bottom w:val="single" w:sz="8" w:color="0C479D"/>
            </w:tcBorders>
            <w:shd w:val="clear" w:color="auto" w:fill="F0F0F0"/>
          </w:tcPr>
          <w:p>
            <w:pPr>
              <w:spacing w:after="0"/>
              <w:rPr>
                <w:sz w:val="18"/>
                <w:szCs w:val="18"/>
                <w:color w:val="auto"/>
              </w:rPr>
            </w:pPr>
          </w:p>
        </w:tc>
        <w:tc>
          <w:tcPr>
            <w:tcW w:w="720" w:type="dxa"/>
            <w:vAlign w:val="bottom"/>
            <w:tcBorders>
              <w:bottom w:val="single" w:sz="8" w:color="0C479D"/>
              <w:right w:val="single" w:sz="8" w:color="F0F0F0"/>
            </w:tcBorders>
            <w:vMerge w:val="continue"/>
            <w:shd w:val="clear" w:color="auto" w:fill="F0F0F0"/>
          </w:tcPr>
          <w:p>
            <w:pPr>
              <w:spacing w:after="0"/>
              <w:rPr>
                <w:sz w:val="18"/>
                <w:szCs w:val="18"/>
                <w:color w:val="auto"/>
              </w:rPr>
            </w:pPr>
          </w:p>
        </w:tc>
        <w:tc>
          <w:tcPr>
            <w:tcW w:w="720" w:type="dxa"/>
            <w:vAlign w:val="bottom"/>
            <w:tcBorders>
              <w:bottom w:val="single" w:sz="8" w:color="0C479D"/>
            </w:tcBorders>
            <w:vMerge w:val="continue"/>
          </w:tcPr>
          <w:p>
            <w:pPr>
              <w:spacing w:after="0"/>
              <w:rPr>
                <w:sz w:val="18"/>
                <w:szCs w:val="18"/>
                <w:color w:val="auto"/>
              </w:rPr>
            </w:pPr>
          </w:p>
        </w:tc>
        <w:tc>
          <w:tcPr>
            <w:tcW w:w="740" w:type="dxa"/>
            <w:vAlign w:val="bottom"/>
            <w:tcBorders>
              <w:bottom w:val="single" w:sz="8" w:color="0C479D"/>
            </w:tcBorders>
            <w:vMerge w:val="continue"/>
          </w:tcPr>
          <w:p>
            <w:pPr>
              <w:spacing w:after="0"/>
              <w:rPr>
                <w:sz w:val="18"/>
                <w:szCs w:val="18"/>
                <w:color w:val="auto"/>
              </w:rPr>
            </w:pPr>
          </w:p>
        </w:tc>
        <w:tc>
          <w:tcPr>
            <w:tcW w:w="760" w:type="dxa"/>
            <w:vAlign w:val="bottom"/>
            <w:tcBorders>
              <w:bottom w:val="single" w:sz="8" w:color="0C479D"/>
            </w:tcBorders>
            <w:vMerge w:val="continue"/>
            <w:shd w:val="clear" w:color="auto" w:fill="DCDDDE"/>
          </w:tcPr>
          <w:p>
            <w:pPr>
              <w:spacing w:after="0"/>
              <w:rPr>
                <w:sz w:val="18"/>
                <w:szCs w:val="18"/>
                <w:color w:val="auto"/>
              </w:rPr>
            </w:pPr>
          </w:p>
        </w:tc>
        <w:tc>
          <w:tcPr>
            <w:tcW w:w="40" w:type="dxa"/>
            <w:vAlign w:val="bottom"/>
            <w:tcBorders>
              <w:bottom w:val="single" w:sz="8" w:color="0C479D"/>
            </w:tcBorders>
            <w:shd w:val="clear" w:color="auto" w:fill="DCDDD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2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6"/>
                <w:szCs w:val="16"/>
                <w:b w:val="1"/>
                <w:bCs w:val="1"/>
                <w:color w:val="auto"/>
              </w:rPr>
              <w:t>Segment net income (loss)</w:t>
            </w:r>
          </w:p>
        </w:tc>
        <w:tc>
          <w:tcPr>
            <w:tcW w:w="180" w:type="dxa"/>
            <w:vAlign w:val="bottom"/>
            <w:tcBorders>
              <w:bottom w:val="single" w:sz="8" w:color="0C479D"/>
            </w:tcBorders>
            <w:shd w:val="clear" w:color="auto" w:fill="F0F0F0"/>
          </w:tcPr>
          <w:p>
            <w:pPr>
              <w:spacing w:after="0"/>
              <w:rPr>
                <w:sz w:val="19"/>
                <w:szCs w:val="19"/>
                <w:color w:val="auto"/>
              </w:rPr>
            </w:pPr>
          </w:p>
        </w:tc>
        <w:tc>
          <w:tcPr>
            <w:tcW w:w="5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11,728</w:t>
            </w:r>
          </w:p>
        </w:tc>
        <w:tc>
          <w:tcPr>
            <w:tcW w:w="60" w:type="dxa"/>
            <w:vAlign w:val="bottom"/>
            <w:tcBorders>
              <w:bottom w:val="single" w:sz="8" w:color="0C479D"/>
            </w:tcBorders>
            <w:shd w:val="clear" w:color="auto" w:fill="F0F0F0"/>
          </w:tcPr>
          <w:p>
            <w:pPr>
              <w:spacing w:after="0"/>
              <w:rPr>
                <w:sz w:val="19"/>
                <w:szCs w:val="19"/>
                <w:color w:val="auto"/>
              </w:rPr>
            </w:pPr>
          </w:p>
        </w:tc>
        <w:tc>
          <w:tcPr>
            <w:tcW w:w="740" w:type="dxa"/>
            <w:vAlign w:val="bottom"/>
            <w:tcBorders>
              <w:bottom w:val="single" w:sz="8" w:color="0C479D"/>
              <w:right w:val="single" w:sz="8" w:color="F0F0F0"/>
            </w:tcBorders>
            <w:shd w:val="clear" w:color="auto" w:fill="F0F0F0"/>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24,751</w:t>
            </w:r>
          </w:p>
        </w:tc>
        <w:tc>
          <w:tcPr>
            <w:tcW w:w="740" w:type="dxa"/>
            <w:vAlign w:val="bottom"/>
            <w:tcBorders>
              <w:bottom w:val="single" w:sz="8" w:color="0C479D"/>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8,340</w:t>
            </w:r>
          </w:p>
        </w:tc>
        <w:tc>
          <w:tcPr>
            <w:tcW w:w="76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6,626</w:t>
            </w:r>
          </w:p>
        </w:tc>
        <w:tc>
          <w:tcPr>
            <w:tcW w:w="68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2,328</w:t>
            </w:r>
          </w:p>
        </w:tc>
        <w:tc>
          <w:tcPr>
            <w:tcW w:w="40" w:type="dxa"/>
            <w:vAlign w:val="bottom"/>
            <w:tcBorders>
              <w:bottom w:val="single" w:sz="8" w:color="0C479D"/>
            </w:tcBorders>
            <w:shd w:val="clear" w:color="auto" w:fill="F0F0F0"/>
          </w:tcPr>
          <w:p>
            <w:pPr>
              <w:spacing w:after="0"/>
              <w:rPr>
                <w:sz w:val="19"/>
                <w:szCs w:val="19"/>
                <w:color w:val="auto"/>
              </w:rPr>
            </w:pPr>
          </w:p>
        </w:tc>
        <w:tc>
          <w:tcPr>
            <w:tcW w:w="720" w:type="dxa"/>
            <w:vAlign w:val="bottom"/>
            <w:tcBorders>
              <w:bottom w:val="single" w:sz="8" w:color="0C479D"/>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1,215</w:t>
            </w:r>
          </w:p>
        </w:tc>
        <w:tc>
          <w:tcPr>
            <w:tcW w:w="720" w:type="dxa"/>
            <w:vAlign w:val="bottom"/>
            <w:tcBorders>
              <w:bottom w:val="single" w:sz="8" w:color="0C479D"/>
            </w:tcBorders>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1,190</w:t>
            </w:r>
          </w:p>
        </w:tc>
        <w:tc>
          <w:tcPr>
            <w:tcW w:w="74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1,225</w:t>
            </w:r>
          </w:p>
        </w:tc>
        <w:tc>
          <w:tcPr>
            <w:tcW w:w="760" w:type="dxa"/>
            <w:vAlign w:val="bottom"/>
            <w:tcBorders>
              <w:bottom w:val="single" w:sz="8" w:color="0C479D"/>
            </w:tcBorders>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57,403</w:t>
            </w:r>
          </w:p>
        </w:tc>
        <w:tc>
          <w:tcPr>
            <w:tcW w:w="40" w:type="dxa"/>
            <w:vAlign w:val="bottom"/>
            <w:tcBorders>
              <w:bottom w:val="single" w:sz="8" w:color="0C479D"/>
            </w:tcBorders>
            <w:shd w:val="clear" w:color="auto" w:fill="DCDDDE"/>
          </w:tcPr>
          <w:p>
            <w:pPr>
              <w:spacing w:after="0"/>
              <w:rPr>
                <w:sz w:val="19"/>
                <w:szCs w:val="19"/>
                <w:color w:val="auto"/>
              </w:rPr>
            </w:pPr>
          </w:p>
        </w:tc>
        <w:tc>
          <w:tcPr>
            <w:tcW w:w="0" w:type="dxa"/>
            <w:vAlign w:val="bottom"/>
          </w:tcPr>
          <w:p>
            <w:pPr>
              <w:spacing w:after="0"/>
              <w:rPr>
                <w:sz w:val="1"/>
                <w:szCs w:val="1"/>
                <w:color w:val="auto"/>
              </w:rPr>
            </w:pPr>
          </w:p>
        </w:tc>
      </w:tr>
      <w:tr>
        <w:trPr>
          <w:trHeight w:val="305"/>
        </w:trPr>
        <w:tc>
          <w:tcPr>
            <w:tcW w:w="3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0C479D"/>
              </w:rPr>
              <w:t>Reconciliation of consolidated revenues</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Segment revenues and other income</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568,344</w:t>
            </w: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200" w:type="dxa"/>
            <w:vAlign w:val="bottom"/>
            <w:gridSpan w:val="2"/>
          </w:tcPr>
          <w:p>
            <w:pPr>
              <w:spacing w:after="0" w:line="222" w:lineRule="exact"/>
              <w:rPr>
                <w:sz w:val="20"/>
                <w:szCs w:val="20"/>
                <w:color w:val="auto"/>
              </w:rPr>
            </w:pPr>
            <w:r>
              <w:rPr>
                <w:rFonts w:ascii="Times New Roman" w:cs="Times New Roman" w:eastAsia="Times New Roman" w:hAnsi="Times New Roman"/>
                <w:sz w:val="16"/>
                <w:szCs w:val="16"/>
                <w:color w:val="auto"/>
              </w:rPr>
              <w:t xml:space="preserve">Other revenues </w:t>
            </w:r>
            <w:r>
              <w:rPr>
                <w:rFonts w:ascii="Times New Roman" w:cs="Times New Roman" w:eastAsia="Times New Roman" w:hAnsi="Times New Roman"/>
                <w:sz w:val="21"/>
                <w:szCs w:val="21"/>
                <w:i w:val="1"/>
                <w:iCs w:val="1"/>
                <w:color w:val="auto"/>
                <w:vertAlign w:val="superscript"/>
              </w:rPr>
              <w:t>(2)</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659</w:t>
            </w: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0C479D"/>
            </w:tcBorders>
            <w:gridSpan w:val="2"/>
          </w:tcPr>
          <w:p>
            <w:pPr>
              <w:spacing w:after="0"/>
              <w:rPr>
                <w:sz w:val="20"/>
                <w:szCs w:val="20"/>
                <w:color w:val="auto"/>
              </w:rPr>
            </w:pPr>
            <w:r>
              <w:rPr>
                <w:rFonts w:ascii="Times New Roman" w:cs="Times New Roman" w:eastAsia="Times New Roman" w:hAnsi="Times New Roman"/>
                <w:sz w:val="16"/>
                <w:szCs w:val="16"/>
                <w:color w:val="auto"/>
              </w:rPr>
              <w:t>Elimination of intersegment revenues</w:t>
            </w:r>
          </w:p>
        </w:tc>
        <w:tc>
          <w:tcPr>
            <w:tcW w:w="500" w:type="dxa"/>
            <w:vAlign w:val="bottom"/>
            <w:tcBorders>
              <w:bottom w:val="single" w:sz="8" w:color="0C479D"/>
            </w:tcBorders>
          </w:tcPr>
          <w:p>
            <w:pPr>
              <w:spacing w:after="0"/>
              <w:rPr>
                <w:sz w:val="18"/>
                <w:szCs w:val="18"/>
                <w:color w:val="auto"/>
              </w:rPr>
            </w:pPr>
          </w:p>
        </w:tc>
        <w:tc>
          <w:tcPr>
            <w:tcW w:w="60" w:type="dxa"/>
            <w:vAlign w:val="bottom"/>
            <w:tcBorders>
              <w:bottom w:val="single" w:sz="8" w:color="0C479D"/>
            </w:tcBorders>
          </w:tcPr>
          <w:p>
            <w:pPr>
              <w:spacing w:after="0"/>
              <w:rPr>
                <w:sz w:val="18"/>
                <w:szCs w:val="18"/>
                <w:color w:val="auto"/>
              </w:rPr>
            </w:pPr>
          </w:p>
        </w:tc>
        <w:tc>
          <w:tcPr>
            <w:tcW w:w="740" w:type="dxa"/>
            <w:vAlign w:val="bottom"/>
            <w:tcBorders>
              <w:bottom w:val="single" w:sz="8" w:color="0C479D"/>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(155,323)</w:t>
            </w: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consolidated revenues and other income</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413,680</w:t>
            </w: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50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i w:val="1"/>
                <w:iCs w:val="1"/>
                <w:color w:val="0C479D"/>
              </w:rPr>
              <w:t>Reconciliation of income (loss) attributable to ExxonMobil</w:t>
            </w: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segment net income (loss)</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57,403</w:t>
            </w: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00" w:type="dxa"/>
            <w:vAlign w:val="bottom"/>
            <w:tcBorders>
              <w:bottom w:val="single" w:sz="8" w:color="0C479D"/>
            </w:tcBorders>
            <w:gridSpan w:val="2"/>
          </w:tcPr>
          <w:p>
            <w:pPr>
              <w:spacing w:after="0"/>
              <w:rPr>
                <w:sz w:val="20"/>
                <w:szCs w:val="20"/>
                <w:color w:val="auto"/>
              </w:rPr>
            </w:pPr>
            <w:r>
              <w:rPr>
                <w:rFonts w:ascii="Times New Roman" w:cs="Times New Roman" w:eastAsia="Times New Roman" w:hAnsi="Times New Roman"/>
                <w:sz w:val="16"/>
                <w:szCs w:val="16"/>
                <w:color w:val="auto"/>
              </w:rPr>
              <w:t>Corporate and Financing income (loss)</w:t>
            </w:r>
          </w:p>
        </w:tc>
        <w:tc>
          <w:tcPr>
            <w:tcW w:w="500" w:type="dxa"/>
            <w:vAlign w:val="bottom"/>
            <w:tcBorders>
              <w:bottom w:val="single" w:sz="8" w:color="0C479D"/>
            </w:tcBorders>
          </w:tcPr>
          <w:p>
            <w:pPr>
              <w:spacing w:after="0"/>
              <w:rPr>
                <w:sz w:val="19"/>
                <w:szCs w:val="19"/>
                <w:color w:val="auto"/>
              </w:rPr>
            </w:pPr>
          </w:p>
        </w:tc>
        <w:tc>
          <w:tcPr>
            <w:tcW w:w="60" w:type="dxa"/>
            <w:vAlign w:val="bottom"/>
            <w:tcBorders>
              <w:bottom w:val="single" w:sz="8" w:color="0C479D"/>
            </w:tcBorders>
          </w:tcPr>
          <w:p>
            <w:pPr>
              <w:spacing w:after="0"/>
              <w:rPr>
                <w:sz w:val="19"/>
                <w:szCs w:val="19"/>
                <w:color w:val="auto"/>
              </w:rPr>
            </w:pPr>
          </w:p>
        </w:tc>
        <w:tc>
          <w:tcPr>
            <w:tcW w:w="740" w:type="dxa"/>
            <w:vAlign w:val="bottom"/>
            <w:tcBorders>
              <w:bottom w:val="single" w:sz="8" w:color="0C479D"/>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(1,663)</w:t>
            </w: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income (loss) attributable to ExxonMobil</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b w:val="1"/>
                <w:bCs w:val="1"/>
                <w:color w:val="auto"/>
              </w:rPr>
              <w:t>55,740</w:t>
            </w: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2"/>
        </w:trPr>
        <w:tc>
          <w:tcPr>
            <w:tcW w:w="3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gridSpan w:val="3"/>
          </w:tcPr>
          <w:p>
            <w:pPr>
              <w:spacing w:after="0"/>
              <w:rPr>
                <w:sz w:val="9"/>
                <w:szCs w:val="9"/>
                <w:color w:val="auto"/>
              </w:rPr>
            </w:pPr>
          </w:p>
        </w:tc>
        <w:tc>
          <w:tcPr>
            <w:tcW w:w="1500" w:type="dxa"/>
            <w:vAlign w:val="bottom"/>
            <w:gridSpan w:val="2"/>
          </w:tcPr>
          <w:p>
            <w:pPr>
              <w:spacing w:after="0"/>
              <w:rPr>
                <w:sz w:val="9"/>
                <w:szCs w:val="9"/>
                <w:color w:val="auto"/>
              </w:rPr>
            </w:pPr>
          </w:p>
        </w:tc>
        <w:tc>
          <w:tcPr>
            <w:tcW w:w="1440" w:type="dxa"/>
            <w:vAlign w:val="bottom"/>
            <w:gridSpan w:val="3"/>
          </w:tcPr>
          <w:p>
            <w:pPr>
              <w:spacing w:after="0"/>
              <w:rPr>
                <w:sz w:val="9"/>
                <w:szCs w:val="9"/>
                <w:color w:val="auto"/>
              </w:rPr>
            </w:pPr>
          </w:p>
        </w:tc>
        <w:tc>
          <w:tcPr>
            <w:tcW w:w="1460" w:type="dxa"/>
            <w:vAlign w:val="bottom"/>
            <w:gridSpan w:val="2"/>
          </w:tcPr>
          <w:p>
            <w:pPr>
              <w:spacing w:after="0"/>
              <w:rPr>
                <w:sz w:val="9"/>
                <w:szCs w:val="9"/>
                <w:color w:val="auto"/>
              </w:rPr>
            </w:pPr>
          </w:p>
        </w:tc>
        <w:tc>
          <w:tcPr>
            <w:tcW w:w="8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3200" w:type="dxa"/>
            <w:vAlign w:val="bottom"/>
            <w:gridSpan w:val="2"/>
            <w:vMerge w:val="restart"/>
            <w:shd w:val="clear" w:color="auto" w:fill="0C479D"/>
          </w:tcPr>
          <w:p>
            <w:pPr>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1300" w:type="dxa"/>
            <w:vAlign w:val="bottom"/>
            <w:tcBorders>
              <w:right w:val="single" w:sz="8" w:color="0C479D"/>
            </w:tcBorders>
            <w:gridSpan w:val="3"/>
            <w:shd w:val="clear" w:color="auto" w:fill="0C479D"/>
          </w:tcPr>
          <w:p>
            <w:pPr>
              <w:jc w:val="center"/>
              <w:ind w:right="120"/>
              <w:spacing w:after="0"/>
              <w:rPr>
                <w:sz w:val="20"/>
                <w:szCs w:val="20"/>
                <w:color w:val="auto"/>
              </w:rPr>
            </w:pPr>
            <w:r>
              <w:rPr>
                <w:rFonts w:ascii="Times New Roman" w:cs="Times New Roman" w:eastAsia="Times New Roman" w:hAnsi="Times New Roman"/>
                <w:sz w:val="14"/>
                <w:szCs w:val="14"/>
                <w:b w:val="1"/>
                <w:bCs w:val="1"/>
                <w:color w:val="FFFFFF"/>
              </w:rPr>
              <w:t>Upstream</w:t>
            </w:r>
          </w:p>
        </w:tc>
        <w:tc>
          <w:tcPr>
            <w:tcW w:w="1500" w:type="dxa"/>
            <w:vAlign w:val="bottom"/>
            <w:gridSpan w:val="2"/>
            <w:shd w:val="clear" w:color="auto" w:fill="0C479D"/>
          </w:tcPr>
          <w:p>
            <w:pPr>
              <w:ind w:left="220"/>
              <w:spacing w:after="0"/>
              <w:rPr>
                <w:sz w:val="20"/>
                <w:szCs w:val="20"/>
                <w:color w:val="auto"/>
              </w:rPr>
            </w:pPr>
            <w:r>
              <w:rPr>
                <w:rFonts w:ascii="Times New Roman" w:cs="Times New Roman" w:eastAsia="Times New Roman" w:hAnsi="Times New Roman"/>
                <w:sz w:val="14"/>
                <w:szCs w:val="14"/>
                <w:b w:val="1"/>
                <w:bCs w:val="1"/>
                <w:color w:val="FFFFFF"/>
              </w:rPr>
              <w:t>Energy Products</w:t>
            </w:r>
          </w:p>
        </w:tc>
        <w:tc>
          <w:tcPr>
            <w:tcW w:w="1440" w:type="dxa"/>
            <w:vAlign w:val="bottom"/>
            <w:tcBorders>
              <w:right w:val="single" w:sz="8" w:color="0C479D"/>
            </w:tcBorders>
            <w:gridSpan w:val="3"/>
            <w:shd w:val="clear" w:color="auto" w:fill="0C479D"/>
          </w:tcPr>
          <w:p>
            <w:pPr>
              <w:jc w:val="right"/>
              <w:ind w:right="60"/>
              <w:spacing w:after="0"/>
              <w:rPr>
                <w:sz w:val="20"/>
                <w:szCs w:val="20"/>
                <w:color w:val="auto"/>
              </w:rPr>
            </w:pPr>
            <w:r>
              <w:rPr>
                <w:rFonts w:ascii="Times New Roman" w:cs="Times New Roman" w:eastAsia="Times New Roman" w:hAnsi="Times New Roman"/>
                <w:sz w:val="14"/>
                <w:szCs w:val="14"/>
                <w:b w:val="1"/>
                <w:bCs w:val="1"/>
                <w:color w:val="FFFFFF"/>
              </w:rPr>
              <w:t>Chemical Products</w:t>
            </w:r>
          </w:p>
        </w:tc>
        <w:tc>
          <w:tcPr>
            <w:tcW w:w="1460" w:type="dxa"/>
            <w:vAlign w:val="bottom"/>
            <w:gridSpan w:val="2"/>
            <w:shd w:val="clear" w:color="auto" w:fill="0C479D"/>
          </w:tcPr>
          <w:p>
            <w:pPr>
              <w:jc w:val="right"/>
              <w:ind w:right="80"/>
              <w:spacing w:after="0"/>
              <w:rPr>
                <w:sz w:val="20"/>
                <w:szCs w:val="20"/>
                <w:color w:val="auto"/>
              </w:rPr>
            </w:pPr>
            <w:r>
              <w:rPr>
                <w:rFonts w:ascii="Times New Roman" w:cs="Times New Roman" w:eastAsia="Times New Roman" w:hAnsi="Times New Roman"/>
                <w:sz w:val="14"/>
                <w:szCs w:val="14"/>
                <w:b w:val="1"/>
                <w:bCs w:val="1"/>
                <w:color w:val="FFFFFF"/>
              </w:rPr>
              <w:t>Specialty Products</w:t>
            </w:r>
          </w:p>
        </w:tc>
        <w:tc>
          <w:tcPr>
            <w:tcW w:w="800" w:type="dxa"/>
            <w:vAlign w:val="bottom"/>
            <w:gridSpan w:val="2"/>
            <w:shd w:val="clear" w:color="auto" w:fill="0C479D"/>
          </w:tcPr>
          <w:p>
            <w:pPr>
              <w:jc w:val="center"/>
              <w:ind w:right="20"/>
              <w:spacing w:after="0"/>
              <w:rPr>
                <w:sz w:val="20"/>
                <w:szCs w:val="20"/>
                <w:color w:val="auto"/>
              </w:rPr>
            </w:pPr>
            <w:r>
              <w:rPr>
                <w:rFonts w:ascii="Times New Roman" w:cs="Times New Roman" w:eastAsia="Times New Roman" w:hAnsi="Times New Roman"/>
                <w:sz w:val="14"/>
                <w:szCs w:val="14"/>
                <w:b w:val="1"/>
                <w:bCs w:val="1"/>
                <w:color w:val="FFFFFF"/>
              </w:rPr>
              <w:t>Segment</w:t>
            </w:r>
          </w:p>
        </w:tc>
        <w:tc>
          <w:tcPr>
            <w:tcW w:w="0" w:type="dxa"/>
            <w:vAlign w:val="bottom"/>
          </w:tcPr>
          <w:p>
            <w:pPr>
              <w:spacing w:after="0"/>
              <w:rPr>
                <w:sz w:val="1"/>
                <w:szCs w:val="1"/>
                <w:color w:val="auto"/>
              </w:rPr>
            </w:pPr>
          </w:p>
        </w:tc>
      </w:tr>
      <w:tr>
        <w:trPr>
          <w:trHeight w:val="109"/>
        </w:trPr>
        <w:tc>
          <w:tcPr>
            <w:tcW w:w="3200" w:type="dxa"/>
            <w:vAlign w:val="bottom"/>
            <w:gridSpan w:val="2"/>
            <w:vMerge w:val="continue"/>
            <w:shd w:val="clear" w:color="auto" w:fill="0C479D"/>
          </w:tcPr>
          <w:p>
            <w:pPr>
              <w:spacing w:after="0"/>
              <w:rPr>
                <w:sz w:val="9"/>
                <w:szCs w:val="9"/>
                <w:color w:val="auto"/>
              </w:rPr>
            </w:pPr>
          </w:p>
        </w:tc>
        <w:tc>
          <w:tcPr>
            <w:tcW w:w="560" w:type="dxa"/>
            <w:vAlign w:val="bottom"/>
            <w:gridSpan w:val="2"/>
            <w:vMerge w:val="restart"/>
            <w:shd w:val="clear" w:color="auto" w:fill="0C479D"/>
          </w:tcPr>
          <w:p>
            <w:pPr>
              <w:ind w:left="60"/>
              <w:spacing w:after="0"/>
              <w:rPr>
                <w:sz w:val="20"/>
                <w:szCs w:val="20"/>
                <w:color w:val="auto"/>
              </w:rPr>
            </w:pPr>
            <w:r>
              <w:rPr>
                <w:rFonts w:ascii="Times New Roman" w:cs="Times New Roman" w:eastAsia="Times New Roman" w:hAnsi="Times New Roman"/>
                <w:sz w:val="14"/>
                <w:szCs w:val="14"/>
                <w:b w:val="1"/>
                <w:bCs w:val="1"/>
                <w:color w:val="FFFFFF"/>
              </w:rPr>
              <w:t>U.S.</w:t>
            </w:r>
          </w:p>
        </w:tc>
        <w:tc>
          <w:tcPr>
            <w:tcW w:w="740" w:type="dxa"/>
            <w:vAlign w:val="bottom"/>
            <w:tcBorders>
              <w:right w:val="single" w:sz="8" w:color="0C479D"/>
            </w:tcBorders>
            <w:vMerge w:val="restart"/>
            <w:shd w:val="clear" w:color="auto" w:fill="0C479D"/>
          </w:tcPr>
          <w:p>
            <w:pPr>
              <w:jc w:val="right"/>
              <w:ind w:right="20"/>
              <w:spacing w:after="0"/>
              <w:rPr>
                <w:sz w:val="20"/>
                <w:szCs w:val="20"/>
                <w:color w:val="auto"/>
              </w:rPr>
            </w:pPr>
            <w:r>
              <w:rPr>
                <w:rFonts w:ascii="Times New Roman" w:cs="Times New Roman" w:eastAsia="Times New Roman" w:hAnsi="Times New Roman"/>
                <w:sz w:val="14"/>
                <w:szCs w:val="14"/>
                <w:b w:val="1"/>
                <w:bCs w:val="1"/>
                <w:color w:val="FFFFFF"/>
              </w:rPr>
              <w:t>Non-U.S.</w:t>
            </w:r>
          </w:p>
        </w:tc>
        <w:tc>
          <w:tcPr>
            <w:tcW w:w="740" w:type="dxa"/>
            <w:vAlign w:val="bottom"/>
            <w:vMerge w:val="restart"/>
            <w:shd w:val="clear" w:color="auto" w:fill="0C479D"/>
          </w:tcPr>
          <w:p>
            <w:pPr>
              <w:ind w:left="240"/>
              <w:spacing w:after="0"/>
              <w:rPr>
                <w:sz w:val="20"/>
                <w:szCs w:val="20"/>
                <w:color w:val="auto"/>
              </w:rPr>
            </w:pPr>
            <w:r>
              <w:rPr>
                <w:rFonts w:ascii="Times New Roman" w:cs="Times New Roman" w:eastAsia="Times New Roman" w:hAnsi="Times New Roman"/>
                <w:sz w:val="14"/>
                <w:szCs w:val="14"/>
                <w:b w:val="1"/>
                <w:bCs w:val="1"/>
                <w:color w:val="FFFFFF"/>
              </w:rPr>
              <w:t>U.S.</w:t>
            </w:r>
          </w:p>
        </w:tc>
        <w:tc>
          <w:tcPr>
            <w:tcW w:w="760" w:type="dxa"/>
            <w:vAlign w:val="bottom"/>
            <w:vMerge w:val="restart"/>
            <w:shd w:val="clear" w:color="auto" w:fill="0C479D"/>
          </w:tcPr>
          <w:p>
            <w:pPr>
              <w:jc w:val="right"/>
              <w:ind w:right="20"/>
              <w:spacing w:after="0"/>
              <w:rPr>
                <w:sz w:val="20"/>
                <w:szCs w:val="20"/>
                <w:color w:val="auto"/>
              </w:rPr>
            </w:pPr>
            <w:r>
              <w:rPr>
                <w:rFonts w:ascii="Times New Roman" w:cs="Times New Roman" w:eastAsia="Times New Roman" w:hAnsi="Times New Roman"/>
                <w:sz w:val="14"/>
                <w:szCs w:val="14"/>
                <w:b w:val="1"/>
                <w:bCs w:val="1"/>
                <w:color w:val="FFFFFF"/>
              </w:rPr>
              <w:t>Non-U.S.</w:t>
            </w:r>
          </w:p>
        </w:tc>
        <w:tc>
          <w:tcPr>
            <w:tcW w:w="720" w:type="dxa"/>
            <w:vAlign w:val="bottom"/>
            <w:gridSpan w:val="2"/>
            <w:vMerge w:val="restart"/>
            <w:shd w:val="clear" w:color="auto" w:fill="0C479D"/>
          </w:tcPr>
          <w:p>
            <w:pPr>
              <w:ind w:left="220"/>
              <w:spacing w:after="0"/>
              <w:rPr>
                <w:sz w:val="20"/>
                <w:szCs w:val="20"/>
                <w:color w:val="auto"/>
              </w:rPr>
            </w:pPr>
            <w:r>
              <w:rPr>
                <w:rFonts w:ascii="Times New Roman" w:cs="Times New Roman" w:eastAsia="Times New Roman" w:hAnsi="Times New Roman"/>
                <w:sz w:val="14"/>
                <w:szCs w:val="14"/>
                <w:b w:val="1"/>
                <w:bCs w:val="1"/>
                <w:color w:val="FFFFFF"/>
              </w:rPr>
              <w:t>U.S.</w:t>
            </w:r>
          </w:p>
        </w:tc>
        <w:tc>
          <w:tcPr>
            <w:tcW w:w="720" w:type="dxa"/>
            <w:vAlign w:val="bottom"/>
            <w:tcBorders>
              <w:right w:val="single" w:sz="8" w:color="0C479D"/>
            </w:tcBorders>
            <w:vMerge w:val="restart"/>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Non-U.S.</w:t>
            </w:r>
          </w:p>
        </w:tc>
        <w:tc>
          <w:tcPr>
            <w:tcW w:w="720" w:type="dxa"/>
            <w:vAlign w:val="bottom"/>
            <w:vMerge w:val="restart"/>
            <w:shd w:val="clear" w:color="auto" w:fill="0C479D"/>
          </w:tcPr>
          <w:p>
            <w:pPr>
              <w:jc w:val="right"/>
              <w:ind w:right="161"/>
              <w:spacing w:after="0"/>
              <w:rPr>
                <w:sz w:val="20"/>
                <w:szCs w:val="20"/>
                <w:color w:val="auto"/>
              </w:rPr>
            </w:pPr>
            <w:r>
              <w:rPr>
                <w:rFonts w:ascii="Times New Roman" w:cs="Times New Roman" w:eastAsia="Times New Roman" w:hAnsi="Times New Roman"/>
                <w:sz w:val="14"/>
                <w:szCs w:val="14"/>
                <w:b w:val="1"/>
                <w:bCs w:val="1"/>
                <w:color w:val="FFFFFF"/>
              </w:rPr>
              <w:t>U.S.</w:t>
            </w:r>
          </w:p>
        </w:tc>
        <w:tc>
          <w:tcPr>
            <w:tcW w:w="740" w:type="dxa"/>
            <w:vAlign w:val="bottom"/>
            <w:vMerge w:val="restart"/>
            <w:shd w:val="clear" w:color="auto" w:fill="0C479D"/>
          </w:tcPr>
          <w:p>
            <w:pPr>
              <w:jc w:val="right"/>
              <w:ind w:right="20"/>
              <w:spacing w:after="0"/>
              <w:rPr>
                <w:sz w:val="20"/>
                <w:szCs w:val="20"/>
                <w:color w:val="auto"/>
              </w:rPr>
            </w:pPr>
            <w:r>
              <w:rPr>
                <w:rFonts w:ascii="Times New Roman" w:cs="Times New Roman" w:eastAsia="Times New Roman" w:hAnsi="Times New Roman"/>
                <w:sz w:val="14"/>
                <w:szCs w:val="14"/>
                <w:b w:val="1"/>
                <w:bCs w:val="1"/>
                <w:color w:val="FFFFFF"/>
              </w:rPr>
              <w:t>Non-U.S.</w:t>
            </w:r>
          </w:p>
        </w:tc>
        <w:tc>
          <w:tcPr>
            <w:tcW w:w="800" w:type="dxa"/>
            <w:vAlign w:val="bottom"/>
            <w:gridSpan w:val="2"/>
            <w:vMerge w:val="restart"/>
            <w:shd w:val="clear" w:color="auto" w:fill="0C479D"/>
          </w:tcPr>
          <w:p>
            <w:pPr>
              <w:jc w:val="center"/>
              <w:ind w:right="20"/>
              <w:spacing w:after="0"/>
              <w:rPr>
                <w:sz w:val="20"/>
                <w:szCs w:val="20"/>
                <w:color w:val="auto"/>
              </w:rPr>
            </w:pPr>
            <w:r>
              <w:rPr>
                <w:rFonts w:ascii="Times New Roman" w:cs="Times New Roman" w:eastAsia="Times New Roman" w:hAnsi="Times New Roman"/>
                <w:sz w:val="14"/>
                <w:szCs w:val="14"/>
                <w:b w:val="1"/>
                <w:bCs w:val="1"/>
                <w:color w:val="FFFFFF"/>
                <w:w w:val="93"/>
              </w:rPr>
              <w:t>Total</w:t>
            </w:r>
          </w:p>
        </w:tc>
        <w:tc>
          <w:tcPr>
            <w:tcW w:w="0" w:type="dxa"/>
            <w:vAlign w:val="bottom"/>
          </w:tcPr>
          <w:p>
            <w:pPr>
              <w:spacing w:after="0"/>
              <w:rPr>
                <w:sz w:val="1"/>
                <w:szCs w:val="1"/>
                <w:color w:val="auto"/>
              </w:rPr>
            </w:pPr>
          </w:p>
        </w:tc>
      </w:tr>
      <w:tr>
        <w:trPr>
          <w:trHeight w:val="125"/>
        </w:trPr>
        <w:tc>
          <w:tcPr>
            <w:tcW w:w="3020" w:type="dxa"/>
            <w:vAlign w:val="bottom"/>
            <w:tcBorders>
              <w:bottom w:val="single" w:sz="8" w:color="0C479D"/>
            </w:tcBorders>
            <w:shd w:val="clear" w:color="auto" w:fill="0C479D"/>
          </w:tcPr>
          <w:p>
            <w:pPr>
              <w:spacing w:after="0"/>
              <w:rPr>
                <w:sz w:val="10"/>
                <w:szCs w:val="10"/>
                <w:color w:val="auto"/>
              </w:rPr>
            </w:pPr>
          </w:p>
        </w:tc>
        <w:tc>
          <w:tcPr>
            <w:tcW w:w="180" w:type="dxa"/>
            <w:vAlign w:val="bottom"/>
            <w:tcBorders>
              <w:bottom w:val="single" w:sz="8" w:color="0C479D"/>
            </w:tcBorders>
            <w:shd w:val="clear" w:color="auto" w:fill="0C479D"/>
          </w:tcPr>
          <w:p>
            <w:pPr>
              <w:spacing w:after="0"/>
              <w:rPr>
                <w:sz w:val="10"/>
                <w:szCs w:val="10"/>
                <w:color w:val="auto"/>
              </w:rPr>
            </w:pPr>
          </w:p>
        </w:tc>
        <w:tc>
          <w:tcPr>
            <w:tcW w:w="560" w:type="dxa"/>
            <w:vAlign w:val="bottom"/>
            <w:tcBorders>
              <w:bottom w:val="single" w:sz="8" w:color="0C479D"/>
            </w:tcBorders>
            <w:gridSpan w:val="2"/>
            <w:vMerge w:val="continue"/>
            <w:shd w:val="clear" w:color="auto" w:fill="0C479D"/>
          </w:tcPr>
          <w:p>
            <w:pPr>
              <w:spacing w:after="0"/>
              <w:rPr>
                <w:sz w:val="10"/>
                <w:szCs w:val="10"/>
                <w:color w:val="auto"/>
              </w:rPr>
            </w:pPr>
          </w:p>
        </w:tc>
        <w:tc>
          <w:tcPr>
            <w:tcW w:w="740" w:type="dxa"/>
            <w:vAlign w:val="bottom"/>
            <w:tcBorders>
              <w:bottom w:val="single" w:sz="8" w:color="0C479D"/>
              <w:right w:val="single" w:sz="8" w:color="0C479D"/>
            </w:tcBorders>
            <w:vMerge w:val="continue"/>
            <w:shd w:val="clear" w:color="auto" w:fill="0C479D"/>
          </w:tcPr>
          <w:p>
            <w:pPr>
              <w:spacing w:after="0"/>
              <w:rPr>
                <w:sz w:val="10"/>
                <w:szCs w:val="10"/>
                <w:color w:val="auto"/>
              </w:rPr>
            </w:pPr>
          </w:p>
        </w:tc>
        <w:tc>
          <w:tcPr>
            <w:tcW w:w="740" w:type="dxa"/>
            <w:vAlign w:val="bottom"/>
            <w:tcBorders>
              <w:bottom w:val="single" w:sz="8" w:color="0C479D"/>
            </w:tcBorders>
            <w:vMerge w:val="continue"/>
            <w:shd w:val="clear" w:color="auto" w:fill="0C479D"/>
          </w:tcPr>
          <w:p>
            <w:pPr>
              <w:spacing w:after="0"/>
              <w:rPr>
                <w:sz w:val="10"/>
                <w:szCs w:val="10"/>
                <w:color w:val="auto"/>
              </w:rPr>
            </w:pPr>
          </w:p>
        </w:tc>
        <w:tc>
          <w:tcPr>
            <w:tcW w:w="760" w:type="dxa"/>
            <w:vAlign w:val="bottom"/>
            <w:tcBorders>
              <w:bottom w:val="single" w:sz="8" w:color="0C479D"/>
            </w:tcBorders>
            <w:vMerge w:val="continue"/>
            <w:shd w:val="clear" w:color="auto" w:fill="0C479D"/>
          </w:tcPr>
          <w:p>
            <w:pPr>
              <w:spacing w:after="0"/>
              <w:rPr>
                <w:sz w:val="10"/>
                <w:szCs w:val="10"/>
                <w:color w:val="auto"/>
              </w:rPr>
            </w:pPr>
          </w:p>
        </w:tc>
        <w:tc>
          <w:tcPr>
            <w:tcW w:w="720" w:type="dxa"/>
            <w:vAlign w:val="bottom"/>
            <w:tcBorders>
              <w:bottom w:val="single" w:sz="8" w:color="0C479D"/>
            </w:tcBorders>
            <w:gridSpan w:val="2"/>
            <w:vMerge w:val="continue"/>
            <w:shd w:val="clear" w:color="auto" w:fill="0C479D"/>
          </w:tcPr>
          <w:p>
            <w:pPr>
              <w:spacing w:after="0"/>
              <w:rPr>
                <w:sz w:val="10"/>
                <w:szCs w:val="10"/>
                <w:color w:val="auto"/>
              </w:rPr>
            </w:pPr>
          </w:p>
        </w:tc>
        <w:tc>
          <w:tcPr>
            <w:tcW w:w="720" w:type="dxa"/>
            <w:vAlign w:val="bottom"/>
            <w:tcBorders>
              <w:bottom w:val="single" w:sz="8" w:color="0C479D"/>
              <w:right w:val="single" w:sz="8" w:color="0C479D"/>
            </w:tcBorders>
            <w:vMerge w:val="continue"/>
            <w:shd w:val="clear" w:color="auto" w:fill="0C479D"/>
          </w:tcPr>
          <w:p>
            <w:pPr>
              <w:spacing w:after="0"/>
              <w:rPr>
                <w:sz w:val="10"/>
                <w:szCs w:val="10"/>
                <w:color w:val="auto"/>
              </w:rPr>
            </w:pPr>
          </w:p>
        </w:tc>
        <w:tc>
          <w:tcPr>
            <w:tcW w:w="720" w:type="dxa"/>
            <w:vAlign w:val="bottom"/>
            <w:tcBorders>
              <w:bottom w:val="single" w:sz="8" w:color="0C479D"/>
            </w:tcBorders>
            <w:vMerge w:val="continue"/>
            <w:shd w:val="clear" w:color="auto" w:fill="0C479D"/>
          </w:tcPr>
          <w:p>
            <w:pPr>
              <w:spacing w:after="0"/>
              <w:rPr>
                <w:sz w:val="10"/>
                <w:szCs w:val="10"/>
                <w:color w:val="auto"/>
              </w:rPr>
            </w:pPr>
          </w:p>
        </w:tc>
        <w:tc>
          <w:tcPr>
            <w:tcW w:w="740" w:type="dxa"/>
            <w:vAlign w:val="bottom"/>
            <w:tcBorders>
              <w:bottom w:val="single" w:sz="8" w:color="0C479D"/>
            </w:tcBorders>
            <w:vMerge w:val="continue"/>
            <w:shd w:val="clear" w:color="auto" w:fill="0C479D"/>
          </w:tcPr>
          <w:p>
            <w:pPr>
              <w:spacing w:after="0"/>
              <w:rPr>
                <w:sz w:val="10"/>
                <w:szCs w:val="10"/>
                <w:color w:val="auto"/>
              </w:rPr>
            </w:pPr>
          </w:p>
        </w:tc>
        <w:tc>
          <w:tcPr>
            <w:tcW w:w="800" w:type="dxa"/>
            <w:vAlign w:val="bottom"/>
            <w:tcBorders>
              <w:bottom w:val="single" w:sz="8" w:color="0C479D"/>
            </w:tcBorders>
            <w:gridSpan w:val="2"/>
            <w:vMerge w:val="continue"/>
            <w:shd w:val="clear" w:color="auto" w:fill="0C479D"/>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3020" w:type="dxa"/>
            <w:vAlign w:val="bottom"/>
          </w:tcPr>
          <w:p>
            <w:pPr>
              <w:spacing w:after="0"/>
              <w:rPr>
                <w:sz w:val="20"/>
                <w:szCs w:val="20"/>
                <w:color w:val="auto"/>
              </w:rPr>
            </w:pPr>
            <w:r>
              <w:rPr>
                <w:rFonts w:ascii="Times New Roman" w:cs="Times New Roman" w:eastAsia="Times New Roman" w:hAnsi="Times New Roman"/>
                <w:sz w:val="16"/>
                <w:szCs w:val="16"/>
                <w:b w:val="1"/>
                <w:bCs w:val="1"/>
                <w:color w:val="0C479D"/>
              </w:rPr>
              <w:t>As of December 31, 2022</w:t>
            </w:r>
          </w:p>
        </w:tc>
        <w:tc>
          <w:tcPr>
            <w:tcW w:w="180" w:type="dxa"/>
            <w:vAlign w:val="bottom"/>
            <w:shd w:val="clear" w:color="auto" w:fill="F0F0F0"/>
          </w:tcPr>
          <w:p>
            <w:pPr>
              <w:spacing w:after="0"/>
              <w:rPr>
                <w:sz w:val="18"/>
                <w:szCs w:val="18"/>
                <w:color w:val="auto"/>
              </w:rPr>
            </w:pPr>
          </w:p>
        </w:tc>
        <w:tc>
          <w:tcPr>
            <w:tcW w:w="500" w:type="dxa"/>
            <w:vAlign w:val="bottom"/>
            <w:shd w:val="clear" w:color="auto" w:fill="F0F0F0"/>
          </w:tcPr>
          <w:p>
            <w:pPr>
              <w:spacing w:after="0"/>
              <w:rPr>
                <w:sz w:val="18"/>
                <w:szCs w:val="18"/>
                <w:color w:val="auto"/>
              </w:rPr>
            </w:pPr>
          </w:p>
        </w:tc>
        <w:tc>
          <w:tcPr>
            <w:tcW w:w="60" w:type="dxa"/>
            <w:vAlign w:val="bottom"/>
            <w:shd w:val="clear" w:color="auto" w:fill="F0F0F0"/>
          </w:tcPr>
          <w:p>
            <w:pPr>
              <w:spacing w:after="0"/>
              <w:rPr>
                <w:sz w:val="18"/>
                <w:szCs w:val="18"/>
                <w:color w:val="auto"/>
              </w:rPr>
            </w:pPr>
          </w:p>
        </w:tc>
        <w:tc>
          <w:tcPr>
            <w:tcW w:w="740" w:type="dxa"/>
            <w:vAlign w:val="bottom"/>
            <w:tcBorders>
              <w:right w:val="single" w:sz="8" w:color="F0F0F0"/>
            </w:tcBorders>
            <w:shd w:val="clear" w:color="auto" w:fill="F0F0F0"/>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shd w:val="clear" w:color="auto" w:fill="F0F0F0"/>
          </w:tcPr>
          <w:p>
            <w:pPr>
              <w:spacing w:after="0"/>
              <w:rPr>
                <w:sz w:val="18"/>
                <w:szCs w:val="18"/>
                <w:color w:val="auto"/>
              </w:rPr>
            </w:pPr>
          </w:p>
        </w:tc>
        <w:tc>
          <w:tcPr>
            <w:tcW w:w="40" w:type="dxa"/>
            <w:vAlign w:val="bottom"/>
            <w:shd w:val="clear" w:color="auto" w:fill="F0F0F0"/>
          </w:tcPr>
          <w:p>
            <w:pPr>
              <w:spacing w:after="0"/>
              <w:rPr>
                <w:sz w:val="18"/>
                <w:szCs w:val="18"/>
                <w:color w:val="auto"/>
              </w:rPr>
            </w:pPr>
          </w:p>
        </w:tc>
        <w:tc>
          <w:tcPr>
            <w:tcW w:w="720" w:type="dxa"/>
            <w:vAlign w:val="bottom"/>
            <w:tcBorders>
              <w:right w:val="single" w:sz="8" w:color="F0F0F0"/>
            </w:tcBorders>
            <w:shd w:val="clear" w:color="auto" w:fill="F0F0F0"/>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shd w:val="clear" w:color="auto" w:fill="DCDDDE"/>
          </w:tcPr>
          <w:p>
            <w:pPr>
              <w:spacing w:after="0"/>
              <w:rPr>
                <w:sz w:val="18"/>
                <w:szCs w:val="18"/>
                <w:color w:val="auto"/>
              </w:rPr>
            </w:pPr>
          </w:p>
        </w:tc>
        <w:tc>
          <w:tcPr>
            <w:tcW w:w="40" w:type="dxa"/>
            <w:vAlign w:val="bottom"/>
            <w:shd w:val="clear" w:color="auto" w:fill="DCDDD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020" w:type="dxa"/>
            <w:vAlign w:val="bottom"/>
          </w:tcPr>
          <w:p>
            <w:pPr>
              <w:spacing w:after="0" w:line="220" w:lineRule="exact"/>
              <w:rPr>
                <w:sz w:val="20"/>
                <w:szCs w:val="20"/>
                <w:color w:val="auto"/>
              </w:rPr>
            </w:pPr>
            <w:r>
              <w:rPr>
                <w:rFonts w:ascii="Times New Roman" w:cs="Times New Roman" w:eastAsia="Times New Roman" w:hAnsi="Times New Roman"/>
                <w:sz w:val="16"/>
                <w:szCs w:val="16"/>
                <w:color w:val="auto"/>
              </w:rPr>
              <w:t xml:space="preserve">Additions to property, plant and equipment </w:t>
            </w:r>
            <w:r>
              <w:rPr>
                <w:rFonts w:ascii="Times New Roman" w:cs="Times New Roman" w:eastAsia="Times New Roman" w:hAnsi="Times New Roman"/>
                <w:sz w:val="21"/>
                <w:szCs w:val="21"/>
                <w:i w:val="1"/>
                <w:iCs w:val="1"/>
                <w:color w:val="auto"/>
                <w:vertAlign w:val="superscript"/>
              </w:rPr>
              <w:t>(3)</w:t>
            </w:r>
          </w:p>
        </w:tc>
        <w:tc>
          <w:tcPr>
            <w:tcW w:w="180" w:type="dxa"/>
            <w:vAlign w:val="bottom"/>
            <w:shd w:val="clear" w:color="auto" w:fill="F0F0F0"/>
          </w:tcPr>
          <w:p>
            <w:pPr>
              <w:spacing w:after="0"/>
              <w:rPr>
                <w:sz w:val="19"/>
                <w:szCs w:val="19"/>
                <w:color w:val="auto"/>
              </w:rPr>
            </w:pPr>
          </w:p>
        </w:tc>
        <w:tc>
          <w:tcPr>
            <w:tcW w:w="5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5,940</w:t>
            </w:r>
          </w:p>
        </w:tc>
        <w:tc>
          <w:tcPr>
            <w:tcW w:w="60" w:type="dxa"/>
            <w:vAlign w:val="bottom"/>
            <w:shd w:val="clear" w:color="auto" w:fill="F0F0F0"/>
          </w:tcPr>
          <w:p>
            <w:pPr>
              <w:spacing w:after="0"/>
              <w:rPr>
                <w:sz w:val="19"/>
                <w:szCs w:val="19"/>
                <w:color w:val="auto"/>
              </w:rPr>
            </w:pPr>
          </w:p>
        </w:tc>
        <w:tc>
          <w:tcPr>
            <w:tcW w:w="740" w:type="dxa"/>
            <w:vAlign w:val="bottom"/>
            <w:tcBorders>
              <w:right w:val="single" w:sz="8" w:color="F0F0F0"/>
            </w:tcBorders>
            <w:shd w:val="clear" w:color="auto" w:fill="F0F0F0"/>
          </w:tcPr>
          <w:p>
            <w:pPr>
              <w:jc w:val="right"/>
              <w:ind w:right="20"/>
              <w:spacing w:after="0"/>
              <w:rPr>
                <w:sz w:val="20"/>
                <w:szCs w:val="20"/>
                <w:color w:val="auto"/>
              </w:rPr>
            </w:pPr>
            <w:r>
              <w:rPr>
                <w:rFonts w:ascii="Times New Roman" w:cs="Times New Roman" w:eastAsia="Times New Roman" w:hAnsi="Times New Roman"/>
                <w:sz w:val="16"/>
                <w:szCs w:val="16"/>
                <w:color w:val="auto"/>
              </w:rPr>
              <w:t>6,441</w:t>
            </w: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1,141</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964</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1,026</w:t>
            </w:r>
          </w:p>
        </w:tc>
        <w:tc>
          <w:tcPr>
            <w:tcW w:w="40" w:type="dxa"/>
            <w:vAlign w:val="bottom"/>
            <w:shd w:val="clear" w:color="auto" w:fill="F0F0F0"/>
          </w:tcPr>
          <w:p>
            <w:pPr>
              <w:spacing w:after="0"/>
              <w:rPr>
                <w:sz w:val="19"/>
                <w:szCs w:val="19"/>
                <w:color w:val="auto"/>
              </w:rPr>
            </w:pPr>
          </w:p>
        </w:tc>
        <w:tc>
          <w:tcPr>
            <w:tcW w:w="72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1,692</w:t>
            </w: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w:t>
            </w: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200</w:t>
            </w:r>
          </w:p>
        </w:tc>
        <w:tc>
          <w:tcPr>
            <w:tcW w:w="760" w:type="dxa"/>
            <w:vAlign w:val="bottom"/>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17,441</w:t>
            </w:r>
          </w:p>
        </w:tc>
        <w:tc>
          <w:tcPr>
            <w:tcW w:w="40" w:type="dxa"/>
            <w:vAlign w:val="bottom"/>
            <w:shd w:val="clear" w:color="auto" w:fill="DCDDD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Investments in equity companies</w:t>
            </w:r>
          </w:p>
        </w:tc>
        <w:tc>
          <w:tcPr>
            <w:tcW w:w="180" w:type="dxa"/>
            <w:vAlign w:val="bottom"/>
            <w:shd w:val="clear" w:color="auto" w:fill="F0F0F0"/>
          </w:tcPr>
          <w:p>
            <w:pPr>
              <w:spacing w:after="0"/>
              <w:rPr>
                <w:sz w:val="18"/>
                <w:szCs w:val="18"/>
                <w:color w:val="auto"/>
              </w:rPr>
            </w:pPr>
          </w:p>
        </w:tc>
        <w:tc>
          <w:tcPr>
            <w:tcW w:w="5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4,893</w:t>
            </w:r>
          </w:p>
        </w:tc>
        <w:tc>
          <w:tcPr>
            <w:tcW w:w="60" w:type="dxa"/>
            <w:vAlign w:val="bottom"/>
            <w:shd w:val="clear" w:color="auto" w:fill="F0F0F0"/>
          </w:tcPr>
          <w:p>
            <w:pPr>
              <w:spacing w:after="0"/>
              <w:rPr>
                <w:sz w:val="18"/>
                <w:szCs w:val="18"/>
                <w:color w:val="auto"/>
              </w:rPr>
            </w:pPr>
          </w:p>
        </w:tc>
        <w:tc>
          <w:tcPr>
            <w:tcW w:w="740" w:type="dxa"/>
            <w:vAlign w:val="bottom"/>
            <w:tcBorders>
              <w:right w:val="single" w:sz="8" w:color="F0F0F0"/>
            </w:tcBorders>
            <w:shd w:val="clear" w:color="auto" w:fill="F0F0F0"/>
          </w:tcPr>
          <w:p>
            <w:pPr>
              <w:jc w:val="right"/>
              <w:ind w:right="20"/>
              <w:spacing w:after="0"/>
              <w:rPr>
                <w:sz w:val="20"/>
                <w:szCs w:val="20"/>
                <w:color w:val="auto"/>
              </w:rPr>
            </w:pPr>
            <w:r>
              <w:rPr>
                <w:rFonts w:ascii="Times New Roman" w:cs="Times New Roman" w:eastAsia="Times New Roman" w:hAnsi="Times New Roman"/>
                <w:sz w:val="16"/>
                <w:szCs w:val="16"/>
                <w:color w:val="auto"/>
              </w:rPr>
              <w:t>21,502</w:t>
            </w: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368</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1,154</w:t>
            </w:r>
          </w:p>
        </w:tc>
        <w:tc>
          <w:tcPr>
            <w:tcW w:w="68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3,124</w:t>
            </w:r>
          </w:p>
        </w:tc>
        <w:tc>
          <w:tcPr>
            <w:tcW w:w="40" w:type="dxa"/>
            <w:vAlign w:val="bottom"/>
            <w:shd w:val="clear" w:color="auto" w:fill="F0F0F0"/>
          </w:tcPr>
          <w:p>
            <w:pPr>
              <w:spacing w:after="0"/>
              <w:rPr>
                <w:sz w:val="18"/>
                <w:szCs w:val="18"/>
                <w:color w:val="auto"/>
              </w:rPr>
            </w:pPr>
          </w:p>
        </w:tc>
        <w:tc>
          <w:tcPr>
            <w:tcW w:w="720" w:type="dxa"/>
            <w:vAlign w:val="bottom"/>
            <w:tcBorders>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2,417</w:t>
            </w: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1,177</w:t>
            </w:r>
          </w:p>
        </w:tc>
        <w:tc>
          <w:tcPr>
            <w:tcW w:w="760" w:type="dxa"/>
            <w:vAlign w:val="bottom"/>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34,635</w:t>
            </w:r>
          </w:p>
        </w:tc>
        <w:tc>
          <w:tcPr>
            <w:tcW w:w="40" w:type="dxa"/>
            <w:vAlign w:val="bottom"/>
            <w:shd w:val="clear" w:color="auto" w:fill="DCDDDE"/>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02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0C479D"/>
            </w:tcBorders>
            <w:shd w:val="clear" w:color="auto" w:fill="F0F0F0"/>
          </w:tcPr>
          <w:p>
            <w:pPr>
              <w:spacing w:after="0"/>
              <w:rPr>
                <w:sz w:val="19"/>
                <w:szCs w:val="19"/>
                <w:color w:val="auto"/>
              </w:rPr>
            </w:pPr>
          </w:p>
        </w:tc>
        <w:tc>
          <w:tcPr>
            <w:tcW w:w="5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w w:val="99"/>
              </w:rPr>
              <w:t>66,695</w:t>
            </w:r>
          </w:p>
        </w:tc>
        <w:tc>
          <w:tcPr>
            <w:tcW w:w="60" w:type="dxa"/>
            <w:vAlign w:val="bottom"/>
            <w:tcBorders>
              <w:bottom w:val="single" w:sz="8" w:color="0C479D"/>
            </w:tcBorders>
            <w:shd w:val="clear" w:color="auto" w:fill="F0F0F0"/>
          </w:tcPr>
          <w:p>
            <w:pPr>
              <w:spacing w:after="0"/>
              <w:rPr>
                <w:sz w:val="19"/>
                <w:szCs w:val="19"/>
                <w:color w:val="auto"/>
              </w:rPr>
            </w:pPr>
          </w:p>
        </w:tc>
        <w:tc>
          <w:tcPr>
            <w:tcW w:w="740" w:type="dxa"/>
            <w:vAlign w:val="bottom"/>
            <w:tcBorders>
              <w:bottom w:val="single" w:sz="8" w:color="0C479D"/>
              <w:right w:val="single" w:sz="8" w:color="F0F0F0"/>
            </w:tcBorders>
            <w:shd w:val="clear" w:color="auto" w:fill="F0F0F0"/>
          </w:tcPr>
          <w:p>
            <w:pPr>
              <w:jc w:val="right"/>
              <w:ind w:right="20"/>
              <w:spacing w:after="0"/>
              <w:rPr>
                <w:sz w:val="20"/>
                <w:szCs w:val="20"/>
                <w:color w:val="auto"/>
              </w:rPr>
            </w:pPr>
            <w:r>
              <w:rPr>
                <w:rFonts w:ascii="Times New Roman" w:cs="Times New Roman" w:eastAsia="Times New Roman" w:hAnsi="Times New Roman"/>
                <w:sz w:val="16"/>
                <w:szCs w:val="16"/>
                <w:color w:val="auto"/>
              </w:rPr>
              <w:t>139,764</w:t>
            </w:r>
          </w:p>
        </w:tc>
        <w:tc>
          <w:tcPr>
            <w:tcW w:w="740" w:type="dxa"/>
            <w:vAlign w:val="bottom"/>
            <w:tcBorders>
              <w:bottom w:val="single" w:sz="8" w:color="0C479D"/>
            </w:tcBorders>
          </w:tcPr>
          <w:p>
            <w:pPr>
              <w:jc w:val="right"/>
              <w:ind w:right="1"/>
              <w:spacing w:after="0"/>
              <w:rPr>
                <w:sz w:val="20"/>
                <w:szCs w:val="20"/>
                <w:color w:val="auto"/>
              </w:rPr>
            </w:pPr>
            <w:r>
              <w:rPr>
                <w:rFonts w:ascii="Times New Roman" w:cs="Times New Roman" w:eastAsia="Times New Roman" w:hAnsi="Times New Roman"/>
                <w:sz w:val="16"/>
                <w:szCs w:val="16"/>
                <w:color w:val="auto"/>
              </w:rPr>
              <w:t>31,729</w:t>
            </w:r>
          </w:p>
        </w:tc>
        <w:tc>
          <w:tcPr>
            <w:tcW w:w="76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color w:val="auto"/>
              </w:rPr>
              <w:t>41,836</w:t>
            </w:r>
          </w:p>
        </w:tc>
        <w:tc>
          <w:tcPr>
            <w:tcW w:w="68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17,342</w:t>
            </w:r>
          </w:p>
        </w:tc>
        <w:tc>
          <w:tcPr>
            <w:tcW w:w="40" w:type="dxa"/>
            <w:vAlign w:val="bottom"/>
            <w:tcBorders>
              <w:bottom w:val="single" w:sz="8" w:color="0C479D"/>
            </w:tcBorders>
            <w:shd w:val="clear" w:color="auto" w:fill="F0F0F0"/>
          </w:tcPr>
          <w:p>
            <w:pPr>
              <w:spacing w:after="0"/>
              <w:rPr>
                <w:sz w:val="19"/>
                <w:szCs w:val="19"/>
                <w:color w:val="auto"/>
              </w:rPr>
            </w:pPr>
          </w:p>
        </w:tc>
        <w:tc>
          <w:tcPr>
            <w:tcW w:w="720" w:type="dxa"/>
            <w:vAlign w:val="bottom"/>
            <w:tcBorders>
              <w:bottom w:val="single" w:sz="8" w:color="0C479D"/>
              <w:right w:val="single" w:sz="8" w:color="F0F0F0"/>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15,875</w:t>
            </w:r>
          </w:p>
        </w:tc>
        <w:tc>
          <w:tcPr>
            <w:tcW w:w="720" w:type="dxa"/>
            <w:vAlign w:val="bottom"/>
            <w:tcBorders>
              <w:bottom w:val="single" w:sz="8" w:color="0C479D"/>
            </w:tcBorders>
          </w:tcPr>
          <w:p>
            <w:pPr>
              <w:jc w:val="right"/>
              <w:ind w:right="1"/>
              <w:spacing w:after="0"/>
              <w:rPr>
                <w:sz w:val="20"/>
                <w:szCs w:val="20"/>
                <w:color w:val="auto"/>
              </w:rPr>
            </w:pPr>
            <w:r>
              <w:rPr>
                <w:rFonts w:ascii="Times New Roman" w:cs="Times New Roman" w:eastAsia="Times New Roman" w:hAnsi="Times New Roman"/>
                <w:sz w:val="16"/>
                <w:szCs w:val="16"/>
                <w:color w:val="auto"/>
              </w:rPr>
              <w:t>2,839</w:t>
            </w:r>
          </w:p>
        </w:tc>
        <w:tc>
          <w:tcPr>
            <w:tcW w:w="74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color w:val="auto"/>
              </w:rPr>
              <w:t>8,316</w:t>
            </w:r>
          </w:p>
        </w:tc>
        <w:tc>
          <w:tcPr>
            <w:tcW w:w="760" w:type="dxa"/>
            <w:vAlign w:val="bottom"/>
            <w:tcBorders>
              <w:bottom w:val="single" w:sz="8" w:color="0C479D"/>
            </w:tcBorders>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324,396</w:t>
            </w:r>
          </w:p>
        </w:tc>
        <w:tc>
          <w:tcPr>
            <w:tcW w:w="40" w:type="dxa"/>
            <w:vAlign w:val="bottom"/>
            <w:tcBorders>
              <w:bottom w:val="single" w:sz="8" w:color="0C479D"/>
            </w:tcBorders>
            <w:shd w:val="clear" w:color="auto" w:fill="DCDDDE"/>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3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30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0C479D"/>
              </w:rPr>
              <w:t>Reconciliation to Corporate Total</w:t>
            </w:r>
          </w:p>
        </w:tc>
        <w:tc>
          <w:tcPr>
            <w:tcW w:w="180" w:type="dxa"/>
            <w:vAlign w:val="bottom"/>
            <w:shd w:val="clear" w:color="auto" w:fill="0C479D"/>
          </w:tcPr>
          <w:p>
            <w:pPr>
              <w:spacing w:after="0"/>
              <w:rPr>
                <w:sz w:val="13"/>
                <w:szCs w:val="13"/>
                <w:color w:val="auto"/>
              </w:rPr>
            </w:pPr>
          </w:p>
        </w:tc>
        <w:tc>
          <w:tcPr>
            <w:tcW w:w="1300" w:type="dxa"/>
            <w:vAlign w:val="bottom"/>
            <w:tcBorders>
              <w:right w:val="single" w:sz="8" w:color="0C479D"/>
            </w:tcBorders>
            <w:gridSpan w:val="3"/>
            <w:vMerge w:val="restart"/>
            <w:shd w:val="clear" w:color="auto" w:fill="0C479D"/>
          </w:tcPr>
          <w:p>
            <w:pPr>
              <w:jc w:val="center"/>
              <w:ind w:right="120"/>
              <w:spacing w:after="0"/>
              <w:rPr>
                <w:sz w:val="20"/>
                <w:szCs w:val="20"/>
                <w:color w:val="auto"/>
              </w:rPr>
            </w:pPr>
            <w:r>
              <w:rPr>
                <w:rFonts w:ascii="Times New Roman" w:cs="Times New Roman" w:eastAsia="Times New Roman" w:hAnsi="Times New Roman"/>
                <w:sz w:val="14"/>
                <w:szCs w:val="14"/>
                <w:b w:val="1"/>
                <w:bCs w:val="1"/>
                <w:color w:val="FFFFFF"/>
                <w:w w:val="99"/>
              </w:rPr>
              <w:t>Segment Total</w:t>
            </w:r>
          </w:p>
        </w:tc>
        <w:tc>
          <w:tcPr>
            <w:tcW w:w="1500" w:type="dxa"/>
            <w:vAlign w:val="bottom"/>
            <w:gridSpan w:val="2"/>
            <w:shd w:val="clear" w:color="auto" w:fill="0C479D"/>
          </w:tcPr>
          <w:p>
            <w:pPr>
              <w:jc w:val="right"/>
              <w:ind w:right="240"/>
              <w:spacing w:after="0" w:line="151" w:lineRule="exact"/>
              <w:rPr>
                <w:sz w:val="20"/>
                <w:szCs w:val="20"/>
                <w:color w:val="auto"/>
              </w:rPr>
            </w:pPr>
            <w:r>
              <w:rPr>
                <w:rFonts w:ascii="Times New Roman" w:cs="Times New Roman" w:eastAsia="Times New Roman" w:hAnsi="Times New Roman"/>
                <w:sz w:val="14"/>
                <w:szCs w:val="14"/>
                <w:b w:val="1"/>
                <w:bCs w:val="1"/>
                <w:color w:val="FFFFFF"/>
              </w:rPr>
              <w:t>Corporate and</w:t>
            </w:r>
          </w:p>
        </w:tc>
        <w:tc>
          <w:tcPr>
            <w:tcW w:w="1440" w:type="dxa"/>
            <w:vAlign w:val="bottom"/>
            <w:tcBorders>
              <w:right w:val="single" w:sz="8" w:color="0C479D"/>
            </w:tcBorders>
            <w:gridSpan w:val="3"/>
            <w:vMerge w:val="restart"/>
            <w:shd w:val="clear" w:color="auto" w:fill="0C479D"/>
          </w:tcPr>
          <w:p>
            <w:pPr>
              <w:ind w:left="220"/>
              <w:spacing w:after="0"/>
              <w:rPr>
                <w:sz w:val="20"/>
                <w:szCs w:val="20"/>
                <w:color w:val="auto"/>
              </w:rPr>
            </w:pPr>
            <w:r>
              <w:rPr>
                <w:rFonts w:ascii="Times New Roman" w:cs="Times New Roman" w:eastAsia="Times New Roman" w:hAnsi="Times New Roman"/>
                <w:sz w:val="14"/>
                <w:szCs w:val="14"/>
                <w:b w:val="1"/>
                <w:bCs w:val="1"/>
                <w:color w:val="FFFFFF"/>
              </w:rPr>
              <w:t>Corporate Total</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3020" w:type="dxa"/>
            <w:vAlign w:val="bottom"/>
            <w:vMerge w:val="continue"/>
          </w:tcPr>
          <w:p>
            <w:pPr>
              <w:spacing w:after="0"/>
              <w:rPr>
                <w:sz w:val="11"/>
                <w:szCs w:val="11"/>
                <w:color w:val="auto"/>
              </w:rPr>
            </w:pPr>
          </w:p>
        </w:tc>
        <w:tc>
          <w:tcPr>
            <w:tcW w:w="180" w:type="dxa"/>
            <w:vAlign w:val="bottom"/>
            <w:shd w:val="clear" w:color="auto" w:fill="0C479D"/>
          </w:tcPr>
          <w:p>
            <w:pPr>
              <w:spacing w:after="0"/>
              <w:rPr>
                <w:sz w:val="11"/>
                <w:szCs w:val="11"/>
                <w:color w:val="auto"/>
              </w:rPr>
            </w:pPr>
          </w:p>
        </w:tc>
        <w:tc>
          <w:tcPr>
            <w:tcW w:w="1300" w:type="dxa"/>
            <w:vAlign w:val="bottom"/>
            <w:tcBorders>
              <w:right w:val="single" w:sz="8" w:color="0C479D"/>
            </w:tcBorders>
            <w:gridSpan w:val="3"/>
            <w:vMerge w:val="continue"/>
            <w:shd w:val="clear" w:color="auto" w:fill="0C479D"/>
          </w:tcPr>
          <w:p>
            <w:pPr>
              <w:spacing w:after="0"/>
              <w:rPr>
                <w:sz w:val="11"/>
                <w:szCs w:val="11"/>
                <w:color w:val="auto"/>
              </w:rPr>
            </w:pPr>
          </w:p>
        </w:tc>
        <w:tc>
          <w:tcPr>
            <w:tcW w:w="1500" w:type="dxa"/>
            <w:vAlign w:val="bottom"/>
            <w:gridSpan w:val="2"/>
            <w:vMerge w:val="restart"/>
            <w:shd w:val="clear" w:color="auto" w:fill="0C479D"/>
          </w:tcPr>
          <w:p>
            <w:pPr>
              <w:jc w:val="right"/>
              <w:ind w:right="380"/>
              <w:spacing w:after="0"/>
              <w:rPr>
                <w:sz w:val="20"/>
                <w:szCs w:val="20"/>
                <w:color w:val="auto"/>
              </w:rPr>
            </w:pPr>
            <w:r>
              <w:rPr>
                <w:rFonts w:ascii="Times New Roman" w:cs="Times New Roman" w:eastAsia="Times New Roman" w:hAnsi="Times New Roman"/>
                <w:sz w:val="14"/>
                <w:szCs w:val="14"/>
                <w:b w:val="1"/>
                <w:bCs w:val="1"/>
                <w:color w:val="FFFFFF"/>
              </w:rPr>
              <w:t>Financing</w:t>
            </w:r>
          </w:p>
        </w:tc>
        <w:tc>
          <w:tcPr>
            <w:tcW w:w="1440" w:type="dxa"/>
            <w:vAlign w:val="bottom"/>
            <w:tcBorders>
              <w:right w:val="single" w:sz="8" w:color="0C479D"/>
            </w:tcBorders>
            <w:gridSpan w:val="3"/>
            <w:vMerge w:val="continue"/>
            <w:shd w:val="clear" w:color="auto" w:fill="0C479D"/>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3020" w:type="dxa"/>
            <w:vAlign w:val="bottom"/>
          </w:tcPr>
          <w:p>
            <w:pPr>
              <w:spacing w:after="0"/>
              <w:rPr>
                <w:sz w:val="5"/>
                <w:szCs w:val="5"/>
                <w:color w:val="auto"/>
              </w:rPr>
            </w:pPr>
          </w:p>
        </w:tc>
        <w:tc>
          <w:tcPr>
            <w:tcW w:w="180" w:type="dxa"/>
            <w:vAlign w:val="bottom"/>
            <w:tcBorders>
              <w:bottom w:val="single" w:sz="8" w:color="0C479D"/>
            </w:tcBorders>
            <w:shd w:val="clear" w:color="auto" w:fill="0C479D"/>
          </w:tcPr>
          <w:p>
            <w:pPr>
              <w:spacing w:after="0"/>
              <w:rPr>
                <w:sz w:val="5"/>
                <w:szCs w:val="5"/>
                <w:color w:val="auto"/>
              </w:rPr>
            </w:pPr>
          </w:p>
        </w:tc>
        <w:tc>
          <w:tcPr>
            <w:tcW w:w="500" w:type="dxa"/>
            <w:vAlign w:val="bottom"/>
            <w:tcBorders>
              <w:bottom w:val="single" w:sz="8" w:color="0C479D"/>
            </w:tcBorders>
            <w:shd w:val="clear" w:color="auto" w:fill="0C479D"/>
          </w:tcPr>
          <w:p>
            <w:pPr>
              <w:spacing w:after="0"/>
              <w:rPr>
                <w:sz w:val="5"/>
                <w:szCs w:val="5"/>
                <w:color w:val="auto"/>
              </w:rPr>
            </w:pPr>
          </w:p>
        </w:tc>
        <w:tc>
          <w:tcPr>
            <w:tcW w:w="60" w:type="dxa"/>
            <w:vAlign w:val="bottom"/>
            <w:tcBorders>
              <w:bottom w:val="single" w:sz="8" w:color="0C479D"/>
            </w:tcBorders>
            <w:shd w:val="clear" w:color="auto" w:fill="0C479D"/>
          </w:tcPr>
          <w:p>
            <w:pPr>
              <w:spacing w:after="0"/>
              <w:rPr>
                <w:sz w:val="5"/>
                <w:szCs w:val="5"/>
                <w:color w:val="auto"/>
              </w:rPr>
            </w:pPr>
          </w:p>
        </w:tc>
        <w:tc>
          <w:tcPr>
            <w:tcW w:w="740" w:type="dxa"/>
            <w:vAlign w:val="bottom"/>
            <w:tcBorders>
              <w:bottom w:val="single" w:sz="8" w:color="0C479D"/>
              <w:right w:val="single" w:sz="8" w:color="0C479D"/>
            </w:tcBorders>
            <w:shd w:val="clear" w:color="auto" w:fill="0C479D"/>
          </w:tcPr>
          <w:p>
            <w:pPr>
              <w:spacing w:after="0"/>
              <w:rPr>
                <w:sz w:val="5"/>
                <w:szCs w:val="5"/>
                <w:color w:val="auto"/>
              </w:rPr>
            </w:pPr>
          </w:p>
        </w:tc>
        <w:tc>
          <w:tcPr>
            <w:tcW w:w="1500" w:type="dxa"/>
            <w:vAlign w:val="bottom"/>
            <w:tcBorders>
              <w:bottom w:val="single" w:sz="8" w:color="0C479D"/>
            </w:tcBorders>
            <w:gridSpan w:val="2"/>
            <w:vMerge w:val="continue"/>
            <w:shd w:val="clear" w:color="auto" w:fill="0C479D"/>
          </w:tcPr>
          <w:p>
            <w:pPr>
              <w:spacing w:after="0"/>
              <w:rPr>
                <w:sz w:val="5"/>
                <w:szCs w:val="5"/>
                <w:color w:val="auto"/>
              </w:rPr>
            </w:pPr>
          </w:p>
        </w:tc>
        <w:tc>
          <w:tcPr>
            <w:tcW w:w="680" w:type="dxa"/>
            <w:vAlign w:val="bottom"/>
            <w:tcBorders>
              <w:bottom w:val="single" w:sz="8" w:color="0C479D"/>
            </w:tcBorders>
            <w:shd w:val="clear" w:color="auto" w:fill="0C479D"/>
          </w:tcPr>
          <w:p>
            <w:pPr>
              <w:spacing w:after="0"/>
              <w:rPr>
                <w:sz w:val="5"/>
                <w:szCs w:val="5"/>
                <w:color w:val="auto"/>
              </w:rPr>
            </w:pPr>
          </w:p>
        </w:tc>
        <w:tc>
          <w:tcPr>
            <w:tcW w:w="40" w:type="dxa"/>
            <w:vAlign w:val="bottom"/>
            <w:tcBorders>
              <w:bottom w:val="single" w:sz="8" w:color="0C479D"/>
            </w:tcBorders>
            <w:shd w:val="clear" w:color="auto" w:fill="0C479D"/>
          </w:tcPr>
          <w:p>
            <w:pPr>
              <w:spacing w:after="0"/>
              <w:rPr>
                <w:sz w:val="5"/>
                <w:szCs w:val="5"/>
                <w:color w:val="auto"/>
              </w:rPr>
            </w:pPr>
          </w:p>
        </w:tc>
        <w:tc>
          <w:tcPr>
            <w:tcW w:w="720" w:type="dxa"/>
            <w:vAlign w:val="bottom"/>
            <w:tcBorders>
              <w:bottom w:val="single" w:sz="8" w:color="0C479D"/>
              <w:right w:val="single" w:sz="8" w:color="0C479D"/>
            </w:tcBorders>
            <w:shd w:val="clear" w:color="auto" w:fill="0C479D"/>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Additions to property, plant and equipment </w:t>
            </w:r>
            <w:r>
              <w:rPr>
                <w:rFonts w:ascii="Times New Roman" w:cs="Times New Roman" w:eastAsia="Times New Roman" w:hAnsi="Times New Roman"/>
                <w:sz w:val="21"/>
                <w:szCs w:val="21"/>
                <w:i w:val="1"/>
                <w:iCs w:val="1"/>
                <w:color w:val="auto"/>
                <w:vertAlign w:val="superscript"/>
              </w:rPr>
              <w:t>(3)</w:t>
            </w:r>
          </w:p>
        </w:tc>
        <w:tc>
          <w:tcPr>
            <w:tcW w:w="180" w:type="dxa"/>
            <w:vAlign w:val="bottom"/>
            <w:shd w:val="clear" w:color="auto" w:fill="F0F0F0"/>
          </w:tcPr>
          <w:p>
            <w:pPr>
              <w:spacing w:after="0"/>
              <w:rPr>
                <w:sz w:val="18"/>
                <w:szCs w:val="18"/>
                <w:color w:val="auto"/>
              </w:rPr>
            </w:pPr>
          </w:p>
        </w:tc>
        <w:tc>
          <w:tcPr>
            <w:tcW w:w="500" w:type="dxa"/>
            <w:vAlign w:val="bottom"/>
            <w:shd w:val="clear" w:color="auto" w:fill="F0F0F0"/>
          </w:tcPr>
          <w:p>
            <w:pPr>
              <w:spacing w:after="0"/>
              <w:rPr>
                <w:sz w:val="18"/>
                <w:szCs w:val="18"/>
                <w:color w:val="auto"/>
              </w:rPr>
            </w:pPr>
          </w:p>
        </w:tc>
        <w:tc>
          <w:tcPr>
            <w:tcW w:w="60" w:type="dxa"/>
            <w:vAlign w:val="bottom"/>
            <w:shd w:val="clear" w:color="auto" w:fill="F0F0F0"/>
          </w:tcPr>
          <w:p>
            <w:pPr>
              <w:spacing w:after="0"/>
              <w:rPr>
                <w:sz w:val="18"/>
                <w:szCs w:val="18"/>
                <w:color w:val="auto"/>
              </w:rPr>
            </w:pPr>
          </w:p>
        </w:tc>
        <w:tc>
          <w:tcPr>
            <w:tcW w:w="740" w:type="dxa"/>
            <w:vAlign w:val="bottom"/>
            <w:tcBorders>
              <w:right w:val="single" w:sz="8" w:color="F0F0F0"/>
            </w:tcBorders>
            <w:shd w:val="clear" w:color="auto" w:fill="F0F0F0"/>
          </w:tcPr>
          <w:p>
            <w:pPr>
              <w:jc w:val="right"/>
              <w:ind w:right="20"/>
              <w:spacing w:after="0"/>
              <w:rPr>
                <w:sz w:val="20"/>
                <w:szCs w:val="20"/>
                <w:color w:val="auto"/>
              </w:rPr>
            </w:pPr>
            <w:r>
              <w:rPr>
                <w:rFonts w:ascii="Times New Roman" w:cs="Times New Roman" w:eastAsia="Times New Roman" w:hAnsi="Times New Roman"/>
                <w:sz w:val="16"/>
                <w:szCs w:val="16"/>
                <w:color w:val="auto"/>
              </w:rPr>
              <w:t>17,441</w:t>
            </w:r>
          </w:p>
        </w:tc>
        <w:tc>
          <w:tcPr>
            <w:tcW w:w="740" w:type="dxa"/>
            <w:vAlign w:val="bottom"/>
          </w:tcPr>
          <w:p>
            <w:pPr>
              <w:spacing w:after="0"/>
              <w:rPr>
                <w:sz w:val="18"/>
                <w:szCs w:val="18"/>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897</w:t>
            </w:r>
          </w:p>
        </w:tc>
        <w:tc>
          <w:tcPr>
            <w:tcW w:w="680" w:type="dxa"/>
            <w:vAlign w:val="bottom"/>
            <w:shd w:val="clear" w:color="auto" w:fill="DCDDDE"/>
          </w:tcPr>
          <w:p>
            <w:pPr>
              <w:spacing w:after="0"/>
              <w:rPr>
                <w:sz w:val="18"/>
                <w:szCs w:val="18"/>
                <w:color w:val="auto"/>
              </w:rPr>
            </w:pPr>
          </w:p>
        </w:tc>
        <w:tc>
          <w:tcPr>
            <w:tcW w:w="40" w:type="dxa"/>
            <w:vAlign w:val="bottom"/>
            <w:shd w:val="clear" w:color="auto" w:fill="DCDDDE"/>
          </w:tcPr>
          <w:p>
            <w:pPr>
              <w:spacing w:after="0"/>
              <w:rPr>
                <w:sz w:val="18"/>
                <w:szCs w:val="18"/>
                <w:color w:val="auto"/>
              </w:rPr>
            </w:pPr>
          </w:p>
        </w:tc>
        <w:tc>
          <w:tcPr>
            <w:tcW w:w="720" w:type="dxa"/>
            <w:vAlign w:val="bottom"/>
            <w:tcBorders>
              <w:right w:val="single" w:sz="8" w:color="DCDDDE"/>
            </w:tcBorders>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18,338</w:t>
            </w: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Investments in equity companies</w:t>
            </w:r>
          </w:p>
        </w:tc>
        <w:tc>
          <w:tcPr>
            <w:tcW w:w="180" w:type="dxa"/>
            <w:vAlign w:val="bottom"/>
            <w:shd w:val="clear" w:color="auto" w:fill="F0F0F0"/>
          </w:tcPr>
          <w:p>
            <w:pPr>
              <w:spacing w:after="0"/>
              <w:rPr>
                <w:sz w:val="18"/>
                <w:szCs w:val="18"/>
                <w:color w:val="auto"/>
              </w:rPr>
            </w:pPr>
          </w:p>
        </w:tc>
        <w:tc>
          <w:tcPr>
            <w:tcW w:w="500" w:type="dxa"/>
            <w:vAlign w:val="bottom"/>
            <w:shd w:val="clear" w:color="auto" w:fill="F0F0F0"/>
          </w:tcPr>
          <w:p>
            <w:pPr>
              <w:spacing w:after="0"/>
              <w:rPr>
                <w:sz w:val="18"/>
                <w:szCs w:val="18"/>
                <w:color w:val="auto"/>
              </w:rPr>
            </w:pPr>
          </w:p>
        </w:tc>
        <w:tc>
          <w:tcPr>
            <w:tcW w:w="60" w:type="dxa"/>
            <w:vAlign w:val="bottom"/>
            <w:shd w:val="clear" w:color="auto" w:fill="F0F0F0"/>
          </w:tcPr>
          <w:p>
            <w:pPr>
              <w:spacing w:after="0"/>
              <w:rPr>
                <w:sz w:val="18"/>
                <w:szCs w:val="18"/>
                <w:color w:val="auto"/>
              </w:rPr>
            </w:pPr>
          </w:p>
        </w:tc>
        <w:tc>
          <w:tcPr>
            <w:tcW w:w="740" w:type="dxa"/>
            <w:vAlign w:val="bottom"/>
            <w:tcBorders>
              <w:right w:val="single" w:sz="8" w:color="F0F0F0"/>
            </w:tcBorders>
            <w:shd w:val="clear" w:color="auto" w:fill="F0F0F0"/>
          </w:tcPr>
          <w:p>
            <w:pPr>
              <w:jc w:val="right"/>
              <w:ind w:right="20"/>
              <w:spacing w:after="0"/>
              <w:rPr>
                <w:sz w:val="20"/>
                <w:szCs w:val="20"/>
                <w:color w:val="auto"/>
              </w:rPr>
            </w:pPr>
            <w:r>
              <w:rPr>
                <w:rFonts w:ascii="Times New Roman" w:cs="Times New Roman" w:eastAsia="Times New Roman" w:hAnsi="Times New Roman"/>
                <w:sz w:val="16"/>
                <w:szCs w:val="16"/>
                <w:color w:val="auto"/>
              </w:rPr>
              <w:t>34,635</w:t>
            </w:r>
          </w:p>
        </w:tc>
        <w:tc>
          <w:tcPr>
            <w:tcW w:w="7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680" w:type="dxa"/>
            <w:vAlign w:val="bottom"/>
            <w:shd w:val="clear" w:color="auto" w:fill="DCDDDE"/>
          </w:tcPr>
          <w:p>
            <w:pPr>
              <w:spacing w:after="0"/>
              <w:rPr>
                <w:sz w:val="18"/>
                <w:szCs w:val="18"/>
                <w:color w:val="auto"/>
              </w:rPr>
            </w:pPr>
          </w:p>
        </w:tc>
        <w:tc>
          <w:tcPr>
            <w:tcW w:w="40" w:type="dxa"/>
            <w:vAlign w:val="bottom"/>
            <w:shd w:val="clear" w:color="auto" w:fill="DCDDDE"/>
          </w:tcPr>
          <w:p>
            <w:pPr>
              <w:spacing w:after="0"/>
              <w:rPr>
                <w:sz w:val="18"/>
                <w:szCs w:val="18"/>
                <w:color w:val="auto"/>
              </w:rPr>
            </w:pPr>
          </w:p>
        </w:tc>
        <w:tc>
          <w:tcPr>
            <w:tcW w:w="720" w:type="dxa"/>
            <w:vAlign w:val="bottom"/>
            <w:tcBorders>
              <w:right w:val="single" w:sz="8" w:color="DCDDDE"/>
            </w:tcBorders>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34,522</w:t>
            </w: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shd w:val="clear" w:color="auto" w:fill="F0F0F0"/>
          </w:tcPr>
          <w:p>
            <w:pPr>
              <w:spacing w:after="0"/>
              <w:rPr>
                <w:sz w:val="19"/>
                <w:szCs w:val="19"/>
                <w:color w:val="auto"/>
              </w:rPr>
            </w:pPr>
          </w:p>
        </w:tc>
        <w:tc>
          <w:tcPr>
            <w:tcW w:w="500" w:type="dxa"/>
            <w:vAlign w:val="bottom"/>
            <w:shd w:val="clear" w:color="auto" w:fill="F0F0F0"/>
          </w:tcPr>
          <w:p>
            <w:pPr>
              <w:spacing w:after="0"/>
              <w:rPr>
                <w:sz w:val="19"/>
                <w:szCs w:val="19"/>
                <w:color w:val="auto"/>
              </w:rPr>
            </w:pPr>
          </w:p>
        </w:tc>
        <w:tc>
          <w:tcPr>
            <w:tcW w:w="60" w:type="dxa"/>
            <w:vAlign w:val="bottom"/>
            <w:shd w:val="clear" w:color="auto" w:fill="F0F0F0"/>
          </w:tcPr>
          <w:p>
            <w:pPr>
              <w:spacing w:after="0"/>
              <w:rPr>
                <w:sz w:val="19"/>
                <w:szCs w:val="19"/>
                <w:color w:val="auto"/>
              </w:rPr>
            </w:pPr>
          </w:p>
        </w:tc>
        <w:tc>
          <w:tcPr>
            <w:tcW w:w="740" w:type="dxa"/>
            <w:vAlign w:val="bottom"/>
            <w:tcBorders>
              <w:right w:val="single" w:sz="8" w:color="F0F0F0"/>
            </w:tcBorders>
            <w:shd w:val="clear" w:color="auto" w:fill="F0F0F0"/>
          </w:tcPr>
          <w:p>
            <w:pPr>
              <w:jc w:val="right"/>
              <w:ind w:right="20"/>
              <w:spacing w:after="0"/>
              <w:rPr>
                <w:sz w:val="20"/>
                <w:szCs w:val="20"/>
                <w:color w:val="auto"/>
              </w:rPr>
            </w:pPr>
            <w:r>
              <w:rPr>
                <w:rFonts w:ascii="Times New Roman" w:cs="Times New Roman" w:eastAsia="Times New Roman" w:hAnsi="Times New Roman"/>
                <w:sz w:val="16"/>
                <w:szCs w:val="16"/>
                <w:color w:val="auto"/>
              </w:rPr>
              <w:t>324,396</w:t>
            </w:r>
          </w:p>
        </w:tc>
        <w:tc>
          <w:tcPr>
            <w:tcW w:w="740" w:type="dxa"/>
            <w:vAlign w:val="bottom"/>
          </w:tcPr>
          <w:p>
            <w:pPr>
              <w:spacing w:after="0"/>
              <w:rPr>
                <w:sz w:val="19"/>
                <w:szCs w:val="19"/>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44,671</w:t>
            </w:r>
          </w:p>
        </w:tc>
        <w:tc>
          <w:tcPr>
            <w:tcW w:w="680" w:type="dxa"/>
            <w:vAlign w:val="bottom"/>
            <w:shd w:val="clear" w:color="auto" w:fill="DCDDDE"/>
          </w:tcPr>
          <w:p>
            <w:pPr>
              <w:spacing w:after="0"/>
              <w:rPr>
                <w:sz w:val="19"/>
                <w:szCs w:val="19"/>
                <w:color w:val="auto"/>
              </w:rPr>
            </w:pPr>
          </w:p>
        </w:tc>
        <w:tc>
          <w:tcPr>
            <w:tcW w:w="40" w:type="dxa"/>
            <w:vAlign w:val="bottom"/>
            <w:shd w:val="clear" w:color="auto" w:fill="DCDDDE"/>
          </w:tcPr>
          <w:p>
            <w:pPr>
              <w:spacing w:after="0"/>
              <w:rPr>
                <w:sz w:val="19"/>
                <w:szCs w:val="19"/>
                <w:color w:val="auto"/>
              </w:rPr>
            </w:pPr>
          </w:p>
        </w:tc>
        <w:tc>
          <w:tcPr>
            <w:tcW w:w="720" w:type="dxa"/>
            <w:vAlign w:val="bottom"/>
            <w:tcBorders>
              <w:right w:val="single" w:sz="8" w:color="DCDDDE"/>
            </w:tcBorders>
            <w:shd w:val="clear" w:color="auto" w:fill="DCDDDE"/>
          </w:tcPr>
          <w:p>
            <w:pPr>
              <w:jc w:val="right"/>
              <w:spacing w:after="0"/>
              <w:rPr>
                <w:sz w:val="20"/>
                <w:szCs w:val="20"/>
                <w:color w:val="auto"/>
              </w:rPr>
            </w:pPr>
            <w:r>
              <w:rPr>
                <w:rFonts w:ascii="Times New Roman" w:cs="Times New Roman" w:eastAsia="Times New Roman" w:hAnsi="Times New Roman"/>
                <w:sz w:val="16"/>
                <w:szCs w:val="16"/>
                <w:b w:val="1"/>
                <w:bCs w:val="1"/>
                <w:color w:val="auto"/>
              </w:rPr>
              <w:t>369,067</w:t>
            </w: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780" w:right="140" w:firstLine="9"/>
        <w:spacing w:after="0" w:line="301" w:lineRule="auto"/>
        <w:tabs>
          <w:tab w:leader="none" w:pos="925" w:val="left"/>
        </w:tabs>
        <w:numPr>
          <w:ilvl w:val="0"/>
          <w:numId w:val="64"/>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Operating expenses, excl. depreciation and depletion includes the following GAAP line items, as reflected on the Income Statement: Production and manufacturing expenses; Selling, general and administrative expenses; Exploration expenses, including dry holes; and Non-service pension and postretirement benefit expense.</w:t>
      </w:r>
    </w:p>
    <w:p>
      <w:pPr>
        <w:spacing w:after="0" w:line="1" w:lineRule="exact"/>
        <w:rPr>
          <w:rFonts w:ascii="Times New Roman" w:cs="Times New Roman" w:eastAsia="Times New Roman" w:hAnsi="Times New Roman"/>
          <w:sz w:val="9"/>
          <w:szCs w:val="9"/>
          <w:i w:val="1"/>
          <w:iCs w:val="1"/>
          <w:color w:val="auto"/>
        </w:rPr>
      </w:pPr>
    </w:p>
    <w:p>
      <w:pPr>
        <w:ind w:left="940" w:hanging="151"/>
        <w:spacing w:after="0"/>
        <w:tabs>
          <w:tab w:leader="none" w:pos="940" w:val="left"/>
        </w:tabs>
        <w:numPr>
          <w:ilvl w:val="0"/>
          <w:numId w:val="64"/>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Primarily Corporate and Financing Interest revenue of $446 million.</w:t>
      </w:r>
    </w:p>
    <w:p>
      <w:pPr>
        <w:spacing w:after="0" w:line="68" w:lineRule="exact"/>
        <w:rPr>
          <w:rFonts w:ascii="Times New Roman" w:cs="Times New Roman" w:eastAsia="Times New Roman" w:hAnsi="Times New Roman"/>
          <w:sz w:val="9"/>
          <w:szCs w:val="9"/>
          <w:i w:val="1"/>
          <w:iCs w:val="1"/>
          <w:color w:val="auto"/>
        </w:rPr>
      </w:pPr>
    </w:p>
    <w:p>
      <w:pPr>
        <w:ind w:left="940" w:hanging="151"/>
        <w:spacing w:after="0"/>
        <w:tabs>
          <w:tab w:leader="none" w:pos="940" w:val="left"/>
        </w:tabs>
        <w:numPr>
          <w:ilvl w:val="0"/>
          <w:numId w:val="64"/>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Includes non-cash additions.</w:t>
      </w:r>
    </w:p>
    <w:p>
      <w:pPr>
        <w:spacing w:after="0" w:line="6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i w:val="1"/>
          <w:iCs w:val="1"/>
          <w:color w:val="auto"/>
        </w:rPr>
        <w:t>Due to rounding, numbers presented may not add up precisely to the totals indicated.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320" w:top="216" w:right="10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22"/>
          <w:szCs w:val="22"/>
          <w:b w:val="1"/>
          <w:bCs w:val="1"/>
          <w:color w:val="0C479D"/>
        </w:rPr>
        <w:t>NOTES TO CONSOLIDATED FINANCIAL STATEMENTS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479D"/>
        </w:rPr>
        <w:t>Revenue from Contracts with Customers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and other operating revenue include both revenue within the scope of ASC 606 and outside the scope of ASC 606. Revenue outside the scope of ASC 606 primarily relates to physically settled commodity contracts accounted for as derivatives. Contractual terms, credit quality, and type of customer are generally similar between contracts within the scope of ASC 606 and those outside it.</w:t>
      </w:r>
    </w:p>
    <w:p>
      <w:pPr>
        <w:spacing w:after="0" w:line="7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FFFFFF"/>
        </w:rPr>
        <w:t>Sales and other operating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-114935</wp:posOffset>
            </wp:positionV>
            <wp:extent cx="6163310" cy="2400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163310" cy="2400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0"/>
        </w:trPr>
        <w:tc>
          <w:tcPr>
            <w:tcW w:w="780" w:type="dxa"/>
            <w:vAlign w:val="bottom"/>
          </w:tcPr>
          <w:p>
            <w:pPr>
              <w:spacing w:after="0"/>
              <w:rPr>
                <w:sz w:val="16"/>
                <w:szCs w:val="16"/>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128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FFFFFF"/>
              </w:rPr>
              <w:t>2022</w:t>
            </w:r>
          </w:p>
        </w:tc>
        <w:tc>
          <w:tcPr>
            <w:tcW w:w="0" w:type="dxa"/>
            <w:vAlign w:val="bottom"/>
          </w:tcPr>
          <w:p>
            <w:pPr>
              <w:spacing w:after="0"/>
              <w:rPr>
                <w:sz w:val="1"/>
                <w:szCs w:val="1"/>
                <w:color w:val="auto"/>
              </w:rPr>
            </w:pPr>
          </w:p>
        </w:tc>
      </w:tr>
      <w:tr>
        <w:trPr>
          <w:trHeight w:val="505"/>
        </w:trPr>
        <w:tc>
          <w:tcPr>
            <w:tcW w:w="780" w:type="dxa"/>
            <w:vAlign w:val="bottom"/>
          </w:tcPr>
          <w:p>
            <w:pPr>
              <w:spacing w:after="0"/>
              <w:rPr>
                <w:sz w:val="24"/>
                <w:szCs w:val="24"/>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9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245,143</w:t>
            </w:r>
          </w:p>
        </w:tc>
        <w:tc>
          <w:tcPr>
            <w:tcW w:w="128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256,455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304,758</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658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color w:val="auto"/>
              </w:rPr>
              <w:t>Revenue outside the scope of ASC 606</w:t>
            </w:r>
          </w:p>
        </w:tc>
        <w:tc>
          <w:tcPr>
            <w:tcW w:w="9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94,104</w:t>
            </w:r>
          </w:p>
        </w:tc>
        <w:tc>
          <w:tcPr>
            <w:tcW w:w="1280" w:type="dxa"/>
            <w:vAlign w:val="bottom"/>
            <w:tcBorders>
              <w:bottom w:val="single" w:sz="8" w:color="0C479D"/>
            </w:tcBorders>
          </w:tcPr>
          <w:p>
            <w:pPr>
              <w:jc w:val="right"/>
              <w:ind w:right="193"/>
              <w:spacing w:after="0"/>
              <w:rPr>
                <w:sz w:val="20"/>
                <w:szCs w:val="20"/>
                <w:color w:val="auto"/>
              </w:rPr>
            </w:pPr>
            <w:r>
              <w:rPr>
                <w:rFonts w:ascii="Times New Roman" w:cs="Times New Roman" w:eastAsia="Times New Roman" w:hAnsi="Times New Roman"/>
                <w:sz w:val="18"/>
                <w:szCs w:val="18"/>
                <w:color w:val="auto"/>
              </w:rPr>
              <w:t>78,242</w:t>
            </w:r>
          </w:p>
        </w:tc>
        <w:tc>
          <w:tcPr>
            <w:tcW w:w="8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93,917</w:t>
            </w: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658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339,247</w:t>
            </w:r>
          </w:p>
        </w:tc>
        <w:tc>
          <w:tcPr>
            <w:tcW w:w="1280" w:type="dxa"/>
            <w:vAlign w:val="bottom"/>
            <w:tcBorders>
              <w:bottom w:val="single" w:sz="8" w:color="0C479D"/>
            </w:tcBorders>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334,697</w:t>
            </w:r>
          </w:p>
        </w:tc>
        <w:tc>
          <w:tcPr>
            <w:tcW w:w="8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398,675</w:t>
            </w:r>
          </w:p>
        </w:tc>
        <w:tc>
          <w:tcPr>
            <w:tcW w:w="0" w:type="dxa"/>
            <w:vAlign w:val="bottom"/>
          </w:tcPr>
          <w:p>
            <w:pPr>
              <w:spacing w:after="0"/>
              <w:rPr>
                <w:sz w:val="1"/>
                <w:szCs w:val="1"/>
                <w:color w:val="auto"/>
              </w:rPr>
            </w:pPr>
          </w:p>
        </w:tc>
      </w:tr>
      <w:tr>
        <w:trPr>
          <w:trHeight w:val="723"/>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C479D"/>
              </w:rPr>
              <w:t>Geographic</w:t>
            </w:r>
          </w:p>
        </w:tc>
        <w:tc>
          <w:tcPr>
            <w:tcW w:w="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780" w:type="dxa"/>
            <w:vAlign w:val="bottom"/>
          </w:tcPr>
          <w:p>
            <w:pPr>
              <w:spacing w:after="0"/>
              <w:rPr>
                <w:sz w:val="9"/>
                <w:szCs w:val="9"/>
                <w:color w:val="auto"/>
              </w:rPr>
            </w:pPr>
          </w:p>
        </w:tc>
        <w:tc>
          <w:tcPr>
            <w:tcW w:w="65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780" w:type="dxa"/>
            <w:vAlign w:val="bottom"/>
          </w:tcPr>
          <w:p>
            <w:pPr>
              <w:spacing w:after="0"/>
              <w:rPr>
                <w:sz w:val="15"/>
                <w:szCs w:val="15"/>
                <w:color w:val="auto"/>
              </w:rPr>
            </w:pPr>
          </w:p>
        </w:tc>
        <w:tc>
          <w:tcPr>
            <w:tcW w:w="6580" w:type="dxa"/>
            <w:vAlign w:val="bottom"/>
            <w:shd w:val="clear" w:color="auto" w:fill="0C479D"/>
          </w:tcPr>
          <w:p>
            <w:pPr>
              <w:spacing w:after="0" w:line="178" w:lineRule="exact"/>
              <w:rPr>
                <w:sz w:val="20"/>
                <w:szCs w:val="20"/>
                <w:color w:val="auto"/>
              </w:rPr>
            </w:pPr>
            <w:r>
              <w:rPr>
                <w:rFonts w:ascii="Times New Roman" w:cs="Times New Roman" w:eastAsia="Times New Roman" w:hAnsi="Times New Roman"/>
                <w:sz w:val="18"/>
                <w:szCs w:val="18"/>
                <w:b w:val="1"/>
                <w:bCs w:val="1"/>
                <w:color w:val="FFFFFF"/>
              </w:rPr>
              <w:t>Sales and other operating revenue</w:t>
            </w:r>
          </w:p>
        </w:tc>
        <w:tc>
          <w:tcPr>
            <w:tcW w:w="960" w:type="dxa"/>
            <w:vAlign w:val="bottom"/>
            <w:vMerge w:val="restart"/>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1280" w:type="dxa"/>
            <w:vAlign w:val="bottom"/>
            <w:vMerge w:val="restart"/>
            <w:shd w:val="clear" w:color="auto" w:fill="0C479D"/>
          </w:tcPr>
          <w:p>
            <w:pPr>
              <w:jc w:val="right"/>
              <w:ind w:right="133"/>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880" w:type="dxa"/>
            <w:vAlign w:val="bottom"/>
            <w:vMerge w:val="restart"/>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2022</w:t>
            </w:r>
          </w:p>
        </w:tc>
        <w:tc>
          <w:tcPr>
            <w:tcW w:w="0" w:type="dxa"/>
            <w:vAlign w:val="bottom"/>
          </w:tcPr>
          <w:p>
            <w:pPr>
              <w:spacing w:after="0"/>
              <w:rPr>
                <w:sz w:val="1"/>
                <w:szCs w:val="1"/>
                <w:color w:val="auto"/>
              </w:rPr>
            </w:pPr>
          </w:p>
        </w:tc>
      </w:tr>
      <w:tr>
        <w:trPr>
          <w:trHeight w:val="200"/>
        </w:trPr>
        <w:tc>
          <w:tcPr>
            <w:tcW w:w="780" w:type="dxa"/>
            <w:vAlign w:val="bottom"/>
          </w:tcPr>
          <w:p>
            <w:pPr>
              <w:spacing w:after="0"/>
              <w:rPr>
                <w:sz w:val="17"/>
                <w:szCs w:val="17"/>
                <w:color w:val="auto"/>
              </w:rPr>
            </w:pPr>
          </w:p>
        </w:tc>
        <w:tc>
          <w:tcPr>
            <w:tcW w:w="6580" w:type="dxa"/>
            <w:vAlign w:val="bottom"/>
            <w:shd w:val="clear" w:color="auto" w:fill="0C479D"/>
          </w:tcPr>
          <w:p>
            <w:pPr>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960" w:type="dxa"/>
            <w:vAlign w:val="bottom"/>
            <w:vMerge w:val="continue"/>
            <w:shd w:val="clear" w:color="auto" w:fill="0C479D"/>
          </w:tcPr>
          <w:p>
            <w:pPr>
              <w:spacing w:after="0"/>
              <w:rPr>
                <w:sz w:val="17"/>
                <w:szCs w:val="17"/>
                <w:color w:val="auto"/>
              </w:rPr>
            </w:pPr>
          </w:p>
        </w:tc>
        <w:tc>
          <w:tcPr>
            <w:tcW w:w="1280" w:type="dxa"/>
            <w:vAlign w:val="bottom"/>
            <w:vMerge w:val="continue"/>
            <w:shd w:val="clear" w:color="auto" w:fill="0C479D"/>
          </w:tcPr>
          <w:p>
            <w:pPr>
              <w:spacing w:after="0"/>
              <w:rPr>
                <w:sz w:val="17"/>
                <w:szCs w:val="17"/>
                <w:color w:val="auto"/>
              </w:rPr>
            </w:pPr>
          </w:p>
        </w:tc>
        <w:tc>
          <w:tcPr>
            <w:tcW w:w="880" w:type="dxa"/>
            <w:vAlign w:val="bottom"/>
            <w:vMerge w:val="continue"/>
            <w:shd w:val="clear" w:color="auto" w:fill="0C479D"/>
          </w:tcPr>
          <w:p>
            <w:pPr>
              <w:spacing w:after="0"/>
              <w:rPr>
                <w:sz w:val="17"/>
                <w:szCs w:val="17"/>
                <w:color w:val="auto"/>
              </w:rPr>
            </w:pPr>
          </w:p>
        </w:tc>
        <w:tc>
          <w:tcPr>
            <w:tcW w:w="0" w:type="dxa"/>
            <w:vAlign w:val="bottom"/>
          </w:tcPr>
          <w:p>
            <w:pPr>
              <w:spacing w:after="0"/>
              <w:rPr>
                <w:sz w:val="1"/>
                <w:szCs w:val="1"/>
                <w:color w:val="auto"/>
              </w:rPr>
            </w:pPr>
          </w:p>
        </w:tc>
      </w:tr>
      <w:tr>
        <w:trPr>
          <w:trHeight w:val="499"/>
        </w:trPr>
        <w:tc>
          <w:tcPr>
            <w:tcW w:w="780" w:type="dxa"/>
            <w:vAlign w:val="bottom"/>
          </w:tcPr>
          <w:p>
            <w:pPr>
              <w:spacing w:after="0"/>
              <w:rPr>
                <w:sz w:val="24"/>
                <w:szCs w:val="24"/>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9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138,657</w:t>
            </w:r>
          </w:p>
        </w:tc>
        <w:tc>
          <w:tcPr>
            <w:tcW w:w="128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127,374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149,225</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658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color w:val="auto"/>
              </w:rPr>
              <w:t>Non-U.S.</w:t>
            </w:r>
          </w:p>
        </w:tc>
        <w:tc>
          <w:tcPr>
            <w:tcW w:w="9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200,590</w:t>
            </w:r>
          </w:p>
        </w:tc>
        <w:tc>
          <w:tcPr>
            <w:tcW w:w="1280" w:type="dxa"/>
            <w:vAlign w:val="bottom"/>
            <w:tcBorders>
              <w:bottom w:val="single" w:sz="8" w:color="0C479D"/>
            </w:tcBorders>
          </w:tcPr>
          <w:p>
            <w:pPr>
              <w:jc w:val="right"/>
              <w:ind w:right="193"/>
              <w:spacing w:after="0"/>
              <w:rPr>
                <w:sz w:val="20"/>
                <w:szCs w:val="20"/>
                <w:color w:val="auto"/>
              </w:rPr>
            </w:pPr>
            <w:r>
              <w:rPr>
                <w:rFonts w:ascii="Times New Roman" w:cs="Times New Roman" w:eastAsia="Times New Roman" w:hAnsi="Times New Roman"/>
                <w:sz w:val="18"/>
                <w:szCs w:val="18"/>
                <w:color w:val="auto"/>
              </w:rPr>
              <w:t>207,323</w:t>
            </w:r>
          </w:p>
        </w:tc>
        <w:tc>
          <w:tcPr>
            <w:tcW w:w="8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249,450</w:t>
            </w: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658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339,247</w:t>
            </w:r>
          </w:p>
        </w:tc>
        <w:tc>
          <w:tcPr>
            <w:tcW w:w="1280" w:type="dxa"/>
            <w:vAlign w:val="bottom"/>
            <w:tcBorders>
              <w:bottom w:val="single" w:sz="8" w:color="0C479D"/>
            </w:tcBorders>
          </w:tcPr>
          <w:p>
            <w:pPr>
              <w:jc w:val="right"/>
              <w:ind w:right="193"/>
              <w:spacing w:after="0"/>
              <w:rPr>
                <w:sz w:val="20"/>
                <w:szCs w:val="20"/>
                <w:color w:val="auto"/>
              </w:rPr>
            </w:pPr>
            <w:r>
              <w:rPr>
                <w:rFonts w:ascii="Times New Roman" w:cs="Times New Roman" w:eastAsia="Times New Roman" w:hAnsi="Times New Roman"/>
                <w:sz w:val="18"/>
                <w:szCs w:val="18"/>
                <w:b w:val="1"/>
                <w:bCs w:val="1"/>
                <w:color w:val="auto"/>
              </w:rPr>
              <w:t>334,697</w:t>
            </w:r>
          </w:p>
        </w:tc>
        <w:tc>
          <w:tcPr>
            <w:tcW w:w="8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398,675</w:t>
            </w:r>
          </w:p>
        </w:tc>
        <w:tc>
          <w:tcPr>
            <w:tcW w:w="0" w:type="dxa"/>
            <w:vAlign w:val="bottom"/>
          </w:tcPr>
          <w:p>
            <w:pPr>
              <w:spacing w:after="0"/>
              <w:rPr>
                <w:sz w:val="1"/>
                <w:szCs w:val="1"/>
                <w:color w:val="auto"/>
              </w:rPr>
            </w:pPr>
          </w:p>
        </w:tc>
      </w:tr>
      <w:tr>
        <w:trPr>
          <w:trHeight w:val="344"/>
        </w:trPr>
        <w:tc>
          <w:tcPr>
            <w:tcW w:w="780" w:type="dxa"/>
            <w:vAlign w:val="bottom"/>
          </w:tcPr>
          <w:p>
            <w:pPr>
              <w:spacing w:after="0"/>
              <w:rPr>
                <w:sz w:val="24"/>
                <w:szCs w:val="24"/>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0C479D"/>
              </w:rPr>
              <w:t xml:space="preserve">Significant non-U.S. revenue sources include: </w:t>
            </w:r>
            <w:r>
              <w:rPr>
                <w:rFonts w:ascii="Times New Roman" w:cs="Times New Roman" w:eastAsia="Times New Roman" w:hAnsi="Times New Roman"/>
                <w:sz w:val="9"/>
                <w:szCs w:val="9"/>
                <w:b w:val="1"/>
                <w:bCs w:val="1"/>
                <w:i w:val="1"/>
                <w:iCs w:val="1"/>
                <w:color w:val="0C479D"/>
              </w:rPr>
              <w:t>(1)</w:t>
            </w:r>
          </w:p>
        </w:tc>
        <w:tc>
          <w:tcPr>
            <w:tcW w:w="960" w:type="dxa"/>
            <w:vAlign w:val="bottom"/>
            <w:shd w:val="clear" w:color="auto" w:fill="F0F0F0"/>
          </w:tcPr>
          <w:p>
            <w:pPr>
              <w:spacing w:after="0"/>
              <w:rPr>
                <w:sz w:val="24"/>
                <w:szCs w:val="24"/>
                <w:color w:val="auto"/>
              </w:rPr>
            </w:pPr>
          </w:p>
        </w:tc>
        <w:tc>
          <w:tcPr>
            <w:tcW w:w="1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9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29,746</w:t>
            </w:r>
          </w:p>
        </w:tc>
        <w:tc>
          <w:tcPr>
            <w:tcW w:w="128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28,994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32,970</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9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20,580</w:t>
            </w:r>
          </w:p>
        </w:tc>
        <w:tc>
          <w:tcPr>
            <w:tcW w:w="128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23,372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33,988</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c>
          <w:tcPr>
            <w:tcW w:w="9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15,724</w:t>
            </w:r>
          </w:p>
        </w:tc>
        <w:tc>
          <w:tcPr>
            <w:tcW w:w="128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15,331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19,029</w:t>
            </w:r>
          </w:p>
        </w:tc>
        <w:tc>
          <w:tcPr>
            <w:tcW w:w="0" w:type="dxa"/>
            <w:vAlign w:val="bottom"/>
          </w:tcPr>
          <w:p>
            <w:pPr>
              <w:spacing w:after="0"/>
              <w:rPr>
                <w:sz w:val="1"/>
                <w:szCs w:val="1"/>
                <w:color w:val="auto"/>
              </w:rPr>
            </w:pPr>
          </w:p>
        </w:tc>
      </w:tr>
      <w:tr>
        <w:trPr>
          <w:trHeight w:val="263"/>
        </w:trPr>
        <w:tc>
          <w:tcPr>
            <w:tcW w:w="780" w:type="dxa"/>
            <w:vAlign w:val="bottom"/>
          </w:tcPr>
          <w:p>
            <w:pPr>
              <w:spacing w:after="0"/>
              <w:rPr>
                <w:sz w:val="22"/>
                <w:szCs w:val="22"/>
                <w:color w:val="auto"/>
              </w:rPr>
            </w:pPr>
          </w:p>
        </w:tc>
        <w:tc>
          <w:tcPr>
            <w:tcW w:w="658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color w:val="auto"/>
              </w:rPr>
              <w:t>France</w:t>
            </w:r>
          </w:p>
        </w:tc>
        <w:tc>
          <w:tcPr>
            <w:tcW w:w="9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13,743</w:t>
            </w:r>
          </w:p>
        </w:tc>
        <w:tc>
          <w:tcPr>
            <w:tcW w:w="1280" w:type="dxa"/>
            <w:vAlign w:val="bottom"/>
            <w:tcBorders>
              <w:bottom w:val="single" w:sz="8" w:color="0C479D"/>
            </w:tcBorders>
          </w:tcPr>
          <w:p>
            <w:pPr>
              <w:jc w:val="right"/>
              <w:ind w:right="193"/>
              <w:spacing w:after="0"/>
              <w:rPr>
                <w:sz w:val="20"/>
                <w:szCs w:val="20"/>
                <w:color w:val="auto"/>
              </w:rPr>
            </w:pPr>
            <w:r>
              <w:rPr>
                <w:rFonts w:ascii="Times New Roman" w:cs="Times New Roman" w:eastAsia="Times New Roman" w:hAnsi="Times New Roman"/>
                <w:sz w:val="18"/>
                <w:szCs w:val="18"/>
                <w:color w:val="auto"/>
              </w:rPr>
              <w:t>14,803</w:t>
            </w:r>
          </w:p>
        </w:tc>
        <w:tc>
          <w:tcPr>
            <w:tcW w:w="8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17,727</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780" w:right="780" w:firstLine="9"/>
        <w:spacing w:after="0" w:line="305" w:lineRule="auto"/>
        <w:tabs>
          <w:tab w:leader="none" w:pos="927" w:val="left"/>
        </w:tabs>
        <w:numPr>
          <w:ilvl w:val="0"/>
          <w:numId w:val="65"/>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Revenue is determined by primary country of operations. Excludes certain sales and other operating revenues in Non-U.S. operations where attribution to a specific country is not practicable.</w:t>
      </w:r>
    </w:p>
    <w:p>
      <w:pPr>
        <w:spacing w:after="0" w:line="259" w:lineRule="exact"/>
        <w:rPr>
          <w:sz w:val="20"/>
          <w:szCs w:val="20"/>
          <w:color w:val="auto"/>
        </w:rPr>
      </w:pPr>
    </w:p>
    <w:tbl>
      <w:tblPr>
        <w:tblLayout w:type="fixed"/>
        <w:tblInd w:w="780" w:type="dxa"/>
        <w:tblCellMar>
          <w:top w:w="0" w:type="dxa"/>
          <w:left w:w="0" w:type="dxa"/>
          <w:bottom w:w="0" w:type="dxa"/>
          <w:right w:w="0" w:type="dxa"/>
        </w:tblCellMar>
      </w:tblPr>
      <w:tr>
        <w:trPr>
          <w:trHeight w:val="207"/>
        </w:trPr>
        <w:tc>
          <w:tcPr>
            <w:tcW w:w="6580" w:type="dxa"/>
            <w:vAlign w:val="bottom"/>
            <w:shd w:val="clear" w:color="auto" w:fill="0C479D"/>
          </w:tcPr>
          <w:p>
            <w:pPr>
              <w:spacing w:after="0"/>
              <w:rPr>
                <w:sz w:val="20"/>
                <w:szCs w:val="20"/>
                <w:color w:val="auto"/>
              </w:rPr>
            </w:pPr>
            <w:r>
              <w:rPr>
                <w:rFonts w:ascii="Times New Roman" w:cs="Times New Roman" w:eastAsia="Times New Roman" w:hAnsi="Times New Roman"/>
                <w:sz w:val="18"/>
                <w:szCs w:val="18"/>
                <w:b w:val="1"/>
                <w:bCs w:val="1"/>
                <w:color w:val="FFFFFF"/>
              </w:rPr>
              <w:t>Long-lived assets</w:t>
            </w:r>
          </w:p>
        </w:tc>
        <w:tc>
          <w:tcPr>
            <w:tcW w:w="960" w:type="dxa"/>
            <w:vAlign w:val="bottom"/>
            <w:shd w:val="clear" w:color="auto" w:fill="0C479D"/>
          </w:tcPr>
          <w:p>
            <w:pPr>
              <w:spacing w:after="0"/>
              <w:rPr>
                <w:sz w:val="18"/>
                <w:szCs w:val="18"/>
                <w:color w:val="auto"/>
              </w:rPr>
            </w:pPr>
          </w:p>
        </w:tc>
        <w:tc>
          <w:tcPr>
            <w:tcW w:w="1280" w:type="dxa"/>
            <w:vAlign w:val="bottom"/>
            <w:shd w:val="clear" w:color="auto" w:fill="0C479D"/>
          </w:tcPr>
          <w:p>
            <w:pPr>
              <w:jc w:val="right"/>
              <w:ind w:right="174"/>
              <w:spacing w:after="0"/>
              <w:rPr>
                <w:sz w:val="20"/>
                <w:szCs w:val="20"/>
                <w:color w:val="auto"/>
              </w:rPr>
            </w:pPr>
            <w:r>
              <w:rPr>
                <w:rFonts w:ascii="Times New Roman" w:cs="Times New Roman" w:eastAsia="Times New Roman" w:hAnsi="Times New Roman"/>
                <w:sz w:val="14"/>
                <w:szCs w:val="14"/>
                <w:b w:val="1"/>
                <w:bCs w:val="1"/>
                <w:color w:val="FFFFFF"/>
              </w:rPr>
              <w:t>December 31,</w:t>
            </w:r>
          </w:p>
        </w:tc>
        <w:tc>
          <w:tcPr>
            <w:tcW w:w="880" w:type="dxa"/>
            <w:vAlign w:val="bottom"/>
            <w:shd w:val="clear" w:color="auto" w:fill="0C479D"/>
          </w:tcPr>
          <w:p>
            <w:pPr>
              <w:spacing w:after="0"/>
              <w:rPr>
                <w:sz w:val="18"/>
                <w:szCs w:val="18"/>
                <w:color w:val="auto"/>
              </w:rPr>
            </w:pPr>
          </w:p>
        </w:tc>
      </w:tr>
      <w:tr>
        <w:trPr>
          <w:trHeight w:val="210"/>
        </w:trPr>
        <w:tc>
          <w:tcPr>
            <w:tcW w:w="6580" w:type="dxa"/>
            <w:vAlign w:val="bottom"/>
            <w:tcBorders>
              <w:bottom w:val="single" w:sz="8" w:color="0C479D"/>
            </w:tcBorders>
            <w:shd w:val="clear" w:color="auto" w:fill="0C479D"/>
          </w:tcPr>
          <w:p>
            <w:pPr>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960" w:type="dxa"/>
            <w:vAlign w:val="bottom"/>
            <w:tcBorders>
              <w:bottom w:val="single" w:sz="8" w:color="0C479D"/>
            </w:tcBorders>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1280" w:type="dxa"/>
            <w:vAlign w:val="bottom"/>
            <w:tcBorders>
              <w:bottom w:val="single" w:sz="8" w:color="0C479D"/>
            </w:tcBorders>
            <w:shd w:val="clear" w:color="auto" w:fill="0C479D"/>
          </w:tcPr>
          <w:p>
            <w:pPr>
              <w:jc w:val="right"/>
              <w:ind w:right="134"/>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880" w:type="dxa"/>
            <w:vAlign w:val="bottom"/>
            <w:tcBorders>
              <w:bottom w:val="single" w:sz="8" w:color="0C479D"/>
            </w:tcBorders>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2022</w:t>
            </w:r>
          </w:p>
        </w:tc>
      </w:tr>
      <w:tr>
        <w:trPr>
          <w:trHeight w:val="500"/>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9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178,633</w:t>
            </w:r>
          </w:p>
        </w:tc>
        <w:tc>
          <w:tcPr>
            <w:tcW w:w="128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95,792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90,051</w:t>
            </w:r>
          </w:p>
        </w:tc>
      </w:tr>
      <w:tr>
        <w:trPr>
          <w:trHeight w:val="270"/>
        </w:trPr>
        <w:tc>
          <w:tcPr>
            <w:tcW w:w="658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color w:val="auto"/>
              </w:rPr>
              <w:t>Non-U.S.</w:t>
            </w:r>
          </w:p>
        </w:tc>
        <w:tc>
          <w:tcPr>
            <w:tcW w:w="9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115,685</w:t>
            </w:r>
          </w:p>
        </w:tc>
        <w:tc>
          <w:tcPr>
            <w:tcW w:w="1280" w:type="dxa"/>
            <w:vAlign w:val="bottom"/>
            <w:tcBorders>
              <w:bottom w:val="single" w:sz="8" w:color="0C479D"/>
            </w:tcBorders>
          </w:tcPr>
          <w:p>
            <w:pPr>
              <w:jc w:val="right"/>
              <w:ind w:right="194"/>
              <w:spacing w:after="0"/>
              <w:rPr>
                <w:sz w:val="20"/>
                <w:szCs w:val="20"/>
                <w:color w:val="auto"/>
              </w:rPr>
            </w:pPr>
            <w:r>
              <w:rPr>
                <w:rFonts w:ascii="Times New Roman" w:cs="Times New Roman" w:eastAsia="Times New Roman" w:hAnsi="Times New Roman"/>
                <w:sz w:val="18"/>
                <w:szCs w:val="18"/>
                <w:color w:val="auto"/>
              </w:rPr>
              <w:t>119,148</w:t>
            </w:r>
          </w:p>
        </w:tc>
        <w:tc>
          <w:tcPr>
            <w:tcW w:w="8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114,641</w:t>
            </w:r>
          </w:p>
        </w:tc>
      </w:tr>
      <w:tr>
        <w:trPr>
          <w:trHeight w:val="250"/>
        </w:trPr>
        <w:tc>
          <w:tcPr>
            <w:tcW w:w="658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294,318</w:t>
            </w:r>
          </w:p>
        </w:tc>
        <w:tc>
          <w:tcPr>
            <w:tcW w:w="1280" w:type="dxa"/>
            <w:vAlign w:val="bottom"/>
            <w:tcBorders>
              <w:bottom w:val="single" w:sz="8" w:color="0C479D"/>
            </w:tcBorders>
          </w:tcPr>
          <w:p>
            <w:pPr>
              <w:jc w:val="right"/>
              <w:ind w:right="194"/>
              <w:spacing w:after="0"/>
              <w:rPr>
                <w:sz w:val="20"/>
                <w:szCs w:val="20"/>
                <w:color w:val="auto"/>
              </w:rPr>
            </w:pPr>
            <w:r>
              <w:rPr>
                <w:rFonts w:ascii="Times New Roman" w:cs="Times New Roman" w:eastAsia="Times New Roman" w:hAnsi="Times New Roman"/>
                <w:sz w:val="18"/>
                <w:szCs w:val="18"/>
                <w:b w:val="1"/>
                <w:bCs w:val="1"/>
                <w:color w:val="auto"/>
              </w:rPr>
              <w:t>214,940</w:t>
            </w:r>
          </w:p>
        </w:tc>
        <w:tc>
          <w:tcPr>
            <w:tcW w:w="8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204,692</w:t>
            </w:r>
          </w:p>
        </w:tc>
      </w:tr>
      <w:tr>
        <w:trPr>
          <w:trHeight w:val="345"/>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0C479D"/>
              </w:rPr>
              <w:t>Significant non-U.S. long-lived assets include:</w:t>
            </w:r>
          </w:p>
        </w:tc>
        <w:tc>
          <w:tcPr>
            <w:tcW w:w="960" w:type="dxa"/>
            <w:vAlign w:val="bottom"/>
            <w:shd w:val="clear" w:color="auto" w:fill="F0F0F0"/>
          </w:tcPr>
          <w:p>
            <w:pPr>
              <w:spacing w:after="0"/>
              <w:rPr>
                <w:sz w:val="24"/>
                <w:szCs w:val="24"/>
                <w:color w:val="auto"/>
              </w:rPr>
            </w:pPr>
          </w:p>
        </w:tc>
        <w:tc>
          <w:tcPr>
            <w:tcW w:w="1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9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28,761</w:t>
            </w:r>
          </w:p>
        </w:tc>
        <w:tc>
          <w:tcPr>
            <w:tcW w:w="128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31,682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31,106</w:t>
            </w:r>
          </w:p>
        </w:tc>
      </w:tr>
      <w:tr>
        <w:trPr>
          <w:trHeight w:val="270"/>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c>
          <w:tcPr>
            <w:tcW w:w="9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12,621</w:t>
            </w:r>
          </w:p>
        </w:tc>
        <w:tc>
          <w:tcPr>
            <w:tcW w:w="128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12,490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11,972</w:t>
            </w:r>
          </w:p>
        </w:tc>
      </w:tr>
      <w:tr>
        <w:trPr>
          <w:trHeight w:val="270"/>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Guyana</w:t>
            </w:r>
          </w:p>
        </w:tc>
        <w:tc>
          <w:tcPr>
            <w:tcW w:w="9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12,414</w:t>
            </w:r>
          </w:p>
        </w:tc>
        <w:tc>
          <w:tcPr>
            <w:tcW w:w="128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9,689</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6,766</w:t>
            </w:r>
          </w:p>
        </w:tc>
      </w:tr>
      <w:tr>
        <w:trPr>
          <w:trHeight w:val="263"/>
        </w:trPr>
        <w:tc>
          <w:tcPr>
            <w:tcW w:w="658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color w:val="auto"/>
              </w:rPr>
              <w:t>Australia</w:t>
            </w:r>
          </w:p>
        </w:tc>
        <w:tc>
          <w:tcPr>
            <w:tcW w:w="9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9,818</w:t>
            </w:r>
          </w:p>
        </w:tc>
        <w:tc>
          <w:tcPr>
            <w:tcW w:w="1280" w:type="dxa"/>
            <w:vAlign w:val="bottom"/>
            <w:tcBorders>
              <w:bottom w:val="single" w:sz="8" w:color="0C479D"/>
            </w:tcBorders>
          </w:tcPr>
          <w:p>
            <w:pPr>
              <w:jc w:val="right"/>
              <w:ind w:right="194"/>
              <w:spacing w:after="0"/>
              <w:rPr>
                <w:sz w:val="20"/>
                <w:szCs w:val="20"/>
                <w:color w:val="auto"/>
              </w:rPr>
            </w:pPr>
            <w:r>
              <w:rPr>
                <w:rFonts w:ascii="Times New Roman" w:cs="Times New Roman" w:eastAsia="Times New Roman" w:hAnsi="Times New Roman"/>
                <w:sz w:val="18"/>
                <w:szCs w:val="18"/>
                <w:color w:val="auto"/>
              </w:rPr>
              <w:t>11,212</w:t>
            </w:r>
          </w:p>
        </w:tc>
        <w:tc>
          <w:tcPr>
            <w:tcW w:w="8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11,372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22"/>
          <w:szCs w:val="22"/>
          <w:b w:val="1"/>
          <w:bCs w:val="1"/>
          <w:color w:val="0C479D"/>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C479D"/>
        </w:rPr>
        <w:t>Note 19. Income and Other Taxes</w:t>
      </w:r>
    </w:p>
    <w:p>
      <w:pPr>
        <w:spacing w:after="0" w:line="197" w:lineRule="exact"/>
        <w:rPr>
          <w:sz w:val="20"/>
          <w:szCs w:val="20"/>
          <w:color w:val="auto"/>
        </w:rPr>
      </w:pPr>
    </w:p>
    <w:tbl>
      <w:tblPr>
        <w:tblLayout w:type="fixed"/>
        <w:tblInd w:w="780" w:type="dxa"/>
        <w:tblCellMar>
          <w:top w:w="0" w:type="dxa"/>
          <w:left w:w="0" w:type="dxa"/>
          <w:bottom w:w="0" w:type="dxa"/>
          <w:right w:w="0" w:type="dxa"/>
        </w:tblCellMar>
      </w:tblPr>
      <w:tr>
        <w:trPr>
          <w:trHeight w:val="210"/>
        </w:trPr>
        <w:tc>
          <w:tcPr>
            <w:tcW w:w="2720" w:type="dxa"/>
            <w:vAlign w:val="bottom"/>
            <w:vMerge w:val="restart"/>
            <w:shd w:val="clear" w:color="auto" w:fill="0C479D"/>
          </w:tcPr>
          <w:p>
            <w:pPr>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720" w:type="dxa"/>
            <w:vAlign w:val="bottom"/>
            <w:shd w:val="clear" w:color="auto" w:fill="0C479D"/>
          </w:tcPr>
          <w:p>
            <w:pPr>
              <w:spacing w:after="0"/>
              <w:rPr>
                <w:sz w:val="18"/>
                <w:szCs w:val="18"/>
                <w:color w:val="auto"/>
              </w:rPr>
            </w:pPr>
          </w:p>
        </w:tc>
        <w:tc>
          <w:tcPr>
            <w:tcW w:w="720" w:type="dxa"/>
            <w:vAlign w:val="bottom"/>
            <w:shd w:val="clear" w:color="auto" w:fill="0C479D"/>
          </w:tcPr>
          <w:p>
            <w:pPr>
              <w:jc w:val="right"/>
              <w:ind w:right="113"/>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40" w:type="dxa"/>
            <w:vAlign w:val="bottom"/>
            <w:shd w:val="clear" w:color="auto" w:fill="0C479D"/>
          </w:tcPr>
          <w:p>
            <w:pPr>
              <w:spacing w:after="0"/>
              <w:rPr>
                <w:sz w:val="18"/>
                <w:szCs w:val="18"/>
                <w:color w:val="auto"/>
              </w:rPr>
            </w:pPr>
          </w:p>
        </w:tc>
        <w:tc>
          <w:tcPr>
            <w:tcW w:w="760" w:type="dxa"/>
            <w:vAlign w:val="bottom"/>
            <w:shd w:val="clear" w:color="auto" w:fill="0C479D"/>
          </w:tcPr>
          <w:p>
            <w:pPr>
              <w:spacing w:after="0"/>
              <w:rPr>
                <w:sz w:val="18"/>
                <w:szCs w:val="18"/>
                <w:color w:val="auto"/>
              </w:rPr>
            </w:pPr>
          </w:p>
        </w:tc>
        <w:tc>
          <w:tcPr>
            <w:tcW w:w="840" w:type="dxa"/>
            <w:vAlign w:val="bottom"/>
            <w:shd w:val="clear" w:color="auto" w:fill="0C479D"/>
          </w:tcPr>
          <w:p>
            <w:pPr>
              <w:spacing w:after="0"/>
              <w:rPr>
                <w:sz w:val="18"/>
                <w:szCs w:val="18"/>
                <w:color w:val="auto"/>
              </w:rPr>
            </w:pPr>
          </w:p>
        </w:tc>
        <w:tc>
          <w:tcPr>
            <w:tcW w:w="800" w:type="dxa"/>
            <w:vAlign w:val="bottom"/>
            <w:shd w:val="clear" w:color="auto" w:fill="0C479D"/>
          </w:tcPr>
          <w:p>
            <w:pPr>
              <w:jc w:val="right"/>
              <w:ind w:right="173"/>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820" w:type="dxa"/>
            <w:vAlign w:val="bottom"/>
            <w:shd w:val="clear" w:color="auto" w:fill="0C479D"/>
          </w:tcPr>
          <w:p>
            <w:pPr>
              <w:spacing w:after="0"/>
              <w:rPr>
                <w:sz w:val="18"/>
                <w:szCs w:val="18"/>
                <w:color w:val="auto"/>
              </w:rPr>
            </w:pPr>
          </w:p>
        </w:tc>
        <w:tc>
          <w:tcPr>
            <w:tcW w:w="780" w:type="dxa"/>
            <w:vAlign w:val="bottom"/>
            <w:shd w:val="clear" w:color="auto" w:fill="0C479D"/>
          </w:tcPr>
          <w:p>
            <w:pPr>
              <w:spacing w:after="0"/>
              <w:rPr>
                <w:sz w:val="18"/>
                <w:szCs w:val="18"/>
                <w:color w:val="auto"/>
              </w:rPr>
            </w:pPr>
          </w:p>
        </w:tc>
        <w:tc>
          <w:tcPr>
            <w:tcW w:w="800" w:type="dxa"/>
            <w:vAlign w:val="bottom"/>
            <w:shd w:val="clear" w:color="auto" w:fill="0C479D"/>
          </w:tcPr>
          <w:p>
            <w:pPr>
              <w:jc w:val="right"/>
              <w:ind w:right="213"/>
              <w:spacing w:after="0"/>
              <w:rPr>
                <w:sz w:val="20"/>
                <w:szCs w:val="20"/>
                <w:color w:val="auto"/>
              </w:rPr>
            </w:pPr>
            <w:r>
              <w:rPr>
                <w:rFonts w:ascii="Times New Roman" w:cs="Times New Roman" w:eastAsia="Times New Roman" w:hAnsi="Times New Roman"/>
                <w:sz w:val="14"/>
                <w:szCs w:val="14"/>
                <w:b w:val="1"/>
                <w:bCs w:val="1"/>
                <w:color w:val="FFFFFF"/>
              </w:rPr>
              <w:t>2022</w:t>
            </w:r>
          </w:p>
        </w:tc>
        <w:tc>
          <w:tcPr>
            <w:tcW w:w="700" w:type="dxa"/>
            <w:vAlign w:val="bottom"/>
            <w:shd w:val="clear" w:color="auto" w:fill="0C479D"/>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2720" w:type="dxa"/>
            <w:vAlign w:val="bottom"/>
            <w:vMerge w:val="continue"/>
            <w:shd w:val="clear" w:color="auto" w:fill="0C479D"/>
          </w:tcPr>
          <w:p>
            <w:pPr>
              <w:spacing w:after="0"/>
              <w:rPr>
                <w:sz w:val="11"/>
                <w:szCs w:val="11"/>
                <w:color w:val="auto"/>
              </w:rPr>
            </w:pPr>
          </w:p>
        </w:tc>
        <w:tc>
          <w:tcPr>
            <w:tcW w:w="720" w:type="dxa"/>
            <w:vAlign w:val="bottom"/>
            <w:vMerge w:val="restart"/>
            <w:shd w:val="clear" w:color="auto" w:fill="0C479D"/>
          </w:tcPr>
          <w:p>
            <w:pPr>
              <w:jc w:val="right"/>
              <w:ind w:right="152"/>
              <w:spacing w:after="0"/>
              <w:rPr>
                <w:sz w:val="20"/>
                <w:szCs w:val="20"/>
                <w:color w:val="auto"/>
              </w:rPr>
            </w:pPr>
            <w:r>
              <w:rPr>
                <w:rFonts w:ascii="Times New Roman" w:cs="Times New Roman" w:eastAsia="Times New Roman" w:hAnsi="Times New Roman"/>
                <w:sz w:val="14"/>
                <w:szCs w:val="14"/>
                <w:b w:val="1"/>
                <w:bCs w:val="1"/>
                <w:color w:val="FFFFFF"/>
              </w:rPr>
              <w:t>U.S.</w:t>
            </w:r>
          </w:p>
        </w:tc>
        <w:tc>
          <w:tcPr>
            <w:tcW w:w="720" w:type="dxa"/>
            <w:vAlign w:val="bottom"/>
            <w:vMerge w:val="restart"/>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Non-U.S.</w:t>
            </w:r>
          </w:p>
        </w:tc>
        <w:tc>
          <w:tcPr>
            <w:tcW w:w="40" w:type="dxa"/>
            <w:vAlign w:val="bottom"/>
            <w:shd w:val="clear" w:color="auto" w:fill="0C479D"/>
          </w:tcPr>
          <w:p>
            <w:pPr>
              <w:spacing w:after="0"/>
              <w:rPr>
                <w:sz w:val="11"/>
                <w:szCs w:val="11"/>
                <w:color w:val="auto"/>
              </w:rPr>
            </w:pPr>
          </w:p>
        </w:tc>
        <w:tc>
          <w:tcPr>
            <w:tcW w:w="760" w:type="dxa"/>
            <w:vAlign w:val="bottom"/>
            <w:vMerge w:val="restart"/>
            <w:shd w:val="clear" w:color="auto" w:fill="0C479D"/>
          </w:tcPr>
          <w:p>
            <w:pPr>
              <w:jc w:val="right"/>
              <w:ind w:right="153"/>
              <w:spacing w:after="0"/>
              <w:rPr>
                <w:sz w:val="20"/>
                <w:szCs w:val="20"/>
                <w:color w:val="auto"/>
              </w:rPr>
            </w:pPr>
            <w:r>
              <w:rPr>
                <w:rFonts w:ascii="Times New Roman" w:cs="Times New Roman" w:eastAsia="Times New Roman" w:hAnsi="Times New Roman"/>
                <w:sz w:val="14"/>
                <w:szCs w:val="14"/>
                <w:b w:val="1"/>
                <w:bCs w:val="1"/>
                <w:color w:val="FFFFFF"/>
              </w:rPr>
              <w:t>Total</w:t>
            </w:r>
          </w:p>
        </w:tc>
        <w:tc>
          <w:tcPr>
            <w:tcW w:w="840" w:type="dxa"/>
            <w:vAlign w:val="bottom"/>
            <w:vMerge w:val="restart"/>
            <w:shd w:val="clear" w:color="auto" w:fill="0C479D"/>
          </w:tcPr>
          <w:p>
            <w:pPr>
              <w:jc w:val="right"/>
              <w:ind w:right="152"/>
              <w:spacing w:after="0"/>
              <w:rPr>
                <w:sz w:val="20"/>
                <w:szCs w:val="20"/>
                <w:color w:val="auto"/>
              </w:rPr>
            </w:pPr>
            <w:r>
              <w:rPr>
                <w:rFonts w:ascii="Times New Roman" w:cs="Times New Roman" w:eastAsia="Times New Roman" w:hAnsi="Times New Roman"/>
                <w:sz w:val="14"/>
                <w:szCs w:val="14"/>
                <w:b w:val="1"/>
                <w:bCs w:val="1"/>
                <w:color w:val="FFFFFF"/>
              </w:rPr>
              <w:t>U.S.</w:t>
            </w:r>
          </w:p>
        </w:tc>
        <w:tc>
          <w:tcPr>
            <w:tcW w:w="800" w:type="dxa"/>
            <w:vAlign w:val="bottom"/>
            <w:vMerge w:val="restart"/>
            <w:shd w:val="clear" w:color="auto" w:fill="0C479D"/>
          </w:tcPr>
          <w:p>
            <w:pPr>
              <w:jc w:val="right"/>
              <w:ind w:right="53"/>
              <w:spacing w:after="0"/>
              <w:rPr>
                <w:sz w:val="20"/>
                <w:szCs w:val="20"/>
                <w:color w:val="auto"/>
              </w:rPr>
            </w:pPr>
            <w:r>
              <w:rPr>
                <w:rFonts w:ascii="Times New Roman" w:cs="Times New Roman" w:eastAsia="Times New Roman" w:hAnsi="Times New Roman"/>
                <w:sz w:val="14"/>
                <w:szCs w:val="14"/>
                <w:b w:val="1"/>
                <w:bCs w:val="1"/>
                <w:color w:val="FFFFFF"/>
              </w:rPr>
              <w:t>Non-U.S.</w:t>
            </w:r>
          </w:p>
        </w:tc>
        <w:tc>
          <w:tcPr>
            <w:tcW w:w="820" w:type="dxa"/>
            <w:vAlign w:val="bottom"/>
            <w:vMerge w:val="restart"/>
            <w:shd w:val="clear" w:color="auto" w:fill="0C479D"/>
          </w:tcPr>
          <w:p>
            <w:pPr>
              <w:jc w:val="right"/>
              <w:ind w:right="252"/>
              <w:spacing w:after="0"/>
              <w:rPr>
                <w:sz w:val="20"/>
                <w:szCs w:val="20"/>
                <w:color w:val="auto"/>
              </w:rPr>
            </w:pPr>
            <w:r>
              <w:rPr>
                <w:rFonts w:ascii="Times New Roman" w:cs="Times New Roman" w:eastAsia="Times New Roman" w:hAnsi="Times New Roman"/>
                <w:sz w:val="14"/>
                <w:szCs w:val="14"/>
                <w:b w:val="1"/>
                <w:bCs w:val="1"/>
                <w:color w:val="FFFFFF"/>
              </w:rPr>
              <w:t>Total</w:t>
            </w:r>
          </w:p>
        </w:tc>
        <w:tc>
          <w:tcPr>
            <w:tcW w:w="780" w:type="dxa"/>
            <w:vAlign w:val="bottom"/>
            <w:vMerge w:val="restart"/>
            <w:shd w:val="clear" w:color="auto" w:fill="0C479D"/>
          </w:tcPr>
          <w:p>
            <w:pPr>
              <w:jc w:val="right"/>
              <w:ind w:right="172"/>
              <w:spacing w:after="0"/>
              <w:rPr>
                <w:sz w:val="20"/>
                <w:szCs w:val="20"/>
                <w:color w:val="auto"/>
              </w:rPr>
            </w:pPr>
            <w:r>
              <w:rPr>
                <w:rFonts w:ascii="Times New Roman" w:cs="Times New Roman" w:eastAsia="Times New Roman" w:hAnsi="Times New Roman"/>
                <w:sz w:val="14"/>
                <w:szCs w:val="14"/>
                <w:b w:val="1"/>
                <w:bCs w:val="1"/>
                <w:color w:val="FFFFFF"/>
              </w:rPr>
              <w:t>U.S.</w:t>
            </w:r>
          </w:p>
        </w:tc>
        <w:tc>
          <w:tcPr>
            <w:tcW w:w="800" w:type="dxa"/>
            <w:vAlign w:val="bottom"/>
            <w:vMerge w:val="restart"/>
            <w:shd w:val="clear" w:color="auto" w:fill="0C479D"/>
          </w:tcPr>
          <w:p>
            <w:pPr>
              <w:jc w:val="right"/>
              <w:ind w:right="73"/>
              <w:spacing w:after="0"/>
              <w:rPr>
                <w:sz w:val="20"/>
                <w:szCs w:val="20"/>
                <w:color w:val="auto"/>
              </w:rPr>
            </w:pPr>
            <w:r>
              <w:rPr>
                <w:rFonts w:ascii="Times New Roman" w:cs="Times New Roman" w:eastAsia="Times New Roman" w:hAnsi="Times New Roman"/>
                <w:sz w:val="14"/>
                <w:szCs w:val="14"/>
                <w:b w:val="1"/>
                <w:bCs w:val="1"/>
                <w:color w:val="FFFFFF"/>
              </w:rPr>
              <w:t>Non-U.S.</w:t>
            </w:r>
          </w:p>
        </w:tc>
        <w:tc>
          <w:tcPr>
            <w:tcW w:w="700" w:type="dxa"/>
            <w:vAlign w:val="bottom"/>
            <w:vMerge w:val="restart"/>
            <w:shd w:val="clear" w:color="auto" w:fill="0C479D"/>
          </w:tcPr>
          <w:p>
            <w:pPr>
              <w:jc w:val="right"/>
              <w:ind w:right="132"/>
              <w:spacing w:after="0"/>
              <w:rPr>
                <w:sz w:val="20"/>
                <w:szCs w:val="20"/>
                <w:color w:val="auto"/>
              </w:rPr>
            </w:pPr>
            <w:r>
              <w:rPr>
                <w:rFonts w:ascii="Times New Roman" w:cs="Times New Roman" w:eastAsia="Times New Roman" w:hAnsi="Times New Roman"/>
                <w:sz w:val="14"/>
                <w:szCs w:val="14"/>
                <w:b w:val="1"/>
                <w:bCs w:val="1"/>
                <w:color w:val="FFFFFF"/>
              </w:rPr>
              <w:t>Total</w:t>
            </w:r>
          </w:p>
        </w:tc>
        <w:tc>
          <w:tcPr>
            <w:tcW w:w="0" w:type="dxa"/>
            <w:vAlign w:val="bottom"/>
          </w:tcPr>
          <w:p>
            <w:pPr>
              <w:spacing w:after="0"/>
              <w:rPr>
                <w:sz w:val="1"/>
                <w:szCs w:val="1"/>
                <w:color w:val="auto"/>
              </w:rPr>
            </w:pPr>
          </w:p>
        </w:tc>
      </w:tr>
      <w:tr>
        <w:trPr>
          <w:trHeight w:val="135"/>
        </w:trPr>
        <w:tc>
          <w:tcPr>
            <w:tcW w:w="2720" w:type="dxa"/>
            <w:vAlign w:val="bottom"/>
            <w:shd w:val="clear" w:color="auto" w:fill="0C479D"/>
          </w:tcPr>
          <w:p>
            <w:pPr>
              <w:spacing w:after="0"/>
              <w:rPr>
                <w:sz w:val="11"/>
                <w:szCs w:val="11"/>
                <w:color w:val="auto"/>
              </w:rPr>
            </w:pPr>
          </w:p>
        </w:tc>
        <w:tc>
          <w:tcPr>
            <w:tcW w:w="720" w:type="dxa"/>
            <w:vAlign w:val="bottom"/>
            <w:vMerge w:val="continue"/>
            <w:shd w:val="clear" w:color="auto" w:fill="0C479D"/>
          </w:tcPr>
          <w:p>
            <w:pPr>
              <w:spacing w:after="0"/>
              <w:rPr>
                <w:sz w:val="11"/>
                <w:szCs w:val="11"/>
                <w:color w:val="auto"/>
              </w:rPr>
            </w:pPr>
          </w:p>
        </w:tc>
        <w:tc>
          <w:tcPr>
            <w:tcW w:w="720" w:type="dxa"/>
            <w:vAlign w:val="bottom"/>
            <w:vMerge w:val="continue"/>
            <w:shd w:val="clear" w:color="auto" w:fill="0C479D"/>
          </w:tcPr>
          <w:p>
            <w:pPr>
              <w:spacing w:after="0"/>
              <w:rPr>
                <w:sz w:val="11"/>
                <w:szCs w:val="11"/>
                <w:color w:val="auto"/>
              </w:rPr>
            </w:pPr>
          </w:p>
        </w:tc>
        <w:tc>
          <w:tcPr>
            <w:tcW w:w="40" w:type="dxa"/>
            <w:vAlign w:val="bottom"/>
            <w:shd w:val="clear" w:color="auto" w:fill="0C479D"/>
          </w:tcPr>
          <w:p>
            <w:pPr>
              <w:spacing w:after="0"/>
              <w:rPr>
                <w:sz w:val="11"/>
                <w:szCs w:val="11"/>
                <w:color w:val="auto"/>
              </w:rPr>
            </w:pPr>
          </w:p>
        </w:tc>
        <w:tc>
          <w:tcPr>
            <w:tcW w:w="760" w:type="dxa"/>
            <w:vAlign w:val="bottom"/>
            <w:vMerge w:val="continue"/>
            <w:shd w:val="clear" w:color="auto" w:fill="0C479D"/>
          </w:tcPr>
          <w:p>
            <w:pPr>
              <w:spacing w:after="0"/>
              <w:rPr>
                <w:sz w:val="11"/>
                <w:szCs w:val="11"/>
                <w:color w:val="auto"/>
              </w:rPr>
            </w:pPr>
          </w:p>
        </w:tc>
        <w:tc>
          <w:tcPr>
            <w:tcW w:w="840" w:type="dxa"/>
            <w:vAlign w:val="bottom"/>
            <w:vMerge w:val="continue"/>
            <w:shd w:val="clear" w:color="auto" w:fill="0C479D"/>
          </w:tcPr>
          <w:p>
            <w:pPr>
              <w:spacing w:after="0"/>
              <w:rPr>
                <w:sz w:val="11"/>
                <w:szCs w:val="11"/>
                <w:color w:val="auto"/>
              </w:rPr>
            </w:pPr>
          </w:p>
        </w:tc>
        <w:tc>
          <w:tcPr>
            <w:tcW w:w="800" w:type="dxa"/>
            <w:vAlign w:val="bottom"/>
            <w:vMerge w:val="continue"/>
            <w:shd w:val="clear" w:color="auto" w:fill="0C479D"/>
          </w:tcPr>
          <w:p>
            <w:pPr>
              <w:spacing w:after="0"/>
              <w:rPr>
                <w:sz w:val="11"/>
                <w:szCs w:val="11"/>
                <w:color w:val="auto"/>
              </w:rPr>
            </w:pPr>
          </w:p>
        </w:tc>
        <w:tc>
          <w:tcPr>
            <w:tcW w:w="820" w:type="dxa"/>
            <w:vAlign w:val="bottom"/>
            <w:vMerge w:val="continue"/>
            <w:shd w:val="clear" w:color="auto" w:fill="0C479D"/>
          </w:tcPr>
          <w:p>
            <w:pPr>
              <w:spacing w:after="0"/>
              <w:rPr>
                <w:sz w:val="11"/>
                <w:szCs w:val="11"/>
                <w:color w:val="auto"/>
              </w:rPr>
            </w:pPr>
          </w:p>
        </w:tc>
        <w:tc>
          <w:tcPr>
            <w:tcW w:w="780" w:type="dxa"/>
            <w:vAlign w:val="bottom"/>
            <w:vMerge w:val="continue"/>
            <w:shd w:val="clear" w:color="auto" w:fill="0C479D"/>
          </w:tcPr>
          <w:p>
            <w:pPr>
              <w:spacing w:after="0"/>
              <w:rPr>
                <w:sz w:val="11"/>
                <w:szCs w:val="11"/>
                <w:color w:val="auto"/>
              </w:rPr>
            </w:pPr>
          </w:p>
        </w:tc>
        <w:tc>
          <w:tcPr>
            <w:tcW w:w="800" w:type="dxa"/>
            <w:vAlign w:val="bottom"/>
            <w:vMerge w:val="continue"/>
            <w:shd w:val="clear" w:color="auto" w:fill="0C479D"/>
          </w:tcPr>
          <w:p>
            <w:pPr>
              <w:spacing w:after="0"/>
              <w:rPr>
                <w:sz w:val="11"/>
                <w:szCs w:val="11"/>
                <w:color w:val="auto"/>
              </w:rPr>
            </w:pPr>
          </w:p>
        </w:tc>
        <w:tc>
          <w:tcPr>
            <w:tcW w:w="700" w:type="dxa"/>
            <w:vAlign w:val="bottom"/>
            <w:vMerge w:val="continue"/>
            <w:shd w:val="clear" w:color="auto" w:fill="0C479D"/>
          </w:tcPr>
          <w:p>
            <w:pPr>
              <w:spacing w:after="0"/>
              <w:rPr>
                <w:sz w:val="11"/>
                <w:szCs w:val="11"/>
                <w:color w:val="auto"/>
              </w:rPr>
            </w:pPr>
          </w:p>
        </w:tc>
        <w:tc>
          <w:tcPr>
            <w:tcW w:w="0" w:type="dxa"/>
            <w:vAlign w:val="bottom"/>
          </w:tcPr>
          <w:p>
            <w:pPr>
              <w:spacing w:after="0"/>
              <w:rPr>
                <w:sz w:val="1"/>
                <w:szCs w:val="1"/>
                <w:color w:val="auto"/>
              </w:rPr>
            </w:pPr>
          </w:p>
        </w:tc>
      </w:tr>
      <w:tr>
        <w:trPr>
          <w:trHeight w:val="64"/>
        </w:trPr>
        <w:tc>
          <w:tcPr>
            <w:tcW w:w="2720" w:type="dxa"/>
            <w:vAlign w:val="bottom"/>
            <w:shd w:val="clear" w:color="auto" w:fill="0C479D"/>
          </w:tcPr>
          <w:p>
            <w:pPr>
              <w:spacing w:after="0"/>
              <w:rPr>
                <w:sz w:val="5"/>
                <w:szCs w:val="5"/>
                <w:color w:val="auto"/>
              </w:rPr>
            </w:pPr>
          </w:p>
        </w:tc>
        <w:tc>
          <w:tcPr>
            <w:tcW w:w="720" w:type="dxa"/>
            <w:vAlign w:val="bottom"/>
            <w:shd w:val="clear" w:color="auto" w:fill="0C479D"/>
          </w:tcPr>
          <w:p>
            <w:pPr>
              <w:spacing w:after="0"/>
              <w:rPr>
                <w:sz w:val="5"/>
                <w:szCs w:val="5"/>
                <w:color w:val="auto"/>
              </w:rPr>
            </w:pPr>
          </w:p>
        </w:tc>
        <w:tc>
          <w:tcPr>
            <w:tcW w:w="720" w:type="dxa"/>
            <w:vAlign w:val="bottom"/>
            <w:shd w:val="clear" w:color="auto" w:fill="0C479D"/>
          </w:tcPr>
          <w:p>
            <w:pPr>
              <w:spacing w:after="0"/>
              <w:rPr>
                <w:sz w:val="5"/>
                <w:szCs w:val="5"/>
                <w:color w:val="auto"/>
              </w:rPr>
            </w:pPr>
          </w:p>
        </w:tc>
        <w:tc>
          <w:tcPr>
            <w:tcW w:w="40" w:type="dxa"/>
            <w:vAlign w:val="bottom"/>
            <w:shd w:val="clear" w:color="auto" w:fill="0C479D"/>
          </w:tcPr>
          <w:p>
            <w:pPr>
              <w:spacing w:after="0"/>
              <w:rPr>
                <w:sz w:val="5"/>
                <w:szCs w:val="5"/>
                <w:color w:val="auto"/>
              </w:rPr>
            </w:pPr>
          </w:p>
        </w:tc>
        <w:tc>
          <w:tcPr>
            <w:tcW w:w="760" w:type="dxa"/>
            <w:vAlign w:val="bottom"/>
            <w:shd w:val="clear" w:color="auto" w:fill="0C479D"/>
          </w:tcPr>
          <w:p>
            <w:pPr>
              <w:spacing w:after="0"/>
              <w:rPr>
                <w:sz w:val="5"/>
                <w:szCs w:val="5"/>
                <w:color w:val="auto"/>
              </w:rPr>
            </w:pPr>
          </w:p>
        </w:tc>
        <w:tc>
          <w:tcPr>
            <w:tcW w:w="840" w:type="dxa"/>
            <w:vAlign w:val="bottom"/>
            <w:shd w:val="clear" w:color="auto" w:fill="0C479D"/>
          </w:tcPr>
          <w:p>
            <w:pPr>
              <w:spacing w:after="0"/>
              <w:rPr>
                <w:sz w:val="5"/>
                <w:szCs w:val="5"/>
                <w:color w:val="auto"/>
              </w:rPr>
            </w:pPr>
          </w:p>
        </w:tc>
        <w:tc>
          <w:tcPr>
            <w:tcW w:w="800" w:type="dxa"/>
            <w:vAlign w:val="bottom"/>
            <w:shd w:val="clear" w:color="auto" w:fill="0C479D"/>
          </w:tcPr>
          <w:p>
            <w:pPr>
              <w:spacing w:after="0"/>
              <w:rPr>
                <w:sz w:val="5"/>
                <w:szCs w:val="5"/>
                <w:color w:val="auto"/>
              </w:rPr>
            </w:pPr>
          </w:p>
        </w:tc>
        <w:tc>
          <w:tcPr>
            <w:tcW w:w="820" w:type="dxa"/>
            <w:vAlign w:val="bottom"/>
            <w:shd w:val="clear" w:color="auto" w:fill="0C479D"/>
          </w:tcPr>
          <w:p>
            <w:pPr>
              <w:spacing w:after="0"/>
              <w:rPr>
                <w:sz w:val="5"/>
                <w:szCs w:val="5"/>
                <w:color w:val="auto"/>
              </w:rPr>
            </w:pPr>
          </w:p>
        </w:tc>
        <w:tc>
          <w:tcPr>
            <w:tcW w:w="780" w:type="dxa"/>
            <w:vAlign w:val="bottom"/>
            <w:shd w:val="clear" w:color="auto" w:fill="0C479D"/>
          </w:tcPr>
          <w:p>
            <w:pPr>
              <w:spacing w:after="0"/>
              <w:rPr>
                <w:sz w:val="5"/>
                <w:szCs w:val="5"/>
                <w:color w:val="auto"/>
              </w:rPr>
            </w:pPr>
          </w:p>
        </w:tc>
        <w:tc>
          <w:tcPr>
            <w:tcW w:w="800" w:type="dxa"/>
            <w:vAlign w:val="bottom"/>
            <w:shd w:val="clear" w:color="auto" w:fill="0C479D"/>
          </w:tcPr>
          <w:p>
            <w:pPr>
              <w:spacing w:after="0"/>
              <w:rPr>
                <w:sz w:val="5"/>
                <w:szCs w:val="5"/>
                <w:color w:val="auto"/>
              </w:rPr>
            </w:pPr>
          </w:p>
        </w:tc>
        <w:tc>
          <w:tcPr>
            <w:tcW w:w="700" w:type="dxa"/>
            <w:vAlign w:val="bottom"/>
            <w:shd w:val="clear" w:color="auto" w:fill="0C479D"/>
          </w:tcPr>
          <w:p>
            <w:pPr>
              <w:spacing w:after="0"/>
              <w:rPr>
                <w:sz w:val="5"/>
                <w:szCs w:val="5"/>
                <w:color w:val="auto"/>
              </w:rPr>
            </w:pPr>
          </w:p>
        </w:tc>
        <w:tc>
          <w:tcPr>
            <w:tcW w:w="0" w:type="dxa"/>
            <w:vAlign w:val="bottom"/>
          </w:tcPr>
          <w:p>
            <w:pPr>
              <w:spacing w:after="0"/>
              <w:rPr>
                <w:sz w:val="1"/>
                <w:szCs w:val="1"/>
                <w:color w:val="auto"/>
              </w:rPr>
            </w:pPr>
          </w:p>
        </w:tc>
      </w:tr>
      <w:tr>
        <w:trPr>
          <w:trHeight w:val="405"/>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0C479D"/>
              </w:rPr>
              <w:t>Income tax expense (benefit)</w:t>
            </w:r>
          </w:p>
        </w:tc>
        <w:tc>
          <w:tcPr>
            <w:tcW w:w="720" w:type="dxa"/>
            <w:vAlign w:val="bottom"/>
            <w:shd w:val="clear" w:color="auto" w:fill="F0F0F0"/>
          </w:tcPr>
          <w:p>
            <w:pPr>
              <w:spacing w:after="0"/>
              <w:rPr>
                <w:sz w:val="24"/>
                <w:szCs w:val="24"/>
                <w:color w:val="auto"/>
              </w:rPr>
            </w:pPr>
          </w:p>
        </w:tc>
        <w:tc>
          <w:tcPr>
            <w:tcW w:w="720" w:type="dxa"/>
            <w:vAlign w:val="bottom"/>
            <w:shd w:val="clear" w:color="auto" w:fill="F0F0F0"/>
          </w:tcPr>
          <w:p>
            <w:pPr>
              <w:spacing w:after="0"/>
              <w:rPr>
                <w:sz w:val="24"/>
                <w:szCs w:val="24"/>
                <w:color w:val="auto"/>
              </w:rPr>
            </w:pPr>
          </w:p>
        </w:tc>
        <w:tc>
          <w:tcPr>
            <w:tcW w:w="40" w:type="dxa"/>
            <w:vAlign w:val="bottom"/>
            <w:shd w:val="clear" w:color="auto" w:fill="F0F0F0"/>
          </w:tcPr>
          <w:p>
            <w:pPr>
              <w:spacing w:after="0"/>
              <w:rPr>
                <w:sz w:val="24"/>
                <w:szCs w:val="24"/>
                <w:color w:val="auto"/>
              </w:rPr>
            </w:pPr>
          </w:p>
        </w:tc>
        <w:tc>
          <w:tcPr>
            <w:tcW w:w="760" w:type="dxa"/>
            <w:vAlign w:val="bottom"/>
            <w:shd w:val="clear" w:color="auto" w:fill="F0F0F0"/>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Federal and non-U.S.</w:t>
            </w:r>
          </w:p>
        </w:tc>
        <w:tc>
          <w:tcPr>
            <w:tcW w:w="720" w:type="dxa"/>
            <w:vAlign w:val="bottom"/>
            <w:shd w:val="clear" w:color="auto" w:fill="F0F0F0"/>
          </w:tcPr>
          <w:p>
            <w:pPr>
              <w:spacing w:after="0"/>
              <w:rPr>
                <w:sz w:val="20"/>
                <w:szCs w:val="20"/>
                <w:color w:val="auto"/>
              </w:rPr>
            </w:pPr>
          </w:p>
        </w:tc>
        <w:tc>
          <w:tcPr>
            <w:tcW w:w="720" w:type="dxa"/>
            <w:vAlign w:val="bottom"/>
            <w:shd w:val="clear" w:color="auto" w:fill="F0F0F0"/>
          </w:tcPr>
          <w:p>
            <w:pPr>
              <w:spacing w:after="0"/>
              <w:rPr>
                <w:sz w:val="20"/>
                <w:szCs w:val="20"/>
                <w:color w:val="auto"/>
              </w:rPr>
            </w:pPr>
          </w:p>
        </w:tc>
        <w:tc>
          <w:tcPr>
            <w:tcW w:w="40" w:type="dxa"/>
            <w:vAlign w:val="bottom"/>
            <w:shd w:val="clear" w:color="auto" w:fill="F0F0F0"/>
          </w:tcPr>
          <w:p>
            <w:pPr>
              <w:spacing w:after="0"/>
              <w:rPr>
                <w:sz w:val="20"/>
                <w:szCs w:val="20"/>
                <w:color w:val="auto"/>
              </w:rPr>
            </w:pPr>
          </w:p>
        </w:tc>
        <w:tc>
          <w:tcPr>
            <w:tcW w:w="760" w:type="dxa"/>
            <w:vAlign w:val="bottom"/>
            <w:shd w:val="clear" w:color="auto" w:fill="F0F0F0"/>
          </w:tcPr>
          <w:p>
            <w:pPr>
              <w:spacing w:after="0"/>
              <w:rPr>
                <w:sz w:val="20"/>
                <w:szCs w:val="20"/>
                <w:color w:val="auto"/>
              </w:rPr>
            </w:pPr>
          </w:p>
        </w:tc>
        <w:tc>
          <w:tcPr>
            <w:tcW w:w="8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720" w:type="dxa"/>
            <w:vAlign w:val="bottom"/>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color w:val="auto"/>
              </w:rPr>
              <w:t>2,061</w:t>
            </w:r>
          </w:p>
        </w:tc>
        <w:tc>
          <w:tcPr>
            <w:tcW w:w="7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11,940</w:t>
            </w:r>
          </w:p>
        </w:tc>
        <w:tc>
          <w:tcPr>
            <w:tcW w:w="800" w:type="dxa"/>
            <w:vAlign w:val="bottom"/>
            <w:gridSpan w:val="2"/>
            <w:shd w:val="clear" w:color="auto" w:fill="F0F0F0"/>
          </w:tcPr>
          <w:p>
            <w:pPr>
              <w:jc w:val="right"/>
              <w:ind w:right="13"/>
              <w:spacing w:after="0"/>
              <w:rPr>
                <w:sz w:val="20"/>
                <w:szCs w:val="20"/>
                <w:color w:val="auto"/>
              </w:rPr>
            </w:pPr>
            <w:r>
              <w:rPr>
                <w:rFonts w:ascii="Times New Roman" w:cs="Times New Roman" w:eastAsia="Times New Roman" w:hAnsi="Times New Roman"/>
                <w:sz w:val="18"/>
                <w:szCs w:val="18"/>
                <w:color w:val="auto"/>
              </w:rPr>
              <w:t>14,001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12,111</w:t>
            </w:r>
          </w:p>
        </w:tc>
        <w:tc>
          <w:tcPr>
            <w:tcW w:w="8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14,098</w:t>
            </w: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696</w:t>
            </w: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15,071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15,767</w:t>
            </w:r>
          </w:p>
        </w:tc>
        <w:tc>
          <w:tcPr>
            <w:tcW w:w="0" w:type="dxa"/>
            <w:vAlign w:val="bottom"/>
          </w:tcPr>
          <w:p>
            <w:pPr>
              <w:spacing w:after="0"/>
              <w:rPr>
                <w:sz w:val="1"/>
                <w:szCs w:val="1"/>
                <w:color w:val="auto"/>
              </w:rPr>
            </w:pPr>
          </w:p>
        </w:tc>
      </w:tr>
      <w:tr>
        <w:trPr>
          <w:trHeight w:val="270"/>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 net</w:t>
            </w:r>
          </w:p>
        </w:tc>
        <w:tc>
          <w:tcPr>
            <w:tcW w:w="7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7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800" w:type="dxa"/>
            <w:vAlign w:val="bottom"/>
            <w:gridSpan w:val="2"/>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481</w:t>
            </w:r>
          </w:p>
        </w:tc>
        <w:tc>
          <w:tcPr>
            <w:tcW w:w="8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944</w:t>
            </w: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4,122</w:t>
            </w:r>
          </w:p>
        </w:tc>
        <w:tc>
          <w:tcPr>
            <w:tcW w:w="8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(539)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0" w:type="dxa"/>
            <w:vAlign w:val="bottom"/>
          </w:tcPr>
          <w:p>
            <w:pPr>
              <w:spacing w:after="0"/>
              <w:rPr>
                <w:sz w:val="1"/>
                <w:szCs w:val="1"/>
                <w:color w:val="auto"/>
              </w:rPr>
            </w:pPr>
          </w:p>
        </w:tc>
      </w:tr>
      <w:tr>
        <w:trPr>
          <w:trHeight w:val="270"/>
        </w:trPr>
        <w:tc>
          <w:tcPr>
            <w:tcW w:w="272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color w:val="auto"/>
              </w:rPr>
              <w:t>U.S. tax on non-U.S. operations</w:t>
            </w:r>
          </w:p>
        </w:tc>
        <w:tc>
          <w:tcPr>
            <w:tcW w:w="720" w:type="dxa"/>
            <w:vAlign w:val="bottom"/>
            <w:tcBorders>
              <w:bottom w:val="single" w:sz="8" w:color="0C479D"/>
            </w:tcBorders>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color w:val="auto"/>
              </w:rPr>
              <w:t>241</w:t>
            </w:r>
          </w:p>
        </w:tc>
        <w:tc>
          <w:tcPr>
            <w:tcW w:w="72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0C479D"/>
            </w:tcBorders>
            <w:gridSpan w:val="2"/>
            <w:shd w:val="clear" w:color="auto" w:fill="F0F0F0"/>
          </w:tcPr>
          <w:p>
            <w:pPr>
              <w:jc w:val="right"/>
              <w:ind w:right="13"/>
              <w:spacing w:after="0"/>
              <w:rPr>
                <w:sz w:val="20"/>
                <w:szCs w:val="20"/>
                <w:color w:val="auto"/>
              </w:rPr>
            </w:pPr>
            <w:r>
              <w:rPr>
                <w:rFonts w:ascii="Times New Roman" w:cs="Times New Roman" w:eastAsia="Times New Roman" w:hAnsi="Times New Roman"/>
                <w:sz w:val="18"/>
                <w:szCs w:val="18"/>
                <w:color w:val="auto"/>
              </w:rPr>
              <w:t>241</w:t>
            </w:r>
          </w:p>
        </w:tc>
        <w:tc>
          <w:tcPr>
            <w:tcW w:w="8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800" w:type="dxa"/>
            <w:vAlign w:val="bottom"/>
            <w:tcBorders>
              <w:bottom w:val="single" w:sz="8" w:color="0C479D"/>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0C479D"/>
            </w:tcBorders>
          </w:tcPr>
          <w:p>
            <w:pPr>
              <w:jc w:val="right"/>
              <w:ind w:right="112"/>
              <w:spacing w:after="0"/>
              <w:rPr>
                <w:sz w:val="20"/>
                <w:szCs w:val="20"/>
                <w:color w:val="auto"/>
              </w:rPr>
            </w:pPr>
            <w:r>
              <w:rPr>
                <w:rFonts w:ascii="Times New Roman" w:cs="Times New Roman" w:eastAsia="Times New Roman" w:hAnsi="Times New Roman"/>
                <w:sz w:val="18"/>
                <w:szCs w:val="18"/>
                <w:color w:val="auto"/>
              </w:rPr>
              <w:t>315</w:t>
            </w:r>
          </w:p>
        </w:tc>
        <w:tc>
          <w:tcPr>
            <w:tcW w:w="780" w:type="dxa"/>
            <w:vAlign w:val="bottom"/>
            <w:tcBorders>
              <w:bottom w:val="single" w:sz="8" w:color="0C479D"/>
            </w:tcBorders>
          </w:tcPr>
          <w:p>
            <w:pPr>
              <w:jc w:val="right"/>
              <w:ind w:right="12"/>
              <w:spacing w:after="0"/>
              <w:rPr>
                <w:sz w:val="20"/>
                <w:szCs w:val="20"/>
                <w:color w:val="auto"/>
              </w:rPr>
            </w:pPr>
            <w:r>
              <w:rPr>
                <w:rFonts w:ascii="Times New Roman" w:cs="Times New Roman" w:eastAsia="Times New Roman" w:hAnsi="Times New Roman"/>
                <w:sz w:val="18"/>
                <w:szCs w:val="18"/>
                <w:color w:val="auto"/>
              </w:rPr>
              <w:t>65</w:t>
            </w:r>
          </w:p>
        </w:tc>
        <w:tc>
          <w:tcPr>
            <w:tcW w:w="800" w:type="dxa"/>
            <w:vAlign w:val="bottom"/>
            <w:tcBorders>
              <w:bottom w:val="single" w:sz="8" w:color="0C479D"/>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50"/>
        </w:trPr>
        <w:tc>
          <w:tcPr>
            <w:tcW w:w="272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b w:val="1"/>
                <w:bCs w:val="1"/>
                <w:color w:val="auto"/>
              </w:rPr>
              <w:t>Total federal and non-U.S.</w:t>
            </w:r>
          </w:p>
        </w:tc>
        <w:tc>
          <w:tcPr>
            <w:tcW w:w="720" w:type="dxa"/>
            <w:vAlign w:val="bottom"/>
            <w:tcBorders>
              <w:bottom w:val="single" w:sz="8" w:color="0C479D"/>
            </w:tcBorders>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1,984</w:t>
            </w:r>
          </w:p>
        </w:tc>
        <w:tc>
          <w:tcPr>
            <w:tcW w:w="72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11,428</w:t>
            </w:r>
          </w:p>
        </w:tc>
        <w:tc>
          <w:tcPr>
            <w:tcW w:w="40" w:type="dxa"/>
            <w:vAlign w:val="bottom"/>
            <w:tcBorders>
              <w:bottom w:val="single" w:sz="8" w:color="0C479D"/>
            </w:tcBorders>
            <w:shd w:val="clear" w:color="auto" w:fill="F0F0F0"/>
          </w:tcPr>
          <w:p>
            <w:pPr>
              <w:spacing w:after="0"/>
              <w:rPr>
                <w:sz w:val="21"/>
                <w:szCs w:val="21"/>
                <w:color w:val="auto"/>
              </w:rPr>
            </w:pPr>
          </w:p>
        </w:tc>
        <w:tc>
          <w:tcPr>
            <w:tcW w:w="760" w:type="dxa"/>
            <w:vAlign w:val="bottom"/>
            <w:tcBorders>
              <w:bottom w:val="single" w:sz="8" w:color="0C479D"/>
            </w:tcBorders>
            <w:shd w:val="clear" w:color="auto" w:fill="F0F0F0"/>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13,412</w:t>
            </w:r>
          </w:p>
        </w:tc>
        <w:tc>
          <w:tcPr>
            <w:tcW w:w="8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2,765</w:t>
            </w:r>
          </w:p>
        </w:tc>
        <w:tc>
          <w:tcPr>
            <w:tcW w:w="800" w:type="dxa"/>
            <w:vAlign w:val="bottom"/>
            <w:tcBorders>
              <w:bottom w:val="single" w:sz="8" w:color="0C479D"/>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12,592</w:t>
            </w:r>
          </w:p>
        </w:tc>
        <w:tc>
          <w:tcPr>
            <w:tcW w:w="820" w:type="dxa"/>
            <w:vAlign w:val="bottom"/>
            <w:tcBorders>
              <w:bottom w:val="single" w:sz="8" w:color="0C479D"/>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15,357</w:t>
            </w:r>
          </w:p>
        </w:tc>
        <w:tc>
          <w:tcPr>
            <w:tcW w:w="780" w:type="dxa"/>
            <w:vAlign w:val="bottom"/>
            <w:tcBorders>
              <w:bottom w:val="single" w:sz="8" w:color="0C479D"/>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4,883</w:t>
            </w:r>
          </w:p>
        </w:tc>
        <w:tc>
          <w:tcPr>
            <w:tcW w:w="800" w:type="dxa"/>
            <w:vAlign w:val="bottom"/>
            <w:tcBorders>
              <w:bottom w:val="single" w:sz="8" w:color="0C479D"/>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14,532</w:t>
            </w:r>
          </w:p>
        </w:tc>
        <w:tc>
          <w:tcPr>
            <w:tcW w:w="7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19,415</w:t>
            </w:r>
          </w:p>
        </w:tc>
        <w:tc>
          <w:tcPr>
            <w:tcW w:w="0" w:type="dxa"/>
            <w:vAlign w:val="bottom"/>
          </w:tcPr>
          <w:p>
            <w:pPr>
              <w:spacing w:after="0"/>
              <w:rPr>
                <w:sz w:val="1"/>
                <w:szCs w:val="1"/>
                <w:color w:val="auto"/>
              </w:rPr>
            </w:pPr>
          </w:p>
        </w:tc>
      </w:tr>
      <w:tr>
        <w:trPr>
          <w:trHeight w:val="250"/>
        </w:trPr>
        <w:tc>
          <w:tcPr>
            <w:tcW w:w="272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color w:val="auto"/>
              </w:rPr>
              <w:t>State</w:t>
            </w:r>
          </w:p>
        </w:tc>
        <w:tc>
          <w:tcPr>
            <w:tcW w:w="720" w:type="dxa"/>
            <w:vAlign w:val="bottom"/>
            <w:tcBorders>
              <w:bottom w:val="single" w:sz="8" w:color="0C479D"/>
            </w:tcBorders>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color w:val="auto"/>
              </w:rPr>
              <w:t>398</w:t>
            </w:r>
          </w:p>
        </w:tc>
        <w:tc>
          <w:tcPr>
            <w:tcW w:w="72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0C479D"/>
            </w:tcBorders>
            <w:shd w:val="clear" w:color="auto" w:fill="F0F0F0"/>
          </w:tcPr>
          <w:p>
            <w:pPr>
              <w:spacing w:after="0"/>
              <w:rPr>
                <w:sz w:val="21"/>
                <w:szCs w:val="21"/>
                <w:color w:val="auto"/>
              </w:rPr>
            </w:pPr>
          </w:p>
        </w:tc>
        <w:tc>
          <w:tcPr>
            <w:tcW w:w="760" w:type="dxa"/>
            <w:vAlign w:val="bottom"/>
            <w:tcBorders>
              <w:bottom w:val="single" w:sz="8" w:color="0C479D"/>
            </w:tcBorders>
            <w:shd w:val="clear" w:color="auto" w:fill="F0F0F0"/>
          </w:tcPr>
          <w:p>
            <w:pPr>
              <w:jc w:val="right"/>
              <w:ind w:right="13"/>
              <w:spacing w:after="0"/>
              <w:rPr>
                <w:sz w:val="20"/>
                <w:szCs w:val="20"/>
                <w:color w:val="auto"/>
              </w:rPr>
            </w:pPr>
            <w:r>
              <w:rPr>
                <w:rFonts w:ascii="Times New Roman" w:cs="Times New Roman" w:eastAsia="Times New Roman" w:hAnsi="Times New Roman"/>
                <w:sz w:val="18"/>
                <w:szCs w:val="18"/>
                <w:color w:val="auto"/>
              </w:rPr>
              <w:t>398</w:t>
            </w:r>
          </w:p>
        </w:tc>
        <w:tc>
          <w:tcPr>
            <w:tcW w:w="8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0" w:type="dxa"/>
            <w:vAlign w:val="bottom"/>
            <w:tcBorders>
              <w:bottom w:val="single" w:sz="8" w:color="0C479D"/>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0C479D"/>
            </w:tcBorders>
          </w:tcPr>
          <w:p>
            <w:pPr>
              <w:jc w:val="right"/>
              <w:ind w:right="112"/>
              <w:spacing w:after="0"/>
              <w:rPr>
                <w:sz w:val="20"/>
                <w:szCs w:val="20"/>
                <w:color w:val="auto"/>
              </w:rPr>
            </w:pPr>
            <w:r>
              <w:rPr>
                <w:rFonts w:ascii="Times New Roman" w:cs="Times New Roman" w:eastAsia="Times New Roman" w:hAnsi="Times New Roman"/>
                <w:sz w:val="18"/>
                <w:szCs w:val="18"/>
                <w:color w:val="auto"/>
              </w:rPr>
              <w:t>72</w:t>
            </w:r>
          </w:p>
        </w:tc>
        <w:tc>
          <w:tcPr>
            <w:tcW w:w="780" w:type="dxa"/>
            <w:vAlign w:val="bottom"/>
            <w:tcBorders>
              <w:bottom w:val="single" w:sz="8" w:color="0C479D"/>
            </w:tcBorders>
          </w:tcPr>
          <w:p>
            <w:pPr>
              <w:jc w:val="right"/>
              <w:ind w:right="12"/>
              <w:spacing w:after="0"/>
              <w:rPr>
                <w:sz w:val="20"/>
                <w:szCs w:val="20"/>
                <w:color w:val="auto"/>
              </w:rPr>
            </w:pPr>
            <w:r>
              <w:rPr>
                <w:rFonts w:ascii="Times New Roman" w:cs="Times New Roman" w:eastAsia="Times New Roman" w:hAnsi="Times New Roman"/>
                <w:sz w:val="18"/>
                <w:szCs w:val="18"/>
                <w:color w:val="auto"/>
              </w:rPr>
              <w:t>761</w:t>
            </w:r>
          </w:p>
        </w:tc>
        <w:tc>
          <w:tcPr>
            <w:tcW w:w="800" w:type="dxa"/>
            <w:vAlign w:val="bottom"/>
            <w:tcBorders>
              <w:bottom w:val="single" w:sz="8" w:color="0C479D"/>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43"/>
        </w:trPr>
        <w:tc>
          <w:tcPr>
            <w:tcW w:w="272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b w:val="1"/>
                <w:bCs w:val="1"/>
                <w:color w:val="auto"/>
              </w:rPr>
              <w:t>Total income tax expense (benefit)</w:t>
            </w:r>
          </w:p>
        </w:tc>
        <w:tc>
          <w:tcPr>
            <w:tcW w:w="720" w:type="dxa"/>
            <w:vAlign w:val="bottom"/>
            <w:tcBorders>
              <w:bottom w:val="single" w:sz="8" w:color="0C479D"/>
            </w:tcBorders>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2,382</w:t>
            </w:r>
          </w:p>
        </w:tc>
        <w:tc>
          <w:tcPr>
            <w:tcW w:w="72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11,428</w:t>
            </w:r>
          </w:p>
        </w:tc>
        <w:tc>
          <w:tcPr>
            <w:tcW w:w="40" w:type="dxa"/>
            <w:vAlign w:val="bottom"/>
            <w:tcBorders>
              <w:bottom w:val="single" w:sz="8" w:color="0C479D"/>
            </w:tcBorders>
            <w:shd w:val="clear" w:color="auto" w:fill="F0F0F0"/>
          </w:tcPr>
          <w:p>
            <w:pPr>
              <w:spacing w:after="0"/>
              <w:rPr>
                <w:sz w:val="21"/>
                <w:szCs w:val="21"/>
                <w:color w:val="auto"/>
              </w:rPr>
            </w:pPr>
          </w:p>
        </w:tc>
        <w:tc>
          <w:tcPr>
            <w:tcW w:w="760" w:type="dxa"/>
            <w:vAlign w:val="bottom"/>
            <w:tcBorders>
              <w:bottom w:val="single" w:sz="8" w:color="0C479D"/>
            </w:tcBorders>
            <w:shd w:val="clear" w:color="auto" w:fill="F0F0F0"/>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13,810</w:t>
            </w:r>
          </w:p>
        </w:tc>
        <w:tc>
          <w:tcPr>
            <w:tcW w:w="8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2,837</w:t>
            </w:r>
          </w:p>
        </w:tc>
        <w:tc>
          <w:tcPr>
            <w:tcW w:w="800" w:type="dxa"/>
            <w:vAlign w:val="bottom"/>
            <w:tcBorders>
              <w:bottom w:val="single" w:sz="8" w:color="0C479D"/>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12,592</w:t>
            </w:r>
          </w:p>
        </w:tc>
        <w:tc>
          <w:tcPr>
            <w:tcW w:w="820" w:type="dxa"/>
            <w:vAlign w:val="bottom"/>
            <w:tcBorders>
              <w:bottom w:val="single" w:sz="8" w:color="0C479D"/>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15,429</w:t>
            </w:r>
          </w:p>
        </w:tc>
        <w:tc>
          <w:tcPr>
            <w:tcW w:w="780" w:type="dxa"/>
            <w:vAlign w:val="bottom"/>
            <w:tcBorders>
              <w:bottom w:val="single" w:sz="8" w:color="0C479D"/>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5,644</w:t>
            </w:r>
          </w:p>
        </w:tc>
        <w:tc>
          <w:tcPr>
            <w:tcW w:w="800" w:type="dxa"/>
            <w:vAlign w:val="bottom"/>
            <w:tcBorders>
              <w:bottom w:val="single" w:sz="8" w:color="0C479D"/>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14,532</w:t>
            </w:r>
          </w:p>
        </w:tc>
        <w:tc>
          <w:tcPr>
            <w:tcW w:w="7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20,176</w:t>
            </w:r>
          </w:p>
        </w:tc>
        <w:tc>
          <w:tcPr>
            <w:tcW w:w="0" w:type="dxa"/>
            <w:vAlign w:val="bottom"/>
          </w:tcPr>
          <w:p>
            <w:pPr>
              <w:spacing w:after="0"/>
              <w:rPr>
                <w:sz w:val="1"/>
                <w:szCs w:val="1"/>
                <w:color w:val="auto"/>
              </w:rPr>
            </w:pPr>
          </w:p>
        </w:tc>
      </w:tr>
      <w:tr>
        <w:trPr>
          <w:trHeight w:val="324"/>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0C479D"/>
              </w:rPr>
              <w:t>All other taxes and duties</w:t>
            </w:r>
          </w:p>
        </w:tc>
        <w:tc>
          <w:tcPr>
            <w:tcW w:w="720" w:type="dxa"/>
            <w:vAlign w:val="bottom"/>
            <w:shd w:val="clear" w:color="auto" w:fill="F0F0F0"/>
          </w:tcPr>
          <w:p>
            <w:pPr>
              <w:spacing w:after="0"/>
              <w:rPr>
                <w:sz w:val="24"/>
                <w:szCs w:val="24"/>
                <w:color w:val="auto"/>
              </w:rPr>
            </w:pPr>
          </w:p>
        </w:tc>
        <w:tc>
          <w:tcPr>
            <w:tcW w:w="720" w:type="dxa"/>
            <w:vAlign w:val="bottom"/>
            <w:shd w:val="clear" w:color="auto" w:fill="F0F0F0"/>
          </w:tcPr>
          <w:p>
            <w:pPr>
              <w:spacing w:after="0"/>
              <w:rPr>
                <w:sz w:val="24"/>
                <w:szCs w:val="24"/>
                <w:color w:val="auto"/>
              </w:rPr>
            </w:pPr>
          </w:p>
        </w:tc>
        <w:tc>
          <w:tcPr>
            <w:tcW w:w="40" w:type="dxa"/>
            <w:vAlign w:val="bottom"/>
            <w:shd w:val="clear" w:color="auto" w:fill="F0F0F0"/>
          </w:tcPr>
          <w:p>
            <w:pPr>
              <w:spacing w:after="0"/>
              <w:rPr>
                <w:sz w:val="24"/>
                <w:szCs w:val="24"/>
                <w:color w:val="auto"/>
              </w:rPr>
            </w:pPr>
          </w:p>
        </w:tc>
        <w:tc>
          <w:tcPr>
            <w:tcW w:w="760" w:type="dxa"/>
            <w:vAlign w:val="bottom"/>
            <w:shd w:val="clear" w:color="auto" w:fill="F0F0F0"/>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Other taxes and duties</w:t>
            </w:r>
          </w:p>
        </w:tc>
        <w:tc>
          <w:tcPr>
            <w:tcW w:w="720" w:type="dxa"/>
            <w:vAlign w:val="bottom"/>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color w:val="auto"/>
              </w:rPr>
              <w:t>3,849</w:t>
            </w:r>
          </w:p>
        </w:tc>
        <w:tc>
          <w:tcPr>
            <w:tcW w:w="7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22,439</w:t>
            </w:r>
          </w:p>
        </w:tc>
        <w:tc>
          <w:tcPr>
            <w:tcW w:w="800" w:type="dxa"/>
            <w:vAlign w:val="bottom"/>
            <w:gridSpan w:val="2"/>
            <w:shd w:val="clear" w:color="auto" w:fill="F0F0F0"/>
          </w:tcPr>
          <w:p>
            <w:pPr>
              <w:jc w:val="right"/>
              <w:ind w:right="13"/>
              <w:spacing w:after="0"/>
              <w:rPr>
                <w:sz w:val="20"/>
                <w:szCs w:val="20"/>
                <w:color w:val="auto"/>
              </w:rPr>
            </w:pPr>
            <w:r>
              <w:rPr>
                <w:rFonts w:ascii="Times New Roman" w:cs="Times New Roman" w:eastAsia="Times New Roman" w:hAnsi="Times New Roman"/>
                <w:sz w:val="18"/>
                <w:szCs w:val="18"/>
                <w:color w:val="auto"/>
              </w:rPr>
              <w:t>26,288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3,871</w:t>
            </w: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25,140</w:t>
            </w:r>
          </w:p>
        </w:tc>
        <w:tc>
          <w:tcPr>
            <w:tcW w:w="8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29,011</w:t>
            </w: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4,087</w:t>
            </w: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23,832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27,919</w:t>
            </w:r>
          </w:p>
        </w:tc>
        <w:tc>
          <w:tcPr>
            <w:tcW w:w="0" w:type="dxa"/>
            <w:vAlign w:val="bottom"/>
          </w:tcPr>
          <w:p>
            <w:pPr>
              <w:spacing w:after="0"/>
              <w:rPr>
                <w:sz w:val="1"/>
                <w:szCs w:val="1"/>
                <w:color w:val="auto"/>
              </w:rPr>
            </w:pPr>
          </w:p>
        </w:tc>
      </w:tr>
      <w:tr>
        <w:trPr>
          <w:trHeight w:val="176"/>
        </w:trPr>
        <w:tc>
          <w:tcPr>
            <w:tcW w:w="27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Included in production and</w:t>
            </w:r>
          </w:p>
        </w:tc>
        <w:tc>
          <w:tcPr>
            <w:tcW w:w="720" w:type="dxa"/>
            <w:vAlign w:val="bottom"/>
            <w:shd w:val="clear" w:color="auto" w:fill="F0F0F0"/>
          </w:tcPr>
          <w:p>
            <w:pPr>
              <w:spacing w:after="0"/>
              <w:rPr>
                <w:sz w:val="15"/>
                <w:szCs w:val="15"/>
                <w:color w:val="auto"/>
              </w:rPr>
            </w:pPr>
          </w:p>
        </w:tc>
        <w:tc>
          <w:tcPr>
            <w:tcW w:w="720" w:type="dxa"/>
            <w:vAlign w:val="bottom"/>
            <w:shd w:val="clear" w:color="auto" w:fill="F0F0F0"/>
          </w:tcPr>
          <w:p>
            <w:pPr>
              <w:spacing w:after="0"/>
              <w:rPr>
                <w:sz w:val="15"/>
                <w:szCs w:val="15"/>
                <w:color w:val="auto"/>
              </w:rPr>
            </w:pPr>
          </w:p>
        </w:tc>
        <w:tc>
          <w:tcPr>
            <w:tcW w:w="40" w:type="dxa"/>
            <w:vAlign w:val="bottom"/>
            <w:shd w:val="clear" w:color="auto" w:fill="F0F0F0"/>
          </w:tcPr>
          <w:p>
            <w:pPr>
              <w:spacing w:after="0"/>
              <w:rPr>
                <w:sz w:val="15"/>
                <w:szCs w:val="15"/>
                <w:color w:val="auto"/>
              </w:rPr>
            </w:pPr>
          </w:p>
        </w:tc>
        <w:tc>
          <w:tcPr>
            <w:tcW w:w="760" w:type="dxa"/>
            <w:vAlign w:val="bottom"/>
            <w:shd w:val="clear" w:color="auto" w:fill="F0F0F0"/>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manufacturing expenses</w:t>
            </w:r>
          </w:p>
        </w:tc>
        <w:tc>
          <w:tcPr>
            <w:tcW w:w="720" w:type="dxa"/>
            <w:vAlign w:val="bottom"/>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color w:val="auto"/>
              </w:rPr>
              <w:t>2,510</w:t>
            </w:r>
          </w:p>
        </w:tc>
        <w:tc>
          <w:tcPr>
            <w:tcW w:w="72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800" w:type="dxa"/>
            <w:vAlign w:val="bottom"/>
            <w:gridSpan w:val="2"/>
            <w:shd w:val="clear" w:color="auto" w:fill="F0F0F0"/>
          </w:tcPr>
          <w:p>
            <w:pPr>
              <w:jc w:val="right"/>
              <w:ind w:right="13"/>
              <w:spacing w:after="0"/>
              <w:rPr>
                <w:sz w:val="20"/>
                <w:szCs w:val="20"/>
                <w:color w:val="auto"/>
              </w:rPr>
            </w:pPr>
            <w:r>
              <w:rPr>
                <w:rFonts w:ascii="Times New Roman" w:cs="Times New Roman" w:eastAsia="Times New Roman" w:hAnsi="Times New Roman"/>
                <w:sz w:val="18"/>
                <w:szCs w:val="18"/>
                <w:color w:val="auto"/>
              </w:rPr>
              <w:t>3,162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726</w:t>
            </w:r>
          </w:p>
        </w:tc>
        <w:tc>
          <w:tcPr>
            <w:tcW w:w="8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2,687</w:t>
            </w:r>
          </w:p>
        </w:tc>
        <w:tc>
          <w:tcPr>
            <w:tcW w:w="7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2,204</w:t>
            </w: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862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w:t>
            </w:r>
          </w:p>
        </w:tc>
        <w:tc>
          <w:tcPr>
            <w:tcW w:w="0" w:type="dxa"/>
            <w:vAlign w:val="bottom"/>
          </w:tcPr>
          <w:p>
            <w:pPr>
              <w:spacing w:after="0"/>
              <w:rPr>
                <w:sz w:val="1"/>
                <w:szCs w:val="1"/>
                <w:color w:val="auto"/>
              </w:rPr>
            </w:pPr>
          </w:p>
        </w:tc>
      </w:tr>
      <w:tr>
        <w:trPr>
          <w:trHeight w:val="270"/>
        </w:trPr>
        <w:tc>
          <w:tcPr>
            <w:tcW w:w="272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color w:val="auto"/>
              </w:rPr>
              <w:t>Included in SG&amp;A expenses</w:t>
            </w:r>
          </w:p>
        </w:tc>
        <w:tc>
          <w:tcPr>
            <w:tcW w:w="720" w:type="dxa"/>
            <w:vAlign w:val="bottom"/>
            <w:tcBorders>
              <w:bottom w:val="single" w:sz="8" w:color="0C479D"/>
            </w:tcBorders>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color w:val="auto"/>
              </w:rPr>
              <w:t>179</w:t>
            </w:r>
          </w:p>
        </w:tc>
        <w:tc>
          <w:tcPr>
            <w:tcW w:w="72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800" w:type="dxa"/>
            <w:vAlign w:val="bottom"/>
            <w:tcBorders>
              <w:bottom w:val="single" w:sz="8" w:color="0C479D"/>
            </w:tcBorders>
            <w:gridSpan w:val="2"/>
            <w:shd w:val="clear" w:color="auto" w:fill="F0F0F0"/>
          </w:tcPr>
          <w:p>
            <w:pPr>
              <w:jc w:val="right"/>
              <w:ind w:right="13"/>
              <w:spacing w:after="0"/>
              <w:rPr>
                <w:sz w:val="20"/>
                <w:szCs w:val="20"/>
                <w:color w:val="auto"/>
              </w:rPr>
            </w:pPr>
            <w:r>
              <w:rPr>
                <w:rFonts w:ascii="Times New Roman" w:cs="Times New Roman" w:eastAsia="Times New Roman" w:hAnsi="Times New Roman"/>
                <w:sz w:val="18"/>
                <w:szCs w:val="18"/>
                <w:color w:val="auto"/>
              </w:rPr>
              <w:t>444</w:t>
            </w:r>
          </w:p>
        </w:tc>
        <w:tc>
          <w:tcPr>
            <w:tcW w:w="8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800" w:type="dxa"/>
            <w:vAlign w:val="bottom"/>
            <w:tcBorders>
              <w:bottom w:val="single" w:sz="8" w:color="0C479D"/>
            </w:tcBorders>
          </w:tcPr>
          <w:p>
            <w:pPr>
              <w:jc w:val="right"/>
              <w:ind w:right="53"/>
              <w:spacing w:after="0"/>
              <w:rPr>
                <w:sz w:val="20"/>
                <w:szCs w:val="20"/>
                <w:color w:val="auto"/>
              </w:rPr>
            </w:pPr>
            <w:r>
              <w:rPr>
                <w:rFonts w:ascii="Times New Roman" w:cs="Times New Roman" w:eastAsia="Times New Roman" w:hAnsi="Times New Roman"/>
                <w:sz w:val="18"/>
                <w:szCs w:val="18"/>
                <w:color w:val="auto"/>
              </w:rPr>
              <w:t>310</w:t>
            </w:r>
          </w:p>
        </w:tc>
        <w:tc>
          <w:tcPr>
            <w:tcW w:w="820" w:type="dxa"/>
            <w:vAlign w:val="bottom"/>
            <w:tcBorders>
              <w:bottom w:val="single" w:sz="8" w:color="0C479D"/>
            </w:tcBorders>
          </w:tcPr>
          <w:p>
            <w:pPr>
              <w:jc w:val="right"/>
              <w:ind w:right="112"/>
              <w:spacing w:after="0"/>
              <w:rPr>
                <w:sz w:val="20"/>
                <w:szCs w:val="20"/>
                <w:color w:val="auto"/>
              </w:rPr>
            </w:pPr>
            <w:r>
              <w:rPr>
                <w:rFonts w:ascii="Times New Roman" w:cs="Times New Roman" w:eastAsia="Times New Roman" w:hAnsi="Times New Roman"/>
                <w:sz w:val="18"/>
                <w:szCs w:val="18"/>
                <w:color w:val="auto"/>
              </w:rPr>
              <w:t>493</w:t>
            </w:r>
          </w:p>
        </w:tc>
        <w:tc>
          <w:tcPr>
            <w:tcW w:w="780" w:type="dxa"/>
            <w:vAlign w:val="bottom"/>
            <w:tcBorders>
              <w:bottom w:val="single" w:sz="8" w:color="0C479D"/>
            </w:tcBorders>
          </w:tcPr>
          <w:p>
            <w:pPr>
              <w:jc w:val="right"/>
              <w:ind w:right="12"/>
              <w:spacing w:after="0"/>
              <w:rPr>
                <w:sz w:val="20"/>
                <w:szCs w:val="20"/>
                <w:color w:val="auto"/>
              </w:rPr>
            </w:pPr>
            <w:r>
              <w:rPr>
                <w:rFonts w:ascii="Times New Roman" w:cs="Times New Roman" w:eastAsia="Times New Roman" w:hAnsi="Times New Roman"/>
                <w:sz w:val="18"/>
                <w:szCs w:val="18"/>
                <w:color w:val="auto"/>
              </w:rPr>
              <w:t>151</w:t>
            </w:r>
          </w:p>
        </w:tc>
        <w:tc>
          <w:tcPr>
            <w:tcW w:w="800" w:type="dxa"/>
            <w:vAlign w:val="bottom"/>
            <w:tcBorders>
              <w:bottom w:val="single" w:sz="8" w:color="0C479D"/>
            </w:tcBorders>
          </w:tcPr>
          <w:p>
            <w:pPr>
              <w:jc w:val="right"/>
              <w:ind w:right="53"/>
              <w:spacing w:after="0"/>
              <w:rPr>
                <w:sz w:val="20"/>
                <w:szCs w:val="20"/>
                <w:color w:val="auto"/>
              </w:rPr>
            </w:pPr>
            <w:r>
              <w:rPr>
                <w:rFonts w:ascii="Times New Roman" w:cs="Times New Roman" w:eastAsia="Times New Roman" w:hAnsi="Times New Roman"/>
                <w:sz w:val="18"/>
                <w:szCs w:val="18"/>
                <w:color w:val="auto"/>
              </w:rPr>
              <w:t>319</w:t>
            </w:r>
          </w:p>
        </w:tc>
        <w:tc>
          <w:tcPr>
            <w:tcW w:w="7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50"/>
        </w:trPr>
        <w:tc>
          <w:tcPr>
            <w:tcW w:w="272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taxes and duties</w:t>
            </w:r>
          </w:p>
        </w:tc>
        <w:tc>
          <w:tcPr>
            <w:tcW w:w="720" w:type="dxa"/>
            <w:vAlign w:val="bottom"/>
            <w:tcBorders>
              <w:bottom w:val="single" w:sz="8" w:color="0C479D"/>
            </w:tcBorders>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6,538</w:t>
            </w:r>
          </w:p>
        </w:tc>
        <w:tc>
          <w:tcPr>
            <w:tcW w:w="72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23,356</w:t>
            </w:r>
          </w:p>
        </w:tc>
        <w:tc>
          <w:tcPr>
            <w:tcW w:w="40" w:type="dxa"/>
            <w:vAlign w:val="bottom"/>
            <w:tcBorders>
              <w:bottom w:val="single" w:sz="8" w:color="0C479D"/>
            </w:tcBorders>
            <w:shd w:val="clear" w:color="auto" w:fill="F0F0F0"/>
          </w:tcPr>
          <w:p>
            <w:pPr>
              <w:spacing w:after="0"/>
              <w:rPr>
                <w:sz w:val="21"/>
                <w:szCs w:val="21"/>
                <w:color w:val="auto"/>
              </w:rPr>
            </w:pPr>
          </w:p>
        </w:tc>
        <w:tc>
          <w:tcPr>
            <w:tcW w:w="760" w:type="dxa"/>
            <w:vAlign w:val="bottom"/>
            <w:tcBorders>
              <w:bottom w:val="single" w:sz="8" w:color="0C479D"/>
            </w:tcBorders>
            <w:shd w:val="clear" w:color="auto" w:fill="F0F0F0"/>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29,894</w:t>
            </w:r>
          </w:p>
        </w:tc>
        <w:tc>
          <w:tcPr>
            <w:tcW w:w="8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6,015</w:t>
            </w:r>
          </w:p>
        </w:tc>
        <w:tc>
          <w:tcPr>
            <w:tcW w:w="800" w:type="dxa"/>
            <w:vAlign w:val="bottom"/>
            <w:tcBorders>
              <w:bottom w:val="single" w:sz="8" w:color="0C479D"/>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26,176</w:t>
            </w:r>
          </w:p>
        </w:tc>
        <w:tc>
          <w:tcPr>
            <w:tcW w:w="820" w:type="dxa"/>
            <w:vAlign w:val="bottom"/>
            <w:tcBorders>
              <w:bottom w:val="single" w:sz="8" w:color="0C479D"/>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32,191</w:t>
            </w:r>
          </w:p>
        </w:tc>
        <w:tc>
          <w:tcPr>
            <w:tcW w:w="780" w:type="dxa"/>
            <w:vAlign w:val="bottom"/>
            <w:tcBorders>
              <w:bottom w:val="single" w:sz="8" w:color="0C479D"/>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6,442</w:t>
            </w:r>
          </w:p>
        </w:tc>
        <w:tc>
          <w:tcPr>
            <w:tcW w:w="800" w:type="dxa"/>
            <w:vAlign w:val="bottom"/>
            <w:tcBorders>
              <w:bottom w:val="single" w:sz="8" w:color="0C479D"/>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25,013</w:t>
            </w:r>
          </w:p>
        </w:tc>
        <w:tc>
          <w:tcPr>
            <w:tcW w:w="7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31,455</w:t>
            </w:r>
          </w:p>
        </w:tc>
        <w:tc>
          <w:tcPr>
            <w:tcW w:w="0" w:type="dxa"/>
            <w:vAlign w:val="bottom"/>
          </w:tcPr>
          <w:p>
            <w:pPr>
              <w:spacing w:after="0"/>
              <w:rPr>
                <w:sz w:val="1"/>
                <w:szCs w:val="1"/>
                <w:color w:val="auto"/>
              </w:rPr>
            </w:pPr>
          </w:p>
        </w:tc>
      </w:tr>
      <w:tr>
        <w:trPr>
          <w:trHeight w:val="244"/>
        </w:trPr>
        <w:tc>
          <w:tcPr>
            <w:tcW w:w="272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20" w:type="dxa"/>
            <w:vAlign w:val="bottom"/>
            <w:tcBorders>
              <w:bottom w:val="single" w:sz="8" w:color="0C479D"/>
            </w:tcBorders>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8,920</w:t>
            </w:r>
          </w:p>
        </w:tc>
        <w:tc>
          <w:tcPr>
            <w:tcW w:w="72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34,784</w:t>
            </w:r>
          </w:p>
        </w:tc>
        <w:tc>
          <w:tcPr>
            <w:tcW w:w="40" w:type="dxa"/>
            <w:vAlign w:val="bottom"/>
            <w:tcBorders>
              <w:bottom w:val="single" w:sz="8" w:color="0C479D"/>
            </w:tcBorders>
            <w:shd w:val="clear" w:color="auto" w:fill="F0F0F0"/>
          </w:tcPr>
          <w:p>
            <w:pPr>
              <w:spacing w:after="0"/>
              <w:rPr>
                <w:sz w:val="21"/>
                <w:szCs w:val="21"/>
                <w:color w:val="auto"/>
              </w:rPr>
            </w:pPr>
          </w:p>
        </w:tc>
        <w:tc>
          <w:tcPr>
            <w:tcW w:w="760" w:type="dxa"/>
            <w:vAlign w:val="bottom"/>
            <w:tcBorders>
              <w:bottom w:val="single" w:sz="8" w:color="0C479D"/>
            </w:tcBorders>
            <w:shd w:val="clear" w:color="auto" w:fill="F0F0F0"/>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43,704</w:t>
            </w:r>
          </w:p>
        </w:tc>
        <w:tc>
          <w:tcPr>
            <w:tcW w:w="8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8,852</w:t>
            </w:r>
          </w:p>
        </w:tc>
        <w:tc>
          <w:tcPr>
            <w:tcW w:w="800" w:type="dxa"/>
            <w:vAlign w:val="bottom"/>
            <w:tcBorders>
              <w:bottom w:val="single" w:sz="8" w:color="0C479D"/>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38,768</w:t>
            </w:r>
          </w:p>
        </w:tc>
        <w:tc>
          <w:tcPr>
            <w:tcW w:w="820" w:type="dxa"/>
            <w:vAlign w:val="bottom"/>
            <w:tcBorders>
              <w:bottom w:val="single" w:sz="8" w:color="0C479D"/>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47,620</w:t>
            </w:r>
          </w:p>
        </w:tc>
        <w:tc>
          <w:tcPr>
            <w:tcW w:w="780" w:type="dxa"/>
            <w:vAlign w:val="bottom"/>
            <w:tcBorders>
              <w:bottom w:val="single" w:sz="8" w:color="0C479D"/>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12,086</w:t>
            </w:r>
          </w:p>
        </w:tc>
        <w:tc>
          <w:tcPr>
            <w:tcW w:w="800" w:type="dxa"/>
            <w:vAlign w:val="bottom"/>
            <w:tcBorders>
              <w:bottom w:val="single" w:sz="8" w:color="0C479D"/>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39,545</w:t>
            </w:r>
          </w:p>
        </w:tc>
        <w:tc>
          <w:tcPr>
            <w:tcW w:w="7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51,631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above provisions for deferred income taxes include net benefits of $28 million in 2024, and net expenses of $24 million and $30 million in 2023 and 2022, respectively, related to changes in tax laws and rates.</w:t>
      </w:r>
    </w:p>
    <w:p>
      <w:pPr>
        <w:spacing w:after="0" w:line="3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Additional European Taxes on the Energy Sector. </w:t>
      </w:r>
      <w:r>
        <w:rPr>
          <w:rFonts w:ascii="Times New Roman" w:cs="Times New Roman" w:eastAsia="Times New Roman" w:hAnsi="Times New Roman"/>
          <w:sz w:val="18"/>
          <w:szCs w:val="18"/>
          <w:color w:val="auto"/>
        </w:rPr>
        <w:t>On October 6, 2022, European Union (“EU”) Member States adopted an EU Council Regulation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along with other measures, introduced a new tax described as an emergency intervention to address high energy prices. This regulation imposed a mandatory tax on certain companies active in the crude petroleum, coal, natural gas, and refinery sectors. The regulation required EU Member States to levy a minimum 33 percent tax on in-scope companies’ 2022 and/or 2023 “surplus profits", defined in the regulation as taxable profits exceeding 120 percent of the annual average profits during the 2018-2021 period. EU Member States were required to implement the tax, or an equivalent national measure, by December 31, 2022. The enactment of these regulations by EU Member States resulted in an after-tax charge of approximately $1.8 billion to the Corporation’s fourth-quarter 2022 results and approximately $0.2 billion in 2023, mainly reflected in the line “Income tax expense (benefit)” on the 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22"/>
          <w:szCs w:val="22"/>
          <w:b w:val="1"/>
          <w:bCs w:val="1"/>
          <w:color w:val="0C479D"/>
        </w:rPr>
        <w:t>NOTES TO CONSOLIDATED FINANCIAL STATEMENTS</w:t>
      </w:r>
    </w:p>
    <w:p>
      <w:pPr>
        <w:spacing w:after="0" w:line="200" w:lineRule="exact"/>
        <w:rPr>
          <w:sz w:val="20"/>
          <w:szCs w:val="20"/>
          <w:color w:val="auto"/>
        </w:rPr>
      </w:pPr>
    </w:p>
    <w:p>
      <w:pPr>
        <w:spacing w:after="0" w:line="2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reconciliation between income tax expense (credit) and a theoretical U.S. tax computed by applying a rate of 21 percent for 2024, 2023, and 2022 is as follows:</w:t>
      </w:r>
    </w:p>
    <w:p>
      <w:pPr>
        <w:spacing w:after="0" w:line="85" w:lineRule="exact"/>
        <w:rPr>
          <w:sz w:val="20"/>
          <w:szCs w:val="20"/>
          <w:color w:val="auto"/>
        </w:rPr>
      </w:pPr>
    </w:p>
    <w:tbl>
      <w:tblPr>
        <w:tblLayout w:type="fixed"/>
        <w:tblInd w:w="800" w:type="dxa"/>
        <w:tblCellMar>
          <w:top w:w="0" w:type="dxa"/>
          <w:left w:w="0" w:type="dxa"/>
          <w:bottom w:w="0" w:type="dxa"/>
          <w:right w:w="0" w:type="dxa"/>
        </w:tblCellMar>
      </w:tblPr>
      <w:tr>
        <w:trPr>
          <w:trHeight w:val="250"/>
        </w:trPr>
        <w:tc>
          <w:tcPr>
            <w:tcW w:w="6540" w:type="dxa"/>
            <w:vAlign w:val="bottom"/>
            <w:tcBorders>
              <w:bottom w:val="single" w:sz="8" w:color="0C479D"/>
            </w:tcBorders>
            <w:shd w:val="clear" w:color="auto" w:fill="0C479D"/>
          </w:tcPr>
          <w:p>
            <w:pPr>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960" w:type="dxa"/>
            <w:vAlign w:val="bottom"/>
            <w:tcBorders>
              <w:bottom w:val="single" w:sz="8" w:color="0C479D"/>
            </w:tcBorders>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1280" w:type="dxa"/>
            <w:vAlign w:val="bottom"/>
            <w:tcBorders>
              <w:bottom w:val="single" w:sz="8" w:color="0C479D"/>
            </w:tcBorders>
            <w:shd w:val="clear" w:color="auto" w:fill="0C479D"/>
          </w:tcPr>
          <w:p>
            <w:pPr>
              <w:jc w:val="right"/>
              <w:ind w:right="131"/>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880" w:type="dxa"/>
            <w:vAlign w:val="bottom"/>
            <w:tcBorders>
              <w:bottom w:val="single" w:sz="8" w:color="0C479D"/>
            </w:tcBorders>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2022</w:t>
            </w:r>
          </w:p>
        </w:tc>
      </w:tr>
      <w:tr>
        <w:trPr>
          <w:trHeight w:val="473"/>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960" w:type="dxa"/>
            <w:vAlign w:val="bottom"/>
            <w:shd w:val="clear" w:color="auto" w:fill="F0F0F0"/>
          </w:tcPr>
          <w:p>
            <w:pPr>
              <w:spacing w:after="0"/>
              <w:rPr>
                <w:sz w:val="24"/>
                <w:szCs w:val="24"/>
                <w:color w:val="auto"/>
              </w:rPr>
            </w:pPr>
          </w:p>
        </w:tc>
        <w:tc>
          <w:tcPr>
            <w:tcW w:w="1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97"/>
        </w:trPr>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9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12,258</w:t>
            </w:r>
          </w:p>
        </w:tc>
        <w:tc>
          <w:tcPr>
            <w:tcW w:w="12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14,786</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28,281</w:t>
            </w:r>
          </w:p>
        </w:tc>
      </w:tr>
      <w:tr>
        <w:trPr>
          <w:trHeight w:val="270"/>
        </w:trPr>
        <w:tc>
          <w:tcPr>
            <w:tcW w:w="6540" w:type="dxa"/>
            <w:vAlign w:val="bottom"/>
            <w:tcBorders>
              <w:bottom w:val="single" w:sz="8" w:color="0C479D"/>
            </w:tcBorders>
          </w:tcPr>
          <w:p>
            <w:pPr>
              <w:ind w:left="220"/>
              <w:spacing w:after="0"/>
              <w:rPr>
                <w:sz w:val="20"/>
                <w:szCs w:val="20"/>
                <w:color w:val="auto"/>
              </w:rPr>
            </w:pPr>
            <w:r>
              <w:rPr>
                <w:rFonts w:ascii="Times New Roman" w:cs="Times New Roman" w:eastAsia="Times New Roman" w:hAnsi="Times New Roman"/>
                <w:sz w:val="18"/>
                <w:szCs w:val="18"/>
                <w:color w:val="auto"/>
              </w:rPr>
              <w:t>Non-U.S.</w:t>
            </w:r>
          </w:p>
        </w:tc>
        <w:tc>
          <w:tcPr>
            <w:tcW w:w="9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36,615</w:t>
            </w:r>
          </w:p>
        </w:tc>
        <w:tc>
          <w:tcPr>
            <w:tcW w:w="1280" w:type="dxa"/>
            <w:vAlign w:val="bottom"/>
            <w:tcBorders>
              <w:bottom w:val="single" w:sz="8" w:color="0C479D"/>
            </w:tcBorders>
          </w:tcPr>
          <w:p>
            <w:pPr>
              <w:jc w:val="right"/>
              <w:ind w:right="191"/>
              <w:spacing w:after="0"/>
              <w:rPr>
                <w:sz w:val="20"/>
                <w:szCs w:val="20"/>
                <w:color w:val="auto"/>
              </w:rPr>
            </w:pPr>
            <w:r>
              <w:rPr>
                <w:rFonts w:ascii="Times New Roman" w:cs="Times New Roman" w:eastAsia="Times New Roman" w:hAnsi="Times New Roman"/>
                <w:sz w:val="18"/>
                <w:szCs w:val="18"/>
                <w:color w:val="auto"/>
              </w:rPr>
              <w:t>37,997</w:t>
            </w:r>
          </w:p>
        </w:tc>
        <w:tc>
          <w:tcPr>
            <w:tcW w:w="8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49,472</w:t>
            </w:r>
          </w:p>
        </w:tc>
      </w:tr>
      <w:tr>
        <w:trPr>
          <w:trHeight w:val="250"/>
        </w:trPr>
        <w:tc>
          <w:tcPr>
            <w:tcW w:w="654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48,873</w:t>
            </w:r>
          </w:p>
        </w:tc>
        <w:tc>
          <w:tcPr>
            <w:tcW w:w="1280" w:type="dxa"/>
            <w:vAlign w:val="bottom"/>
            <w:tcBorders>
              <w:bottom w:val="single" w:sz="8" w:color="0C479D"/>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52,783</w:t>
            </w:r>
          </w:p>
        </w:tc>
        <w:tc>
          <w:tcPr>
            <w:tcW w:w="8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77,753</w:t>
            </w:r>
          </w:p>
        </w:tc>
      </w:tr>
      <w:tr>
        <w:trPr>
          <w:trHeight w:val="250"/>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Theoretical tax</w:t>
            </w:r>
          </w:p>
        </w:tc>
        <w:tc>
          <w:tcPr>
            <w:tcW w:w="9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10,263</w:t>
            </w:r>
          </w:p>
        </w:tc>
        <w:tc>
          <w:tcPr>
            <w:tcW w:w="12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11,084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16,328</w:t>
            </w:r>
          </w:p>
        </w:tc>
      </w:tr>
      <w:tr>
        <w:trPr>
          <w:trHeight w:val="270"/>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Effect of equity method of accounting</w:t>
            </w:r>
          </w:p>
        </w:tc>
        <w:tc>
          <w:tcPr>
            <w:tcW w:w="9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28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(1,341)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w:t>
            </w:r>
          </w:p>
        </w:tc>
      </w:tr>
      <w:tr>
        <w:trPr>
          <w:trHeight w:val="270"/>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Non-U.S. taxes in excess of/(less than) theoretical U.S. tax </w:t>
            </w:r>
            <w:r>
              <w:rPr>
                <w:rFonts w:ascii="Times New Roman" w:cs="Times New Roman" w:eastAsia="Times New Roman" w:hAnsi="Times New Roman"/>
                <w:sz w:val="9"/>
                <w:szCs w:val="9"/>
                <w:i w:val="1"/>
                <w:iCs w:val="1"/>
                <w:color w:val="auto"/>
              </w:rPr>
              <w:t>(1)</w:t>
            </w:r>
          </w:p>
        </w:tc>
        <w:tc>
          <w:tcPr>
            <w:tcW w:w="9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12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5,888</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6,423</w:t>
            </w:r>
          </w:p>
        </w:tc>
      </w:tr>
      <w:tr>
        <w:trPr>
          <w:trHeight w:val="270"/>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tax benefit</w:t>
            </w:r>
          </w:p>
        </w:tc>
        <w:tc>
          <w:tcPr>
            <w:tcW w:w="9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2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57</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r>
      <w:tr>
        <w:trPr>
          <w:trHeight w:val="270"/>
        </w:trPr>
        <w:tc>
          <w:tcPr>
            <w:tcW w:w="654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280" w:type="dxa"/>
            <w:vAlign w:val="bottom"/>
            <w:tcBorders>
              <w:bottom w:val="single" w:sz="8" w:color="0C479D"/>
            </w:tcBorders>
          </w:tcPr>
          <w:p>
            <w:pPr>
              <w:jc w:val="right"/>
              <w:ind w:right="151"/>
              <w:spacing w:after="0"/>
              <w:rPr>
                <w:sz w:val="20"/>
                <w:szCs w:val="20"/>
                <w:color w:val="auto"/>
              </w:rPr>
            </w:pPr>
            <w:r>
              <w:rPr>
                <w:rFonts w:ascii="Times New Roman" w:cs="Times New Roman" w:eastAsia="Times New Roman" w:hAnsi="Times New Roman"/>
                <w:sz w:val="18"/>
                <w:szCs w:val="18"/>
                <w:color w:val="auto"/>
              </w:rPr>
              <w:t>(259)</w:t>
            </w:r>
          </w:p>
        </w:tc>
        <w:tc>
          <w:tcPr>
            <w:tcW w:w="8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(769)</w:t>
            </w:r>
          </w:p>
        </w:tc>
      </w:tr>
      <w:tr>
        <w:trPr>
          <w:trHeight w:val="250"/>
        </w:trPr>
        <w:tc>
          <w:tcPr>
            <w:tcW w:w="654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b w:val="1"/>
                <w:bCs w:val="1"/>
                <w:color w:val="auto"/>
              </w:rPr>
              <w:t>Total income tax expense (credit)</w:t>
            </w:r>
          </w:p>
        </w:tc>
        <w:tc>
          <w:tcPr>
            <w:tcW w:w="9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13,810</w:t>
            </w:r>
          </w:p>
        </w:tc>
        <w:tc>
          <w:tcPr>
            <w:tcW w:w="1280" w:type="dxa"/>
            <w:vAlign w:val="bottom"/>
            <w:tcBorders>
              <w:bottom w:val="single" w:sz="8" w:color="0C479D"/>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15,429</w:t>
            </w:r>
          </w:p>
        </w:tc>
        <w:tc>
          <w:tcPr>
            <w:tcW w:w="8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20,176</w:t>
            </w:r>
          </w:p>
        </w:tc>
      </w:tr>
      <w:tr>
        <w:trPr>
          <w:trHeight w:val="318"/>
        </w:trPr>
        <w:tc>
          <w:tcPr>
            <w:tcW w:w="6540" w:type="dxa"/>
            <w:vAlign w:val="bottom"/>
          </w:tcPr>
          <w:p>
            <w:pPr>
              <w:spacing w:after="0"/>
              <w:rPr>
                <w:sz w:val="20"/>
                <w:szCs w:val="20"/>
                <w:color w:val="auto"/>
              </w:rPr>
            </w:pPr>
            <w:r>
              <w:rPr>
                <w:rFonts w:ascii="Times New Roman" w:cs="Times New Roman" w:eastAsia="Times New Roman" w:hAnsi="Times New Roman"/>
                <w:sz w:val="18"/>
                <w:szCs w:val="18"/>
                <w:b w:val="1"/>
                <w:bCs w:val="1"/>
                <w:color w:val="0C479D"/>
              </w:rPr>
              <w:t>Effective tax rate calculation</w:t>
            </w:r>
          </w:p>
        </w:tc>
        <w:tc>
          <w:tcPr>
            <w:tcW w:w="960" w:type="dxa"/>
            <w:vAlign w:val="bottom"/>
            <w:shd w:val="clear" w:color="auto" w:fill="F0F0F0"/>
          </w:tcPr>
          <w:p>
            <w:pPr>
              <w:spacing w:after="0"/>
              <w:rPr>
                <w:sz w:val="24"/>
                <w:szCs w:val="24"/>
                <w:color w:val="auto"/>
              </w:rPr>
            </w:pPr>
          </w:p>
        </w:tc>
        <w:tc>
          <w:tcPr>
            <w:tcW w:w="12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97"/>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(credit)</w:t>
            </w:r>
          </w:p>
        </w:tc>
        <w:tc>
          <w:tcPr>
            <w:tcW w:w="9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13,810</w:t>
            </w:r>
          </w:p>
        </w:tc>
        <w:tc>
          <w:tcPr>
            <w:tcW w:w="12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15,429</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20,176</w:t>
            </w:r>
          </w:p>
        </w:tc>
      </w:tr>
      <w:tr>
        <w:trPr>
          <w:trHeight w:val="270"/>
        </w:trPr>
        <w:tc>
          <w:tcPr>
            <w:tcW w:w="654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color w:val="auto"/>
              </w:rPr>
              <w:t>ExxonMobil share of equity company income taxes</w:t>
            </w:r>
          </w:p>
        </w:tc>
        <w:tc>
          <w:tcPr>
            <w:tcW w:w="9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1280" w:type="dxa"/>
            <w:vAlign w:val="bottom"/>
            <w:tcBorders>
              <w:bottom w:val="single" w:sz="8" w:color="0C479D"/>
            </w:tcBorders>
          </w:tcPr>
          <w:p>
            <w:pPr>
              <w:jc w:val="right"/>
              <w:ind w:right="191"/>
              <w:spacing w:after="0"/>
              <w:rPr>
                <w:sz w:val="20"/>
                <w:szCs w:val="20"/>
                <w:color w:val="auto"/>
              </w:rPr>
            </w:pPr>
            <w:r>
              <w:rPr>
                <w:rFonts w:ascii="Times New Roman" w:cs="Times New Roman" w:eastAsia="Times New Roman" w:hAnsi="Times New Roman"/>
                <w:sz w:val="18"/>
                <w:szCs w:val="18"/>
                <w:color w:val="auto"/>
              </w:rPr>
              <w:t>3,058</w:t>
            </w:r>
          </w:p>
        </w:tc>
        <w:tc>
          <w:tcPr>
            <w:tcW w:w="8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7,594</w:t>
            </w:r>
          </w:p>
        </w:tc>
      </w:tr>
      <w:tr>
        <w:trPr>
          <w:trHeight w:val="250"/>
        </w:trPr>
        <w:tc>
          <w:tcPr>
            <w:tcW w:w="654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b w:val="1"/>
                <w:bCs w:val="1"/>
                <w:color w:val="auto"/>
              </w:rPr>
              <w:t>Total income tax expense (credit)</w:t>
            </w:r>
          </w:p>
        </w:tc>
        <w:tc>
          <w:tcPr>
            <w:tcW w:w="9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17,007</w:t>
            </w:r>
          </w:p>
        </w:tc>
        <w:tc>
          <w:tcPr>
            <w:tcW w:w="1280" w:type="dxa"/>
            <w:vAlign w:val="bottom"/>
            <w:tcBorders>
              <w:bottom w:val="single" w:sz="8" w:color="0C479D"/>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18,487</w:t>
            </w:r>
          </w:p>
        </w:tc>
        <w:tc>
          <w:tcPr>
            <w:tcW w:w="8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27,770</w:t>
            </w:r>
          </w:p>
        </w:tc>
      </w:tr>
      <w:tr>
        <w:trPr>
          <w:trHeight w:val="250"/>
        </w:trPr>
        <w:tc>
          <w:tcPr>
            <w:tcW w:w="654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color w:val="auto"/>
              </w:rPr>
              <w:t>Net income (loss) including noncontrolling interests</w:t>
            </w:r>
          </w:p>
        </w:tc>
        <w:tc>
          <w:tcPr>
            <w:tcW w:w="9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35,063</w:t>
            </w:r>
          </w:p>
        </w:tc>
        <w:tc>
          <w:tcPr>
            <w:tcW w:w="1280" w:type="dxa"/>
            <w:vAlign w:val="bottom"/>
            <w:tcBorders>
              <w:bottom w:val="single" w:sz="8" w:color="0C479D"/>
            </w:tcBorders>
          </w:tcPr>
          <w:p>
            <w:pPr>
              <w:jc w:val="right"/>
              <w:ind w:right="191"/>
              <w:spacing w:after="0"/>
              <w:rPr>
                <w:sz w:val="20"/>
                <w:szCs w:val="20"/>
                <w:color w:val="auto"/>
              </w:rPr>
            </w:pPr>
            <w:r>
              <w:rPr>
                <w:rFonts w:ascii="Times New Roman" w:cs="Times New Roman" w:eastAsia="Times New Roman" w:hAnsi="Times New Roman"/>
                <w:sz w:val="18"/>
                <w:szCs w:val="18"/>
                <w:color w:val="auto"/>
              </w:rPr>
              <w:t>37,354</w:t>
            </w:r>
          </w:p>
        </w:tc>
        <w:tc>
          <w:tcPr>
            <w:tcW w:w="8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57,577</w:t>
            </w:r>
          </w:p>
        </w:tc>
      </w:tr>
      <w:tr>
        <w:trPr>
          <w:trHeight w:val="250"/>
        </w:trPr>
        <w:tc>
          <w:tcPr>
            <w:tcW w:w="654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b w:val="1"/>
                <w:bCs w:val="1"/>
                <w:color w:val="auto"/>
              </w:rPr>
              <w:t>Total income (loss) before taxes</w:t>
            </w:r>
          </w:p>
        </w:tc>
        <w:tc>
          <w:tcPr>
            <w:tcW w:w="9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52,070</w:t>
            </w:r>
          </w:p>
        </w:tc>
        <w:tc>
          <w:tcPr>
            <w:tcW w:w="1280" w:type="dxa"/>
            <w:vAlign w:val="bottom"/>
            <w:tcBorders>
              <w:bottom w:val="single" w:sz="8" w:color="0C479D"/>
            </w:tcBorders>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55,841</w:t>
            </w:r>
          </w:p>
        </w:tc>
        <w:tc>
          <w:tcPr>
            <w:tcW w:w="8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85,347</w:t>
            </w:r>
          </w:p>
        </w:tc>
      </w:tr>
      <w:tr>
        <w:trPr>
          <w:trHeight w:val="338"/>
        </w:trPr>
        <w:tc>
          <w:tcPr>
            <w:tcW w:w="654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b w:val="1"/>
                <w:bCs w:val="1"/>
                <w:color w:val="auto"/>
              </w:rPr>
              <w:t>Effective income tax rate</w:t>
            </w:r>
          </w:p>
        </w:tc>
        <w:tc>
          <w:tcPr>
            <w:tcW w:w="960" w:type="dxa"/>
            <w:vAlign w:val="bottom"/>
            <w:tcBorders>
              <w:bottom w:val="single" w:sz="8" w:color="0C479D"/>
            </w:tcBorders>
            <w:shd w:val="clear" w:color="auto" w:fill="F0F0F0"/>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33%</w:t>
            </w:r>
          </w:p>
        </w:tc>
        <w:tc>
          <w:tcPr>
            <w:tcW w:w="1280" w:type="dxa"/>
            <w:vAlign w:val="bottom"/>
            <w:tcBorders>
              <w:bottom w:val="single" w:sz="8" w:color="0C479D"/>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33%</w:t>
            </w:r>
          </w:p>
        </w:tc>
        <w:tc>
          <w:tcPr>
            <w:tcW w:w="880" w:type="dxa"/>
            <w:vAlign w:val="bottom"/>
            <w:tcBorders>
              <w:bottom w:val="single" w:sz="8" w:color="0C479D"/>
            </w:tcBorders>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33%</w:t>
            </w:r>
          </w:p>
        </w:tc>
      </w:tr>
    </w:tbl>
    <w:p>
      <w:pPr>
        <w:spacing w:after="0" w:line="55" w:lineRule="exact"/>
        <w:rPr>
          <w:sz w:val="20"/>
          <w:szCs w:val="20"/>
          <w:color w:val="auto"/>
        </w:rPr>
      </w:pPr>
    </w:p>
    <w:p>
      <w:pPr>
        <w:ind w:left="960" w:hanging="151"/>
        <w:spacing w:after="0"/>
        <w:tabs>
          <w:tab w:leader="none" w:pos="960" w:val="left"/>
        </w:tabs>
        <w:numPr>
          <w:ilvl w:val="0"/>
          <w:numId w:val="66"/>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4"/>
          <w:szCs w:val="14"/>
          <w:i w:val="1"/>
          <w:iCs w:val="1"/>
          <w:color w:val="auto"/>
        </w:rPr>
        <w:t>Includes the impact of the additional European taxes on the energy sector of $115 million and $1,825 million in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22"/>
          <w:szCs w:val="22"/>
          <w:b w:val="1"/>
          <w:bCs w:val="1"/>
          <w:color w:val="0C479D"/>
        </w:rPr>
        <w:t>NOTES TO CONSOLIDATED FINANCIAL STATEMENTS</w:t>
      </w:r>
    </w:p>
    <w:p>
      <w:pPr>
        <w:spacing w:after="0" w:line="200" w:lineRule="exact"/>
        <w:rPr>
          <w:sz w:val="20"/>
          <w:szCs w:val="20"/>
          <w:color w:val="auto"/>
        </w:rPr>
      </w:pPr>
    </w:p>
    <w:p>
      <w:pPr>
        <w:spacing w:after="0" w:line="2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Deferred income taxes reflect the impact of temporary differences between the amount of assets and liabilities recognized for financial reporting purposes and such amounts recognized for tax purposes.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liabilities/(assets) are comprised of the following at December 31:</w:t>
      </w:r>
    </w:p>
    <w:p>
      <w:pPr>
        <w:spacing w:after="0" w:line="124" w:lineRule="exact"/>
        <w:rPr>
          <w:sz w:val="20"/>
          <w:szCs w:val="20"/>
          <w:color w:val="auto"/>
        </w:rPr>
      </w:pPr>
    </w:p>
    <w:tbl>
      <w:tblPr>
        <w:tblLayout w:type="fixed"/>
        <w:tblInd w:w="780" w:type="dxa"/>
        <w:tblCellMar>
          <w:top w:w="0" w:type="dxa"/>
          <w:left w:w="0" w:type="dxa"/>
          <w:bottom w:w="0" w:type="dxa"/>
          <w:right w:w="0" w:type="dxa"/>
        </w:tblCellMar>
      </w:tblPr>
      <w:tr>
        <w:trPr>
          <w:trHeight w:val="207"/>
        </w:trPr>
        <w:tc>
          <w:tcPr>
            <w:tcW w:w="7120" w:type="dxa"/>
            <w:vAlign w:val="bottom"/>
            <w:shd w:val="clear" w:color="auto" w:fill="0C479D"/>
          </w:tcPr>
          <w:p>
            <w:pPr>
              <w:spacing w:after="0"/>
              <w:rPr>
                <w:sz w:val="20"/>
                <w:szCs w:val="20"/>
                <w:color w:val="auto"/>
              </w:rPr>
            </w:pPr>
            <w:r>
              <w:rPr>
                <w:rFonts w:ascii="Times New Roman" w:cs="Times New Roman" w:eastAsia="Times New Roman" w:hAnsi="Times New Roman"/>
                <w:sz w:val="18"/>
                <w:szCs w:val="18"/>
                <w:b w:val="1"/>
                <w:bCs w:val="1"/>
                <w:color w:val="FFFFFF"/>
              </w:rPr>
              <w:t>Tax effects of temporary differences for:</w:t>
            </w:r>
          </w:p>
        </w:tc>
        <w:tc>
          <w:tcPr>
            <w:tcW w:w="1240" w:type="dxa"/>
            <w:vAlign w:val="bottom"/>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1340" w:type="dxa"/>
            <w:vAlign w:val="bottom"/>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2023</w:t>
            </w:r>
          </w:p>
        </w:tc>
      </w:tr>
      <w:tr>
        <w:trPr>
          <w:trHeight w:val="196"/>
        </w:trPr>
        <w:tc>
          <w:tcPr>
            <w:tcW w:w="7120" w:type="dxa"/>
            <w:vAlign w:val="bottom"/>
            <w:shd w:val="clear" w:color="auto" w:fill="0C479D"/>
          </w:tcPr>
          <w:p>
            <w:pPr>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1240" w:type="dxa"/>
            <w:vAlign w:val="bottom"/>
            <w:shd w:val="clear" w:color="auto" w:fill="0C479D"/>
          </w:tcPr>
          <w:p>
            <w:pPr>
              <w:spacing w:after="0"/>
              <w:rPr>
                <w:sz w:val="17"/>
                <w:szCs w:val="17"/>
                <w:color w:val="auto"/>
              </w:rPr>
            </w:pPr>
          </w:p>
        </w:tc>
        <w:tc>
          <w:tcPr>
            <w:tcW w:w="1340" w:type="dxa"/>
            <w:vAlign w:val="bottom"/>
            <w:shd w:val="clear" w:color="auto" w:fill="0C479D"/>
          </w:tcPr>
          <w:p>
            <w:pPr>
              <w:spacing w:after="0"/>
              <w:rPr>
                <w:sz w:val="17"/>
                <w:szCs w:val="17"/>
                <w:color w:val="auto"/>
              </w:rPr>
            </w:pPr>
          </w:p>
        </w:tc>
      </w:tr>
      <w:tr>
        <w:trPr>
          <w:trHeight w:val="500"/>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240" w:type="dxa"/>
            <w:vAlign w:val="bottom"/>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color w:val="auto"/>
              </w:rPr>
              <w:t>40,881</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26,627</w:t>
            </w:r>
          </w:p>
        </w:tc>
      </w:tr>
      <w:tr>
        <w:trPr>
          <w:trHeight w:val="270"/>
        </w:trPr>
        <w:tc>
          <w:tcPr>
            <w:tcW w:w="712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240" w:type="dxa"/>
            <w:vAlign w:val="bottom"/>
            <w:tcBorders>
              <w:bottom w:val="single" w:sz="8" w:color="0C479D"/>
            </w:tcBorders>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color w:val="auto"/>
              </w:rPr>
              <w:t>8,113</w:t>
            </w:r>
          </w:p>
        </w:tc>
        <w:tc>
          <w:tcPr>
            <w:tcW w:w="13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7,534</w:t>
            </w:r>
          </w:p>
        </w:tc>
      </w:tr>
      <w:tr>
        <w:trPr>
          <w:trHeight w:val="250"/>
        </w:trPr>
        <w:tc>
          <w:tcPr>
            <w:tcW w:w="712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1240" w:type="dxa"/>
            <w:vAlign w:val="bottom"/>
            <w:tcBorders>
              <w:bottom w:val="single" w:sz="8" w:color="0C479D"/>
            </w:tcBorders>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48,994</w:t>
            </w:r>
          </w:p>
        </w:tc>
        <w:tc>
          <w:tcPr>
            <w:tcW w:w="13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34,161</w:t>
            </w:r>
          </w:p>
        </w:tc>
      </w:tr>
      <w:tr>
        <w:trPr>
          <w:trHeight w:val="345"/>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Pension and other postretirement benefits</w:t>
            </w:r>
          </w:p>
        </w:tc>
        <w:tc>
          <w:tcPr>
            <w:tcW w:w="12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w:t>
            </w:r>
          </w:p>
        </w:tc>
      </w:tr>
      <w:tr>
        <w:trPr>
          <w:trHeight w:val="270"/>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2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(3,156)</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(3,532)</w:t>
            </w:r>
          </w:p>
        </w:tc>
      </w:tr>
      <w:tr>
        <w:trPr>
          <w:trHeight w:val="270"/>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Tax loss carryforwards</w:t>
            </w:r>
          </w:p>
        </w:tc>
        <w:tc>
          <w:tcPr>
            <w:tcW w:w="12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(4,575)</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w:t>
            </w:r>
          </w:p>
        </w:tc>
      </w:tr>
      <w:tr>
        <w:trPr>
          <w:trHeight w:val="270"/>
        </w:trPr>
        <w:tc>
          <w:tcPr>
            <w:tcW w:w="712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4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(7,308)</w:t>
            </w:r>
          </w:p>
        </w:tc>
        <w:tc>
          <w:tcPr>
            <w:tcW w:w="13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(6,361)</w:t>
            </w:r>
          </w:p>
        </w:tc>
      </w:tr>
      <w:tr>
        <w:trPr>
          <w:trHeight w:val="250"/>
        </w:trPr>
        <w:tc>
          <w:tcPr>
            <w:tcW w:w="712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124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(16,404)</w:t>
            </w:r>
          </w:p>
        </w:tc>
        <w:tc>
          <w:tcPr>
            <w:tcW w:w="13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(15,987)</w:t>
            </w:r>
          </w:p>
        </w:tc>
      </w:tr>
      <w:tr>
        <w:trPr>
          <w:trHeight w:val="344"/>
        </w:trPr>
        <w:tc>
          <w:tcPr>
            <w:tcW w:w="712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color w:val="auto"/>
              </w:rPr>
              <w:t>Asset valuation allowances</w:t>
            </w:r>
          </w:p>
        </w:tc>
        <w:tc>
          <w:tcPr>
            <w:tcW w:w="1240" w:type="dxa"/>
            <w:vAlign w:val="bottom"/>
            <w:tcBorders>
              <w:bottom w:val="single" w:sz="8" w:color="0C479D"/>
            </w:tcBorders>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color w:val="auto"/>
              </w:rPr>
              <w:t>2,516</w:t>
            </w:r>
          </w:p>
        </w:tc>
        <w:tc>
          <w:tcPr>
            <w:tcW w:w="13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2,641</w:t>
            </w:r>
          </w:p>
        </w:tc>
      </w:tr>
      <w:tr>
        <w:trPr>
          <w:trHeight w:val="243"/>
        </w:trPr>
        <w:tc>
          <w:tcPr>
            <w:tcW w:w="712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b w:val="1"/>
                <w:bCs w:val="1"/>
                <w:color w:val="auto"/>
              </w:rPr>
              <w:t>Net deferred tax liabilities</w:t>
            </w:r>
          </w:p>
        </w:tc>
        <w:tc>
          <w:tcPr>
            <w:tcW w:w="1240" w:type="dxa"/>
            <w:vAlign w:val="bottom"/>
            <w:tcBorders>
              <w:bottom w:val="single" w:sz="8" w:color="0C479D"/>
            </w:tcBorders>
            <w:shd w:val="clear" w:color="auto" w:fill="F0F0F0"/>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35,106</w:t>
            </w:r>
          </w:p>
        </w:tc>
        <w:tc>
          <w:tcPr>
            <w:tcW w:w="13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20,815</w:t>
            </w:r>
          </w:p>
        </w:tc>
      </w:tr>
    </w:tbl>
    <w:p>
      <w:pPr>
        <w:spacing w:after="0" w:line="200" w:lineRule="exact"/>
        <w:rPr>
          <w:sz w:val="20"/>
          <w:szCs w:val="20"/>
          <w:color w:val="auto"/>
        </w:rPr>
      </w:pPr>
    </w:p>
    <w:p>
      <w:pPr>
        <w:spacing w:after="0" w:line="2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2024, asset valuation allowances of $2,516 million decreased by $125 million and included net provisions of $41 million and foreign currency and other net benefits of $166 million.</w:t>
      </w:r>
    </w:p>
    <w:p>
      <w:pPr>
        <w:spacing w:after="0" w:line="61" w:lineRule="exact"/>
        <w:rPr>
          <w:sz w:val="20"/>
          <w:szCs w:val="20"/>
          <w:color w:val="auto"/>
        </w:rPr>
      </w:pPr>
    </w:p>
    <w:tbl>
      <w:tblPr>
        <w:tblLayout w:type="fixed"/>
        <w:tblInd w:w="780" w:type="dxa"/>
        <w:tblCellMar>
          <w:top w:w="0" w:type="dxa"/>
          <w:left w:w="0" w:type="dxa"/>
          <w:bottom w:w="0" w:type="dxa"/>
          <w:right w:w="0" w:type="dxa"/>
        </w:tblCellMar>
      </w:tblPr>
      <w:tr>
        <w:trPr>
          <w:trHeight w:val="207"/>
        </w:trPr>
        <w:tc>
          <w:tcPr>
            <w:tcW w:w="7120" w:type="dxa"/>
            <w:vAlign w:val="bottom"/>
            <w:shd w:val="clear" w:color="auto" w:fill="0C479D"/>
          </w:tcPr>
          <w:p>
            <w:pPr>
              <w:spacing w:after="0"/>
              <w:rPr>
                <w:sz w:val="20"/>
                <w:szCs w:val="20"/>
                <w:color w:val="auto"/>
              </w:rPr>
            </w:pPr>
            <w:r>
              <w:rPr>
                <w:rFonts w:ascii="Times New Roman" w:cs="Times New Roman" w:eastAsia="Times New Roman" w:hAnsi="Times New Roman"/>
                <w:sz w:val="18"/>
                <w:szCs w:val="18"/>
                <w:b w:val="1"/>
                <w:bCs w:val="1"/>
                <w:color w:val="FFFFFF"/>
              </w:rPr>
              <w:t>Balance sheet classification</w:t>
            </w:r>
          </w:p>
        </w:tc>
        <w:tc>
          <w:tcPr>
            <w:tcW w:w="1240" w:type="dxa"/>
            <w:vAlign w:val="bottom"/>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1340" w:type="dxa"/>
            <w:vAlign w:val="bottom"/>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2023</w:t>
            </w:r>
          </w:p>
        </w:tc>
      </w:tr>
      <w:tr>
        <w:trPr>
          <w:trHeight w:val="182"/>
        </w:trPr>
        <w:tc>
          <w:tcPr>
            <w:tcW w:w="7120" w:type="dxa"/>
            <w:vAlign w:val="bottom"/>
            <w:shd w:val="clear" w:color="auto" w:fill="0C479D"/>
          </w:tcPr>
          <w:p>
            <w:pPr>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1240" w:type="dxa"/>
            <w:vAlign w:val="bottom"/>
            <w:shd w:val="clear" w:color="auto" w:fill="0C479D"/>
          </w:tcPr>
          <w:p>
            <w:pPr>
              <w:spacing w:after="0"/>
              <w:rPr>
                <w:sz w:val="15"/>
                <w:szCs w:val="15"/>
                <w:color w:val="auto"/>
              </w:rPr>
            </w:pPr>
          </w:p>
        </w:tc>
        <w:tc>
          <w:tcPr>
            <w:tcW w:w="1340" w:type="dxa"/>
            <w:vAlign w:val="bottom"/>
            <w:shd w:val="clear" w:color="auto" w:fill="0C479D"/>
          </w:tcPr>
          <w:p>
            <w:pPr>
              <w:spacing w:after="0"/>
              <w:rPr>
                <w:sz w:val="15"/>
                <w:szCs w:val="15"/>
                <w:color w:val="auto"/>
              </w:rPr>
            </w:pPr>
          </w:p>
        </w:tc>
      </w:tr>
      <w:tr>
        <w:trPr>
          <w:trHeight w:val="500"/>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including intangibles, net</w:t>
            </w:r>
          </w:p>
        </w:tc>
        <w:tc>
          <w:tcPr>
            <w:tcW w:w="1240" w:type="dxa"/>
            <w:vAlign w:val="bottom"/>
            <w:shd w:val="clear" w:color="auto" w:fill="F0F0F0"/>
          </w:tcPr>
          <w:p>
            <w:pPr>
              <w:ind w:left="660"/>
              <w:spacing w:after="0"/>
              <w:rPr>
                <w:sz w:val="20"/>
                <w:szCs w:val="20"/>
                <w:color w:val="auto"/>
              </w:rPr>
            </w:pPr>
            <w:r>
              <w:rPr>
                <w:rFonts w:ascii="Times New Roman" w:cs="Times New Roman" w:eastAsia="Times New Roman" w:hAnsi="Times New Roman"/>
                <w:sz w:val="18"/>
                <w:szCs w:val="18"/>
                <w:color w:val="auto"/>
              </w:rPr>
              <w:t>(3,936)</w:t>
            </w:r>
          </w:p>
        </w:tc>
        <w:tc>
          <w:tcPr>
            <w:tcW w:w="13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(3,637)</w:t>
            </w:r>
          </w:p>
        </w:tc>
      </w:tr>
      <w:tr>
        <w:trPr>
          <w:trHeight w:val="270"/>
        </w:trPr>
        <w:tc>
          <w:tcPr>
            <w:tcW w:w="712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240" w:type="dxa"/>
            <w:vAlign w:val="bottom"/>
            <w:tcBorders>
              <w:bottom w:val="single" w:sz="8" w:color="0C479D"/>
            </w:tcBorders>
            <w:shd w:val="clear" w:color="auto" w:fill="F0F0F0"/>
          </w:tcPr>
          <w:p>
            <w:pPr>
              <w:ind w:left="640"/>
              <w:spacing w:after="0"/>
              <w:rPr>
                <w:sz w:val="20"/>
                <w:szCs w:val="20"/>
                <w:color w:val="auto"/>
              </w:rPr>
            </w:pPr>
            <w:r>
              <w:rPr>
                <w:rFonts w:ascii="Times New Roman" w:cs="Times New Roman" w:eastAsia="Times New Roman" w:hAnsi="Times New Roman"/>
                <w:sz w:val="18"/>
                <w:szCs w:val="18"/>
                <w:color w:val="auto"/>
              </w:rPr>
              <w:t>39,042</w:t>
            </w:r>
          </w:p>
        </w:tc>
        <w:tc>
          <w:tcPr>
            <w:tcW w:w="1340" w:type="dxa"/>
            <w:vAlign w:val="bottom"/>
            <w:tcBorders>
              <w:bottom w:val="single" w:sz="8" w:color="0C479D"/>
            </w:tcBorders>
          </w:tcPr>
          <w:p>
            <w:pPr>
              <w:ind w:left="760"/>
              <w:spacing w:after="0"/>
              <w:rPr>
                <w:sz w:val="20"/>
                <w:szCs w:val="20"/>
                <w:color w:val="auto"/>
              </w:rPr>
            </w:pPr>
            <w:r>
              <w:rPr>
                <w:rFonts w:ascii="Times New Roman" w:cs="Times New Roman" w:eastAsia="Times New Roman" w:hAnsi="Times New Roman"/>
                <w:sz w:val="18"/>
                <w:szCs w:val="18"/>
                <w:color w:val="auto"/>
              </w:rPr>
              <w:t>24,452</w:t>
            </w:r>
          </w:p>
        </w:tc>
      </w:tr>
      <w:tr>
        <w:trPr>
          <w:trHeight w:val="243"/>
        </w:trPr>
        <w:tc>
          <w:tcPr>
            <w:tcW w:w="712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b w:val="1"/>
                <w:bCs w:val="1"/>
                <w:color w:val="auto"/>
              </w:rPr>
              <w:t>Net deferred tax liabilities</w:t>
            </w:r>
          </w:p>
        </w:tc>
        <w:tc>
          <w:tcPr>
            <w:tcW w:w="1240" w:type="dxa"/>
            <w:vAlign w:val="bottom"/>
            <w:tcBorders>
              <w:bottom w:val="single" w:sz="8" w:color="0C479D"/>
            </w:tcBorders>
            <w:shd w:val="clear" w:color="auto" w:fill="F0F0F0"/>
          </w:tcPr>
          <w:p>
            <w:pPr>
              <w:ind w:left="640"/>
              <w:spacing w:after="0"/>
              <w:rPr>
                <w:sz w:val="20"/>
                <w:szCs w:val="20"/>
                <w:color w:val="auto"/>
              </w:rPr>
            </w:pPr>
            <w:r>
              <w:rPr>
                <w:rFonts w:ascii="Times New Roman" w:cs="Times New Roman" w:eastAsia="Times New Roman" w:hAnsi="Times New Roman"/>
                <w:sz w:val="18"/>
                <w:szCs w:val="18"/>
                <w:b w:val="1"/>
                <w:bCs w:val="1"/>
                <w:color w:val="auto"/>
              </w:rPr>
              <w:t>35,106</w:t>
            </w:r>
          </w:p>
        </w:tc>
        <w:tc>
          <w:tcPr>
            <w:tcW w:w="1340" w:type="dxa"/>
            <w:vAlign w:val="bottom"/>
            <w:tcBorders>
              <w:bottom w:val="single" w:sz="8" w:color="0C479D"/>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20,815</w:t>
            </w:r>
          </w:p>
        </w:tc>
      </w:tr>
    </w:tbl>
    <w:p>
      <w:pPr>
        <w:spacing w:after="0" w:line="200" w:lineRule="exact"/>
        <w:rPr>
          <w:sz w:val="20"/>
          <w:szCs w:val="20"/>
          <w:color w:val="auto"/>
        </w:rPr>
      </w:pPr>
    </w:p>
    <w:p>
      <w:pPr>
        <w:spacing w:after="0" w:line="2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Corporation’s undistributed earnings from subsidiary companies outside the United States include amounts that have been retained to fund prior and future capital project expenditures. Deferred income taxes have not been recorded for potential future tax obligations, such as foreign withholding tax and state tax, as these undistributed earnings are expected to be indefinitely reinvested for the foreseeable future. As of December 31, 2024, it is not practicable to estimate the unrecognized deferred tax liability. However, unrecognized deferred taxes on remittance of these funds are not expected to be material.</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22"/>
          <w:szCs w:val="22"/>
          <w:b w:val="1"/>
          <w:bCs w:val="1"/>
          <w:color w:val="0C479D"/>
        </w:rPr>
        <w:t>NOTES TO CONSOLIDATED FINANCIAL STATEMENTS</w:t>
      </w:r>
    </w:p>
    <w:p>
      <w:pPr>
        <w:spacing w:after="0" w:line="200" w:lineRule="exact"/>
        <w:rPr>
          <w:sz w:val="20"/>
          <w:szCs w:val="20"/>
          <w:color w:val="auto"/>
        </w:rPr>
      </w:pPr>
    </w:p>
    <w:p>
      <w:pPr>
        <w:spacing w:after="0" w:line="27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Unrecognized Tax Benefits. </w:t>
      </w:r>
      <w:r>
        <w:rPr>
          <w:rFonts w:ascii="Times New Roman" w:cs="Times New Roman" w:eastAsia="Times New Roman" w:hAnsi="Times New Roman"/>
          <w:sz w:val="18"/>
          <w:szCs w:val="18"/>
          <w:color w:val="auto"/>
        </w:rPr>
        <w:t>The Corporation is subject to income taxation in many jurisdictions around the world. The benefits of uncertain tax positions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Corporation has taken or expects to take in its income tax returns are recognized in the financial statements if management concludes that it is more likely than not that the position will be sustained with the tax authorities. For a position that is likely to be sustained, the benefit recognized in the financial statements is measured at the largest amount that is greater than 50 percent likely of being realized. Unrecognized tax benefits reflect the difference between positions taken or expected to be taken on income tax returns and the amounts recognized in the financial statements. The following table summarizes the movement in unrecognized tax benefits:</w:t>
      </w:r>
    </w:p>
    <w:p>
      <w:pPr>
        <w:spacing w:after="0" w:line="85" w:lineRule="exact"/>
        <w:rPr>
          <w:sz w:val="20"/>
          <w:szCs w:val="20"/>
          <w:color w:val="auto"/>
        </w:rPr>
      </w:pPr>
    </w:p>
    <w:tbl>
      <w:tblPr>
        <w:tblLayout w:type="fixed"/>
        <w:tblInd w:w="800" w:type="dxa"/>
        <w:tblCellMar>
          <w:top w:w="0" w:type="dxa"/>
          <w:left w:w="0" w:type="dxa"/>
          <w:bottom w:w="0" w:type="dxa"/>
          <w:right w:w="0" w:type="dxa"/>
        </w:tblCellMar>
      </w:tblPr>
      <w:tr>
        <w:trPr>
          <w:trHeight w:val="207"/>
        </w:trPr>
        <w:tc>
          <w:tcPr>
            <w:tcW w:w="6540" w:type="dxa"/>
            <w:vAlign w:val="bottom"/>
            <w:shd w:val="clear" w:color="auto" w:fill="0C479D"/>
          </w:tcPr>
          <w:p>
            <w:pPr>
              <w:spacing w:after="0"/>
              <w:rPr>
                <w:sz w:val="20"/>
                <w:szCs w:val="20"/>
                <w:color w:val="auto"/>
              </w:rPr>
            </w:pPr>
            <w:r>
              <w:rPr>
                <w:rFonts w:ascii="Times New Roman" w:cs="Times New Roman" w:eastAsia="Times New Roman" w:hAnsi="Times New Roman"/>
                <w:sz w:val="18"/>
                <w:szCs w:val="18"/>
                <w:b w:val="1"/>
                <w:bCs w:val="1"/>
                <w:color w:val="FFFFFF"/>
              </w:rPr>
              <w:t>Gross unrecognized tax benefits</w:t>
            </w:r>
          </w:p>
        </w:tc>
        <w:tc>
          <w:tcPr>
            <w:tcW w:w="960" w:type="dxa"/>
            <w:vAlign w:val="bottom"/>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1320" w:type="dxa"/>
            <w:vAlign w:val="bottom"/>
            <w:shd w:val="clear" w:color="auto" w:fill="0C479D"/>
          </w:tcPr>
          <w:p>
            <w:pPr>
              <w:jc w:val="right"/>
              <w:ind w:right="172"/>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840" w:type="dxa"/>
            <w:vAlign w:val="bottom"/>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2022</w:t>
            </w:r>
          </w:p>
        </w:tc>
      </w:tr>
      <w:tr>
        <w:trPr>
          <w:trHeight w:val="196"/>
        </w:trPr>
        <w:tc>
          <w:tcPr>
            <w:tcW w:w="6540" w:type="dxa"/>
            <w:vAlign w:val="bottom"/>
            <w:shd w:val="clear" w:color="auto" w:fill="0C479D"/>
          </w:tcPr>
          <w:p>
            <w:pPr>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960" w:type="dxa"/>
            <w:vAlign w:val="bottom"/>
            <w:shd w:val="clear" w:color="auto" w:fill="0C479D"/>
          </w:tcPr>
          <w:p>
            <w:pPr>
              <w:spacing w:after="0"/>
              <w:rPr>
                <w:sz w:val="17"/>
                <w:szCs w:val="17"/>
                <w:color w:val="auto"/>
              </w:rPr>
            </w:pPr>
          </w:p>
        </w:tc>
        <w:tc>
          <w:tcPr>
            <w:tcW w:w="1320" w:type="dxa"/>
            <w:vAlign w:val="bottom"/>
            <w:shd w:val="clear" w:color="auto" w:fill="0C479D"/>
          </w:tcPr>
          <w:p>
            <w:pPr>
              <w:spacing w:after="0"/>
              <w:rPr>
                <w:sz w:val="17"/>
                <w:szCs w:val="17"/>
                <w:color w:val="auto"/>
              </w:rPr>
            </w:pPr>
          </w:p>
        </w:tc>
        <w:tc>
          <w:tcPr>
            <w:tcW w:w="840" w:type="dxa"/>
            <w:vAlign w:val="bottom"/>
            <w:shd w:val="clear" w:color="auto" w:fill="0C479D"/>
          </w:tcPr>
          <w:p>
            <w:pPr>
              <w:spacing w:after="0"/>
              <w:rPr>
                <w:sz w:val="17"/>
                <w:szCs w:val="17"/>
                <w:color w:val="auto"/>
              </w:rPr>
            </w:pPr>
          </w:p>
        </w:tc>
      </w:tr>
      <w:tr>
        <w:trPr>
          <w:trHeight w:val="500"/>
        </w:trPr>
        <w:tc>
          <w:tcPr>
            <w:tcW w:w="6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January 1</w:t>
            </w:r>
          </w:p>
        </w:tc>
        <w:tc>
          <w:tcPr>
            <w:tcW w:w="9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3,935</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3,398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9,130</w:t>
            </w:r>
          </w:p>
        </w:tc>
      </w:tr>
      <w:tr>
        <w:trPr>
          <w:trHeight w:val="270"/>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Additions based on current year's tax positions</w:t>
            </w:r>
          </w:p>
        </w:tc>
        <w:tc>
          <w:tcPr>
            <w:tcW w:w="9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350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r>
      <w:tr>
        <w:trPr>
          <w:trHeight w:val="270"/>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prior years' tax positions</w:t>
            </w:r>
          </w:p>
        </w:tc>
        <w:tc>
          <w:tcPr>
            <w:tcW w:w="9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400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70"/>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Reductions for prior years' tax positions</w:t>
            </w:r>
          </w:p>
        </w:tc>
        <w:tc>
          <w:tcPr>
            <w:tcW w:w="9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3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(38)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(6,243)</w:t>
            </w:r>
          </w:p>
        </w:tc>
      </w:tr>
      <w:tr>
        <w:trPr>
          <w:trHeight w:val="270"/>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Reductions due to lapse of the statute of limitations</w:t>
            </w:r>
          </w:p>
        </w:tc>
        <w:tc>
          <w:tcPr>
            <w:tcW w:w="9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3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0"/>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Settlements with tax authorities</w:t>
            </w:r>
          </w:p>
        </w:tc>
        <w:tc>
          <w:tcPr>
            <w:tcW w:w="96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32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(153)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70"/>
        </w:trPr>
        <w:tc>
          <w:tcPr>
            <w:tcW w:w="654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color w:val="auto"/>
              </w:rPr>
              <w:t>Foreign exchange effects/other</w:t>
            </w:r>
          </w:p>
        </w:tc>
        <w:tc>
          <w:tcPr>
            <w:tcW w:w="9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320" w:type="dxa"/>
            <w:vAlign w:val="bottom"/>
            <w:tcBorders>
              <w:bottom w:val="single" w:sz="8" w:color="0C479D"/>
            </w:tcBorders>
          </w:tcPr>
          <w:p>
            <w:pPr>
              <w:jc w:val="right"/>
              <w:ind w:right="232"/>
              <w:spacing w:after="0"/>
              <w:rPr>
                <w:sz w:val="20"/>
                <w:szCs w:val="20"/>
                <w:color w:val="auto"/>
              </w:rPr>
            </w:pPr>
            <w:r>
              <w:rPr>
                <w:rFonts w:ascii="Times New Roman" w:cs="Times New Roman" w:eastAsia="Times New Roman" w:hAnsi="Times New Roman"/>
                <w:sz w:val="18"/>
                <w:szCs w:val="18"/>
                <w:color w:val="auto"/>
              </w:rPr>
              <w:t>3</w:t>
            </w:r>
          </w:p>
        </w:tc>
        <w:tc>
          <w:tcPr>
            <w:tcW w:w="8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43"/>
        </w:trPr>
        <w:tc>
          <w:tcPr>
            <w:tcW w:w="6540" w:type="dxa"/>
            <w:vAlign w:val="bottom"/>
            <w:tcBorders>
              <w:bottom w:val="single" w:sz="8" w:color="0C479D"/>
            </w:tcBorders>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w:t>
            </w:r>
          </w:p>
        </w:tc>
        <w:tc>
          <w:tcPr>
            <w:tcW w:w="96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4,035</w:t>
            </w:r>
          </w:p>
        </w:tc>
        <w:tc>
          <w:tcPr>
            <w:tcW w:w="1320" w:type="dxa"/>
            <w:vAlign w:val="bottom"/>
            <w:tcBorders>
              <w:bottom w:val="single" w:sz="8" w:color="0C479D"/>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3,935</w:t>
            </w:r>
          </w:p>
        </w:tc>
        <w:tc>
          <w:tcPr>
            <w:tcW w:w="8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3,398</w:t>
            </w:r>
          </w:p>
        </w:tc>
      </w:tr>
    </w:tbl>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gross unrecognized tax benefit balances shown above predominantly relate to tax positions that would reduce the Corporation’s effective tax rate if the positions are favorably resolved. Unfavorable resolution of these tax positions generally would not increase the effective tax rate. The 2024, 2023, and 2022 changes in unrecognized tax benefits did not have a material effect on the Corporation’s net income.</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Resolution of these tax positions through negotiations with the relevant tax authorities or through litigation may take many years to complete. It is difficult to predict the timing of resolution for these tax positions since the timing is not entirely within the control of the Corporation. Unlike 2022, during which litigation resolved certain unrecognized tax benefit positions, there was no major resolution of unrecognized tax benefit positions in 2023 or 2024. The Corporation has various U.S. federal income tax positions at issue with the Internal Revenue Service for tax years beginning with 2010. Unfavorable resolution of these issues would not have a materially adverse effect on the Corporation’s net income or liquidity.</w:t>
      </w:r>
    </w:p>
    <w:p>
      <w:pPr>
        <w:spacing w:after="0" w:line="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 is reasonably possible that the total amount of unrecognized tax benefits could increase by up to 20 percent or decrease by up to 30 percent in the next 12 months.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tax years that remain subject to examination by major tax jurisdiction:</w:t>
      </w:r>
    </w:p>
    <w:p>
      <w:pPr>
        <w:spacing w:after="0" w:line="149" w:lineRule="exact"/>
        <w:rPr>
          <w:sz w:val="20"/>
          <w:szCs w:val="20"/>
          <w:color w:val="auto"/>
        </w:rPr>
      </w:pPr>
    </w:p>
    <w:tbl>
      <w:tblPr>
        <w:tblLayout w:type="fixed"/>
        <w:tblInd w:w="2620" w:type="dxa"/>
        <w:tblCellMar>
          <w:top w:w="0" w:type="dxa"/>
          <w:left w:w="0" w:type="dxa"/>
          <w:bottom w:w="0" w:type="dxa"/>
          <w:right w:w="0" w:type="dxa"/>
        </w:tblCellMar>
      </w:tblPr>
      <w:tr>
        <w:trPr>
          <w:trHeight w:val="257"/>
        </w:trPr>
        <w:tc>
          <w:tcPr>
            <w:tcW w:w="3060" w:type="dxa"/>
            <w:vAlign w:val="bottom"/>
            <w:shd w:val="clear" w:color="auto" w:fill="0C479D"/>
          </w:tcPr>
          <w:p>
            <w:pPr>
              <w:ind w:left="20"/>
              <w:spacing w:after="0"/>
              <w:rPr>
                <w:sz w:val="20"/>
                <w:szCs w:val="20"/>
                <w:color w:val="auto"/>
              </w:rPr>
            </w:pPr>
            <w:r>
              <w:rPr>
                <w:rFonts w:ascii="Times New Roman" w:cs="Times New Roman" w:eastAsia="Times New Roman" w:hAnsi="Times New Roman"/>
                <w:sz w:val="18"/>
                <w:szCs w:val="18"/>
                <w:b w:val="1"/>
                <w:bCs w:val="1"/>
                <w:color w:val="FFFFFF"/>
              </w:rPr>
              <w:t>Country of Operation</w:t>
            </w:r>
          </w:p>
        </w:tc>
        <w:tc>
          <w:tcPr>
            <w:tcW w:w="2960" w:type="dxa"/>
            <w:vAlign w:val="bottom"/>
            <w:gridSpan w:val="3"/>
            <w:shd w:val="clear" w:color="auto" w:fill="0C479D"/>
          </w:tcPr>
          <w:p>
            <w:pPr>
              <w:jc w:val="right"/>
              <w:ind w:right="270"/>
              <w:spacing w:after="0"/>
              <w:rPr>
                <w:sz w:val="20"/>
                <w:szCs w:val="20"/>
                <w:color w:val="auto"/>
              </w:rPr>
            </w:pPr>
            <w:r>
              <w:rPr>
                <w:rFonts w:ascii="Times New Roman" w:cs="Times New Roman" w:eastAsia="Times New Roman" w:hAnsi="Times New Roman"/>
                <w:sz w:val="18"/>
                <w:szCs w:val="18"/>
                <w:b w:val="1"/>
                <w:bCs w:val="1"/>
                <w:color w:val="FFFFFF"/>
              </w:rPr>
              <w:t>Open Tax Years</w:t>
            </w:r>
          </w:p>
        </w:tc>
      </w:tr>
      <w:tr>
        <w:trPr>
          <w:trHeight w:val="365"/>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r>
      <w:tr>
        <w:trPr>
          <w:trHeight w:val="270"/>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Kazakhstan</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r>
      <w:tr>
        <w:trPr>
          <w:trHeight w:val="270"/>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Nigeria</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r>
      <w:tr>
        <w:trPr>
          <w:trHeight w:val="270"/>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Papua New Guinea</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r>
      <w:tr>
        <w:trPr>
          <w:trHeight w:val="270"/>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Arab Emirates</w:t>
            </w:r>
          </w:p>
        </w:tc>
        <w:tc>
          <w:tcPr>
            <w:tcW w:w="20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r>
      <w:tr>
        <w:trPr>
          <w:trHeight w:val="270"/>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r>
    </w:tbl>
    <w:p>
      <w:pPr>
        <w:spacing w:after="0" w:line="200" w:lineRule="exact"/>
        <w:rPr>
          <w:sz w:val="20"/>
          <w:szCs w:val="20"/>
          <w:color w:val="auto"/>
        </w:rPr>
      </w:pPr>
    </w:p>
    <w:p>
      <w:pPr>
        <w:spacing w:after="0" w:line="29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Corporation classifies interest on income tax-related balances as interest expense or interest income and classifies tax-related penalties as operating expense.</w:t>
      </w:r>
    </w:p>
    <w:p>
      <w:pPr>
        <w:spacing w:after="0" w:line="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2024, 2023, and 2022, the Corporation's net interest expense on income tax reserves was $142 million, $60 million, and $16 million, respectively. The related interest payable balances were $275 million and $134 million at December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22"/>
          <w:szCs w:val="22"/>
          <w:b w:val="1"/>
          <w:bCs w:val="1"/>
          <w:color w:val="0C479D"/>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C479D"/>
        </w:rPr>
        <w:t>Note 20. Divestment Activities</w:t>
      </w:r>
    </w:p>
    <w:p>
      <w:pPr>
        <w:spacing w:after="0" w:line="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2024, the Corporation realized proceeds of approximately $5.0 billion and recognized net after-tax earnings of approximately $1.0 billion from its divestment activities. This included the sale of the Santa Ynez Unit and associated facilities in California, Mobil Producing Nigeria Unlimited, ExxonMobil Exploration Argentina, the Fos-sur-Mer Refinery (France), the Adriatic LNG terminal (Italy), and certain conventional and unconventional assets in the United States, as well as other smaller divestments.</w:t>
      </w:r>
    </w:p>
    <w:p>
      <w:pPr>
        <w:spacing w:after="0" w:line="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2023, the Corporation realized proceeds of approximately $4.1 billion and recognized net after-tax earnings of approximately $0.6 billion from its divestment activities. This included the sale of the Aera Energy joint venture, Esso Thailand Ltd., the Billings Refinery, certain unconventional assets in the United States, as well as other smaller divestments.</w:t>
      </w:r>
    </w:p>
    <w:p>
      <w:pPr>
        <w:spacing w:after="0" w:line="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2022, the Corporation realized proceeds of approximately $5.2 billion and recognized net after-tax earnings of approximately $0.4 billion from its divestment activities. This included the sale of certain unproved assets in Romania and unconventional assets in Canada and the United States, as well as other smaller divestments.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22"/>
          <w:szCs w:val="22"/>
          <w:b w:val="1"/>
          <w:bCs w:val="1"/>
          <w:color w:val="0C479D"/>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C479D"/>
        </w:rPr>
        <w:t>Note 21. Mergers and Acquisitions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Pioneer Natural Resources Company</w:t>
      </w:r>
    </w:p>
    <w:p>
      <w:pPr>
        <w:spacing w:after="0" w:line="6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May 3, 2024, the Corporation acquired Pioneer, an independent oil and gas exploration and production company. In connection with the acquisition, we issued 545 million shares of ExxonMobil common stock having a fair value of $63 billion on the acquisition date, and assumed debt with a fair value of $5 billion.</w:t>
      </w:r>
    </w:p>
    <w:p>
      <w:pPr>
        <w:spacing w:after="0" w:line="20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transaction was accounted for as a business combination in accordance with ASC 805, which requires that assets acquired and liabilities assumed be recognized at their fair values as of the acquisition date. The following table summarizes the provisional fair values of the assets acquired and liabilities assumed.</w:t>
      </w:r>
    </w:p>
    <w:p>
      <w:pPr>
        <w:spacing w:after="0" w:line="200" w:lineRule="exact"/>
        <w:rPr>
          <w:sz w:val="20"/>
          <w:szCs w:val="20"/>
          <w:color w:val="auto"/>
        </w:rPr>
      </w:pPr>
    </w:p>
    <w:p>
      <w:pPr>
        <w:spacing w:after="0" w:line="232" w:lineRule="exact"/>
        <w:rPr>
          <w:sz w:val="20"/>
          <w:szCs w:val="20"/>
          <w:color w:val="auto"/>
        </w:rPr>
      </w:pPr>
    </w:p>
    <w:tbl>
      <w:tblPr>
        <w:tblLayout w:type="fixed"/>
        <w:tblInd w:w="2260" w:type="dxa"/>
        <w:tblCellMar>
          <w:top w:w="0" w:type="dxa"/>
          <w:left w:w="0" w:type="dxa"/>
          <w:bottom w:w="0" w:type="dxa"/>
          <w:right w:w="0" w:type="dxa"/>
        </w:tblCellMar>
      </w:tblPr>
      <w:tr>
        <w:trPr>
          <w:trHeight w:val="297"/>
        </w:trPr>
        <w:tc>
          <w:tcPr>
            <w:tcW w:w="5120" w:type="dxa"/>
            <w:vAlign w:val="bottom"/>
            <w:shd w:val="clear" w:color="auto" w:fill="0C479D"/>
          </w:tcPr>
          <w:p>
            <w:pPr>
              <w:ind w:left="20"/>
              <w:spacing w:after="0"/>
              <w:rPr>
                <w:sz w:val="20"/>
                <w:szCs w:val="20"/>
                <w:color w:val="auto"/>
              </w:rPr>
            </w:pPr>
            <w:r>
              <w:rPr>
                <w:rFonts w:ascii="Times New Roman" w:cs="Times New Roman" w:eastAsia="Times New Roman" w:hAnsi="Times New Roman"/>
                <w:sz w:val="14"/>
                <w:szCs w:val="14"/>
                <w:i w:val="1"/>
                <w:iCs w:val="1"/>
                <w:color w:val="FFFFFF"/>
              </w:rPr>
              <w:t>(billions of dollars)</w:t>
            </w:r>
          </w:p>
        </w:tc>
        <w:tc>
          <w:tcPr>
            <w:tcW w:w="1600" w:type="dxa"/>
            <w:vAlign w:val="bottom"/>
            <w:shd w:val="clear" w:color="auto" w:fill="0C479D"/>
          </w:tcPr>
          <w:p>
            <w:pPr>
              <w:jc w:val="right"/>
              <w:ind w:right="410"/>
              <w:spacing w:after="0"/>
              <w:rPr>
                <w:sz w:val="20"/>
                <w:szCs w:val="20"/>
                <w:color w:val="auto"/>
              </w:rPr>
            </w:pPr>
            <w:r>
              <w:rPr>
                <w:rFonts w:ascii="Times New Roman" w:cs="Times New Roman" w:eastAsia="Times New Roman" w:hAnsi="Times New Roman"/>
                <w:sz w:val="18"/>
                <w:szCs w:val="18"/>
                <w:b w:val="1"/>
                <w:bCs w:val="1"/>
                <w:color w:val="FFFFFF"/>
              </w:rPr>
              <w:t>Pioneer</w:t>
            </w:r>
          </w:p>
        </w:tc>
      </w:tr>
      <w:tr>
        <w:trPr>
          <w:trHeight w:val="81"/>
        </w:trPr>
        <w:tc>
          <w:tcPr>
            <w:tcW w:w="5120" w:type="dxa"/>
            <w:vAlign w:val="bottom"/>
            <w:shd w:val="clear" w:color="auto" w:fill="0C479D"/>
          </w:tcPr>
          <w:p>
            <w:pPr>
              <w:spacing w:after="0"/>
              <w:rPr>
                <w:sz w:val="7"/>
                <w:szCs w:val="7"/>
                <w:color w:val="auto"/>
              </w:rPr>
            </w:pPr>
          </w:p>
        </w:tc>
        <w:tc>
          <w:tcPr>
            <w:tcW w:w="1600" w:type="dxa"/>
            <w:vAlign w:val="bottom"/>
            <w:shd w:val="clear" w:color="auto" w:fill="0C479D"/>
          </w:tcPr>
          <w:p>
            <w:pPr>
              <w:spacing w:after="0"/>
              <w:rPr>
                <w:sz w:val="7"/>
                <w:szCs w:val="7"/>
                <w:color w:val="auto"/>
              </w:rPr>
            </w:pPr>
          </w:p>
        </w:tc>
      </w:tr>
      <w:tr>
        <w:trPr>
          <w:trHeight w:val="257"/>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Current assets </w:t>
            </w:r>
            <w:r>
              <w:rPr>
                <w:rFonts w:ascii="Times New Roman" w:cs="Times New Roman" w:eastAsia="Times New Roman" w:hAnsi="Times New Roman"/>
                <w:sz w:val="9"/>
                <w:szCs w:val="9"/>
                <w:i w:val="1"/>
                <w:iCs w:val="1"/>
                <w:color w:val="auto"/>
              </w:rPr>
              <w:t>(1)</w:t>
            </w:r>
          </w:p>
        </w:tc>
        <w:tc>
          <w:tcPr>
            <w:tcW w:w="16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57"/>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6"/>
        </w:trPr>
        <w:tc>
          <w:tcPr>
            <w:tcW w:w="512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 xml:space="preserve">Property, plant &amp; equipment </w:t>
            </w:r>
            <w:r>
              <w:rPr>
                <w:rFonts w:ascii="Times New Roman" w:cs="Times New Roman" w:eastAsia="Times New Roman" w:hAnsi="Times New Roman"/>
                <w:sz w:val="9"/>
                <w:szCs w:val="9"/>
                <w:i w:val="1"/>
                <w:iCs w:val="1"/>
                <w:color w:val="auto"/>
              </w:rPr>
              <w:t>(2)</w:t>
            </w:r>
          </w:p>
        </w:tc>
        <w:tc>
          <w:tcPr>
            <w:tcW w:w="16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7"/>
        </w:trPr>
        <w:tc>
          <w:tcPr>
            <w:tcW w:w="512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identifiable assets acquired</w:t>
            </w:r>
          </w:p>
        </w:tc>
        <w:tc>
          <w:tcPr>
            <w:tcW w:w="16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r>
      <w:tr>
        <w:trPr>
          <w:trHeight w:val="344"/>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Current liabilities </w:t>
            </w:r>
            <w:r>
              <w:rPr>
                <w:rFonts w:ascii="Times New Roman" w:cs="Times New Roman" w:eastAsia="Times New Roman" w:hAnsi="Times New Roman"/>
                <w:sz w:val="9"/>
                <w:szCs w:val="9"/>
                <w:i w:val="1"/>
                <w:iCs w:val="1"/>
                <w:color w:val="auto"/>
              </w:rPr>
              <w:t>(1)</w:t>
            </w:r>
          </w:p>
        </w:tc>
        <w:tc>
          <w:tcPr>
            <w:tcW w:w="16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57"/>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Long-term debt </w:t>
            </w:r>
            <w:r>
              <w:rPr>
                <w:rFonts w:ascii="Times New Roman" w:cs="Times New Roman" w:eastAsia="Times New Roman" w:hAnsi="Times New Roman"/>
                <w:sz w:val="9"/>
                <w:szCs w:val="9"/>
                <w:i w:val="1"/>
                <w:iCs w:val="1"/>
                <w:color w:val="auto"/>
              </w:rPr>
              <w:t>(3)</w:t>
            </w:r>
          </w:p>
        </w:tc>
        <w:tc>
          <w:tcPr>
            <w:tcW w:w="16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57"/>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Deferred income tax liabilities </w:t>
            </w:r>
            <w:r>
              <w:rPr>
                <w:rFonts w:ascii="Times New Roman" w:cs="Times New Roman" w:eastAsia="Times New Roman" w:hAnsi="Times New Roman"/>
                <w:sz w:val="9"/>
                <w:szCs w:val="9"/>
                <w:i w:val="1"/>
                <w:iCs w:val="1"/>
                <w:color w:val="auto"/>
              </w:rPr>
              <w:t>(4)</w:t>
            </w:r>
          </w:p>
        </w:tc>
        <w:tc>
          <w:tcPr>
            <w:tcW w:w="16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57"/>
        </w:trPr>
        <w:tc>
          <w:tcPr>
            <w:tcW w:w="512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6"/>
        </w:trPr>
        <w:tc>
          <w:tcPr>
            <w:tcW w:w="512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16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r>
      <w:tr>
        <w:trPr>
          <w:trHeight w:val="237"/>
        </w:trPr>
        <w:tc>
          <w:tcPr>
            <w:tcW w:w="512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identifiable assets acquired</w:t>
            </w:r>
          </w:p>
        </w:tc>
        <w:tc>
          <w:tcPr>
            <w:tcW w:w="16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r>
      <w:tr>
        <w:trPr>
          <w:trHeight w:val="344"/>
        </w:trPr>
        <w:tc>
          <w:tcPr>
            <w:tcW w:w="512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 xml:space="preserve">Goodwill </w:t>
            </w:r>
            <w:r>
              <w:rPr>
                <w:rFonts w:ascii="Times New Roman" w:cs="Times New Roman" w:eastAsia="Times New Roman" w:hAnsi="Times New Roman"/>
                <w:sz w:val="9"/>
                <w:szCs w:val="9"/>
                <w:i w:val="1"/>
                <w:iCs w:val="1"/>
                <w:color w:val="auto"/>
              </w:rPr>
              <w:t>(5)</w:t>
            </w:r>
          </w:p>
        </w:tc>
        <w:tc>
          <w:tcPr>
            <w:tcW w:w="16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512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Net assets </w:t>
            </w:r>
            <w:r>
              <w:rPr>
                <w:rFonts w:ascii="Times New Roman" w:cs="Times New Roman" w:eastAsia="Times New Roman" w:hAnsi="Times New Roman"/>
                <w:sz w:val="9"/>
                <w:szCs w:val="9"/>
                <w:b w:val="1"/>
                <w:bCs w:val="1"/>
                <w:i w:val="1"/>
                <w:iCs w:val="1"/>
                <w:color w:val="auto"/>
              </w:rPr>
              <w:t>(6)</w:t>
            </w:r>
          </w:p>
        </w:tc>
        <w:tc>
          <w:tcPr>
            <w:tcW w:w="16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r>
    </w:tbl>
    <w:p>
      <w:pPr>
        <w:spacing w:after="0" w:line="241" w:lineRule="exact"/>
        <w:rPr>
          <w:sz w:val="20"/>
          <w:szCs w:val="20"/>
          <w:color w:val="auto"/>
        </w:rPr>
      </w:pPr>
    </w:p>
    <w:p>
      <w:pPr>
        <w:ind w:left="2440" w:right="2580" w:hanging="160"/>
        <w:spacing w:after="0" w:line="223" w:lineRule="auto"/>
        <w:tabs>
          <w:tab w:leader="none" w:pos="2441" w:val="left"/>
        </w:tabs>
        <w:numPr>
          <w:ilvl w:val="0"/>
          <w:numId w:val="67"/>
        </w:numPr>
        <w:rPr>
          <w:rFonts w:ascii="Times New Roman" w:cs="Times New Roman" w:eastAsia="Times New Roman" w:hAnsi="Times New Roman"/>
          <w:sz w:val="20"/>
          <w:szCs w:val="20"/>
          <w:i w:val="1"/>
          <w:iCs w:val="1"/>
          <w:color w:val="auto"/>
          <w:vertAlign w:val="superscript"/>
        </w:rPr>
      </w:pPr>
      <w:r>
        <w:rPr>
          <w:rFonts w:ascii="Times New Roman" w:cs="Times New Roman" w:eastAsia="Times New Roman" w:hAnsi="Times New Roman"/>
          <w:sz w:val="15"/>
          <w:szCs w:val="15"/>
          <w:i w:val="1"/>
          <w:iCs w:val="1"/>
          <w:color w:val="auto"/>
        </w:rPr>
        <w:t>Current assets and current liabilities consist primarily of accounts receivable and payable, with their respective fair values approximating historical values given their short-term duration, expectation of insignificant bad debt expense, and our credit rating.</w:t>
      </w:r>
    </w:p>
    <w:p>
      <w:pPr>
        <w:spacing w:after="0" w:line="19" w:lineRule="exact"/>
        <w:rPr>
          <w:rFonts w:ascii="Times New Roman" w:cs="Times New Roman" w:eastAsia="Times New Roman" w:hAnsi="Times New Roman"/>
          <w:sz w:val="20"/>
          <w:szCs w:val="20"/>
          <w:i w:val="1"/>
          <w:iCs w:val="1"/>
          <w:color w:val="auto"/>
          <w:vertAlign w:val="superscript"/>
        </w:rPr>
      </w:pPr>
    </w:p>
    <w:p>
      <w:pPr>
        <w:ind w:left="2440" w:right="2300" w:hanging="160"/>
        <w:spacing w:after="0"/>
        <w:tabs>
          <w:tab w:leader="none" w:pos="2441" w:val="left"/>
        </w:tabs>
        <w:numPr>
          <w:ilvl w:val="0"/>
          <w:numId w:val="67"/>
        </w:numPr>
        <w:rPr>
          <w:rFonts w:ascii="Times New Roman" w:cs="Times New Roman" w:eastAsia="Times New Roman" w:hAnsi="Times New Roman"/>
          <w:sz w:val="20"/>
          <w:szCs w:val="20"/>
          <w:i w:val="1"/>
          <w:iCs w:val="1"/>
          <w:color w:val="auto"/>
          <w:vertAlign w:val="superscript"/>
        </w:rPr>
      </w:pPr>
      <w:r>
        <w:rPr>
          <w:rFonts w:ascii="Times New Roman" w:cs="Times New Roman" w:eastAsia="Times New Roman" w:hAnsi="Times New Roman"/>
          <w:sz w:val="15"/>
          <w:szCs w:val="15"/>
          <w:i w:val="1"/>
          <w:iCs w:val="1"/>
          <w:color w:val="auto"/>
        </w:rPr>
        <w:t>Property, plant and equipment, of which a significant portion relates to crude oil and natural gas properties, was primarily valued using the income approach. Significant inputs and assumptions used in the income approach included estimates for commodity prices, future oil and gas production volumes, drilling and development costs, and risk-adjusted discount rates. Collectively, these inputs are level 3 inputs.</w:t>
      </w:r>
    </w:p>
    <w:p>
      <w:pPr>
        <w:spacing w:after="0" w:line="157" w:lineRule="exact"/>
        <w:rPr>
          <w:rFonts w:ascii="Times New Roman" w:cs="Times New Roman" w:eastAsia="Times New Roman" w:hAnsi="Times New Roman"/>
          <w:sz w:val="20"/>
          <w:szCs w:val="20"/>
          <w:i w:val="1"/>
          <w:iCs w:val="1"/>
          <w:color w:val="auto"/>
          <w:vertAlign w:val="superscript"/>
        </w:rPr>
      </w:pPr>
    </w:p>
    <w:p>
      <w:pPr>
        <w:ind w:left="2440" w:right="2400" w:hanging="160"/>
        <w:spacing w:after="0" w:line="223" w:lineRule="auto"/>
        <w:tabs>
          <w:tab w:leader="none" w:pos="2441" w:val="left"/>
        </w:tabs>
        <w:numPr>
          <w:ilvl w:val="0"/>
          <w:numId w:val="67"/>
        </w:numPr>
        <w:rPr>
          <w:rFonts w:ascii="Times New Roman" w:cs="Times New Roman" w:eastAsia="Times New Roman" w:hAnsi="Times New Roman"/>
          <w:sz w:val="20"/>
          <w:szCs w:val="20"/>
          <w:i w:val="1"/>
          <w:iCs w:val="1"/>
          <w:color w:val="auto"/>
          <w:vertAlign w:val="superscript"/>
        </w:rPr>
      </w:pPr>
      <w:r>
        <w:rPr>
          <w:rFonts w:ascii="Times New Roman" w:cs="Times New Roman" w:eastAsia="Times New Roman" w:hAnsi="Times New Roman"/>
          <w:sz w:val="15"/>
          <w:szCs w:val="15"/>
          <w:i w:val="1"/>
          <w:iCs w:val="1"/>
          <w:color w:val="auto"/>
        </w:rPr>
        <w:t>Long-term debt was valued using market prices as of the acquisition date, which reflects the use of level 1 inputs.</w:t>
      </w:r>
    </w:p>
    <w:p>
      <w:pPr>
        <w:spacing w:after="0" w:line="31" w:lineRule="exact"/>
        <w:rPr>
          <w:rFonts w:ascii="Times New Roman" w:cs="Times New Roman" w:eastAsia="Times New Roman" w:hAnsi="Times New Roman"/>
          <w:sz w:val="20"/>
          <w:szCs w:val="20"/>
          <w:i w:val="1"/>
          <w:iCs w:val="1"/>
          <w:color w:val="auto"/>
          <w:vertAlign w:val="superscript"/>
        </w:rPr>
      </w:pPr>
    </w:p>
    <w:p>
      <w:pPr>
        <w:ind w:left="2440" w:right="2480" w:hanging="160"/>
        <w:spacing w:after="0" w:line="223" w:lineRule="auto"/>
        <w:tabs>
          <w:tab w:leader="none" w:pos="2441" w:val="left"/>
        </w:tabs>
        <w:numPr>
          <w:ilvl w:val="0"/>
          <w:numId w:val="67"/>
        </w:numPr>
        <w:rPr>
          <w:rFonts w:ascii="Times New Roman" w:cs="Times New Roman" w:eastAsia="Times New Roman" w:hAnsi="Times New Roman"/>
          <w:sz w:val="20"/>
          <w:szCs w:val="20"/>
          <w:i w:val="1"/>
          <w:iCs w:val="1"/>
          <w:color w:val="auto"/>
          <w:vertAlign w:val="superscript"/>
        </w:rPr>
      </w:pPr>
      <w:r>
        <w:rPr>
          <w:rFonts w:ascii="Times New Roman" w:cs="Times New Roman" w:eastAsia="Times New Roman" w:hAnsi="Times New Roman"/>
          <w:sz w:val="15"/>
          <w:szCs w:val="15"/>
          <w:i w:val="1"/>
          <w:iCs w:val="1"/>
          <w:color w:val="auto"/>
        </w:rPr>
        <w:t>Deferred income taxes represent the tax effects of differences in the tax basis and acquisition date fair values of assets acquired and liabilities assumed.</w:t>
      </w:r>
    </w:p>
    <w:p>
      <w:pPr>
        <w:spacing w:after="0" w:line="17" w:lineRule="exact"/>
        <w:rPr>
          <w:rFonts w:ascii="Times New Roman" w:cs="Times New Roman" w:eastAsia="Times New Roman" w:hAnsi="Times New Roman"/>
          <w:sz w:val="20"/>
          <w:szCs w:val="20"/>
          <w:i w:val="1"/>
          <w:iCs w:val="1"/>
          <w:color w:val="auto"/>
          <w:vertAlign w:val="superscript"/>
        </w:rPr>
      </w:pPr>
    </w:p>
    <w:p>
      <w:pPr>
        <w:ind w:left="2420" w:hanging="140"/>
        <w:spacing w:after="0"/>
        <w:tabs>
          <w:tab w:leader="none" w:pos="2420" w:val="left"/>
        </w:tabs>
        <w:numPr>
          <w:ilvl w:val="0"/>
          <w:numId w:val="67"/>
        </w:numPr>
        <w:rPr>
          <w:rFonts w:ascii="Times New Roman" w:cs="Times New Roman" w:eastAsia="Times New Roman" w:hAnsi="Times New Roman"/>
          <w:sz w:val="17"/>
          <w:szCs w:val="17"/>
          <w:i w:val="1"/>
          <w:iCs w:val="1"/>
          <w:color w:val="auto"/>
          <w:vertAlign w:val="superscript"/>
        </w:rPr>
      </w:pPr>
      <w:r>
        <w:rPr>
          <w:rFonts w:ascii="Times New Roman" w:cs="Times New Roman" w:eastAsia="Times New Roman" w:hAnsi="Times New Roman"/>
          <w:sz w:val="13"/>
          <w:szCs w:val="13"/>
          <w:i w:val="1"/>
          <w:iCs w:val="1"/>
          <w:color w:val="auto"/>
        </w:rPr>
        <w:t>Goodwill was allocated to the Upstream segment.</w:t>
      </w:r>
    </w:p>
    <w:p>
      <w:pPr>
        <w:spacing w:after="0" w:line="67" w:lineRule="exact"/>
        <w:rPr>
          <w:rFonts w:ascii="Times New Roman" w:cs="Times New Roman" w:eastAsia="Times New Roman" w:hAnsi="Times New Roman"/>
          <w:sz w:val="17"/>
          <w:szCs w:val="17"/>
          <w:i w:val="1"/>
          <w:iCs w:val="1"/>
          <w:color w:val="auto"/>
          <w:vertAlign w:val="superscript"/>
        </w:rPr>
      </w:pPr>
    </w:p>
    <w:p>
      <w:pPr>
        <w:ind w:left="2440" w:right="2420" w:hanging="160"/>
        <w:spacing w:after="0" w:line="215" w:lineRule="auto"/>
        <w:tabs>
          <w:tab w:leader="none" w:pos="2441" w:val="left"/>
        </w:tabs>
        <w:numPr>
          <w:ilvl w:val="0"/>
          <w:numId w:val="67"/>
        </w:numPr>
        <w:rPr>
          <w:rFonts w:ascii="Times New Roman" w:cs="Times New Roman" w:eastAsia="Times New Roman" w:hAnsi="Times New Roman"/>
          <w:sz w:val="20"/>
          <w:szCs w:val="20"/>
          <w:i w:val="1"/>
          <w:iCs w:val="1"/>
          <w:color w:val="auto"/>
          <w:vertAlign w:val="superscript"/>
        </w:rPr>
      </w:pPr>
      <w:r>
        <w:rPr>
          <w:rFonts w:ascii="Times New Roman" w:cs="Times New Roman" w:eastAsia="Times New Roman" w:hAnsi="Times New Roman"/>
          <w:sz w:val="15"/>
          <w:szCs w:val="15"/>
          <w:i w:val="1"/>
          <w:iCs w:val="1"/>
          <w:color w:val="auto"/>
        </w:rPr>
        <w:t>Provisional fair value measurements were made for assets acquired and liabilities assumed. Adjustments to those measurements may be made in subsequent periods, up to one year from the date of acquisition, as we continue to evaluate the information necessary to complete the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22"/>
          <w:szCs w:val="22"/>
          <w:b w:val="1"/>
          <w:bCs w:val="1"/>
          <w:color w:val="0C479D"/>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C479D"/>
        </w:rPr>
        <w:t>Debt Assumed in the Merger</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long-term debt assumed at closing:</w:t>
      </w:r>
    </w:p>
    <w:p>
      <w:pPr>
        <w:spacing w:after="0" w:line="135" w:lineRule="exact"/>
        <w:rPr>
          <w:sz w:val="20"/>
          <w:szCs w:val="20"/>
          <w:color w:val="auto"/>
        </w:rPr>
      </w:pPr>
    </w:p>
    <w:tbl>
      <w:tblPr>
        <w:tblLayout w:type="fixed"/>
        <w:tblInd w:w="780" w:type="dxa"/>
        <w:tblCellMar>
          <w:top w:w="0" w:type="dxa"/>
          <w:left w:w="0" w:type="dxa"/>
          <w:bottom w:w="0" w:type="dxa"/>
          <w:right w:w="0" w:type="dxa"/>
        </w:tblCellMar>
      </w:tblPr>
      <w:tr>
        <w:trPr>
          <w:trHeight w:val="205"/>
        </w:trPr>
        <w:tc>
          <w:tcPr>
            <w:tcW w:w="3540" w:type="dxa"/>
            <w:vAlign w:val="bottom"/>
            <w:gridSpan w:val="2"/>
            <w:vMerge w:val="restart"/>
            <w:shd w:val="clear" w:color="auto" w:fill="0C479D"/>
          </w:tcPr>
          <w:p>
            <w:pPr>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2840" w:type="dxa"/>
            <w:vAlign w:val="bottom"/>
            <w:shd w:val="clear" w:color="auto" w:fill="0C479D"/>
          </w:tcPr>
          <w:p>
            <w:pPr>
              <w:spacing w:after="0"/>
              <w:rPr>
                <w:sz w:val="17"/>
                <w:szCs w:val="17"/>
                <w:color w:val="auto"/>
              </w:rPr>
            </w:pPr>
          </w:p>
        </w:tc>
        <w:tc>
          <w:tcPr>
            <w:tcW w:w="1620" w:type="dxa"/>
            <w:vAlign w:val="bottom"/>
            <w:vMerge w:val="restart"/>
            <w:shd w:val="clear" w:color="auto" w:fill="0C479D"/>
          </w:tcPr>
          <w:p>
            <w:pPr>
              <w:jc w:val="right"/>
              <w:ind w:right="412"/>
              <w:spacing w:after="0"/>
              <w:rPr>
                <w:sz w:val="20"/>
                <w:szCs w:val="20"/>
                <w:color w:val="auto"/>
              </w:rPr>
            </w:pPr>
            <w:r>
              <w:rPr>
                <w:rFonts w:ascii="Times New Roman" w:cs="Times New Roman" w:eastAsia="Times New Roman" w:hAnsi="Times New Roman"/>
                <w:sz w:val="14"/>
                <w:szCs w:val="14"/>
                <w:b w:val="1"/>
                <w:bCs w:val="1"/>
                <w:color w:val="FFFFFF"/>
              </w:rPr>
              <w:t>Par Value</w:t>
            </w:r>
          </w:p>
        </w:tc>
        <w:tc>
          <w:tcPr>
            <w:tcW w:w="40" w:type="dxa"/>
            <w:vAlign w:val="bottom"/>
            <w:shd w:val="clear" w:color="auto" w:fill="0C479D"/>
          </w:tcPr>
          <w:p>
            <w:pPr>
              <w:spacing w:after="0"/>
              <w:rPr>
                <w:sz w:val="17"/>
                <w:szCs w:val="17"/>
                <w:color w:val="auto"/>
              </w:rPr>
            </w:pPr>
          </w:p>
        </w:tc>
        <w:tc>
          <w:tcPr>
            <w:tcW w:w="1660" w:type="dxa"/>
            <w:vAlign w:val="bottom"/>
            <w:gridSpan w:val="2"/>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Fair Value</w:t>
            </w:r>
          </w:p>
        </w:tc>
        <w:tc>
          <w:tcPr>
            <w:tcW w:w="0" w:type="dxa"/>
            <w:vAlign w:val="bottom"/>
          </w:tcPr>
          <w:p>
            <w:pPr>
              <w:spacing w:after="0"/>
              <w:rPr>
                <w:sz w:val="1"/>
                <w:szCs w:val="1"/>
                <w:color w:val="auto"/>
              </w:rPr>
            </w:pPr>
          </w:p>
        </w:tc>
      </w:tr>
      <w:tr>
        <w:trPr>
          <w:trHeight w:val="109"/>
        </w:trPr>
        <w:tc>
          <w:tcPr>
            <w:tcW w:w="3540" w:type="dxa"/>
            <w:vAlign w:val="bottom"/>
            <w:gridSpan w:val="2"/>
            <w:vMerge w:val="continue"/>
            <w:shd w:val="clear" w:color="auto" w:fill="0C479D"/>
          </w:tcPr>
          <w:p>
            <w:pPr>
              <w:spacing w:after="0"/>
              <w:rPr>
                <w:sz w:val="9"/>
                <w:szCs w:val="9"/>
                <w:color w:val="auto"/>
              </w:rPr>
            </w:pPr>
          </w:p>
        </w:tc>
        <w:tc>
          <w:tcPr>
            <w:tcW w:w="2840" w:type="dxa"/>
            <w:vAlign w:val="bottom"/>
            <w:shd w:val="clear" w:color="auto" w:fill="0C479D"/>
          </w:tcPr>
          <w:p>
            <w:pPr>
              <w:spacing w:after="0"/>
              <w:rPr>
                <w:sz w:val="9"/>
                <w:szCs w:val="9"/>
                <w:color w:val="auto"/>
              </w:rPr>
            </w:pPr>
          </w:p>
        </w:tc>
        <w:tc>
          <w:tcPr>
            <w:tcW w:w="1620" w:type="dxa"/>
            <w:vAlign w:val="bottom"/>
            <w:vMerge w:val="continue"/>
            <w:shd w:val="clear" w:color="auto" w:fill="0C479D"/>
          </w:tcPr>
          <w:p>
            <w:pPr>
              <w:spacing w:after="0"/>
              <w:rPr>
                <w:sz w:val="9"/>
                <w:szCs w:val="9"/>
                <w:color w:val="auto"/>
              </w:rPr>
            </w:pPr>
          </w:p>
        </w:tc>
        <w:tc>
          <w:tcPr>
            <w:tcW w:w="40" w:type="dxa"/>
            <w:vAlign w:val="bottom"/>
            <w:shd w:val="clear" w:color="auto" w:fill="0C479D"/>
          </w:tcPr>
          <w:p>
            <w:pPr>
              <w:spacing w:after="0"/>
              <w:rPr>
                <w:sz w:val="9"/>
                <w:szCs w:val="9"/>
                <w:color w:val="auto"/>
              </w:rPr>
            </w:pPr>
          </w:p>
        </w:tc>
        <w:tc>
          <w:tcPr>
            <w:tcW w:w="1660" w:type="dxa"/>
            <w:vAlign w:val="bottom"/>
            <w:gridSpan w:val="2"/>
            <w:vMerge w:val="restart"/>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as of May 2, 2024</w:t>
            </w:r>
          </w:p>
        </w:tc>
        <w:tc>
          <w:tcPr>
            <w:tcW w:w="0" w:type="dxa"/>
            <w:vAlign w:val="bottom"/>
          </w:tcPr>
          <w:p>
            <w:pPr>
              <w:spacing w:after="0"/>
              <w:rPr>
                <w:sz w:val="1"/>
                <w:szCs w:val="1"/>
                <w:color w:val="auto"/>
              </w:rPr>
            </w:pPr>
          </w:p>
        </w:tc>
      </w:tr>
      <w:tr>
        <w:trPr>
          <w:trHeight w:val="81"/>
        </w:trPr>
        <w:tc>
          <w:tcPr>
            <w:tcW w:w="580" w:type="dxa"/>
            <w:vAlign w:val="bottom"/>
            <w:shd w:val="clear" w:color="auto" w:fill="0C479D"/>
          </w:tcPr>
          <w:p>
            <w:pPr>
              <w:spacing w:after="0"/>
              <w:rPr>
                <w:sz w:val="7"/>
                <w:szCs w:val="7"/>
                <w:color w:val="auto"/>
              </w:rPr>
            </w:pPr>
          </w:p>
        </w:tc>
        <w:tc>
          <w:tcPr>
            <w:tcW w:w="2960" w:type="dxa"/>
            <w:vAlign w:val="bottom"/>
            <w:shd w:val="clear" w:color="auto" w:fill="0C479D"/>
          </w:tcPr>
          <w:p>
            <w:pPr>
              <w:spacing w:after="0"/>
              <w:rPr>
                <w:sz w:val="7"/>
                <w:szCs w:val="7"/>
                <w:color w:val="auto"/>
              </w:rPr>
            </w:pPr>
          </w:p>
        </w:tc>
        <w:tc>
          <w:tcPr>
            <w:tcW w:w="2840" w:type="dxa"/>
            <w:vAlign w:val="bottom"/>
            <w:shd w:val="clear" w:color="auto" w:fill="0C479D"/>
          </w:tcPr>
          <w:p>
            <w:pPr>
              <w:spacing w:after="0"/>
              <w:rPr>
                <w:sz w:val="7"/>
                <w:szCs w:val="7"/>
                <w:color w:val="auto"/>
              </w:rPr>
            </w:pPr>
          </w:p>
        </w:tc>
        <w:tc>
          <w:tcPr>
            <w:tcW w:w="1620" w:type="dxa"/>
            <w:vAlign w:val="bottom"/>
            <w:shd w:val="clear" w:color="auto" w:fill="0C479D"/>
          </w:tcPr>
          <w:p>
            <w:pPr>
              <w:spacing w:after="0"/>
              <w:rPr>
                <w:sz w:val="7"/>
                <w:szCs w:val="7"/>
                <w:color w:val="auto"/>
              </w:rPr>
            </w:pPr>
          </w:p>
        </w:tc>
        <w:tc>
          <w:tcPr>
            <w:tcW w:w="40" w:type="dxa"/>
            <w:vAlign w:val="bottom"/>
            <w:shd w:val="clear" w:color="auto" w:fill="0C479D"/>
          </w:tcPr>
          <w:p>
            <w:pPr>
              <w:spacing w:after="0"/>
              <w:rPr>
                <w:sz w:val="7"/>
                <w:szCs w:val="7"/>
                <w:color w:val="auto"/>
              </w:rPr>
            </w:pPr>
          </w:p>
        </w:tc>
        <w:tc>
          <w:tcPr>
            <w:tcW w:w="1660" w:type="dxa"/>
            <w:vAlign w:val="bottom"/>
            <w:gridSpan w:val="2"/>
            <w:vMerge w:val="continue"/>
            <w:shd w:val="clear" w:color="auto" w:fill="0C479D"/>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580" w:type="dxa"/>
            <w:vAlign w:val="bottom"/>
            <w:shd w:val="clear" w:color="auto" w:fill="0C479D"/>
          </w:tcPr>
          <w:p>
            <w:pPr>
              <w:spacing w:after="0"/>
              <w:rPr>
                <w:sz w:val="7"/>
                <w:szCs w:val="7"/>
                <w:color w:val="auto"/>
              </w:rPr>
            </w:pPr>
          </w:p>
        </w:tc>
        <w:tc>
          <w:tcPr>
            <w:tcW w:w="2960" w:type="dxa"/>
            <w:vAlign w:val="bottom"/>
            <w:shd w:val="clear" w:color="auto" w:fill="0C479D"/>
          </w:tcPr>
          <w:p>
            <w:pPr>
              <w:spacing w:after="0"/>
              <w:rPr>
                <w:sz w:val="7"/>
                <w:szCs w:val="7"/>
                <w:color w:val="auto"/>
              </w:rPr>
            </w:pPr>
          </w:p>
        </w:tc>
        <w:tc>
          <w:tcPr>
            <w:tcW w:w="2840" w:type="dxa"/>
            <w:vAlign w:val="bottom"/>
            <w:shd w:val="clear" w:color="auto" w:fill="0C479D"/>
          </w:tcPr>
          <w:p>
            <w:pPr>
              <w:spacing w:after="0"/>
              <w:rPr>
                <w:sz w:val="7"/>
                <w:szCs w:val="7"/>
                <w:color w:val="auto"/>
              </w:rPr>
            </w:pPr>
          </w:p>
        </w:tc>
        <w:tc>
          <w:tcPr>
            <w:tcW w:w="1620" w:type="dxa"/>
            <w:vAlign w:val="bottom"/>
            <w:shd w:val="clear" w:color="auto" w:fill="0C479D"/>
          </w:tcPr>
          <w:p>
            <w:pPr>
              <w:spacing w:after="0"/>
              <w:rPr>
                <w:sz w:val="7"/>
                <w:szCs w:val="7"/>
                <w:color w:val="auto"/>
              </w:rPr>
            </w:pPr>
          </w:p>
        </w:tc>
        <w:tc>
          <w:tcPr>
            <w:tcW w:w="40" w:type="dxa"/>
            <w:vAlign w:val="bottom"/>
            <w:shd w:val="clear" w:color="auto" w:fill="0C479D"/>
          </w:tcPr>
          <w:p>
            <w:pPr>
              <w:spacing w:after="0"/>
              <w:rPr>
                <w:sz w:val="7"/>
                <w:szCs w:val="7"/>
                <w:color w:val="auto"/>
              </w:rPr>
            </w:pPr>
          </w:p>
        </w:tc>
        <w:tc>
          <w:tcPr>
            <w:tcW w:w="1620" w:type="dxa"/>
            <w:vAlign w:val="bottom"/>
            <w:shd w:val="clear" w:color="auto" w:fill="0C479D"/>
          </w:tcPr>
          <w:p>
            <w:pPr>
              <w:spacing w:after="0"/>
              <w:rPr>
                <w:sz w:val="7"/>
                <w:szCs w:val="7"/>
                <w:color w:val="auto"/>
              </w:rPr>
            </w:pPr>
          </w:p>
        </w:tc>
        <w:tc>
          <w:tcPr>
            <w:tcW w:w="40" w:type="dxa"/>
            <w:vAlign w:val="bottom"/>
            <w:shd w:val="clear" w:color="auto" w:fill="0C479D"/>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0.250%</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Senior Notes due May 2025</w:t>
            </w:r>
          </w:p>
        </w:tc>
        <w:tc>
          <w:tcPr>
            <w:tcW w:w="2840" w:type="dxa"/>
            <w:vAlign w:val="bottom"/>
          </w:tcPr>
          <w:p>
            <w:pPr>
              <w:jc w:val="right"/>
              <w:ind w:right="2653"/>
              <w:spacing w:after="0"/>
              <w:rPr>
                <w:sz w:val="20"/>
                <w:szCs w:val="20"/>
                <w:color w:val="auto"/>
              </w:rPr>
            </w:pPr>
            <w:r>
              <w:rPr>
                <w:rFonts w:ascii="Times New Roman" w:cs="Times New Roman" w:eastAsia="Times New Roman" w:hAnsi="Times New Roman"/>
                <w:sz w:val="9"/>
                <w:szCs w:val="9"/>
                <w:i w:val="1"/>
                <w:iCs w:val="1"/>
                <w:color w:val="auto"/>
              </w:rPr>
              <w:t>(1)</w:t>
            </w:r>
          </w:p>
        </w:tc>
        <w:tc>
          <w:tcPr>
            <w:tcW w:w="162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660" w:type="dxa"/>
            <w:vAlign w:val="bottom"/>
            <w:gridSpan w:val="2"/>
            <w:vMerge w:val="restart"/>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40" w:type="dxa"/>
            <w:vAlign w:val="bottom"/>
            <w:shd w:val="clear" w:color="auto" w:fill="F0F0F0"/>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58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620" w:type="dxa"/>
            <w:vAlign w:val="bottom"/>
            <w:vMerge w:val="continue"/>
            <w:shd w:val="clear" w:color="auto" w:fill="F0F0F0"/>
          </w:tcPr>
          <w:p>
            <w:pPr>
              <w:spacing w:after="0"/>
              <w:rPr>
                <w:sz w:val="8"/>
                <w:szCs w:val="8"/>
                <w:color w:val="auto"/>
              </w:rPr>
            </w:pPr>
          </w:p>
        </w:tc>
        <w:tc>
          <w:tcPr>
            <w:tcW w:w="1660" w:type="dxa"/>
            <w:vAlign w:val="bottom"/>
            <w:gridSpan w:val="2"/>
            <w:vMerge w:val="continue"/>
            <w:shd w:val="clear" w:color="auto" w:fill="F0F0F0"/>
          </w:tcPr>
          <w:p>
            <w:pPr>
              <w:spacing w:after="0"/>
              <w:rPr>
                <w:sz w:val="8"/>
                <w:szCs w:val="8"/>
                <w:color w:val="auto"/>
              </w:rPr>
            </w:pPr>
          </w:p>
        </w:tc>
        <w:tc>
          <w:tcPr>
            <w:tcW w:w="40" w:type="dxa"/>
            <w:vAlign w:val="bottom"/>
            <w:shd w:val="clear" w:color="auto" w:fill="F0F0F0"/>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1.125%</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January 2026</w:t>
            </w:r>
          </w:p>
        </w:tc>
        <w:tc>
          <w:tcPr>
            <w:tcW w:w="2840" w:type="dxa"/>
            <w:vAlign w:val="bottom"/>
          </w:tcPr>
          <w:p>
            <w:pPr>
              <w:spacing w:after="0"/>
              <w:rPr>
                <w:sz w:val="24"/>
                <w:szCs w:val="24"/>
                <w:color w:val="auto"/>
              </w:rPr>
            </w:pPr>
          </w:p>
        </w:tc>
        <w:tc>
          <w:tcPr>
            <w:tcW w:w="162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40" w:type="dxa"/>
            <w:vAlign w:val="bottom"/>
            <w:shd w:val="clear" w:color="auto" w:fill="F0F0F0"/>
          </w:tcPr>
          <w:p>
            <w:pPr>
              <w:spacing w:after="0"/>
              <w:rPr>
                <w:sz w:val="24"/>
                <w:szCs w:val="24"/>
                <w:color w:val="auto"/>
              </w:rPr>
            </w:pPr>
          </w:p>
        </w:tc>
        <w:tc>
          <w:tcPr>
            <w:tcW w:w="162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40" w:type="dxa"/>
            <w:vAlign w:val="bottom"/>
            <w:shd w:val="clear" w:color="auto" w:fill="F0F0F0"/>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620" w:type="dxa"/>
            <w:vAlign w:val="bottom"/>
            <w:vMerge w:val="continue"/>
            <w:shd w:val="clear" w:color="auto" w:fill="F0F0F0"/>
          </w:tcPr>
          <w:p>
            <w:pPr>
              <w:spacing w:after="0"/>
              <w:rPr>
                <w:sz w:val="8"/>
                <w:szCs w:val="8"/>
                <w:color w:val="auto"/>
              </w:rPr>
            </w:pPr>
          </w:p>
        </w:tc>
        <w:tc>
          <w:tcPr>
            <w:tcW w:w="40" w:type="dxa"/>
            <w:vAlign w:val="bottom"/>
            <w:shd w:val="clear" w:color="auto" w:fill="F0F0F0"/>
          </w:tcPr>
          <w:p>
            <w:pPr>
              <w:spacing w:after="0"/>
              <w:rPr>
                <w:sz w:val="8"/>
                <w:szCs w:val="8"/>
                <w:color w:val="auto"/>
              </w:rPr>
            </w:pPr>
          </w:p>
        </w:tc>
        <w:tc>
          <w:tcPr>
            <w:tcW w:w="1620" w:type="dxa"/>
            <w:vAlign w:val="bottom"/>
            <w:vMerge w:val="continue"/>
            <w:shd w:val="clear" w:color="auto" w:fill="F0F0F0"/>
          </w:tcPr>
          <w:p>
            <w:pPr>
              <w:spacing w:after="0"/>
              <w:rPr>
                <w:sz w:val="8"/>
                <w:szCs w:val="8"/>
                <w:color w:val="auto"/>
              </w:rPr>
            </w:pPr>
          </w:p>
        </w:tc>
        <w:tc>
          <w:tcPr>
            <w:tcW w:w="40" w:type="dxa"/>
            <w:vAlign w:val="bottom"/>
            <w:shd w:val="clear" w:color="auto" w:fill="F0F0F0"/>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5.100%</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March 2026</w:t>
            </w:r>
          </w:p>
        </w:tc>
        <w:tc>
          <w:tcPr>
            <w:tcW w:w="2840" w:type="dxa"/>
            <w:vAlign w:val="bottom"/>
          </w:tcPr>
          <w:p>
            <w:pPr>
              <w:spacing w:after="0"/>
              <w:rPr>
                <w:sz w:val="24"/>
                <w:szCs w:val="24"/>
                <w:color w:val="auto"/>
              </w:rPr>
            </w:pPr>
          </w:p>
        </w:tc>
        <w:tc>
          <w:tcPr>
            <w:tcW w:w="162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40" w:type="dxa"/>
            <w:vAlign w:val="bottom"/>
            <w:shd w:val="clear" w:color="auto" w:fill="F0F0F0"/>
          </w:tcPr>
          <w:p>
            <w:pPr>
              <w:spacing w:after="0"/>
              <w:rPr>
                <w:sz w:val="24"/>
                <w:szCs w:val="24"/>
                <w:color w:val="auto"/>
              </w:rPr>
            </w:pPr>
          </w:p>
        </w:tc>
        <w:tc>
          <w:tcPr>
            <w:tcW w:w="162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40" w:type="dxa"/>
            <w:vAlign w:val="bottom"/>
            <w:shd w:val="clear" w:color="auto" w:fill="F0F0F0"/>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58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620" w:type="dxa"/>
            <w:vAlign w:val="bottom"/>
            <w:vMerge w:val="continue"/>
            <w:shd w:val="clear" w:color="auto" w:fill="F0F0F0"/>
          </w:tcPr>
          <w:p>
            <w:pPr>
              <w:spacing w:after="0"/>
              <w:rPr>
                <w:sz w:val="8"/>
                <w:szCs w:val="8"/>
                <w:color w:val="auto"/>
              </w:rPr>
            </w:pPr>
          </w:p>
        </w:tc>
        <w:tc>
          <w:tcPr>
            <w:tcW w:w="40" w:type="dxa"/>
            <w:vAlign w:val="bottom"/>
            <w:shd w:val="clear" w:color="auto" w:fill="F0F0F0"/>
          </w:tcPr>
          <w:p>
            <w:pPr>
              <w:spacing w:after="0"/>
              <w:rPr>
                <w:sz w:val="8"/>
                <w:szCs w:val="8"/>
                <w:color w:val="auto"/>
              </w:rPr>
            </w:pPr>
          </w:p>
        </w:tc>
        <w:tc>
          <w:tcPr>
            <w:tcW w:w="1620" w:type="dxa"/>
            <w:vAlign w:val="bottom"/>
            <w:vMerge w:val="continue"/>
            <w:shd w:val="clear" w:color="auto" w:fill="F0F0F0"/>
          </w:tcPr>
          <w:p>
            <w:pPr>
              <w:spacing w:after="0"/>
              <w:rPr>
                <w:sz w:val="8"/>
                <w:szCs w:val="8"/>
                <w:color w:val="auto"/>
              </w:rPr>
            </w:pPr>
          </w:p>
        </w:tc>
        <w:tc>
          <w:tcPr>
            <w:tcW w:w="40" w:type="dxa"/>
            <w:vAlign w:val="bottom"/>
            <w:shd w:val="clear" w:color="auto" w:fill="F0F0F0"/>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7.200%</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January 2028</w:t>
            </w:r>
          </w:p>
        </w:tc>
        <w:tc>
          <w:tcPr>
            <w:tcW w:w="2840" w:type="dxa"/>
            <w:vAlign w:val="bottom"/>
          </w:tcPr>
          <w:p>
            <w:pPr>
              <w:spacing w:after="0"/>
              <w:rPr>
                <w:sz w:val="24"/>
                <w:szCs w:val="24"/>
                <w:color w:val="auto"/>
              </w:rPr>
            </w:pPr>
          </w:p>
        </w:tc>
        <w:tc>
          <w:tcPr>
            <w:tcW w:w="162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40" w:type="dxa"/>
            <w:vAlign w:val="bottom"/>
            <w:shd w:val="clear" w:color="auto" w:fill="F0F0F0"/>
          </w:tcPr>
          <w:p>
            <w:pPr>
              <w:spacing w:after="0"/>
              <w:rPr>
                <w:sz w:val="24"/>
                <w:szCs w:val="24"/>
                <w:color w:val="auto"/>
              </w:rPr>
            </w:pPr>
          </w:p>
        </w:tc>
        <w:tc>
          <w:tcPr>
            <w:tcW w:w="162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40" w:type="dxa"/>
            <w:vAlign w:val="bottom"/>
            <w:shd w:val="clear" w:color="auto" w:fill="F0F0F0"/>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58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620" w:type="dxa"/>
            <w:vAlign w:val="bottom"/>
            <w:vMerge w:val="continue"/>
            <w:shd w:val="clear" w:color="auto" w:fill="F0F0F0"/>
          </w:tcPr>
          <w:p>
            <w:pPr>
              <w:spacing w:after="0"/>
              <w:rPr>
                <w:sz w:val="8"/>
                <w:szCs w:val="8"/>
                <w:color w:val="auto"/>
              </w:rPr>
            </w:pPr>
          </w:p>
        </w:tc>
        <w:tc>
          <w:tcPr>
            <w:tcW w:w="40" w:type="dxa"/>
            <w:vAlign w:val="bottom"/>
            <w:shd w:val="clear" w:color="auto" w:fill="F0F0F0"/>
          </w:tcPr>
          <w:p>
            <w:pPr>
              <w:spacing w:after="0"/>
              <w:rPr>
                <w:sz w:val="8"/>
                <w:szCs w:val="8"/>
                <w:color w:val="auto"/>
              </w:rPr>
            </w:pPr>
          </w:p>
        </w:tc>
        <w:tc>
          <w:tcPr>
            <w:tcW w:w="1620" w:type="dxa"/>
            <w:vAlign w:val="bottom"/>
            <w:vMerge w:val="continue"/>
            <w:shd w:val="clear" w:color="auto" w:fill="F0F0F0"/>
          </w:tcPr>
          <w:p>
            <w:pPr>
              <w:spacing w:after="0"/>
              <w:rPr>
                <w:sz w:val="8"/>
                <w:szCs w:val="8"/>
                <w:color w:val="auto"/>
              </w:rPr>
            </w:pPr>
          </w:p>
        </w:tc>
        <w:tc>
          <w:tcPr>
            <w:tcW w:w="40" w:type="dxa"/>
            <w:vAlign w:val="bottom"/>
            <w:shd w:val="clear" w:color="auto" w:fill="F0F0F0"/>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4.125%</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February 2028</w:t>
            </w:r>
          </w:p>
        </w:tc>
        <w:tc>
          <w:tcPr>
            <w:tcW w:w="2840" w:type="dxa"/>
            <w:vAlign w:val="bottom"/>
          </w:tcPr>
          <w:p>
            <w:pPr>
              <w:spacing w:after="0"/>
              <w:rPr>
                <w:sz w:val="24"/>
                <w:szCs w:val="24"/>
                <w:color w:val="auto"/>
              </w:rPr>
            </w:pPr>
          </w:p>
        </w:tc>
        <w:tc>
          <w:tcPr>
            <w:tcW w:w="162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40" w:type="dxa"/>
            <w:vAlign w:val="bottom"/>
            <w:shd w:val="clear" w:color="auto" w:fill="F0F0F0"/>
          </w:tcPr>
          <w:p>
            <w:pPr>
              <w:spacing w:after="0"/>
              <w:rPr>
                <w:sz w:val="24"/>
                <w:szCs w:val="24"/>
                <w:color w:val="auto"/>
              </w:rPr>
            </w:pPr>
          </w:p>
        </w:tc>
        <w:tc>
          <w:tcPr>
            <w:tcW w:w="162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40" w:type="dxa"/>
            <w:vAlign w:val="bottom"/>
            <w:shd w:val="clear" w:color="auto" w:fill="F0F0F0"/>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58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620" w:type="dxa"/>
            <w:vAlign w:val="bottom"/>
            <w:vMerge w:val="continue"/>
            <w:shd w:val="clear" w:color="auto" w:fill="F0F0F0"/>
          </w:tcPr>
          <w:p>
            <w:pPr>
              <w:spacing w:after="0"/>
              <w:rPr>
                <w:sz w:val="8"/>
                <w:szCs w:val="8"/>
                <w:color w:val="auto"/>
              </w:rPr>
            </w:pPr>
          </w:p>
        </w:tc>
        <w:tc>
          <w:tcPr>
            <w:tcW w:w="40" w:type="dxa"/>
            <w:vAlign w:val="bottom"/>
            <w:shd w:val="clear" w:color="auto" w:fill="F0F0F0"/>
          </w:tcPr>
          <w:p>
            <w:pPr>
              <w:spacing w:after="0"/>
              <w:rPr>
                <w:sz w:val="8"/>
                <w:szCs w:val="8"/>
                <w:color w:val="auto"/>
              </w:rPr>
            </w:pPr>
          </w:p>
        </w:tc>
        <w:tc>
          <w:tcPr>
            <w:tcW w:w="1620" w:type="dxa"/>
            <w:vAlign w:val="bottom"/>
            <w:vMerge w:val="continue"/>
            <w:shd w:val="clear" w:color="auto" w:fill="F0F0F0"/>
          </w:tcPr>
          <w:p>
            <w:pPr>
              <w:spacing w:after="0"/>
              <w:rPr>
                <w:sz w:val="8"/>
                <w:szCs w:val="8"/>
                <w:color w:val="auto"/>
              </w:rPr>
            </w:pPr>
          </w:p>
        </w:tc>
        <w:tc>
          <w:tcPr>
            <w:tcW w:w="40" w:type="dxa"/>
            <w:vAlign w:val="bottom"/>
            <w:shd w:val="clear" w:color="auto" w:fill="F0F0F0"/>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1.900%</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August 2030</w:t>
            </w:r>
          </w:p>
        </w:tc>
        <w:tc>
          <w:tcPr>
            <w:tcW w:w="2840" w:type="dxa"/>
            <w:vAlign w:val="bottom"/>
          </w:tcPr>
          <w:p>
            <w:pPr>
              <w:spacing w:after="0"/>
              <w:rPr>
                <w:sz w:val="24"/>
                <w:szCs w:val="24"/>
                <w:color w:val="auto"/>
              </w:rPr>
            </w:pPr>
          </w:p>
        </w:tc>
        <w:tc>
          <w:tcPr>
            <w:tcW w:w="162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40" w:type="dxa"/>
            <w:vAlign w:val="bottom"/>
            <w:shd w:val="clear" w:color="auto" w:fill="F0F0F0"/>
          </w:tcPr>
          <w:p>
            <w:pPr>
              <w:spacing w:after="0"/>
              <w:rPr>
                <w:sz w:val="24"/>
                <w:szCs w:val="24"/>
                <w:color w:val="auto"/>
              </w:rPr>
            </w:pPr>
          </w:p>
        </w:tc>
        <w:tc>
          <w:tcPr>
            <w:tcW w:w="162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40" w:type="dxa"/>
            <w:vAlign w:val="bottom"/>
            <w:shd w:val="clear" w:color="auto" w:fill="F0F0F0"/>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58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620" w:type="dxa"/>
            <w:vAlign w:val="bottom"/>
            <w:vMerge w:val="continue"/>
            <w:shd w:val="clear" w:color="auto" w:fill="F0F0F0"/>
          </w:tcPr>
          <w:p>
            <w:pPr>
              <w:spacing w:after="0"/>
              <w:rPr>
                <w:sz w:val="8"/>
                <w:szCs w:val="8"/>
                <w:color w:val="auto"/>
              </w:rPr>
            </w:pPr>
          </w:p>
        </w:tc>
        <w:tc>
          <w:tcPr>
            <w:tcW w:w="40" w:type="dxa"/>
            <w:vAlign w:val="bottom"/>
            <w:shd w:val="clear" w:color="auto" w:fill="F0F0F0"/>
          </w:tcPr>
          <w:p>
            <w:pPr>
              <w:spacing w:after="0"/>
              <w:rPr>
                <w:sz w:val="8"/>
                <w:szCs w:val="8"/>
                <w:color w:val="auto"/>
              </w:rPr>
            </w:pPr>
          </w:p>
        </w:tc>
        <w:tc>
          <w:tcPr>
            <w:tcW w:w="1620" w:type="dxa"/>
            <w:vAlign w:val="bottom"/>
            <w:vMerge w:val="continue"/>
            <w:shd w:val="clear" w:color="auto" w:fill="F0F0F0"/>
          </w:tcPr>
          <w:p>
            <w:pPr>
              <w:spacing w:after="0"/>
              <w:rPr>
                <w:sz w:val="8"/>
                <w:szCs w:val="8"/>
                <w:color w:val="auto"/>
              </w:rPr>
            </w:pPr>
          </w:p>
        </w:tc>
        <w:tc>
          <w:tcPr>
            <w:tcW w:w="40" w:type="dxa"/>
            <w:vAlign w:val="bottom"/>
            <w:shd w:val="clear" w:color="auto" w:fill="F0F0F0"/>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2.150%</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January 2031</w:t>
            </w:r>
          </w:p>
        </w:tc>
        <w:tc>
          <w:tcPr>
            <w:tcW w:w="2840" w:type="dxa"/>
            <w:vAlign w:val="bottom"/>
          </w:tcPr>
          <w:p>
            <w:pPr>
              <w:spacing w:after="0"/>
              <w:rPr>
                <w:sz w:val="24"/>
                <w:szCs w:val="24"/>
                <w:color w:val="auto"/>
              </w:rPr>
            </w:pPr>
          </w:p>
        </w:tc>
        <w:tc>
          <w:tcPr>
            <w:tcW w:w="162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shd w:val="clear" w:color="auto" w:fill="F0F0F0"/>
          </w:tcPr>
          <w:p>
            <w:pPr>
              <w:spacing w:after="0"/>
              <w:rPr>
                <w:sz w:val="24"/>
                <w:szCs w:val="24"/>
                <w:color w:val="auto"/>
              </w:rPr>
            </w:pPr>
          </w:p>
        </w:tc>
        <w:tc>
          <w:tcPr>
            <w:tcW w:w="162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40" w:type="dxa"/>
            <w:vAlign w:val="bottom"/>
            <w:shd w:val="clear" w:color="auto" w:fill="F0F0F0"/>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580" w:type="dxa"/>
            <w:vAlign w:val="bottom"/>
          </w:tcPr>
          <w:p>
            <w:pPr>
              <w:spacing w:after="0"/>
              <w:rPr>
                <w:sz w:val="8"/>
                <w:szCs w:val="8"/>
                <w:color w:val="auto"/>
              </w:rPr>
            </w:pPr>
          </w:p>
        </w:tc>
        <w:tc>
          <w:tcPr>
            <w:tcW w:w="296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620" w:type="dxa"/>
            <w:vAlign w:val="bottom"/>
            <w:vMerge w:val="continue"/>
            <w:shd w:val="clear" w:color="auto" w:fill="F0F0F0"/>
          </w:tcPr>
          <w:p>
            <w:pPr>
              <w:spacing w:after="0"/>
              <w:rPr>
                <w:sz w:val="8"/>
                <w:szCs w:val="8"/>
                <w:color w:val="auto"/>
              </w:rPr>
            </w:pPr>
          </w:p>
        </w:tc>
        <w:tc>
          <w:tcPr>
            <w:tcW w:w="40" w:type="dxa"/>
            <w:vAlign w:val="bottom"/>
            <w:shd w:val="clear" w:color="auto" w:fill="F0F0F0"/>
          </w:tcPr>
          <w:p>
            <w:pPr>
              <w:spacing w:after="0"/>
              <w:rPr>
                <w:sz w:val="8"/>
                <w:szCs w:val="8"/>
                <w:color w:val="auto"/>
              </w:rPr>
            </w:pPr>
          </w:p>
        </w:tc>
        <w:tc>
          <w:tcPr>
            <w:tcW w:w="1620" w:type="dxa"/>
            <w:vAlign w:val="bottom"/>
            <w:vMerge w:val="continue"/>
            <w:shd w:val="clear" w:color="auto" w:fill="F0F0F0"/>
          </w:tcPr>
          <w:p>
            <w:pPr>
              <w:spacing w:after="0"/>
              <w:rPr>
                <w:sz w:val="8"/>
                <w:szCs w:val="8"/>
                <w:color w:val="auto"/>
              </w:rPr>
            </w:pPr>
          </w:p>
        </w:tc>
        <w:tc>
          <w:tcPr>
            <w:tcW w:w="40" w:type="dxa"/>
            <w:vAlign w:val="bottom"/>
            <w:shd w:val="clear" w:color="auto" w:fill="F0F0F0"/>
          </w:tcPr>
          <w:p>
            <w:pPr>
              <w:spacing w:after="0"/>
              <w:rPr>
                <w:sz w:val="8"/>
                <w:szCs w:val="8"/>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960" w:right="1240" w:hanging="171"/>
        <w:spacing w:after="0" w:line="211" w:lineRule="auto"/>
        <w:tabs>
          <w:tab w:leader="none" w:pos="961" w:val="left"/>
        </w:tabs>
        <w:numPr>
          <w:ilvl w:val="0"/>
          <w:numId w:val="68"/>
        </w:numPr>
        <w:rPr>
          <w:rFonts w:ascii="Times New Roman" w:cs="Times New Roman" w:eastAsia="Times New Roman" w:hAnsi="Times New Roman"/>
          <w:sz w:val="21"/>
          <w:szCs w:val="21"/>
          <w:i w:val="1"/>
          <w:iCs w:val="1"/>
          <w:color w:val="auto"/>
          <w:vertAlign w:val="superscript"/>
        </w:rPr>
      </w:pPr>
      <w:r>
        <w:rPr>
          <w:rFonts w:ascii="Times New Roman" w:cs="Times New Roman" w:eastAsia="Times New Roman" w:hAnsi="Times New Roman"/>
          <w:sz w:val="16"/>
          <w:szCs w:val="16"/>
          <w:i w:val="1"/>
          <w:iCs w:val="1"/>
          <w:color w:val="auto"/>
        </w:rPr>
        <w:t>In June 2024, the Corporation redeemed in full all of the Convertible Senior Notes assumed from Pioneer for an amount consistent with the acquisition date fair value.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0C479D"/>
        </w:rPr>
        <w:t>Actual and Pro Forma Impact of Merger</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revenues and earnings included in the Consolidated Statement of Income for Pioneer since the acquisition date (May 3, 2024)</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December 31, 2024:</w:t>
      </w:r>
    </w:p>
    <w:p>
      <w:pPr>
        <w:spacing w:after="0" w:line="102" w:lineRule="exact"/>
        <w:rPr>
          <w:sz w:val="20"/>
          <w:szCs w:val="20"/>
          <w:color w:val="auto"/>
        </w:rPr>
      </w:pPr>
    </w:p>
    <w:tbl>
      <w:tblPr>
        <w:tblLayout w:type="fixed"/>
        <w:tblInd w:w="780" w:type="dxa"/>
        <w:tblCellMar>
          <w:top w:w="0" w:type="dxa"/>
          <w:left w:w="0" w:type="dxa"/>
          <w:bottom w:w="0" w:type="dxa"/>
          <w:right w:w="0" w:type="dxa"/>
        </w:tblCellMar>
      </w:tblPr>
      <w:tr>
        <w:trPr>
          <w:trHeight w:val="205"/>
        </w:trPr>
        <w:tc>
          <w:tcPr>
            <w:tcW w:w="8020" w:type="dxa"/>
            <w:vAlign w:val="bottom"/>
            <w:vMerge w:val="restart"/>
            <w:shd w:val="clear" w:color="auto" w:fill="0C479D"/>
          </w:tcPr>
          <w:p>
            <w:pPr>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1680" w:type="dxa"/>
            <w:vAlign w:val="bottom"/>
            <w:gridSpan w:val="2"/>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Twelve Months Ended</w:t>
            </w:r>
          </w:p>
        </w:tc>
        <w:tc>
          <w:tcPr>
            <w:tcW w:w="0" w:type="dxa"/>
            <w:vAlign w:val="bottom"/>
          </w:tcPr>
          <w:p>
            <w:pPr>
              <w:spacing w:after="0"/>
              <w:rPr>
                <w:sz w:val="1"/>
                <w:szCs w:val="1"/>
                <w:color w:val="auto"/>
              </w:rPr>
            </w:pPr>
          </w:p>
        </w:tc>
      </w:tr>
      <w:tr>
        <w:trPr>
          <w:trHeight w:val="109"/>
        </w:trPr>
        <w:tc>
          <w:tcPr>
            <w:tcW w:w="8020" w:type="dxa"/>
            <w:vAlign w:val="bottom"/>
            <w:vMerge w:val="continue"/>
            <w:shd w:val="clear" w:color="auto" w:fill="0C479D"/>
          </w:tcPr>
          <w:p>
            <w:pPr>
              <w:spacing w:after="0"/>
              <w:rPr>
                <w:sz w:val="9"/>
                <w:szCs w:val="9"/>
                <w:color w:val="auto"/>
              </w:rPr>
            </w:pPr>
          </w:p>
        </w:tc>
        <w:tc>
          <w:tcPr>
            <w:tcW w:w="1680" w:type="dxa"/>
            <w:vAlign w:val="bottom"/>
            <w:gridSpan w:val="2"/>
            <w:vMerge w:val="restart"/>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December 31, 2024</w:t>
            </w:r>
          </w:p>
        </w:tc>
        <w:tc>
          <w:tcPr>
            <w:tcW w:w="0" w:type="dxa"/>
            <w:vAlign w:val="bottom"/>
          </w:tcPr>
          <w:p>
            <w:pPr>
              <w:spacing w:after="0"/>
              <w:rPr>
                <w:sz w:val="1"/>
                <w:szCs w:val="1"/>
                <w:color w:val="auto"/>
              </w:rPr>
            </w:pPr>
          </w:p>
        </w:tc>
      </w:tr>
      <w:tr>
        <w:trPr>
          <w:trHeight w:val="81"/>
        </w:trPr>
        <w:tc>
          <w:tcPr>
            <w:tcW w:w="8020" w:type="dxa"/>
            <w:vAlign w:val="bottom"/>
            <w:shd w:val="clear" w:color="auto" w:fill="0C479D"/>
          </w:tcPr>
          <w:p>
            <w:pPr>
              <w:spacing w:after="0"/>
              <w:rPr>
                <w:sz w:val="7"/>
                <w:szCs w:val="7"/>
                <w:color w:val="auto"/>
              </w:rPr>
            </w:pPr>
          </w:p>
        </w:tc>
        <w:tc>
          <w:tcPr>
            <w:tcW w:w="1680" w:type="dxa"/>
            <w:vAlign w:val="bottom"/>
            <w:gridSpan w:val="2"/>
            <w:vMerge w:val="continue"/>
            <w:shd w:val="clear" w:color="auto" w:fill="0C479D"/>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8020" w:type="dxa"/>
            <w:vAlign w:val="bottom"/>
            <w:shd w:val="clear" w:color="auto" w:fill="0C479D"/>
          </w:tcPr>
          <w:p>
            <w:pPr>
              <w:spacing w:after="0"/>
              <w:rPr>
                <w:sz w:val="7"/>
                <w:szCs w:val="7"/>
                <w:color w:val="auto"/>
              </w:rPr>
            </w:pPr>
          </w:p>
        </w:tc>
        <w:tc>
          <w:tcPr>
            <w:tcW w:w="1640" w:type="dxa"/>
            <w:vAlign w:val="bottom"/>
            <w:shd w:val="clear" w:color="auto" w:fill="0C479D"/>
          </w:tcPr>
          <w:p>
            <w:pPr>
              <w:spacing w:after="0"/>
              <w:rPr>
                <w:sz w:val="7"/>
                <w:szCs w:val="7"/>
                <w:color w:val="auto"/>
              </w:rPr>
            </w:pPr>
          </w:p>
        </w:tc>
        <w:tc>
          <w:tcPr>
            <w:tcW w:w="40" w:type="dxa"/>
            <w:vAlign w:val="bottom"/>
            <w:shd w:val="clear" w:color="auto" w:fill="0C479D"/>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Sales and other operating revenues</w:t>
            </w:r>
          </w:p>
        </w:tc>
        <w:tc>
          <w:tcPr>
            <w:tcW w:w="164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17,008</w:t>
            </w:r>
          </w:p>
        </w:tc>
        <w:tc>
          <w:tcPr>
            <w:tcW w:w="40" w:type="dxa"/>
            <w:vAlign w:val="bottom"/>
            <w:shd w:val="clear" w:color="auto" w:fill="F0F0F0"/>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8020" w:type="dxa"/>
            <w:vAlign w:val="bottom"/>
          </w:tcPr>
          <w:p>
            <w:pPr>
              <w:spacing w:after="0"/>
              <w:rPr>
                <w:sz w:val="8"/>
                <w:szCs w:val="8"/>
                <w:color w:val="auto"/>
              </w:rPr>
            </w:pPr>
          </w:p>
        </w:tc>
        <w:tc>
          <w:tcPr>
            <w:tcW w:w="1640" w:type="dxa"/>
            <w:vAlign w:val="bottom"/>
            <w:vMerge w:val="continue"/>
            <w:shd w:val="clear" w:color="auto" w:fill="F0F0F0"/>
          </w:tcPr>
          <w:p>
            <w:pPr>
              <w:spacing w:after="0"/>
              <w:rPr>
                <w:sz w:val="8"/>
                <w:szCs w:val="8"/>
                <w:color w:val="auto"/>
              </w:rPr>
            </w:pPr>
          </w:p>
        </w:tc>
        <w:tc>
          <w:tcPr>
            <w:tcW w:w="40" w:type="dxa"/>
            <w:vAlign w:val="bottom"/>
            <w:shd w:val="clear" w:color="auto" w:fill="F0F0F0"/>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ExxonMobil</w:t>
            </w:r>
          </w:p>
        </w:tc>
        <w:tc>
          <w:tcPr>
            <w:tcW w:w="164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40" w:type="dxa"/>
            <w:vAlign w:val="bottom"/>
            <w:shd w:val="clear" w:color="auto" w:fill="F0F0F0"/>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8020" w:type="dxa"/>
            <w:vAlign w:val="bottom"/>
          </w:tcPr>
          <w:p>
            <w:pPr>
              <w:spacing w:after="0"/>
              <w:rPr>
                <w:sz w:val="8"/>
                <w:szCs w:val="8"/>
                <w:color w:val="auto"/>
              </w:rPr>
            </w:pPr>
          </w:p>
        </w:tc>
        <w:tc>
          <w:tcPr>
            <w:tcW w:w="1640" w:type="dxa"/>
            <w:vAlign w:val="bottom"/>
            <w:vMerge w:val="continue"/>
            <w:shd w:val="clear" w:color="auto" w:fill="F0F0F0"/>
          </w:tcPr>
          <w:p>
            <w:pPr>
              <w:spacing w:after="0"/>
              <w:rPr>
                <w:sz w:val="8"/>
                <w:szCs w:val="8"/>
                <w:color w:val="auto"/>
              </w:rPr>
            </w:pPr>
          </w:p>
        </w:tc>
        <w:tc>
          <w:tcPr>
            <w:tcW w:w="40" w:type="dxa"/>
            <w:vAlign w:val="bottom"/>
            <w:shd w:val="clear" w:color="auto" w:fill="F0F0F0"/>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presents unaudited pro forma information for the Corporation as if the merger with Pioneer had occurred at the beginning of January 1, 2023:</w:t>
      </w:r>
    </w:p>
    <w:p>
      <w:pPr>
        <w:spacing w:after="0" w:line="100" w:lineRule="exact"/>
        <w:rPr>
          <w:sz w:val="20"/>
          <w:szCs w:val="20"/>
          <w:color w:val="auto"/>
        </w:rPr>
      </w:pPr>
    </w:p>
    <w:tbl>
      <w:tblPr>
        <w:tblLayout w:type="fixed"/>
        <w:tblInd w:w="780" w:type="dxa"/>
        <w:tblCellMar>
          <w:top w:w="0" w:type="dxa"/>
          <w:left w:w="0" w:type="dxa"/>
          <w:bottom w:w="0" w:type="dxa"/>
          <w:right w:w="0" w:type="dxa"/>
        </w:tblCellMar>
      </w:tblPr>
      <w:tr>
        <w:trPr>
          <w:trHeight w:val="274"/>
        </w:trPr>
        <w:tc>
          <w:tcPr>
            <w:tcW w:w="6360" w:type="dxa"/>
            <w:vAlign w:val="bottom"/>
            <w:shd w:val="clear" w:color="auto" w:fill="0C479D"/>
          </w:tcPr>
          <w:p>
            <w:pPr>
              <w:spacing w:after="0"/>
              <w:rPr>
                <w:sz w:val="20"/>
                <w:szCs w:val="20"/>
                <w:color w:val="auto"/>
              </w:rPr>
            </w:pPr>
            <w:r>
              <w:rPr>
                <w:rFonts w:ascii="Times New Roman" w:cs="Times New Roman" w:eastAsia="Times New Roman" w:hAnsi="Times New Roman"/>
                <w:sz w:val="14"/>
                <w:szCs w:val="14"/>
                <w:i w:val="1"/>
                <w:iCs w:val="1"/>
                <w:color w:val="FFFFFF"/>
              </w:rPr>
              <w:t>Unaudited</w:t>
            </w:r>
          </w:p>
        </w:tc>
        <w:tc>
          <w:tcPr>
            <w:tcW w:w="3340" w:type="dxa"/>
            <w:vAlign w:val="bottom"/>
            <w:gridSpan w:val="2"/>
            <w:shd w:val="clear" w:color="auto" w:fill="0C479D"/>
          </w:tcPr>
          <w:p>
            <w:pPr>
              <w:jc w:val="right"/>
              <w:ind w:right="456"/>
              <w:spacing w:after="0"/>
              <w:rPr>
                <w:sz w:val="20"/>
                <w:szCs w:val="20"/>
                <w:color w:val="auto"/>
              </w:rPr>
            </w:pPr>
            <w:r>
              <w:rPr>
                <w:rFonts w:ascii="Times New Roman" w:cs="Times New Roman" w:eastAsia="Times New Roman" w:hAnsi="Times New Roman"/>
                <w:sz w:val="14"/>
                <w:szCs w:val="14"/>
                <w:b w:val="1"/>
                <w:bCs w:val="1"/>
                <w:color w:val="FFFFFF"/>
              </w:rPr>
              <w:t>Twelve Months Ended December 31,</w:t>
            </w:r>
          </w:p>
        </w:tc>
        <w:tc>
          <w:tcPr>
            <w:tcW w:w="0" w:type="dxa"/>
            <w:vAlign w:val="bottom"/>
          </w:tcPr>
          <w:p>
            <w:pPr>
              <w:spacing w:after="0"/>
              <w:rPr>
                <w:sz w:val="1"/>
                <w:szCs w:val="1"/>
                <w:color w:val="auto"/>
              </w:rPr>
            </w:pPr>
          </w:p>
        </w:tc>
      </w:tr>
      <w:tr>
        <w:trPr>
          <w:trHeight w:val="203"/>
        </w:trPr>
        <w:tc>
          <w:tcPr>
            <w:tcW w:w="6360" w:type="dxa"/>
            <w:vAlign w:val="bottom"/>
            <w:shd w:val="clear" w:color="auto" w:fill="0C479D"/>
          </w:tcPr>
          <w:p>
            <w:pPr>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1660" w:type="dxa"/>
            <w:vAlign w:val="bottom"/>
            <w:tcBorders>
              <w:right w:val="single" w:sz="8" w:color="0C479D"/>
            </w:tcBorders>
            <w:vMerge w:val="restart"/>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2024</w:t>
            </w:r>
          </w:p>
        </w:tc>
        <w:tc>
          <w:tcPr>
            <w:tcW w:w="1680" w:type="dxa"/>
            <w:vAlign w:val="bottom"/>
            <w:vMerge w:val="restart"/>
            <w:shd w:val="clear" w:color="auto" w:fill="0C479D"/>
          </w:tcPr>
          <w:p>
            <w:pPr>
              <w:jc w:val="right"/>
              <w:spacing w:after="0"/>
              <w:rPr>
                <w:sz w:val="20"/>
                <w:szCs w:val="20"/>
                <w:color w:val="auto"/>
              </w:rPr>
            </w:pPr>
            <w:r>
              <w:rPr>
                <w:rFonts w:ascii="Times New Roman" w:cs="Times New Roman" w:eastAsia="Times New Roman" w:hAnsi="Times New Roman"/>
                <w:sz w:val="14"/>
                <w:szCs w:val="14"/>
                <w:b w:val="1"/>
                <w:bCs w:val="1"/>
                <w:color w:val="FFFFFF"/>
              </w:rPr>
              <w:t>2023</w:t>
            </w:r>
          </w:p>
        </w:tc>
        <w:tc>
          <w:tcPr>
            <w:tcW w:w="0" w:type="dxa"/>
            <w:vAlign w:val="bottom"/>
          </w:tcPr>
          <w:p>
            <w:pPr>
              <w:spacing w:after="0"/>
              <w:rPr>
                <w:sz w:val="1"/>
                <w:szCs w:val="1"/>
                <w:color w:val="auto"/>
              </w:rPr>
            </w:pPr>
          </w:p>
        </w:tc>
      </w:tr>
      <w:tr>
        <w:trPr>
          <w:trHeight w:val="84"/>
        </w:trPr>
        <w:tc>
          <w:tcPr>
            <w:tcW w:w="6360" w:type="dxa"/>
            <w:vAlign w:val="bottom"/>
            <w:tcBorders>
              <w:bottom w:val="single" w:sz="8" w:color="0C479D"/>
            </w:tcBorders>
            <w:shd w:val="clear" w:color="auto" w:fill="0C479D"/>
          </w:tcPr>
          <w:p>
            <w:pPr>
              <w:spacing w:after="0"/>
              <w:rPr>
                <w:sz w:val="7"/>
                <w:szCs w:val="7"/>
                <w:color w:val="auto"/>
              </w:rPr>
            </w:pPr>
          </w:p>
        </w:tc>
        <w:tc>
          <w:tcPr>
            <w:tcW w:w="1660" w:type="dxa"/>
            <w:vAlign w:val="bottom"/>
            <w:tcBorders>
              <w:bottom w:val="single" w:sz="8" w:color="0C479D"/>
              <w:right w:val="single" w:sz="8" w:color="0C479D"/>
            </w:tcBorders>
            <w:vMerge w:val="continue"/>
            <w:shd w:val="clear" w:color="auto" w:fill="0C479D"/>
          </w:tcPr>
          <w:p>
            <w:pPr>
              <w:spacing w:after="0"/>
              <w:rPr>
                <w:sz w:val="7"/>
                <w:szCs w:val="7"/>
                <w:color w:val="auto"/>
              </w:rPr>
            </w:pPr>
          </w:p>
        </w:tc>
        <w:tc>
          <w:tcPr>
            <w:tcW w:w="1680" w:type="dxa"/>
            <w:vAlign w:val="bottom"/>
            <w:tcBorders>
              <w:bottom w:val="single" w:sz="8" w:color="0C479D"/>
            </w:tcBorders>
            <w:vMerge w:val="continue"/>
            <w:shd w:val="clear" w:color="auto" w:fill="0C479D"/>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Sales and other operating revenues</w:t>
            </w:r>
          </w:p>
        </w:tc>
        <w:tc>
          <w:tcPr>
            <w:tcW w:w="1660" w:type="dxa"/>
            <w:vAlign w:val="bottom"/>
            <w:tcBorders>
              <w:right w:val="single" w:sz="8" w:color="F0F0F0"/>
            </w:tcBorders>
            <w:vMerge w:val="restart"/>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347,406</w:t>
            </w: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358,014</w:t>
            </w:r>
          </w:p>
        </w:tc>
        <w:tc>
          <w:tcPr>
            <w:tcW w:w="0" w:type="dxa"/>
            <w:vAlign w:val="bottom"/>
          </w:tcPr>
          <w:p>
            <w:pPr>
              <w:spacing w:after="0"/>
              <w:rPr>
                <w:sz w:val="1"/>
                <w:szCs w:val="1"/>
                <w:color w:val="auto"/>
              </w:rPr>
            </w:pPr>
          </w:p>
        </w:tc>
      </w:tr>
      <w:tr>
        <w:trPr>
          <w:trHeight w:val="94"/>
        </w:trPr>
        <w:tc>
          <w:tcPr>
            <w:tcW w:w="6360" w:type="dxa"/>
            <w:vAlign w:val="bottom"/>
          </w:tcPr>
          <w:p>
            <w:pPr>
              <w:spacing w:after="0"/>
              <w:rPr>
                <w:sz w:val="8"/>
                <w:szCs w:val="8"/>
                <w:color w:val="auto"/>
              </w:rPr>
            </w:pPr>
          </w:p>
        </w:tc>
        <w:tc>
          <w:tcPr>
            <w:tcW w:w="1660" w:type="dxa"/>
            <w:vAlign w:val="bottom"/>
            <w:tcBorders>
              <w:right w:val="single" w:sz="8" w:color="F0F0F0"/>
            </w:tcBorders>
            <w:vMerge w:val="continue"/>
            <w:shd w:val="clear" w:color="auto" w:fill="F0F0F0"/>
          </w:tcPr>
          <w:p>
            <w:pPr>
              <w:spacing w:after="0"/>
              <w:rPr>
                <w:sz w:val="8"/>
                <w:szCs w:val="8"/>
                <w:color w:val="auto"/>
              </w:rPr>
            </w:pPr>
          </w:p>
        </w:tc>
        <w:tc>
          <w:tcPr>
            <w:tcW w:w="1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4"/>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ExxonMobil</w:t>
            </w:r>
          </w:p>
        </w:tc>
        <w:tc>
          <w:tcPr>
            <w:tcW w:w="1660" w:type="dxa"/>
            <w:vAlign w:val="bottom"/>
            <w:tcBorders>
              <w:right w:val="single" w:sz="8" w:color="F0F0F0"/>
            </w:tcBorders>
            <w:vMerge w:val="restart"/>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34,476</w:t>
            </w: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39,211</w:t>
            </w:r>
          </w:p>
        </w:tc>
        <w:tc>
          <w:tcPr>
            <w:tcW w:w="0" w:type="dxa"/>
            <w:vAlign w:val="bottom"/>
          </w:tcPr>
          <w:p>
            <w:pPr>
              <w:spacing w:after="0"/>
              <w:rPr>
                <w:sz w:val="1"/>
                <w:szCs w:val="1"/>
                <w:color w:val="auto"/>
              </w:rPr>
            </w:pPr>
          </w:p>
        </w:tc>
      </w:tr>
      <w:tr>
        <w:trPr>
          <w:trHeight w:val="95"/>
        </w:trPr>
        <w:tc>
          <w:tcPr>
            <w:tcW w:w="6360" w:type="dxa"/>
            <w:vAlign w:val="bottom"/>
          </w:tcPr>
          <w:p>
            <w:pPr>
              <w:spacing w:after="0"/>
              <w:rPr>
                <w:sz w:val="8"/>
                <w:szCs w:val="8"/>
                <w:color w:val="auto"/>
              </w:rPr>
            </w:pPr>
          </w:p>
        </w:tc>
        <w:tc>
          <w:tcPr>
            <w:tcW w:w="1660" w:type="dxa"/>
            <w:vAlign w:val="bottom"/>
            <w:tcBorders>
              <w:right w:val="single" w:sz="8" w:color="F0F0F0"/>
            </w:tcBorders>
            <w:vMerge w:val="continue"/>
            <w:shd w:val="clear" w:color="auto" w:fill="F0F0F0"/>
          </w:tcPr>
          <w:p>
            <w:pPr>
              <w:spacing w:after="0"/>
              <w:rPr>
                <w:sz w:val="8"/>
                <w:szCs w:val="8"/>
                <w:color w:val="auto"/>
              </w:rPr>
            </w:pPr>
          </w:p>
        </w:tc>
        <w:tc>
          <w:tcPr>
            <w:tcW w:w="1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historical financial information was adjusted to give effect to the pro forma events that were directly attributable to the merger and factually supportable. The unaudited pro forma consolidated results are not necessarily indicative of what the consolidated results of operations actually would have been had the merger been completed on January 1, 2023. In addition, the unaudited pro forma consolidated results reflect pro forma adjustments primarily related to conforming Pioneer's accounting policies to ExxonMobil, additional depreciation expense related to the fair value adjustment of the acquired property, plant and equipment, our capital structure, Pioneer's transaction-related costs, and applicable income tax impacts of the pro forma adjustments.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transaction costs to effect the acquisition were immaterial.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22"/>
          <w:szCs w:val="22"/>
          <w:b w:val="1"/>
          <w:bCs w:val="1"/>
          <w:color w:val="0C479D"/>
        </w:rPr>
        <w:t>NOTES TO CONSOLIDATED FINANCIAL STATEMENTS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Denbury Inc.</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November 2, 2023, the Corporation acquired Denbury, a developer of carbon capture, utilization, and storage solutions and enhanced oil recovery producing assets. The acquisition also included Gulf Coast and Rocky Mountain oil and natural gas operations.</w:t>
      </w:r>
    </w:p>
    <w:p>
      <w:pPr>
        <w:spacing w:after="0" w:line="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Total consideration was $5.1 billion, which included the issuance of 46 million shares of ExxonMobil common stock from treasury having a fair value of $4.8 billion on the acquisition date, and cash payments of $0.3 billion related to repayment of Denbury's credit facility and settlement of fractional shares.</w:t>
      </w:r>
    </w:p>
    <w:p>
      <w:pPr>
        <w:spacing w:after="0" w:line="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transaction was accounted for as a business combination in accordance with ASC 805, which requires that assets acquired and liabilities assumed be recognized at their fair values as of the acquisition date. The following table summarizes the fair values of the assets acquired and liabilities assumed:</w:t>
      </w:r>
    </w:p>
    <w:p>
      <w:pPr>
        <w:spacing w:after="0" w:line="85" w:lineRule="exact"/>
        <w:rPr>
          <w:sz w:val="20"/>
          <w:szCs w:val="20"/>
          <w:color w:val="auto"/>
        </w:rPr>
      </w:pPr>
    </w:p>
    <w:tbl>
      <w:tblPr>
        <w:tblLayout w:type="fixed"/>
        <w:tblInd w:w="2260" w:type="dxa"/>
        <w:tblCellMar>
          <w:top w:w="0" w:type="dxa"/>
          <w:left w:w="0" w:type="dxa"/>
          <w:bottom w:w="0" w:type="dxa"/>
          <w:right w:w="0" w:type="dxa"/>
        </w:tblCellMar>
      </w:tblPr>
      <w:tr>
        <w:trPr>
          <w:trHeight w:val="260"/>
        </w:trPr>
        <w:tc>
          <w:tcPr>
            <w:tcW w:w="5120" w:type="dxa"/>
            <w:vAlign w:val="bottom"/>
            <w:shd w:val="clear" w:color="auto" w:fill="0C479D"/>
          </w:tcPr>
          <w:p>
            <w:pPr>
              <w:ind w:left="20"/>
              <w:spacing w:after="0"/>
              <w:rPr>
                <w:sz w:val="20"/>
                <w:szCs w:val="20"/>
                <w:color w:val="auto"/>
              </w:rPr>
            </w:pPr>
            <w:r>
              <w:rPr>
                <w:rFonts w:ascii="Times New Roman" w:cs="Times New Roman" w:eastAsia="Times New Roman" w:hAnsi="Times New Roman"/>
                <w:sz w:val="14"/>
                <w:szCs w:val="14"/>
                <w:i w:val="1"/>
                <w:iCs w:val="1"/>
                <w:color w:val="FFFFFF"/>
              </w:rPr>
              <w:t>(billions of dollars)</w:t>
            </w:r>
          </w:p>
        </w:tc>
        <w:tc>
          <w:tcPr>
            <w:tcW w:w="1600" w:type="dxa"/>
            <w:vAlign w:val="bottom"/>
            <w:shd w:val="clear" w:color="auto" w:fill="0C479D"/>
          </w:tcPr>
          <w:p>
            <w:pPr>
              <w:jc w:val="right"/>
              <w:ind w:right="432"/>
              <w:spacing w:after="0"/>
              <w:rPr>
                <w:sz w:val="20"/>
                <w:szCs w:val="20"/>
                <w:color w:val="auto"/>
              </w:rPr>
            </w:pPr>
            <w:r>
              <w:rPr>
                <w:rFonts w:ascii="Times New Roman" w:cs="Times New Roman" w:eastAsia="Times New Roman" w:hAnsi="Times New Roman"/>
                <w:sz w:val="14"/>
                <w:szCs w:val="14"/>
                <w:b w:val="1"/>
                <w:bCs w:val="1"/>
                <w:color w:val="FFFFFF"/>
              </w:rPr>
              <w:t>Denbury</w:t>
            </w:r>
          </w:p>
        </w:tc>
      </w:tr>
      <w:tr>
        <w:trPr>
          <w:trHeight w:val="118"/>
        </w:trPr>
        <w:tc>
          <w:tcPr>
            <w:tcW w:w="5120" w:type="dxa"/>
            <w:vAlign w:val="bottom"/>
            <w:shd w:val="clear" w:color="auto" w:fill="0C479D"/>
          </w:tcPr>
          <w:p>
            <w:pPr>
              <w:spacing w:after="0"/>
              <w:rPr>
                <w:sz w:val="10"/>
                <w:szCs w:val="10"/>
                <w:color w:val="auto"/>
              </w:rPr>
            </w:pPr>
          </w:p>
        </w:tc>
        <w:tc>
          <w:tcPr>
            <w:tcW w:w="1600" w:type="dxa"/>
            <w:vAlign w:val="bottom"/>
            <w:shd w:val="clear" w:color="auto" w:fill="0C479D"/>
          </w:tcPr>
          <w:p>
            <w:pPr>
              <w:spacing w:after="0"/>
              <w:rPr>
                <w:sz w:val="10"/>
                <w:szCs w:val="10"/>
                <w:color w:val="auto"/>
              </w:rPr>
            </w:pPr>
          </w:p>
        </w:tc>
      </w:tr>
      <w:tr>
        <w:trPr>
          <w:trHeight w:val="365"/>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7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&amp; equipment</w:t>
            </w:r>
          </w:p>
        </w:tc>
        <w:tc>
          <w:tcPr>
            <w:tcW w:w="16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70"/>
        </w:trPr>
        <w:tc>
          <w:tcPr>
            <w:tcW w:w="512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50"/>
        </w:trPr>
        <w:tc>
          <w:tcPr>
            <w:tcW w:w="512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r>
      <w:tr>
        <w:trPr>
          <w:trHeight w:val="344"/>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70"/>
        </w:trPr>
        <w:tc>
          <w:tcPr>
            <w:tcW w:w="512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16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50"/>
        </w:trPr>
        <w:tc>
          <w:tcPr>
            <w:tcW w:w="512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r>
      <w:tr>
        <w:trPr>
          <w:trHeight w:val="74"/>
        </w:trPr>
        <w:tc>
          <w:tcPr>
            <w:tcW w:w="5120" w:type="dxa"/>
            <w:vAlign w:val="bottom"/>
            <w:tcBorders>
              <w:bottom w:val="single" w:sz="8" w:color="0C479D"/>
            </w:tcBorders>
          </w:tcPr>
          <w:p>
            <w:pPr>
              <w:spacing w:after="0"/>
              <w:rPr>
                <w:sz w:val="6"/>
                <w:szCs w:val="6"/>
                <w:color w:val="auto"/>
              </w:rPr>
            </w:pPr>
          </w:p>
        </w:tc>
        <w:tc>
          <w:tcPr>
            <w:tcW w:w="1600" w:type="dxa"/>
            <w:vAlign w:val="bottom"/>
            <w:tcBorders>
              <w:bottom w:val="single" w:sz="8" w:color="0C479D"/>
            </w:tcBorders>
            <w:shd w:val="clear" w:color="auto" w:fill="F0F0F0"/>
          </w:tcPr>
          <w:p>
            <w:pPr>
              <w:spacing w:after="0"/>
              <w:rPr>
                <w:sz w:val="6"/>
                <w:szCs w:val="6"/>
                <w:color w:val="auto"/>
              </w:rPr>
            </w:pPr>
          </w:p>
        </w:tc>
      </w:tr>
      <w:tr>
        <w:trPr>
          <w:trHeight w:val="244"/>
        </w:trPr>
        <w:tc>
          <w:tcPr>
            <w:tcW w:w="512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160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Inputs for the assumptions used in the income approach to value property, plant and equipment included estimates for pipeline tariff rates, pipeline throughput volumes, commodity prices, future oil and gas production profiles, operating expenses, and a risk-adjusted discount rate.</w:t>
      </w:r>
    </w:p>
    <w:p>
      <w:pPr>
        <w:spacing w:after="0" w:line="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Denbury acquisition resulted in an immaterial amount of goodwill. Revenues and earnings arising from Denbury's operations are immaterial in 2023 for pro forma disclosure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color w:val="0C479D"/>
        </w:rPr>
        <w:t>SUPPLEMENTAL INFORMATION ON OIL AND GAS EXPLORATION AND PRODUCTION ACTIVITIES (unaudited)</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results of operations for producing activities shown below do not include earnings from other activities that ExxonMobil includes in the Upstream function, such as oil and gas transportation operations, LNG liquefaction and transportation operations, power operations, technical service agreements, gains and losses from derivative activity, other nonoperating activities and adjustments for noncontrolling interests. These excluded amounts for both consolidated and equity companies totaled $1,395 million in 2024, $(519) million in 2023 and $4,802 million in 2022. Oil sands mining operations are included in the results of operations in accordance with Securities and Exchange Commission and Financial Accounting Standards Board rules.</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80" w:type="dxa"/>
            <w:vAlign w:val="bottom"/>
            <w:vMerge w:val="restart"/>
            <w:shd w:val="clear" w:color="auto" w:fill="0C479D"/>
          </w:tcPr>
          <w:p>
            <w:pPr>
              <w:ind w:left="20"/>
              <w:spacing w:after="0"/>
              <w:rPr>
                <w:sz w:val="20"/>
                <w:szCs w:val="20"/>
                <w:color w:val="auto"/>
              </w:rPr>
            </w:pPr>
            <w:r>
              <w:rPr>
                <w:rFonts w:ascii="Times New Roman" w:cs="Times New Roman" w:eastAsia="Times New Roman" w:hAnsi="Times New Roman"/>
                <w:sz w:val="16"/>
                <w:szCs w:val="16"/>
                <w:b w:val="1"/>
                <w:bCs w:val="1"/>
                <w:color w:val="FFFFFF"/>
              </w:rPr>
              <w:t>Results of Operations</w:t>
            </w:r>
          </w:p>
        </w:tc>
        <w:tc>
          <w:tcPr>
            <w:tcW w:w="1160" w:type="dxa"/>
            <w:vAlign w:val="bottom"/>
            <w:vMerge w:val="restart"/>
            <w:shd w:val="clear" w:color="auto" w:fill="0C479D"/>
          </w:tcPr>
          <w:p>
            <w:pPr>
              <w:jc w:val="right"/>
              <w:ind w:right="280"/>
              <w:spacing w:after="0"/>
              <w:rPr>
                <w:sz w:val="20"/>
                <w:szCs w:val="20"/>
                <w:color w:val="auto"/>
              </w:rPr>
            </w:pPr>
            <w:r>
              <w:rPr>
                <w:rFonts w:ascii="Times New Roman" w:cs="Times New Roman" w:eastAsia="Times New Roman" w:hAnsi="Times New Roman"/>
                <w:sz w:val="14"/>
                <w:szCs w:val="14"/>
                <w:b w:val="1"/>
                <w:bCs w:val="1"/>
                <w:color w:val="FFFFFF"/>
              </w:rPr>
              <w:t>United</w:t>
            </w:r>
          </w:p>
        </w:tc>
        <w:tc>
          <w:tcPr>
            <w:tcW w:w="1040" w:type="dxa"/>
            <w:vAlign w:val="bottom"/>
            <w:shd w:val="clear" w:color="auto" w:fill="0C479D"/>
          </w:tcPr>
          <w:p>
            <w:pPr>
              <w:jc w:val="center"/>
              <w:ind w:right="80"/>
              <w:spacing w:after="0"/>
              <w:rPr>
                <w:sz w:val="20"/>
                <w:szCs w:val="20"/>
                <w:color w:val="auto"/>
              </w:rPr>
            </w:pPr>
            <w:r>
              <w:rPr>
                <w:rFonts w:ascii="Times New Roman" w:cs="Times New Roman" w:eastAsia="Times New Roman" w:hAnsi="Times New Roman"/>
                <w:sz w:val="14"/>
                <w:szCs w:val="14"/>
                <w:b w:val="1"/>
                <w:bCs w:val="1"/>
                <w:color w:val="FFFFFF"/>
              </w:rPr>
              <w:t>Canada/</w:t>
            </w:r>
          </w:p>
        </w:tc>
        <w:tc>
          <w:tcPr>
            <w:tcW w:w="1060" w:type="dxa"/>
            <w:vAlign w:val="bottom"/>
            <w:shd w:val="clear" w:color="auto" w:fill="0C479D"/>
          </w:tcPr>
          <w:p>
            <w:pPr>
              <w:spacing w:after="0"/>
              <w:rPr>
                <w:sz w:val="13"/>
                <w:szCs w:val="13"/>
                <w:color w:val="auto"/>
              </w:rPr>
            </w:pPr>
          </w:p>
        </w:tc>
        <w:tc>
          <w:tcPr>
            <w:tcW w:w="1020" w:type="dxa"/>
            <w:vAlign w:val="bottom"/>
            <w:shd w:val="clear" w:color="auto" w:fill="0C479D"/>
          </w:tcPr>
          <w:p>
            <w:pPr>
              <w:spacing w:after="0"/>
              <w:rPr>
                <w:sz w:val="13"/>
                <w:szCs w:val="13"/>
                <w:color w:val="auto"/>
              </w:rPr>
            </w:pPr>
          </w:p>
        </w:tc>
        <w:tc>
          <w:tcPr>
            <w:tcW w:w="940" w:type="dxa"/>
            <w:vAlign w:val="bottom"/>
            <w:shd w:val="clear" w:color="auto" w:fill="0C479D"/>
          </w:tcPr>
          <w:p>
            <w:pPr>
              <w:spacing w:after="0"/>
              <w:rPr>
                <w:sz w:val="13"/>
                <w:szCs w:val="13"/>
                <w:color w:val="auto"/>
              </w:rPr>
            </w:pPr>
          </w:p>
        </w:tc>
        <w:tc>
          <w:tcPr>
            <w:tcW w:w="1020" w:type="dxa"/>
            <w:vAlign w:val="bottom"/>
            <w:vMerge w:val="restart"/>
            <w:shd w:val="clear" w:color="auto" w:fill="0C479D"/>
          </w:tcPr>
          <w:p>
            <w:pPr>
              <w:jc w:val="right"/>
              <w:ind w:right="180"/>
              <w:spacing w:after="0"/>
              <w:rPr>
                <w:sz w:val="20"/>
                <w:szCs w:val="20"/>
                <w:color w:val="auto"/>
              </w:rPr>
            </w:pPr>
            <w:r>
              <w:rPr>
                <w:rFonts w:ascii="Times New Roman" w:cs="Times New Roman" w:eastAsia="Times New Roman" w:hAnsi="Times New Roman"/>
                <w:sz w:val="14"/>
                <w:szCs w:val="14"/>
                <w:b w:val="1"/>
                <w:bCs w:val="1"/>
                <w:color w:val="FFFFFF"/>
              </w:rPr>
              <w:t>Australia/</w:t>
            </w:r>
          </w:p>
        </w:tc>
        <w:tc>
          <w:tcPr>
            <w:tcW w:w="940" w:type="dxa"/>
            <w:vAlign w:val="bottom"/>
            <w:shd w:val="clear" w:color="auto" w:fill="0C479D"/>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3980" w:type="dxa"/>
            <w:vAlign w:val="bottom"/>
            <w:vMerge w:val="continue"/>
            <w:shd w:val="clear" w:color="auto" w:fill="0C479D"/>
          </w:tcPr>
          <w:p>
            <w:pPr>
              <w:spacing w:after="0"/>
              <w:rPr>
                <w:sz w:val="7"/>
                <w:szCs w:val="7"/>
                <w:color w:val="auto"/>
              </w:rPr>
            </w:pPr>
          </w:p>
        </w:tc>
        <w:tc>
          <w:tcPr>
            <w:tcW w:w="1160" w:type="dxa"/>
            <w:vAlign w:val="bottom"/>
            <w:vMerge w:val="continue"/>
            <w:shd w:val="clear" w:color="auto" w:fill="0C479D"/>
          </w:tcPr>
          <w:p>
            <w:pPr>
              <w:spacing w:after="0"/>
              <w:rPr>
                <w:sz w:val="7"/>
                <w:szCs w:val="7"/>
                <w:color w:val="auto"/>
              </w:rPr>
            </w:pPr>
          </w:p>
        </w:tc>
        <w:tc>
          <w:tcPr>
            <w:tcW w:w="1040" w:type="dxa"/>
            <w:vAlign w:val="bottom"/>
            <w:vMerge w:val="restart"/>
            <w:shd w:val="clear" w:color="auto" w:fill="0C479D"/>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FFFFFF"/>
              </w:rPr>
              <w:t>Other</w:t>
            </w:r>
          </w:p>
        </w:tc>
        <w:tc>
          <w:tcPr>
            <w:tcW w:w="1060" w:type="dxa"/>
            <w:vAlign w:val="bottom"/>
            <w:vMerge w:val="restart"/>
            <w:shd w:val="clear" w:color="auto" w:fill="0C479D"/>
          </w:tcPr>
          <w:p>
            <w:pPr>
              <w:jc w:val="right"/>
              <w:ind w:right="339"/>
              <w:spacing w:after="0" w:line="137" w:lineRule="exact"/>
              <w:rPr>
                <w:sz w:val="20"/>
                <w:szCs w:val="20"/>
                <w:color w:val="auto"/>
              </w:rPr>
            </w:pPr>
            <w:r>
              <w:rPr>
                <w:rFonts w:ascii="Times New Roman" w:cs="Times New Roman" w:eastAsia="Times New Roman" w:hAnsi="Times New Roman"/>
                <w:sz w:val="14"/>
                <w:szCs w:val="14"/>
                <w:b w:val="1"/>
                <w:bCs w:val="1"/>
                <w:color w:val="FFFFFF"/>
              </w:rPr>
              <w:t>Europe</w:t>
            </w:r>
          </w:p>
        </w:tc>
        <w:tc>
          <w:tcPr>
            <w:tcW w:w="1020" w:type="dxa"/>
            <w:vAlign w:val="bottom"/>
            <w:vMerge w:val="restart"/>
            <w:shd w:val="clear" w:color="auto" w:fill="0C479D"/>
          </w:tcPr>
          <w:p>
            <w:pPr>
              <w:jc w:val="right"/>
              <w:ind w:right="359"/>
              <w:spacing w:after="0" w:line="137" w:lineRule="exact"/>
              <w:rPr>
                <w:sz w:val="20"/>
                <w:szCs w:val="20"/>
                <w:color w:val="auto"/>
              </w:rPr>
            </w:pPr>
            <w:r>
              <w:rPr>
                <w:rFonts w:ascii="Times New Roman" w:cs="Times New Roman" w:eastAsia="Times New Roman" w:hAnsi="Times New Roman"/>
                <w:sz w:val="14"/>
                <w:szCs w:val="14"/>
                <w:b w:val="1"/>
                <w:bCs w:val="1"/>
                <w:color w:val="FFFFFF"/>
              </w:rPr>
              <w:t>Africa</w:t>
            </w:r>
          </w:p>
        </w:tc>
        <w:tc>
          <w:tcPr>
            <w:tcW w:w="940" w:type="dxa"/>
            <w:vAlign w:val="bottom"/>
            <w:vMerge w:val="restart"/>
            <w:shd w:val="clear" w:color="auto" w:fill="0C479D"/>
          </w:tcPr>
          <w:p>
            <w:pPr>
              <w:jc w:val="right"/>
              <w:ind w:right="339"/>
              <w:spacing w:after="0" w:line="137" w:lineRule="exact"/>
              <w:rPr>
                <w:sz w:val="20"/>
                <w:szCs w:val="20"/>
                <w:color w:val="auto"/>
              </w:rPr>
            </w:pPr>
            <w:r>
              <w:rPr>
                <w:rFonts w:ascii="Times New Roman" w:cs="Times New Roman" w:eastAsia="Times New Roman" w:hAnsi="Times New Roman"/>
                <w:sz w:val="14"/>
                <w:szCs w:val="14"/>
                <w:b w:val="1"/>
                <w:bCs w:val="1"/>
                <w:color w:val="FFFFFF"/>
              </w:rPr>
              <w:t>Asia</w:t>
            </w:r>
          </w:p>
        </w:tc>
        <w:tc>
          <w:tcPr>
            <w:tcW w:w="1020" w:type="dxa"/>
            <w:vAlign w:val="bottom"/>
            <w:vMerge w:val="continue"/>
            <w:shd w:val="clear" w:color="auto" w:fill="0C479D"/>
          </w:tcPr>
          <w:p>
            <w:pPr>
              <w:spacing w:after="0"/>
              <w:rPr>
                <w:sz w:val="7"/>
                <w:szCs w:val="7"/>
                <w:color w:val="auto"/>
              </w:rPr>
            </w:pPr>
          </w:p>
        </w:tc>
        <w:tc>
          <w:tcPr>
            <w:tcW w:w="940" w:type="dxa"/>
            <w:vAlign w:val="bottom"/>
            <w:vMerge w:val="restart"/>
            <w:shd w:val="clear" w:color="auto" w:fill="0C479D"/>
          </w:tcPr>
          <w:p>
            <w:pPr>
              <w:jc w:val="right"/>
              <w:ind w:right="239"/>
              <w:spacing w:after="0" w:line="137" w:lineRule="exact"/>
              <w:rPr>
                <w:sz w:val="20"/>
                <w:szCs w:val="20"/>
                <w:color w:val="auto"/>
              </w:rPr>
            </w:pPr>
            <w:r>
              <w:rPr>
                <w:rFonts w:ascii="Times New Roman" w:cs="Times New Roman" w:eastAsia="Times New Roman" w:hAnsi="Times New Roman"/>
                <w:sz w:val="14"/>
                <w:szCs w:val="14"/>
                <w:b w:val="1"/>
                <w:bCs w:val="1"/>
                <w:color w:val="FFFFFF"/>
              </w:rPr>
              <w:t>Total</w:t>
            </w:r>
          </w:p>
        </w:tc>
        <w:tc>
          <w:tcPr>
            <w:tcW w:w="0" w:type="dxa"/>
            <w:vAlign w:val="bottom"/>
          </w:tcPr>
          <w:p>
            <w:pPr>
              <w:spacing w:after="0"/>
              <w:rPr>
                <w:sz w:val="1"/>
                <w:szCs w:val="1"/>
                <w:color w:val="auto"/>
              </w:rPr>
            </w:pPr>
          </w:p>
        </w:tc>
      </w:tr>
      <w:tr>
        <w:trPr>
          <w:trHeight w:val="56"/>
        </w:trPr>
        <w:tc>
          <w:tcPr>
            <w:tcW w:w="3980" w:type="dxa"/>
            <w:vAlign w:val="bottom"/>
            <w:vMerge w:val="restart"/>
            <w:shd w:val="clear" w:color="auto" w:fill="0C479D"/>
          </w:tcPr>
          <w:p>
            <w:pPr>
              <w:ind w:left="20"/>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1160" w:type="dxa"/>
            <w:vAlign w:val="bottom"/>
            <w:vMerge w:val="restart"/>
            <w:shd w:val="clear" w:color="auto" w:fill="0C479D"/>
          </w:tcPr>
          <w:p>
            <w:pPr>
              <w:jc w:val="right"/>
              <w:ind w:right="320"/>
              <w:spacing w:after="0"/>
              <w:rPr>
                <w:sz w:val="20"/>
                <w:szCs w:val="20"/>
                <w:color w:val="auto"/>
              </w:rPr>
            </w:pPr>
            <w:r>
              <w:rPr>
                <w:rFonts w:ascii="Times New Roman" w:cs="Times New Roman" w:eastAsia="Times New Roman" w:hAnsi="Times New Roman"/>
                <w:sz w:val="14"/>
                <w:szCs w:val="14"/>
                <w:b w:val="1"/>
                <w:bCs w:val="1"/>
                <w:color w:val="FFFFFF"/>
              </w:rPr>
              <w:t>States</w:t>
            </w:r>
          </w:p>
        </w:tc>
        <w:tc>
          <w:tcPr>
            <w:tcW w:w="1040" w:type="dxa"/>
            <w:vAlign w:val="bottom"/>
            <w:vMerge w:val="continue"/>
            <w:shd w:val="clear" w:color="auto" w:fill="0C479D"/>
          </w:tcPr>
          <w:p>
            <w:pPr>
              <w:spacing w:after="0"/>
              <w:rPr>
                <w:sz w:val="4"/>
                <w:szCs w:val="4"/>
                <w:color w:val="auto"/>
              </w:rPr>
            </w:pPr>
          </w:p>
        </w:tc>
        <w:tc>
          <w:tcPr>
            <w:tcW w:w="1060" w:type="dxa"/>
            <w:vAlign w:val="bottom"/>
            <w:vMerge w:val="continue"/>
            <w:shd w:val="clear" w:color="auto" w:fill="0C479D"/>
          </w:tcPr>
          <w:p>
            <w:pPr>
              <w:spacing w:after="0"/>
              <w:rPr>
                <w:sz w:val="4"/>
                <w:szCs w:val="4"/>
                <w:color w:val="auto"/>
              </w:rPr>
            </w:pPr>
          </w:p>
        </w:tc>
        <w:tc>
          <w:tcPr>
            <w:tcW w:w="1020" w:type="dxa"/>
            <w:vAlign w:val="bottom"/>
            <w:vMerge w:val="continue"/>
            <w:shd w:val="clear" w:color="auto" w:fill="0C479D"/>
          </w:tcPr>
          <w:p>
            <w:pPr>
              <w:spacing w:after="0"/>
              <w:rPr>
                <w:sz w:val="4"/>
                <w:szCs w:val="4"/>
                <w:color w:val="auto"/>
              </w:rPr>
            </w:pPr>
          </w:p>
        </w:tc>
        <w:tc>
          <w:tcPr>
            <w:tcW w:w="940" w:type="dxa"/>
            <w:vAlign w:val="bottom"/>
            <w:vMerge w:val="continue"/>
            <w:shd w:val="clear" w:color="auto" w:fill="0C479D"/>
          </w:tcPr>
          <w:p>
            <w:pPr>
              <w:spacing w:after="0"/>
              <w:rPr>
                <w:sz w:val="4"/>
                <w:szCs w:val="4"/>
                <w:color w:val="auto"/>
              </w:rPr>
            </w:pPr>
          </w:p>
        </w:tc>
        <w:tc>
          <w:tcPr>
            <w:tcW w:w="1020" w:type="dxa"/>
            <w:vAlign w:val="bottom"/>
            <w:vMerge w:val="restart"/>
            <w:shd w:val="clear" w:color="auto" w:fill="0C479D"/>
          </w:tcPr>
          <w:p>
            <w:pPr>
              <w:jc w:val="right"/>
              <w:ind w:right="220"/>
              <w:spacing w:after="0"/>
              <w:rPr>
                <w:sz w:val="20"/>
                <w:szCs w:val="20"/>
                <w:color w:val="auto"/>
              </w:rPr>
            </w:pPr>
            <w:r>
              <w:rPr>
                <w:rFonts w:ascii="Times New Roman" w:cs="Times New Roman" w:eastAsia="Times New Roman" w:hAnsi="Times New Roman"/>
                <w:sz w:val="14"/>
                <w:szCs w:val="14"/>
                <w:b w:val="1"/>
                <w:bCs w:val="1"/>
                <w:color w:val="FFFFFF"/>
              </w:rPr>
              <w:t>Oceania</w:t>
            </w:r>
          </w:p>
        </w:tc>
        <w:tc>
          <w:tcPr>
            <w:tcW w:w="940" w:type="dxa"/>
            <w:vAlign w:val="bottom"/>
            <w:vMerge w:val="continue"/>
            <w:shd w:val="clear" w:color="auto" w:fill="0C479D"/>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3980" w:type="dxa"/>
            <w:vAlign w:val="bottom"/>
            <w:vMerge w:val="continue"/>
            <w:shd w:val="clear" w:color="auto" w:fill="0C479D"/>
          </w:tcPr>
          <w:p>
            <w:pPr>
              <w:spacing w:after="0"/>
              <w:rPr>
                <w:sz w:val="11"/>
                <w:szCs w:val="11"/>
                <w:color w:val="auto"/>
              </w:rPr>
            </w:pPr>
          </w:p>
        </w:tc>
        <w:tc>
          <w:tcPr>
            <w:tcW w:w="1160" w:type="dxa"/>
            <w:vAlign w:val="bottom"/>
            <w:vMerge w:val="continue"/>
            <w:shd w:val="clear" w:color="auto" w:fill="0C479D"/>
          </w:tcPr>
          <w:p>
            <w:pPr>
              <w:spacing w:after="0"/>
              <w:rPr>
                <w:sz w:val="11"/>
                <w:szCs w:val="11"/>
                <w:color w:val="auto"/>
              </w:rPr>
            </w:pPr>
          </w:p>
        </w:tc>
        <w:tc>
          <w:tcPr>
            <w:tcW w:w="1040" w:type="dxa"/>
            <w:vAlign w:val="bottom"/>
            <w:vMerge w:val="restart"/>
            <w:shd w:val="clear" w:color="auto" w:fill="0C479D"/>
          </w:tcPr>
          <w:p>
            <w:pPr>
              <w:jc w:val="center"/>
              <w:ind w:right="60"/>
              <w:spacing w:after="0"/>
              <w:rPr>
                <w:sz w:val="20"/>
                <w:szCs w:val="20"/>
                <w:color w:val="auto"/>
              </w:rPr>
            </w:pPr>
            <w:r>
              <w:rPr>
                <w:rFonts w:ascii="Times New Roman" w:cs="Times New Roman" w:eastAsia="Times New Roman" w:hAnsi="Times New Roman"/>
                <w:sz w:val="14"/>
                <w:szCs w:val="14"/>
                <w:b w:val="1"/>
                <w:bCs w:val="1"/>
                <w:color w:val="FFFFFF"/>
              </w:rPr>
              <w:t>Americas</w:t>
            </w:r>
          </w:p>
        </w:tc>
        <w:tc>
          <w:tcPr>
            <w:tcW w:w="1060" w:type="dxa"/>
            <w:vAlign w:val="bottom"/>
            <w:shd w:val="clear" w:color="auto" w:fill="0C479D"/>
          </w:tcPr>
          <w:p>
            <w:pPr>
              <w:spacing w:after="0"/>
              <w:rPr>
                <w:sz w:val="11"/>
                <w:szCs w:val="11"/>
                <w:color w:val="auto"/>
              </w:rPr>
            </w:pPr>
          </w:p>
        </w:tc>
        <w:tc>
          <w:tcPr>
            <w:tcW w:w="1020" w:type="dxa"/>
            <w:vAlign w:val="bottom"/>
            <w:shd w:val="clear" w:color="auto" w:fill="0C479D"/>
          </w:tcPr>
          <w:p>
            <w:pPr>
              <w:spacing w:after="0"/>
              <w:rPr>
                <w:sz w:val="11"/>
                <w:szCs w:val="11"/>
                <w:color w:val="auto"/>
              </w:rPr>
            </w:pPr>
          </w:p>
        </w:tc>
        <w:tc>
          <w:tcPr>
            <w:tcW w:w="940" w:type="dxa"/>
            <w:vAlign w:val="bottom"/>
            <w:shd w:val="clear" w:color="auto" w:fill="0C479D"/>
          </w:tcPr>
          <w:p>
            <w:pPr>
              <w:spacing w:after="0"/>
              <w:rPr>
                <w:sz w:val="11"/>
                <w:szCs w:val="11"/>
                <w:color w:val="auto"/>
              </w:rPr>
            </w:pPr>
          </w:p>
        </w:tc>
        <w:tc>
          <w:tcPr>
            <w:tcW w:w="1020" w:type="dxa"/>
            <w:vAlign w:val="bottom"/>
            <w:vMerge w:val="continue"/>
            <w:shd w:val="clear" w:color="auto" w:fill="0C479D"/>
          </w:tcPr>
          <w:p>
            <w:pPr>
              <w:spacing w:after="0"/>
              <w:rPr>
                <w:sz w:val="11"/>
                <w:szCs w:val="11"/>
                <w:color w:val="auto"/>
              </w:rPr>
            </w:pPr>
          </w:p>
        </w:tc>
        <w:tc>
          <w:tcPr>
            <w:tcW w:w="940" w:type="dxa"/>
            <w:vAlign w:val="bottom"/>
            <w:shd w:val="clear" w:color="auto" w:fill="0C479D"/>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3980" w:type="dxa"/>
            <w:vAlign w:val="bottom"/>
            <w:tcBorders>
              <w:bottom w:val="single" w:sz="8" w:color="0C479D"/>
            </w:tcBorders>
            <w:shd w:val="clear" w:color="auto" w:fill="0C479D"/>
          </w:tcPr>
          <w:p>
            <w:pPr>
              <w:spacing w:after="0"/>
              <w:rPr>
                <w:sz w:val="5"/>
                <w:szCs w:val="5"/>
                <w:color w:val="auto"/>
              </w:rPr>
            </w:pPr>
          </w:p>
        </w:tc>
        <w:tc>
          <w:tcPr>
            <w:tcW w:w="1160" w:type="dxa"/>
            <w:vAlign w:val="bottom"/>
            <w:tcBorders>
              <w:bottom w:val="single" w:sz="8" w:color="0C479D"/>
            </w:tcBorders>
            <w:shd w:val="clear" w:color="auto" w:fill="0C479D"/>
          </w:tcPr>
          <w:p>
            <w:pPr>
              <w:spacing w:after="0"/>
              <w:rPr>
                <w:sz w:val="5"/>
                <w:szCs w:val="5"/>
                <w:color w:val="auto"/>
              </w:rPr>
            </w:pPr>
          </w:p>
        </w:tc>
        <w:tc>
          <w:tcPr>
            <w:tcW w:w="1040" w:type="dxa"/>
            <w:vAlign w:val="bottom"/>
            <w:tcBorders>
              <w:bottom w:val="single" w:sz="8" w:color="0C479D"/>
            </w:tcBorders>
            <w:vMerge w:val="continue"/>
            <w:shd w:val="clear" w:color="auto" w:fill="0C479D"/>
          </w:tcPr>
          <w:p>
            <w:pPr>
              <w:spacing w:after="0"/>
              <w:rPr>
                <w:sz w:val="5"/>
                <w:szCs w:val="5"/>
                <w:color w:val="auto"/>
              </w:rPr>
            </w:pPr>
          </w:p>
        </w:tc>
        <w:tc>
          <w:tcPr>
            <w:tcW w:w="1060" w:type="dxa"/>
            <w:vAlign w:val="bottom"/>
            <w:tcBorders>
              <w:bottom w:val="single" w:sz="8" w:color="0C479D"/>
            </w:tcBorders>
            <w:shd w:val="clear" w:color="auto" w:fill="0C479D"/>
          </w:tcPr>
          <w:p>
            <w:pPr>
              <w:spacing w:after="0"/>
              <w:rPr>
                <w:sz w:val="5"/>
                <w:szCs w:val="5"/>
                <w:color w:val="auto"/>
              </w:rPr>
            </w:pPr>
          </w:p>
        </w:tc>
        <w:tc>
          <w:tcPr>
            <w:tcW w:w="1020" w:type="dxa"/>
            <w:vAlign w:val="bottom"/>
            <w:tcBorders>
              <w:bottom w:val="single" w:sz="8" w:color="0C479D"/>
            </w:tcBorders>
            <w:shd w:val="clear" w:color="auto" w:fill="0C479D"/>
          </w:tcPr>
          <w:p>
            <w:pPr>
              <w:spacing w:after="0"/>
              <w:rPr>
                <w:sz w:val="5"/>
                <w:szCs w:val="5"/>
                <w:color w:val="auto"/>
              </w:rPr>
            </w:pPr>
          </w:p>
        </w:tc>
        <w:tc>
          <w:tcPr>
            <w:tcW w:w="940" w:type="dxa"/>
            <w:vAlign w:val="bottom"/>
            <w:tcBorders>
              <w:bottom w:val="single" w:sz="8" w:color="0C479D"/>
            </w:tcBorders>
            <w:shd w:val="clear" w:color="auto" w:fill="0C479D"/>
          </w:tcPr>
          <w:p>
            <w:pPr>
              <w:spacing w:after="0"/>
              <w:rPr>
                <w:sz w:val="5"/>
                <w:szCs w:val="5"/>
                <w:color w:val="auto"/>
              </w:rPr>
            </w:pPr>
          </w:p>
        </w:tc>
        <w:tc>
          <w:tcPr>
            <w:tcW w:w="1020" w:type="dxa"/>
            <w:vAlign w:val="bottom"/>
            <w:tcBorders>
              <w:bottom w:val="single" w:sz="8" w:color="0C479D"/>
            </w:tcBorders>
            <w:shd w:val="clear" w:color="auto" w:fill="0C479D"/>
          </w:tcPr>
          <w:p>
            <w:pPr>
              <w:spacing w:after="0"/>
              <w:rPr>
                <w:sz w:val="5"/>
                <w:szCs w:val="5"/>
                <w:color w:val="auto"/>
              </w:rPr>
            </w:pPr>
          </w:p>
        </w:tc>
        <w:tc>
          <w:tcPr>
            <w:tcW w:w="940" w:type="dxa"/>
            <w:vAlign w:val="bottom"/>
            <w:tcBorders>
              <w:bottom w:val="single" w:sz="8" w:color="0C479D"/>
            </w:tcBorders>
            <w:shd w:val="clear" w:color="auto" w:fill="0C479D"/>
          </w:tcPr>
          <w:p>
            <w:pPr>
              <w:spacing w:after="0"/>
              <w:rPr>
                <w:sz w:val="5"/>
                <w:szCs w:val="5"/>
                <w:color w:val="auto"/>
              </w:rPr>
            </w:pPr>
          </w:p>
        </w:tc>
        <w:tc>
          <w:tcPr>
            <w:tcW w:w="0" w:type="dxa"/>
            <w:vAlign w:val="bottom"/>
          </w:tcPr>
          <w:p>
            <w:pPr>
              <w:spacing w:after="0"/>
              <w:rPr>
                <w:sz w:val="1"/>
                <w:szCs w:val="1"/>
                <w:color w:val="auto"/>
              </w:rPr>
            </w:pPr>
          </w:p>
        </w:tc>
      </w:tr>
      <w:tr>
        <w:trPr>
          <w:trHeight w:val="426"/>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0C479D"/>
              </w:rPr>
              <w:t>2024</w:t>
            </w: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shd w:val="clear" w:color="auto" w:fill="F0F0F0"/>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0C479D"/>
              </w:rPr>
              <w:t>Consolidated Subsidiaries</w:t>
            </w:r>
          </w:p>
        </w:tc>
        <w:tc>
          <w:tcPr>
            <w:tcW w:w="1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shd w:val="clear" w:color="auto" w:fill="F0F0F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Sales to third parties</w:t>
            </w: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13,036</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5,774</w:t>
            </w:r>
          </w:p>
        </w:tc>
        <w:tc>
          <w:tcPr>
            <w:tcW w:w="10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986</w:t>
            </w:r>
          </w:p>
        </w:tc>
        <w:tc>
          <w:tcPr>
            <w:tcW w:w="10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425</w:t>
            </w: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2,473</w:t>
            </w: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3,790</w:t>
            </w:r>
          </w:p>
        </w:tc>
        <w:tc>
          <w:tcPr>
            <w:tcW w:w="9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26,484</w:t>
            </w:r>
          </w:p>
        </w:tc>
        <w:tc>
          <w:tcPr>
            <w:tcW w:w="0" w:type="dxa"/>
            <w:vAlign w:val="bottom"/>
          </w:tcPr>
          <w:p>
            <w:pPr>
              <w:spacing w:after="0"/>
              <w:rPr>
                <w:sz w:val="1"/>
                <w:szCs w:val="1"/>
                <w:color w:val="auto"/>
              </w:rPr>
            </w:pPr>
          </w:p>
        </w:tc>
      </w:tr>
      <w:tr>
        <w:trPr>
          <w:trHeight w:val="219"/>
        </w:trPr>
        <w:tc>
          <w:tcPr>
            <w:tcW w:w="3980" w:type="dxa"/>
            <w:vAlign w:val="bottom"/>
            <w:tcBorders>
              <w:bottom w:val="single" w:sz="8" w:color="0C479D"/>
            </w:tcBorders>
          </w:tcPr>
          <w:p>
            <w:pPr>
              <w:ind w:left="140"/>
              <w:spacing w:after="0"/>
              <w:rPr>
                <w:sz w:val="20"/>
                <w:szCs w:val="20"/>
                <w:color w:val="auto"/>
              </w:rPr>
            </w:pPr>
            <w:r>
              <w:rPr>
                <w:rFonts w:ascii="Times New Roman" w:cs="Times New Roman" w:eastAsia="Times New Roman" w:hAnsi="Times New Roman"/>
                <w:sz w:val="16"/>
                <w:szCs w:val="16"/>
                <w:color w:val="auto"/>
              </w:rPr>
              <w:t>Transfers</w:t>
            </w:r>
          </w:p>
        </w:tc>
        <w:tc>
          <w:tcPr>
            <w:tcW w:w="1160" w:type="dxa"/>
            <w:vAlign w:val="bottom"/>
            <w:tcBorders>
              <w:bottom w:val="single" w:sz="8" w:color="0C479D"/>
            </w:tcBorders>
          </w:tcPr>
          <w:p>
            <w:pPr>
              <w:jc w:val="right"/>
              <w:ind w:right="100"/>
              <w:spacing w:after="0"/>
              <w:rPr>
                <w:sz w:val="20"/>
                <w:szCs w:val="20"/>
                <w:color w:val="auto"/>
              </w:rPr>
            </w:pPr>
            <w:r>
              <w:rPr>
                <w:rFonts w:ascii="Times New Roman" w:cs="Times New Roman" w:eastAsia="Times New Roman" w:hAnsi="Times New Roman"/>
                <w:sz w:val="16"/>
                <w:szCs w:val="16"/>
                <w:color w:val="auto"/>
              </w:rPr>
              <w:t>13,745</w:t>
            </w:r>
          </w:p>
        </w:tc>
        <w:tc>
          <w:tcPr>
            <w:tcW w:w="1040" w:type="dxa"/>
            <w:vAlign w:val="bottom"/>
            <w:tcBorders>
              <w:bottom w:val="single" w:sz="8" w:color="0C479D"/>
            </w:tcBorders>
          </w:tcPr>
          <w:p>
            <w:pPr>
              <w:jc w:val="right"/>
              <w:ind w:right="120"/>
              <w:spacing w:after="0"/>
              <w:rPr>
                <w:sz w:val="20"/>
                <w:szCs w:val="20"/>
                <w:color w:val="auto"/>
              </w:rPr>
            </w:pPr>
            <w:r>
              <w:rPr>
                <w:rFonts w:ascii="Times New Roman" w:cs="Times New Roman" w:eastAsia="Times New Roman" w:hAnsi="Times New Roman"/>
                <w:sz w:val="16"/>
                <w:szCs w:val="16"/>
                <w:color w:val="auto"/>
              </w:rPr>
              <w:t>13,140</w:t>
            </w:r>
          </w:p>
        </w:tc>
        <w:tc>
          <w:tcPr>
            <w:tcW w:w="106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color w:val="auto"/>
              </w:rPr>
              <w:t>43</w:t>
            </w:r>
          </w:p>
        </w:tc>
        <w:tc>
          <w:tcPr>
            <w:tcW w:w="102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color w:val="auto"/>
              </w:rPr>
              <w:t>5,764</w:t>
            </w:r>
          </w:p>
        </w:tc>
        <w:tc>
          <w:tcPr>
            <w:tcW w:w="940" w:type="dxa"/>
            <w:vAlign w:val="bottom"/>
            <w:tcBorders>
              <w:bottom w:val="single" w:sz="8" w:color="0C479D"/>
            </w:tcBorders>
          </w:tcPr>
          <w:p>
            <w:pPr>
              <w:jc w:val="right"/>
              <w:ind w:right="79"/>
              <w:spacing w:after="0"/>
              <w:rPr>
                <w:sz w:val="20"/>
                <w:szCs w:val="20"/>
                <w:color w:val="auto"/>
              </w:rPr>
            </w:pPr>
            <w:r>
              <w:rPr>
                <w:rFonts w:ascii="Times New Roman" w:cs="Times New Roman" w:eastAsia="Times New Roman" w:hAnsi="Times New Roman"/>
                <w:sz w:val="16"/>
                <w:szCs w:val="16"/>
                <w:color w:val="auto"/>
              </w:rPr>
              <w:t>10,825</w:t>
            </w:r>
          </w:p>
        </w:tc>
        <w:tc>
          <w:tcPr>
            <w:tcW w:w="1020" w:type="dxa"/>
            <w:vAlign w:val="bottom"/>
            <w:tcBorders>
              <w:bottom w:val="single" w:sz="8" w:color="0C479D"/>
            </w:tcBorders>
          </w:tcPr>
          <w:p>
            <w:pPr>
              <w:jc w:val="right"/>
              <w:ind w:right="80"/>
              <w:spacing w:after="0"/>
              <w:rPr>
                <w:sz w:val="20"/>
                <w:szCs w:val="20"/>
                <w:color w:val="auto"/>
              </w:rPr>
            </w:pPr>
            <w:r>
              <w:rPr>
                <w:rFonts w:ascii="Times New Roman" w:cs="Times New Roman" w:eastAsia="Times New Roman" w:hAnsi="Times New Roman"/>
                <w:sz w:val="16"/>
                <w:szCs w:val="16"/>
                <w:color w:val="auto"/>
              </w:rPr>
              <w:t>817</w:t>
            </w:r>
          </w:p>
        </w:tc>
        <w:tc>
          <w:tcPr>
            <w:tcW w:w="94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44,334</w:t>
            </w:r>
          </w:p>
        </w:tc>
        <w:tc>
          <w:tcPr>
            <w:tcW w:w="0" w:type="dxa"/>
            <w:vAlign w:val="bottom"/>
          </w:tcPr>
          <w:p>
            <w:pPr>
              <w:spacing w:after="0"/>
              <w:rPr>
                <w:sz w:val="1"/>
                <w:szCs w:val="1"/>
                <w:color w:val="auto"/>
              </w:rPr>
            </w:pPr>
          </w:p>
        </w:tc>
      </w:tr>
      <w:tr>
        <w:trPr>
          <w:trHeight w:val="210"/>
        </w:trPr>
        <w:tc>
          <w:tcPr>
            <w:tcW w:w="398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160" w:type="dxa"/>
            <w:vAlign w:val="bottom"/>
            <w:tcBorders>
              <w:bottom w:val="single" w:sz="8" w:color="0C479D"/>
            </w:tcBorders>
          </w:tcPr>
          <w:p>
            <w:pPr>
              <w:jc w:val="right"/>
              <w:ind w:right="100"/>
              <w:spacing w:after="0"/>
              <w:rPr>
                <w:sz w:val="20"/>
                <w:szCs w:val="20"/>
                <w:color w:val="auto"/>
              </w:rPr>
            </w:pPr>
            <w:r>
              <w:rPr>
                <w:rFonts w:ascii="Times New Roman" w:cs="Times New Roman" w:eastAsia="Times New Roman" w:hAnsi="Times New Roman"/>
                <w:sz w:val="16"/>
                <w:szCs w:val="16"/>
                <w:color w:val="auto"/>
              </w:rPr>
              <w:t>26,781</w:t>
            </w:r>
          </w:p>
        </w:tc>
        <w:tc>
          <w:tcPr>
            <w:tcW w:w="1040" w:type="dxa"/>
            <w:vAlign w:val="bottom"/>
            <w:tcBorders>
              <w:bottom w:val="single" w:sz="8" w:color="0C479D"/>
            </w:tcBorders>
          </w:tcPr>
          <w:p>
            <w:pPr>
              <w:jc w:val="right"/>
              <w:ind w:right="120"/>
              <w:spacing w:after="0"/>
              <w:rPr>
                <w:sz w:val="20"/>
                <w:szCs w:val="20"/>
                <w:color w:val="auto"/>
              </w:rPr>
            </w:pPr>
            <w:r>
              <w:rPr>
                <w:rFonts w:ascii="Times New Roman" w:cs="Times New Roman" w:eastAsia="Times New Roman" w:hAnsi="Times New Roman"/>
                <w:sz w:val="16"/>
                <w:szCs w:val="16"/>
                <w:color w:val="auto"/>
              </w:rPr>
              <w:t>18,914</w:t>
            </w:r>
          </w:p>
        </w:tc>
        <w:tc>
          <w:tcPr>
            <w:tcW w:w="106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color w:val="auto"/>
              </w:rPr>
              <w:t>1,029</w:t>
            </w:r>
          </w:p>
        </w:tc>
        <w:tc>
          <w:tcPr>
            <w:tcW w:w="102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color w:val="auto"/>
              </w:rPr>
              <w:t>6,189</w:t>
            </w:r>
          </w:p>
        </w:tc>
        <w:tc>
          <w:tcPr>
            <w:tcW w:w="940" w:type="dxa"/>
            <w:vAlign w:val="bottom"/>
            <w:tcBorders>
              <w:bottom w:val="single" w:sz="8" w:color="0C479D"/>
            </w:tcBorders>
          </w:tcPr>
          <w:p>
            <w:pPr>
              <w:jc w:val="right"/>
              <w:ind w:right="79"/>
              <w:spacing w:after="0"/>
              <w:rPr>
                <w:sz w:val="20"/>
                <w:szCs w:val="20"/>
                <w:color w:val="auto"/>
              </w:rPr>
            </w:pPr>
            <w:r>
              <w:rPr>
                <w:rFonts w:ascii="Times New Roman" w:cs="Times New Roman" w:eastAsia="Times New Roman" w:hAnsi="Times New Roman"/>
                <w:sz w:val="16"/>
                <w:szCs w:val="16"/>
                <w:color w:val="auto"/>
              </w:rPr>
              <w:t>13,298</w:t>
            </w:r>
          </w:p>
        </w:tc>
        <w:tc>
          <w:tcPr>
            <w:tcW w:w="1020" w:type="dxa"/>
            <w:vAlign w:val="bottom"/>
            <w:tcBorders>
              <w:bottom w:val="single" w:sz="8" w:color="0C479D"/>
            </w:tcBorders>
          </w:tcPr>
          <w:p>
            <w:pPr>
              <w:jc w:val="right"/>
              <w:ind w:right="80"/>
              <w:spacing w:after="0"/>
              <w:rPr>
                <w:sz w:val="20"/>
                <w:szCs w:val="20"/>
                <w:color w:val="auto"/>
              </w:rPr>
            </w:pPr>
            <w:r>
              <w:rPr>
                <w:rFonts w:ascii="Times New Roman" w:cs="Times New Roman" w:eastAsia="Times New Roman" w:hAnsi="Times New Roman"/>
                <w:sz w:val="16"/>
                <w:szCs w:val="16"/>
                <w:color w:val="auto"/>
              </w:rPr>
              <w:t>4,607</w:t>
            </w:r>
          </w:p>
        </w:tc>
        <w:tc>
          <w:tcPr>
            <w:tcW w:w="94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70,818</w:t>
            </w:r>
          </w:p>
        </w:tc>
        <w:tc>
          <w:tcPr>
            <w:tcW w:w="0" w:type="dxa"/>
            <w:vAlign w:val="bottom"/>
          </w:tcPr>
          <w:p>
            <w:pPr>
              <w:spacing w:after="0"/>
              <w:rPr>
                <w:sz w:val="1"/>
                <w:szCs w:val="1"/>
                <w:color w:val="auto"/>
              </w:rPr>
            </w:pPr>
          </w:p>
        </w:tc>
      </w:tr>
      <w:tr>
        <w:trPr>
          <w:trHeight w:val="287"/>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Production costs excluding taxes</w:t>
            </w: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6,869</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4,745</w:t>
            </w:r>
          </w:p>
        </w:tc>
        <w:tc>
          <w:tcPr>
            <w:tcW w:w="10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406</w:t>
            </w:r>
          </w:p>
        </w:tc>
        <w:tc>
          <w:tcPr>
            <w:tcW w:w="10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1,723</w:t>
            </w: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1,163</w:t>
            </w: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610</w:t>
            </w:r>
          </w:p>
        </w:tc>
        <w:tc>
          <w:tcPr>
            <w:tcW w:w="9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15,516</w:t>
            </w:r>
          </w:p>
        </w:tc>
        <w:tc>
          <w:tcPr>
            <w:tcW w:w="0" w:type="dxa"/>
            <w:vAlign w:val="bottom"/>
          </w:tcPr>
          <w:p>
            <w:pPr>
              <w:spacing w:after="0"/>
              <w:rPr>
                <w:sz w:val="1"/>
                <w:szCs w:val="1"/>
                <w:color w:val="auto"/>
              </w:rPr>
            </w:pPr>
          </w:p>
        </w:tc>
      </w:tr>
      <w:tr>
        <w:trPr>
          <w:trHeight w:val="216"/>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Exploration expenses</w:t>
            </w: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43</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485</w:t>
            </w:r>
          </w:p>
        </w:tc>
        <w:tc>
          <w:tcPr>
            <w:tcW w:w="10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46</w:t>
            </w:r>
          </w:p>
        </w:tc>
        <w:tc>
          <w:tcPr>
            <w:tcW w:w="10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213</w:t>
            </w: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31</w:t>
            </w: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8</w:t>
            </w:r>
          </w:p>
        </w:tc>
        <w:tc>
          <w:tcPr>
            <w:tcW w:w="9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826</w:t>
            </w:r>
          </w:p>
        </w:tc>
        <w:tc>
          <w:tcPr>
            <w:tcW w:w="0" w:type="dxa"/>
            <w:vAlign w:val="bottom"/>
          </w:tcPr>
          <w:p>
            <w:pPr>
              <w:spacing w:after="0"/>
              <w:rPr>
                <w:sz w:val="1"/>
                <w:szCs w:val="1"/>
                <w:color w:val="auto"/>
              </w:rPr>
            </w:pPr>
          </w:p>
        </w:tc>
      </w:tr>
      <w:tr>
        <w:trPr>
          <w:trHeight w:val="216"/>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depletion</w:t>
            </w: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11,114</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3,343</w:t>
            </w:r>
          </w:p>
        </w:tc>
        <w:tc>
          <w:tcPr>
            <w:tcW w:w="10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94</w:t>
            </w:r>
          </w:p>
        </w:tc>
        <w:tc>
          <w:tcPr>
            <w:tcW w:w="10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1,436</w:t>
            </w: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1,390</w:t>
            </w: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852</w:t>
            </w:r>
          </w:p>
        </w:tc>
        <w:tc>
          <w:tcPr>
            <w:tcW w:w="9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18,229</w:t>
            </w:r>
          </w:p>
        </w:tc>
        <w:tc>
          <w:tcPr>
            <w:tcW w:w="0" w:type="dxa"/>
            <w:vAlign w:val="bottom"/>
          </w:tcPr>
          <w:p>
            <w:pPr>
              <w:spacing w:after="0"/>
              <w:rPr>
                <w:sz w:val="1"/>
                <w:szCs w:val="1"/>
                <w:color w:val="auto"/>
              </w:rPr>
            </w:pPr>
          </w:p>
        </w:tc>
      </w:tr>
      <w:tr>
        <w:trPr>
          <w:trHeight w:val="216"/>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 other than income</w:t>
            </w: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2,163</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115</w:t>
            </w:r>
          </w:p>
        </w:tc>
        <w:tc>
          <w:tcPr>
            <w:tcW w:w="10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31</w:t>
            </w:r>
          </w:p>
        </w:tc>
        <w:tc>
          <w:tcPr>
            <w:tcW w:w="10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479</w:t>
            </w: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1,987</w:t>
            </w: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370</w:t>
            </w:r>
          </w:p>
        </w:tc>
        <w:tc>
          <w:tcPr>
            <w:tcW w:w="9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5,145</w:t>
            </w:r>
          </w:p>
        </w:tc>
        <w:tc>
          <w:tcPr>
            <w:tcW w:w="0" w:type="dxa"/>
            <w:vAlign w:val="bottom"/>
          </w:tcPr>
          <w:p>
            <w:pPr>
              <w:spacing w:after="0"/>
              <w:rPr>
                <w:sz w:val="1"/>
                <w:szCs w:val="1"/>
                <w:color w:val="auto"/>
              </w:rPr>
            </w:pPr>
          </w:p>
        </w:tc>
      </w:tr>
      <w:tr>
        <w:trPr>
          <w:trHeight w:val="219"/>
        </w:trPr>
        <w:tc>
          <w:tcPr>
            <w:tcW w:w="398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color w:val="auto"/>
              </w:rPr>
              <w:t>Related income tax</w:t>
            </w:r>
          </w:p>
        </w:tc>
        <w:tc>
          <w:tcPr>
            <w:tcW w:w="1160" w:type="dxa"/>
            <w:vAlign w:val="bottom"/>
            <w:tcBorders>
              <w:bottom w:val="single" w:sz="8" w:color="0C479D"/>
            </w:tcBorders>
          </w:tcPr>
          <w:p>
            <w:pPr>
              <w:jc w:val="right"/>
              <w:ind w:right="100"/>
              <w:spacing w:after="0"/>
              <w:rPr>
                <w:sz w:val="20"/>
                <w:szCs w:val="20"/>
                <w:color w:val="auto"/>
              </w:rPr>
            </w:pPr>
            <w:r>
              <w:rPr>
                <w:rFonts w:ascii="Times New Roman" w:cs="Times New Roman" w:eastAsia="Times New Roman" w:hAnsi="Times New Roman"/>
                <w:sz w:val="16"/>
                <w:szCs w:val="16"/>
                <w:color w:val="auto"/>
              </w:rPr>
              <w:t>1,502</w:t>
            </w:r>
          </w:p>
        </w:tc>
        <w:tc>
          <w:tcPr>
            <w:tcW w:w="1040" w:type="dxa"/>
            <w:vAlign w:val="bottom"/>
            <w:tcBorders>
              <w:bottom w:val="single" w:sz="8" w:color="0C479D"/>
            </w:tcBorders>
          </w:tcPr>
          <w:p>
            <w:pPr>
              <w:jc w:val="right"/>
              <w:ind w:right="120"/>
              <w:spacing w:after="0"/>
              <w:rPr>
                <w:sz w:val="20"/>
                <w:szCs w:val="20"/>
                <w:color w:val="auto"/>
              </w:rPr>
            </w:pPr>
            <w:r>
              <w:rPr>
                <w:rFonts w:ascii="Times New Roman" w:cs="Times New Roman" w:eastAsia="Times New Roman" w:hAnsi="Times New Roman"/>
                <w:sz w:val="16"/>
                <w:szCs w:val="16"/>
                <w:color w:val="auto"/>
              </w:rPr>
              <w:t>2,025</w:t>
            </w:r>
          </w:p>
        </w:tc>
        <w:tc>
          <w:tcPr>
            <w:tcW w:w="106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color w:val="auto"/>
              </w:rPr>
              <w:t>202</w:t>
            </w:r>
          </w:p>
        </w:tc>
        <w:tc>
          <w:tcPr>
            <w:tcW w:w="102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color w:val="auto"/>
              </w:rPr>
              <w:t>605</w:t>
            </w:r>
          </w:p>
        </w:tc>
        <w:tc>
          <w:tcPr>
            <w:tcW w:w="940" w:type="dxa"/>
            <w:vAlign w:val="bottom"/>
            <w:tcBorders>
              <w:bottom w:val="single" w:sz="8" w:color="0C479D"/>
            </w:tcBorders>
          </w:tcPr>
          <w:p>
            <w:pPr>
              <w:jc w:val="right"/>
              <w:ind w:right="79"/>
              <w:spacing w:after="0"/>
              <w:rPr>
                <w:sz w:val="20"/>
                <w:szCs w:val="20"/>
                <w:color w:val="auto"/>
              </w:rPr>
            </w:pPr>
            <w:r>
              <w:rPr>
                <w:rFonts w:ascii="Times New Roman" w:cs="Times New Roman" w:eastAsia="Times New Roman" w:hAnsi="Times New Roman"/>
                <w:sz w:val="16"/>
                <w:szCs w:val="16"/>
                <w:color w:val="auto"/>
              </w:rPr>
              <w:t>6,562</w:t>
            </w:r>
          </w:p>
        </w:tc>
        <w:tc>
          <w:tcPr>
            <w:tcW w:w="1020" w:type="dxa"/>
            <w:vAlign w:val="bottom"/>
            <w:tcBorders>
              <w:bottom w:val="single" w:sz="8" w:color="0C479D"/>
            </w:tcBorders>
          </w:tcPr>
          <w:p>
            <w:pPr>
              <w:jc w:val="right"/>
              <w:ind w:right="80"/>
              <w:spacing w:after="0"/>
              <w:rPr>
                <w:sz w:val="20"/>
                <w:szCs w:val="20"/>
                <w:color w:val="auto"/>
              </w:rPr>
            </w:pPr>
            <w:r>
              <w:rPr>
                <w:rFonts w:ascii="Times New Roman" w:cs="Times New Roman" w:eastAsia="Times New Roman" w:hAnsi="Times New Roman"/>
                <w:sz w:val="16"/>
                <w:szCs w:val="16"/>
                <w:color w:val="auto"/>
              </w:rPr>
              <w:t>805</w:t>
            </w:r>
          </w:p>
        </w:tc>
        <w:tc>
          <w:tcPr>
            <w:tcW w:w="94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11,701</w:t>
            </w:r>
          </w:p>
        </w:tc>
        <w:tc>
          <w:tcPr>
            <w:tcW w:w="0" w:type="dxa"/>
            <w:vAlign w:val="bottom"/>
          </w:tcPr>
          <w:p>
            <w:pPr>
              <w:spacing w:after="0"/>
              <w:rPr>
                <w:sz w:val="1"/>
                <w:szCs w:val="1"/>
                <w:color w:val="auto"/>
              </w:rPr>
            </w:pPr>
          </w:p>
        </w:tc>
      </w:tr>
      <w:tr>
        <w:trPr>
          <w:trHeight w:val="158"/>
        </w:trPr>
        <w:tc>
          <w:tcPr>
            <w:tcW w:w="398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Results of producing activities for consolidated</w:t>
            </w:r>
          </w:p>
        </w:tc>
        <w:tc>
          <w:tcPr>
            <w:tcW w:w="1160" w:type="dxa"/>
            <w:vAlign w:val="bottom"/>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5,090</w:t>
            </w:r>
          </w:p>
        </w:tc>
        <w:tc>
          <w:tcPr>
            <w:tcW w:w="1040" w:type="dxa"/>
            <w:vAlign w:val="bottom"/>
            <w:vMerge w:val="restart"/>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8,201</w:t>
            </w:r>
          </w:p>
        </w:tc>
        <w:tc>
          <w:tcPr>
            <w:tcW w:w="106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250</w:t>
            </w:r>
          </w:p>
        </w:tc>
        <w:tc>
          <w:tcPr>
            <w:tcW w:w="102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1,733</w:t>
            </w:r>
          </w:p>
        </w:tc>
        <w:tc>
          <w:tcPr>
            <w:tcW w:w="9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2,165</w:t>
            </w:r>
          </w:p>
        </w:tc>
        <w:tc>
          <w:tcPr>
            <w:tcW w:w="1020" w:type="dxa"/>
            <w:vAlign w:val="bottom"/>
            <w:vMerge w:val="restart"/>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1,962</w:t>
            </w:r>
          </w:p>
        </w:tc>
        <w:tc>
          <w:tcPr>
            <w:tcW w:w="940" w:type="dxa"/>
            <w:vAlign w:val="bottom"/>
            <w:vMerge w:val="restart"/>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19,401</w:t>
            </w:r>
          </w:p>
        </w:tc>
        <w:tc>
          <w:tcPr>
            <w:tcW w:w="0" w:type="dxa"/>
            <w:vAlign w:val="bottom"/>
          </w:tcPr>
          <w:p>
            <w:pPr>
              <w:spacing w:after="0"/>
              <w:rPr>
                <w:sz w:val="1"/>
                <w:szCs w:val="1"/>
                <w:color w:val="auto"/>
              </w:rPr>
            </w:pPr>
          </w:p>
        </w:tc>
      </w:tr>
      <w:tr>
        <w:trPr>
          <w:trHeight w:val="214"/>
        </w:trPr>
        <w:tc>
          <w:tcPr>
            <w:tcW w:w="398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160" w:type="dxa"/>
            <w:vAlign w:val="bottom"/>
            <w:tcBorders>
              <w:bottom w:val="single" w:sz="8" w:color="0C479D"/>
            </w:tcBorders>
            <w:vMerge w:val="continue"/>
          </w:tcPr>
          <w:p>
            <w:pPr>
              <w:spacing w:after="0"/>
              <w:rPr>
                <w:sz w:val="18"/>
                <w:szCs w:val="18"/>
                <w:color w:val="auto"/>
              </w:rPr>
            </w:pPr>
          </w:p>
        </w:tc>
        <w:tc>
          <w:tcPr>
            <w:tcW w:w="1040" w:type="dxa"/>
            <w:vAlign w:val="bottom"/>
            <w:tcBorders>
              <w:bottom w:val="single" w:sz="8" w:color="0C479D"/>
            </w:tcBorders>
            <w:vMerge w:val="continue"/>
          </w:tcPr>
          <w:p>
            <w:pPr>
              <w:spacing w:after="0"/>
              <w:rPr>
                <w:sz w:val="18"/>
                <w:szCs w:val="18"/>
                <w:color w:val="auto"/>
              </w:rPr>
            </w:pPr>
          </w:p>
        </w:tc>
        <w:tc>
          <w:tcPr>
            <w:tcW w:w="1060" w:type="dxa"/>
            <w:vAlign w:val="bottom"/>
            <w:tcBorders>
              <w:bottom w:val="single" w:sz="8" w:color="0C479D"/>
            </w:tcBorders>
            <w:vMerge w:val="continue"/>
          </w:tcPr>
          <w:p>
            <w:pPr>
              <w:spacing w:after="0"/>
              <w:rPr>
                <w:sz w:val="18"/>
                <w:szCs w:val="18"/>
                <w:color w:val="auto"/>
              </w:rPr>
            </w:pPr>
          </w:p>
        </w:tc>
        <w:tc>
          <w:tcPr>
            <w:tcW w:w="1020" w:type="dxa"/>
            <w:vAlign w:val="bottom"/>
            <w:tcBorders>
              <w:bottom w:val="single" w:sz="8" w:color="0C479D"/>
            </w:tcBorders>
            <w:vMerge w:val="continue"/>
          </w:tcPr>
          <w:p>
            <w:pPr>
              <w:spacing w:after="0"/>
              <w:rPr>
                <w:sz w:val="18"/>
                <w:szCs w:val="18"/>
                <w:color w:val="auto"/>
              </w:rPr>
            </w:pPr>
          </w:p>
        </w:tc>
        <w:tc>
          <w:tcPr>
            <w:tcW w:w="940" w:type="dxa"/>
            <w:vAlign w:val="bottom"/>
            <w:tcBorders>
              <w:bottom w:val="single" w:sz="8" w:color="0C479D"/>
            </w:tcBorders>
            <w:vMerge w:val="continue"/>
          </w:tcPr>
          <w:p>
            <w:pPr>
              <w:spacing w:after="0"/>
              <w:rPr>
                <w:sz w:val="18"/>
                <w:szCs w:val="18"/>
                <w:color w:val="auto"/>
              </w:rPr>
            </w:pPr>
          </w:p>
        </w:tc>
        <w:tc>
          <w:tcPr>
            <w:tcW w:w="1020" w:type="dxa"/>
            <w:vAlign w:val="bottom"/>
            <w:tcBorders>
              <w:bottom w:val="single" w:sz="8" w:color="0C479D"/>
            </w:tcBorders>
            <w:vMerge w:val="continue"/>
          </w:tcPr>
          <w:p>
            <w:pPr>
              <w:spacing w:after="0"/>
              <w:rPr>
                <w:sz w:val="18"/>
                <w:szCs w:val="18"/>
                <w:color w:val="auto"/>
              </w:rPr>
            </w:pPr>
          </w:p>
        </w:tc>
        <w:tc>
          <w:tcPr>
            <w:tcW w:w="940" w:type="dxa"/>
            <w:vAlign w:val="bottom"/>
            <w:tcBorders>
              <w:bottom w:val="single" w:sz="8" w:color="0C479D"/>
            </w:tcBorders>
            <w:vMerge w:val="continue"/>
            <w:shd w:val="clear" w:color="auto" w:fill="F0F0F0"/>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0C479D"/>
              </w:rPr>
              <w:t>Equity Companies</w:t>
            </w: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shd w:val="clear" w:color="auto" w:fill="F0F0F0"/>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Sales to third parties</w:t>
            </w: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69</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361</w:t>
            </w:r>
          </w:p>
        </w:tc>
        <w:tc>
          <w:tcPr>
            <w:tcW w:w="10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191</w:t>
            </w: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13,054</w:t>
            </w: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13,675</w:t>
            </w:r>
          </w:p>
        </w:tc>
        <w:tc>
          <w:tcPr>
            <w:tcW w:w="0" w:type="dxa"/>
            <w:vAlign w:val="bottom"/>
          </w:tcPr>
          <w:p>
            <w:pPr>
              <w:spacing w:after="0"/>
              <w:rPr>
                <w:sz w:val="1"/>
                <w:szCs w:val="1"/>
                <w:color w:val="auto"/>
              </w:rPr>
            </w:pPr>
          </w:p>
        </w:tc>
      </w:tr>
      <w:tr>
        <w:trPr>
          <w:trHeight w:val="219"/>
        </w:trPr>
        <w:tc>
          <w:tcPr>
            <w:tcW w:w="3980" w:type="dxa"/>
            <w:vAlign w:val="bottom"/>
            <w:tcBorders>
              <w:bottom w:val="single" w:sz="8" w:color="0C479D"/>
            </w:tcBorders>
          </w:tcPr>
          <w:p>
            <w:pPr>
              <w:ind w:left="120"/>
              <w:spacing w:after="0"/>
              <w:rPr>
                <w:sz w:val="20"/>
                <w:szCs w:val="20"/>
                <w:color w:val="auto"/>
              </w:rPr>
            </w:pPr>
            <w:r>
              <w:rPr>
                <w:rFonts w:ascii="Times New Roman" w:cs="Times New Roman" w:eastAsia="Times New Roman" w:hAnsi="Times New Roman"/>
                <w:sz w:val="16"/>
                <w:szCs w:val="16"/>
                <w:color w:val="auto"/>
              </w:rPr>
              <w:t>Transfers</w:t>
            </w:r>
          </w:p>
        </w:tc>
        <w:tc>
          <w:tcPr>
            <w:tcW w:w="1160" w:type="dxa"/>
            <w:vAlign w:val="bottom"/>
            <w:tcBorders>
              <w:bottom w:val="single" w:sz="8" w:color="0C479D"/>
            </w:tcBorders>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0C479D"/>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color w:val="auto"/>
              </w:rPr>
              <w:t>15</w:t>
            </w:r>
          </w:p>
        </w:tc>
        <w:tc>
          <w:tcPr>
            <w:tcW w:w="102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0C479D"/>
            </w:tcBorders>
          </w:tcPr>
          <w:p>
            <w:pPr>
              <w:jc w:val="right"/>
              <w:ind w:right="79"/>
              <w:spacing w:after="0"/>
              <w:rPr>
                <w:sz w:val="20"/>
                <w:szCs w:val="20"/>
                <w:color w:val="auto"/>
              </w:rPr>
            </w:pPr>
            <w:r>
              <w:rPr>
                <w:rFonts w:ascii="Times New Roman" w:cs="Times New Roman" w:eastAsia="Times New Roman" w:hAnsi="Times New Roman"/>
                <w:sz w:val="16"/>
                <w:szCs w:val="16"/>
                <w:color w:val="auto"/>
              </w:rPr>
              <w:t>142</w:t>
            </w:r>
          </w:p>
        </w:tc>
        <w:tc>
          <w:tcPr>
            <w:tcW w:w="1020" w:type="dxa"/>
            <w:vAlign w:val="bottom"/>
            <w:tcBorders>
              <w:bottom w:val="single" w:sz="8" w:color="0C479D"/>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10"/>
        </w:trPr>
        <w:tc>
          <w:tcPr>
            <w:tcW w:w="398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160" w:type="dxa"/>
            <w:vAlign w:val="bottom"/>
            <w:tcBorders>
              <w:bottom w:val="single" w:sz="8" w:color="0C479D"/>
            </w:tcBorders>
          </w:tcPr>
          <w:p>
            <w:pPr>
              <w:jc w:val="right"/>
              <w:ind w:right="100"/>
              <w:spacing w:after="0"/>
              <w:rPr>
                <w:sz w:val="20"/>
                <w:szCs w:val="20"/>
                <w:color w:val="auto"/>
              </w:rPr>
            </w:pPr>
            <w:r>
              <w:rPr>
                <w:rFonts w:ascii="Times New Roman" w:cs="Times New Roman" w:eastAsia="Times New Roman" w:hAnsi="Times New Roman"/>
                <w:sz w:val="16"/>
                <w:szCs w:val="16"/>
                <w:color w:val="auto"/>
              </w:rPr>
              <w:t>69</w:t>
            </w:r>
          </w:p>
        </w:tc>
        <w:tc>
          <w:tcPr>
            <w:tcW w:w="1040" w:type="dxa"/>
            <w:vAlign w:val="bottom"/>
            <w:tcBorders>
              <w:bottom w:val="single" w:sz="8" w:color="0C479D"/>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color w:val="auto"/>
              </w:rPr>
              <w:t>376</w:t>
            </w:r>
          </w:p>
        </w:tc>
        <w:tc>
          <w:tcPr>
            <w:tcW w:w="102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color w:val="auto"/>
              </w:rPr>
              <w:t>191</w:t>
            </w:r>
          </w:p>
        </w:tc>
        <w:tc>
          <w:tcPr>
            <w:tcW w:w="940" w:type="dxa"/>
            <w:vAlign w:val="bottom"/>
            <w:tcBorders>
              <w:bottom w:val="single" w:sz="8" w:color="0C479D"/>
            </w:tcBorders>
          </w:tcPr>
          <w:p>
            <w:pPr>
              <w:jc w:val="right"/>
              <w:ind w:right="79"/>
              <w:spacing w:after="0"/>
              <w:rPr>
                <w:sz w:val="20"/>
                <w:szCs w:val="20"/>
                <w:color w:val="auto"/>
              </w:rPr>
            </w:pPr>
            <w:r>
              <w:rPr>
                <w:rFonts w:ascii="Times New Roman" w:cs="Times New Roman" w:eastAsia="Times New Roman" w:hAnsi="Times New Roman"/>
                <w:sz w:val="16"/>
                <w:szCs w:val="16"/>
                <w:color w:val="auto"/>
              </w:rPr>
              <w:t>13,196</w:t>
            </w:r>
          </w:p>
        </w:tc>
        <w:tc>
          <w:tcPr>
            <w:tcW w:w="1020" w:type="dxa"/>
            <w:vAlign w:val="bottom"/>
            <w:tcBorders>
              <w:bottom w:val="single" w:sz="8" w:color="0C479D"/>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13,832</w:t>
            </w:r>
          </w:p>
        </w:tc>
        <w:tc>
          <w:tcPr>
            <w:tcW w:w="0" w:type="dxa"/>
            <w:vAlign w:val="bottom"/>
          </w:tcPr>
          <w:p>
            <w:pPr>
              <w:spacing w:after="0"/>
              <w:rPr>
                <w:sz w:val="1"/>
                <w:szCs w:val="1"/>
                <w:color w:val="auto"/>
              </w:rPr>
            </w:pPr>
          </w:p>
        </w:tc>
      </w:tr>
      <w:tr>
        <w:trPr>
          <w:trHeight w:val="207"/>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Production costs excluding taxes</w:t>
            </w: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58</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422</w:t>
            </w:r>
          </w:p>
        </w:tc>
        <w:tc>
          <w:tcPr>
            <w:tcW w:w="10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50</w:t>
            </w: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659</w:t>
            </w: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1,189</w:t>
            </w:r>
          </w:p>
        </w:tc>
        <w:tc>
          <w:tcPr>
            <w:tcW w:w="0" w:type="dxa"/>
            <w:vAlign w:val="bottom"/>
          </w:tcPr>
          <w:p>
            <w:pPr>
              <w:spacing w:after="0"/>
              <w:rPr>
                <w:sz w:val="1"/>
                <w:szCs w:val="1"/>
                <w:color w:val="auto"/>
              </w:rPr>
            </w:pPr>
          </w:p>
        </w:tc>
      </w:tr>
      <w:tr>
        <w:trPr>
          <w:trHeight w:val="216"/>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Exploration expenses</w:t>
            </w: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w:t>
            </w:r>
          </w:p>
        </w:tc>
        <w:tc>
          <w:tcPr>
            <w:tcW w:w="10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6"/>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depletion</w:t>
            </w: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239</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36</w:t>
            </w:r>
          </w:p>
        </w:tc>
        <w:tc>
          <w:tcPr>
            <w:tcW w:w="10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35</w:t>
            </w: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781</w:t>
            </w: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1,091</w:t>
            </w:r>
          </w:p>
        </w:tc>
        <w:tc>
          <w:tcPr>
            <w:tcW w:w="0" w:type="dxa"/>
            <w:vAlign w:val="bottom"/>
          </w:tcPr>
          <w:p>
            <w:pPr>
              <w:spacing w:after="0"/>
              <w:rPr>
                <w:sz w:val="1"/>
                <w:szCs w:val="1"/>
                <w:color w:val="auto"/>
              </w:rPr>
            </w:pPr>
          </w:p>
        </w:tc>
      </w:tr>
      <w:tr>
        <w:trPr>
          <w:trHeight w:val="216"/>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 other than income</w:t>
            </w: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6</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10</w:t>
            </w:r>
          </w:p>
        </w:tc>
        <w:tc>
          <w:tcPr>
            <w:tcW w:w="10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4,469</w:t>
            </w: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4,485</w:t>
            </w:r>
          </w:p>
        </w:tc>
        <w:tc>
          <w:tcPr>
            <w:tcW w:w="0" w:type="dxa"/>
            <w:vAlign w:val="bottom"/>
          </w:tcPr>
          <w:p>
            <w:pPr>
              <w:spacing w:after="0"/>
              <w:rPr>
                <w:sz w:val="1"/>
                <w:szCs w:val="1"/>
                <w:color w:val="auto"/>
              </w:rPr>
            </w:pPr>
          </w:p>
        </w:tc>
      </w:tr>
      <w:tr>
        <w:trPr>
          <w:trHeight w:val="219"/>
        </w:trPr>
        <w:tc>
          <w:tcPr>
            <w:tcW w:w="398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color w:val="auto"/>
              </w:rPr>
              <w:t>Related income tax</w:t>
            </w:r>
          </w:p>
        </w:tc>
        <w:tc>
          <w:tcPr>
            <w:tcW w:w="1160" w:type="dxa"/>
            <w:vAlign w:val="bottom"/>
            <w:tcBorders>
              <w:bottom w:val="single" w:sz="8" w:color="0C479D"/>
            </w:tcBorders>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0C479D"/>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0C479D"/>
            </w:tcBorders>
          </w:tcPr>
          <w:p>
            <w:pPr>
              <w:jc w:val="right"/>
              <w:ind w:right="119"/>
              <w:spacing w:after="0"/>
              <w:rPr>
                <w:sz w:val="20"/>
                <w:szCs w:val="20"/>
                <w:color w:val="auto"/>
              </w:rPr>
            </w:pPr>
            <w:r>
              <w:rPr>
                <w:rFonts w:ascii="Times New Roman" w:cs="Times New Roman" w:eastAsia="Times New Roman" w:hAnsi="Times New Roman"/>
                <w:sz w:val="16"/>
                <w:szCs w:val="16"/>
                <w:color w:val="auto"/>
              </w:rPr>
              <w:t>(48)</w:t>
            </w:r>
          </w:p>
        </w:tc>
        <w:tc>
          <w:tcPr>
            <w:tcW w:w="102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color w:val="auto"/>
              </w:rPr>
              <w:t>24</w:t>
            </w:r>
          </w:p>
        </w:tc>
        <w:tc>
          <w:tcPr>
            <w:tcW w:w="940" w:type="dxa"/>
            <w:vAlign w:val="bottom"/>
            <w:tcBorders>
              <w:bottom w:val="single" w:sz="8" w:color="0C479D"/>
            </w:tcBorders>
          </w:tcPr>
          <w:p>
            <w:pPr>
              <w:jc w:val="right"/>
              <w:ind w:right="79"/>
              <w:spacing w:after="0"/>
              <w:rPr>
                <w:sz w:val="20"/>
                <w:szCs w:val="20"/>
                <w:color w:val="auto"/>
              </w:rPr>
            </w:pPr>
            <w:r>
              <w:rPr>
                <w:rFonts w:ascii="Times New Roman" w:cs="Times New Roman" w:eastAsia="Times New Roman" w:hAnsi="Times New Roman"/>
                <w:sz w:val="16"/>
                <w:szCs w:val="16"/>
                <w:color w:val="auto"/>
              </w:rPr>
              <w:t>2,495</w:t>
            </w:r>
          </w:p>
        </w:tc>
        <w:tc>
          <w:tcPr>
            <w:tcW w:w="1020" w:type="dxa"/>
            <w:vAlign w:val="bottom"/>
            <w:tcBorders>
              <w:bottom w:val="single" w:sz="8" w:color="0C479D"/>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color w:val="auto"/>
              </w:rPr>
              <w:t>2,471</w:t>
            </w:r>
          </w:p>
        </w:tc>
        <w:tc>
          <w:tcPr>
            <w:tcW w:w="0" w:type="dxa"/>
            <w:vAlign w:val="bottom"/>
          </w:tcPr>
          <w:p>
            <w:pPr>
              <w:spacing w:after="0"/>
              <w:rPr>
                <w:sz w:val="1"/>
                <w:szCs w:val="1"/>
                <w:color w:val="auto"/>
              </w:rPr>
            </w:pPr>
          </w:p>
        </w:tc>
      </w:tr>
      <w:tr>
        <w:trPr>
          <w:trHeight w:val="211"/>
        </w:trPr>
        <w:tc>
          <w:tcPr>
            <w:tcW w:w="398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Results of producing activities for equity companies</w:t>
            </w:r>
          </w:p>
        </w:tc>
        <w:tc>
          <w:tcPr>
            <w:tcW w:w="1160" w:type="dxa"/>
            <w:vAlign w:val="bottom"/>
            <w:tcBorders>
              <w:bottom w:val="single" w:sz="8" w:color="0C479D"/>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(234)</w:t>
            </w:r>
          </w:p>
        </w:tc>
        <w:tc>
          <w:tcPr>
            <w:tcW w:w="1040" w:type="dxa"/>
            <w:vAlign w:val="bottom"/>
            <w:tcBorders>
              <w:bottom w:val="single" w:sz="8" w:color="0C479D"/>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tcBorders>
              <w:bottom w:val="single" w:sz="8" w:color="0C479D"/>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(46)</w:t>
            </w:r>
          </w:p>
        </w:tc>
        <w:tc>
          <w:tcPr>
            <w:tcW w:w="102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82</w:t>
            </w:r>
          </w:p>
        </w:tc>
        <w:tc>
          <w:tcPr>
            <w:tcW w:w="940" w:type="dxa"/>
            <w:vAlign w:val="bottom"/>
            <w:tcBorders>
              <w:bottom w:val="single" w:sz="8" w:color="0C479D"/>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4,792</w:t>
            </w:r>
          </w:p>
        </w:tc>
        <w:tc>
          <w:tcPr>
            <w:tcW w:w="1020" w:type="dxa"/>
            <w:vAlign w:val="bottom"/>
            <w:tcBorders>
              <w:bottom w:val="single" w:sz="8" w:color="0C479D"/>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4,594</w:t>
            </w:r>
          </w:p>
        </w:tc>
        <w:tc>
          <w:tcPr>
            <w:tcW w:w="0" w:type="dxa"/>
            <w:vAlign w:val="bottom"/>
          </w:tcPr>
          <w:p>
            <w:pPr>
              <w:spacing w:after="0"/>
              <w:rPr>
                <w:sz w:val="1"/>
                <w:szCs w:val="1"/>
                <w:color w:val="auto"/>
              </w:rPr>
            </w:pPr>
          </w:p>
        </w:tc>
      </w:tr>
      <w:tr>
        <w:trPr>
          <w:trHeight w:val="76"/>
        </w:trPr>
        <w:tc>
          <w:tcPr>
            <w:tcW w:w="3980" w:type="dxa"/>
            <w:vAlign w:val="bottom"/>
            <w:tcBorders>
              <w:bottom w:val="single" w:sz="8" w:color="0C479D"/>
            </w:tcBorders>
          </w:tcPr>
          <w:p>
            <w:pPr>
              <w:spacing w:after="0"/>
              <w:rPr>
                <w:sz w:val="6"/>
                <w:szCs w:val="6"/>
                <w:color w:val="auto"/>
              </w:rPr>
            </w:pPr>
          </w:p>
        </w:tc>
        <w:tc>
          <w:tcPr>
            <w:tcW w:w="1160" w:type="dxa"/>
            <w:vAlign w:val="bottom"/>
            <w:tcBorders>
              <w:bottom w:val="single" w:sz="8" w:color="0C479D"/>
            </w:tcBorders>
          </w:tcPr>
          <w:p>
            <w:pPr>
              <w:spacing w:after="0"/>
              <w:rPr>
                <w:sz w:val="6"/>
                <w:szCs w:val="6"/>
                <w:color w:val="auto"/>
              </w:rPr>
            </w:pPr>
          </w:p>
        </w:tc>
        <w:tc>
          <w:tcPr>
            <w:tcW w:w="1040" w:type="dxa"/>
            <w:vAlign w:val="bottom"/>
            <w:tcBorders>
              <w:bottom w:val="single" w:sz="8" w:color="0C479D"/>
            </w:tcBorders>
          </w:tcPr>
          <w:p>
            <w:pPr>
              <w:spacing w:after="0"/>
              <w:rPr>
                <w:sz w:val="6"/>
                <w:szCs w:val="6"/>
                <w:color w:val="auto"/>
              </w:rPr>
            </w:pPr>
          </w:p>
        </w:tc>
        <w:tc>
          <w:tcPr>
            <w:tcW w:w="1060" w:type="dxa"/>
            <w:vAlign w:val="bottom"/>
            <w:tcBorders>
              <w:bottom w:val="single" w:sz="8" w:color="0C479D"/>
            </w:tcBorders>
          </w:tcPr>
          <w:p>
            <w:pPr>
              <w:spacing w:after="0"/>
              <w:rPr>
                <w:sz w:val="6"/>
                <w:szCs w:val="6"/>
                <w:color w:val="auto"/>
              </w:rPr>
            </w:pPr>
          </w:p>
        </w:tc>
        <w:tc>
          <w:tcPr>
            <w:tcW w:w="1020" w:type="dxa"/>
            <w:vAlign w:val="bottom"/>
            <w:tcBorders>
              <w:bottom w:val="single" w:sz="8" w:color="0C479D"/>
            </w:tcBorders>
          </w:tcPr>
          <w:p>
            <w:pPr>
              <w:spacing w:after="0"/>
              <w:rPr>
                <w:sz w:val="6"/>
                <w:szCs w:val="6"/>
                <w:color w:val="auto"/>
              </w:rPr>
            </w:pPr>
          </w:p>
        </w:tc>
        <w:tc>
          <w:tcPr>
            <w:tcW w:w="940" w:type="dxa"/>
            <w:vAlign w:val="bottom"/>
            <w:tcBorders>
              <w:bottom w:val="single" w:sz="8" w:color="0C479D"/>
            </w:tcBorders>
          </w:tcPr>
          <w:p>
            <w:pPr>
              <w:spacing w:after="0"/>
              <w:rPr>
                <w:sz w:val="6"/>
                <w:szCs w:val="6"/>
                <w:color w:val="auto"/>
              </w:rPr>
            </w:pPr>
          </w:p>
        </w:tc>
        <w:tc>
          <w:tcPr>
            <w:tcW w:w="1020" w:type="dxa"/>
            <w:vAlign w:val="bottom"/>
            <w:tcBorders>
              <w:bottom w:val="single" w:sz="8" w:color="0C479D"/>
            </w:tcBorders>
          </w:tcPr>
          <w:p>
            <w:pPr>
              <w:spacing w:after="0"/>
              <w:rPr>
                <w:sz w:val="6"/>
                <w:szCs w:val="6"/>
                <w:color w:val="auto"/>
              </w:rPr>
            </w:pPr>
          </w:p>
        </w:tc>
        <w:tc>
          <w:tcPr>
            <w:tcW w:w="940" w:type="dxa"/>
            <w:vAlign w:val="bottom"/>
            <w:tcBorders>
              <w:bottom w:val="single" w:sz="8" w:color="0C479D"/>
            </w:tcBorders>
            <w:shd w:val="clear" w:color="auto" w:fill="F0F0F0"/>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98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results of operations</w:t>
            </w:r>
          </w:p>
        </w:tc>
        <w:tc>
          <w:tcPr>
            <w:tcW w:w="1160" w:type="dxa"/>
            <w:vAlign w:val="bottom"/>
            <w:tcBorders>
              <w:bottom w:val="single" w:sz="8" w:color="0C479D"/>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4,856</w:t>
            </w:r>
          </w:p>
        </w:tc>
        <w:tc>
          <w:tcPr>
            <w:tcW w:w="1040" w:type="dxa"/>
            <w:vAlign w:val="bottom"/>
            <w:tcBorders>
              <w:bottom w:val="single" w:sz="8" w:color="0C479D"/>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8,201</w:t>
            </w:r>
          </w:p>
        </w:tc>
        <w:tc>
          <w:tcPr>
            <w:tcW w:w="106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204</w:t>
            </w:r>
          </w:p>
        </w:tc>
        <w:tc>
          <w:tcPr>
            <w:tcW w:w="102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1,815</w:t>
            </w:r>
          </w:p>
        </w:tc>
        <w:tc>
          <w:tcPr>
            <w:tcW w:w="940" w:type="dxa"/>
            <w:vAlign w:val="bottom"/>
            <w:tcBorders>
              <w:bottom w:val="single" w:sz="8" w:color="0C479D"/>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6,957</w:t>
            </w:r>
          </w:p>
        </w:tc>
        <w:tc>
          <w:tcPr>
            <w:tcW w:w="1020" w:type="dxa"/>
            <w:vAlign w:val="bottom"/>
            <w:tcBorders>
              <w:bottom w:val="single" w:sz="8" w:color="0C479D"/>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1,962</w:t>
            </w:r>
          </w:p>
        </w:tc>
        <w:tc>
          <w:tcPr>
            <w:tcW w:w="940" w:type="dxa"/>
            <w:vAlign w:val="bottom"/>
            <w:tcBorders>
              <w:bottom w:val="single" w:sz="8" w:color="0C479D"/>
            </w:tcBorders>
            <w:shd w:val="clear" w:color="auto" w:fill="F0F0F0"/>
          </w:tcPr>
          <w:p>
            <w:pPr>
              <w:jc w:val="right"/>
              <w:spacing w:after="0"/>
              <w:rPr>
                <w:sz w:val="20"/>
                <w:szCs w:val="20"/>
                <w:color w:val="auto"/>
              </w:rPr>
            </w:pPr>
            <w:r>
              <w:rPr>
                <w:rFonts w:ascii="Times New Roman" w:cs="Times New Roman" w:eastAsia="Times New Roman" w:hAnsi="Times New Roman"/>
                <w:sz w:val="16"/>
                <w:szCs w:val="16"/>
                <w:b w:val="1"/>
                <w:bCs w:val="1"/>
                <w:color w:val="auto"/>
              </w:rPr>
              <w:t>23,995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161"/>
        </w:trPr>
        <w:tc>
          <w:tcPr>
            <w:tcW w:w="3960" w:type="dxa"/>
            <w:vAlign w:val="bottom"/>
            <w:vMerge w:val="restart"/>
            <w:shd w:val="clear" w:color="auto" w:fill="0C479D"/>
          </w:tcPr>
          <w:p>
            <w:pPr>
              <w:ind w:left="20"/>
              <w:spacing w:after="0"/>
              <w:rPr>
                <w:sz w:val="20"/>
                <w:szCs w:val="20"/>
                <w:color w:val="auto"/>
              </w:rPr>
            </w:pPr>
            <w:r>
              <w:rPr>
                <w:rFonts w:ascii="Times New Roman" w:cs="Times New Roman" w:eastAsia="Times New Roman" w:hAnsi="Times New Roman"/>
                <w:sz w:val="16"/>
                <w:szCs w:val="16"/>
                <w:b w:val="1"/>
                <w:bCs w:val="1"/>
                <w:color w:val="FFFFFF"/>
              </w:rPr>
              <w:t>Results of Operations</w:t>
            </w:r>
          </w:p>
        </w:tc>
        <w:tc>
          <w:tcPr>
            <w:tcW w:w="1160" w:type="dxa"/>
            <w:vAlign w:val="bottom"/>
            <w:vMerge w:val="restart"/>
            <w:shd w:val="clear" w:color="auto" w:fill="0C479D"/>
          </w:tcPr>
          <w:p>
            <w:pPr>
              <w:jc w:val="right"/>
              <w:ind w:right="299"/>
              <w:spacing w:after="0"/>
              <w:rPr>
                <w:sz w:val="20"/>
                <w:szCs w:val="20"/>
                <w:color w:val="auto"/>
              </w:rPr>
            </w:pPr>
            <w:r>
              <w:rPr>
                <w:rFonts w:ascii="Times New Roman" w:cs="Times New Roman" w:eastAsia="Times New Roman" w:hAnsi="Times New Roman"/>
                <w:sz w:val="14"/>
                <w:szCs w:val="14"/>
                <w:b w:val="1"/>
                <w:bCs w:val="1"/>
                <w:color w:val="FFFFFF"/>
              </w:rPr>
              <w:t>United</w:t>
            </w:r>
          </w:p>
        </w:tc>
        <w:tc>
          <w:tcPr>
            <w:tcW w:w="1040" w:type="dxa"/>
            <w:vAlign w:val="bottom"/>
            <w:shd w:val="clear" w:color="auto" w:fill="0C479D"/>
          </w:tcPr>
          <w:p>
            <w:pPr>
              <w:jc w:val="center"/>
              <w:ind w:right="80"/>
              <w:spacing w:after="0"/>
              <w:rPr>
                <w:sz w:val="20"/>
                <w:szCs w:val="20"/>
                <w:color w:val="auto"/>
              </w:rPr>
            </w:pPr>
            <w:r>
              <w:rPr>
                <w:rFonts w:ascii="Times New Roman" w:cs="Times New Roman" w:eastAsia="Times New Roman" w:hAnsi="Times New Roman"/>
                <w:sz w:val="14"/>
                <w:szCs w:val="14"/>
                <w:b w:val="1"/>
                <w:bCs w:val="1"/>
                <w:color w:val="FFFFFF"/>
              </w:rPr>
              <w:t>Canada/</w:t>
            </w:r>
          </w:p>
        </w:tc>
        <w:tc>
          <w:tcPr>
            <w:tcW w:w="1020" w:type="dxa"/>
            <w:vAlign w:val="bottom"/>
            <w:vMerge w:val="restart"/>
            <w:shd w:val="clear" w:color="auto" w:fill="0C479D"/>
          </w:tcPr>
          <w:p>
            <w:pPr>
              <w:jc w:val="right"/>
              <w:ind w:right="299"/>
              <w:spacing w:after="0"/>
              <w:rPr>
                <w:sz w:val="20"/>
                <w:szCs w:val="20"/>
                <w:color w:val="auto"/>
              </w:rPr>
            </w:pPr>
            <w:r>
              <w:rPr>
                <w:rFonts w:ascii="Times New Roman" w:cs="Times New Roman" w:eastAsia="Times New Roman" w:hAnsi="Times New Roman"/>
                <w:sz w:val="14"/>
                <w:szCs w:val="14"/>
                <w:b w:val="1"/>
                <w:bCs w:val="1"/>
                <w:color w:val="FFFFFF"/>
              </w:rPr>
              <w:t>Europe</w:t>
            </w:r>
          </w:p>
        </w:tc>
        <w:tc>
          <w:tcPr>
            <w:tcW w:w="1080" w:type="dxa"/>
            <w:vAlign w:val="bottom"/>
            <w:vMerge w:val="restart"/>
            <w:shd w:val="clear" w:color="auto" w:fill="0C479D"/>
          </w:tcPr>
          <w:p>
            <w:pPr>
              <w:jc w:val="right"/>
              <w:ind w:right="399"/>
              <w:spacing w:after="0"/>
              <w:rPr>
                <w:sz w:val="20"/>
                <w:szCs w:val="20"/>
                <w:color w:val="auto"/>
              </w:rPr>
            </w:pPr>
            <w:r>
              <w:rPr>
                <w:rFonts w:ascii="Times New Roman" w:cs="Times New Roman" w:eastAsia="Times New Roman" w:hAnsi="Times New Roman"/>
                <w:sz w:val="14"/>
                <w:szCs w:val="14"/>
                <w:b w:val="1"/>
                <w:bCs w:val="1"/>
                <w:color w:val="FFFFFF"/>
              </w:rPr>
              <w:t>Africa</w:t>
            </w:r>
          </w:p>
        </w:tc>
        <w:tc>
          <w:tcPr>
            <w:tcW w:w="940" w:type="dxa"/>
            <w:vAlign w:val="bottom"/>
            <w:vMerge w:val="restart"/>
            <w:shd w:val="clear" w:color="auto" w:fill="0C479D"/>
          </w:tcPr>
          <w:p>
            <w:pPr>
              <w:jc w:val="right"/>
              <w:ind w:right="379"/>
              <w:spacing w:after="0"/>
              <w:rPr>
                <w:sz w:val="20"/>
                <w:szCs w:val="20"/>
                <w:color w:val="auto"/>
              </w:rPr>
            </w:pPr>
            <w:r>
              <w:rPr>
                <w:rFonts w:ascii="Times New Roman" w:cs="Times New Roman" w:eastAsia="Times New Roman" w:hAnsi="Times New Roman"/>
                <w:sz w:val="14"/>
                <w:szCs w:val="14"/>
                <w:b w:val="1"/>
                <w:bCs w:val="1"/>
                <w:color w:val="FFFFFF"/>
              </w:rPr>
              <w:t>Asia</w:t>
            </w:r>
          </w:p>
        </w:tc>
        <w:tc>
          <w:tcPr>
            <w:tcW w:w="1080" w:type="dxa"/>
            <w:vAlign w:val="bottom"/>
            <w:vMerge w:val="restart"/>
            <w:shd w:val="clear" w:color="auto" w:fill="0C479D"/>
          </w:tcPr>
          <w:p>
            <w:pPr>
              <w:jc w:val="right"/>
              <w:ind w:right="259"/>
              <w:spacing w:after="0"/>
              <w:rPr>
                <w:sz w:val="20"/>
                <w:szCs w:val="20"/>
                <w:color w:val="auto"/>
              </w:rPr>
            </w:pPr>
            <w:r>
              <w:rPr>
                <w:rFonts w:ascii="Times New Roman" w:cs="Times New Roman" w:eastAsia="Times New Roman" w:hAnsi="Times New Roman"/>
                <w:sz w:val="14"/>
                <w:szCs w:val="14"/>
                <w:b w:val="1"/>
                <w:bCs w:val="1"/>
                <w:color w:val="FFFFFF"/>
              </w:rPr>
              <w:t>Australia/</w:t>
            </w:r>
          </w:p>
        </w:tc>
        <w:tc>
          <w:tcPr>
            <w:tcW w:w="860" w:type="dxa"/>
            <w:vAlign w:val="bottom"/>
            <w:vMerge w:val="restart"/>
            <w:shd w:val="clear" w:color="auto" w:fill="0C479D"/>
          </w:tcPr>
          <w:p>
            <w:pPr>
              <w:jc w:val="right"/>
              <w:ind w:right="239"/>
              <w:spacing w:after="0"/>
              <w:rPr>
                <w:sz w:val="20"/>
                <w:szCs w:val="20"/>
                <w:color w:val="auto"/>
              </w:rPr>
            </w:pPr>
            <w:r>
              <w:rPr>
                <w:rFonts w:ascii="Times New Roman" w:cs="Times New Roman" w:eastAsia="Times New Roman" w:hAnsi="Times New Roman"/>
                <w:sz w:val="14"/>
                <w:szCs w:val="14"/>
                <w:b w:val="1"/>
                <w:bCs w:val="1"/>
                <w:color w:val="FFFFFF"/>
              </w:rPr>
              <w:t>Total</w:t>
            </w:r>
          </w:p>
        </w:tc>
        <w:tc>
          <w:tcPr>
            <w:tcW w:w="0" w:type="dxa"/>
            <w:vAlign w:val="bottom"/>
          </w:tcPr>
          <w:p>
            <w:pPr>
              <w:spacing w:after="0"/>
              <w:rPr>
                <w:sz w:val="1"/>
                <w:szCs w:val="1"/>
                <w:color w:val="auto"/>
              </w:rPr>
            </w:pPr>
          </w:p>
        </w:tc>
      </w:tr>
      <w:tr>
        <w:trPr>
          <w:trHeight w:val="79"/>
        </w:trPr>
        <w:tc>
          <w:tcPr>
            <w:tcW w:w="3960" w:type="dxa"/>
            <w:vAlign w:val="bottom"/>
            <w:vMerge w:val="continue"/>
            <w:shd w:val="clear" w:color="auto" w:fill="0C479D"/>
          </w:tcPr>
          <w:p>
            <w:pPr>
              <w:spacing w:after="0"/>
              <w:rPr>
                <w:sz w:val="6"/>
                <w:szCs w:val="6"/>
                <w:color w:val="auto"/>
              </w:rPr>
            </w:pPr>
          </w:p>
        </w:tc>
        <w:tc>
          <w:tcPr>
            <w:tcW w:w="1160" w:type="dxa"/>
            <w:vAlign w:val="bottom"/>
            <w:vMerge w:val="continue"/>
            <w:shd w:val="clear" w:color="auto" w:fill="0C479D"/>
          </w:tcPr>
          <w:p>
            <w:pPr>
              <w:spacing w:after="0"/>
              <w:rPr>
                <w:sz w:val="6"/>
                <w:szCs w:val="6"/>
                <w:color w:val="auto"/>
              </w:rPr>
            </w:pPr>
          </w:p>
        </w:tc>
        <w:tc>
          <w:tcPr>
            <w:tcW w:w="1040" w:type="dxa"/>
            <w:vAlign w:val="bottom"/>
            <w:vMerge w:val="restart"/>
            <w:shd w:val="clear" w:color="auto" w:fill="0C479D"/>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FFFFFF"/>
              </w:rPr>
              <w:t>Other</w:t>
            </w:r>
          </w:p>
        </w:tc>
        <w:tc>
          <w:tcPr>
            <w:tcW w:w="1020" w:type="dxa"/>
            <w:vAlign w:val="bottom"/>
            <w:vMerge w:val="continue"/>
            <w:shd w:val="clear" w:color="auto" w:fill="0C479D"/>
          </w:tcPr>
          <w:p>
            <w:pPr>
              <w:spacing w:after="0"/>
              <w:rPr>
                <w:sz w:val="6"/>
                <w:szCs w:val="6"/>
                <w:color w:val="auto"/>
              </w:rPr>
            </w:pPr>
          </w:p>
        </w:tc>
        <w:tc>
          <w:tcPr>
            <w:tcW w:w="1080" w:type="dxa"/>
            <w:vAlign w:val="bottom"/>
            <w:vMerge w:val="continue"/>
            <w:shd w:val="clear" w:color="auto" w:fill="0C479D"/>
          </w:tcPr>
          <w:p>
            <w:pPr>
              <w:spacing w:after="0"/>
              <w:rPr>
                <w:sz w:val="6"/>
                <w:szCs w:val="6"/>
                <w:color w:val="auto"/>
              </w:rPr>
            </w:pPr>
          </w:p>
        </w:tc>
        <w:tc>
          <w:tcPr>
            <w:tcW w:w="940" w:type="dxa"/>
            <w:vAlign w:val="bottom"/>
            <w:vMerge w:val="continue"/>
            <w:shd w:val="clear" w:color="auto" w:fill="0C479D"/>
          </w:tcPr>
          <w:p>
            <w:pPr>
              <w:spacing w:after="0"/>
              <w:rPr>
                <w:sz w:val="6"/>
                <w:szCs w:val="6"/>
                <w:color w:val="auto"/>
              </w:rPr>
            </w:pPr>
          </w:p>
        </w:tc>
        <w:tc>
          <w:tcPr>
            <w:tcW w:w="1080" w:type="dxa"/>
            <w:vAlign w:val="bottom"/>
            <w:vMerge w:val="continue"/>
            <w:shd w:val="clear" w:color="auto" w:fill="0C479D"/>
          </w:tcPr>
          <w:p>
            <w:pPr>
              <w:spacing w:after="0"/>
              <w:rPr>
                <w:sz w:val="6"/>
                <w:szCs w:val="6"/>
                <w:color w:val="auto"/>
              </w:rPr>
            </w:pPr>
          </w:p>
        </w:tc>
        <w:tc>
          <w:tcPr>
            <w:tcW w:w="860" w:type="dxa"/>
            <w:vAlign w:val="bottom"/>
            <w:vMerge w:val="continue"/>
            <w:shd w:val="clear" w:color="auto" w:fill="0C479D"/>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3960" w:type="dxa"/>
            <w:vAlign w:val="bottom"/>
            <w:vMerge w:val="restart"/>
            <w:shd w:val="clear" w:color="auto" w:fill="0C479D"/>
          </w:tcPr>
          <w:p>
            <w:pPr>
              <w:ind w:left="20"/>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1160" w:type="dxa"/>
            <w:vAlign w:val="bottom"/>
            <w:vMerge w:val="restart"/>
            <w:shd w:val="clear" w:color="auto" w:fill="0C479D"/>
          </w:tcPr>
          <w:p>
            <w:pPr>
              <w:jc w:val="right"/>
              <w:ind w:right="319"/>
              <w:spacing w:after="0"/>
              <w:rPr>
                <w:sz w:val="20"/>
                <w:szCs w:val="20"/>
                <w:color w:val="auto"/>
              </w:rPr>
            </w:pPr>
            <w:r>
              <w:rPr>
                <w:rFonts w:ascii="Times New Roman" w:cs="Times New Roman" w:eastAsia="Times New Roman" w:hAnsi="Times New Roman"/>
                <w:sz w:val="14"/>
                <w:szCs w:val="14"/>
                <w:b w:val="1"/>
                <w:bCs w:val="1"/>
                <w:color w:val="FFFFFF"/>
              </w:rPr>
              <w:t>States</w:t>
            </w:r>
          </w:p>
        </w:tc>
        <w:tc>
          <w:tcPr>
            <w:tcW w:w="1040" w:type="dxa"/>
            <w:vAlign w:val="bottom"/>
            <w:vMerge w:val="continue"/>
            <w:shd w:val="clear" w:color="auto" w:fill="0C479D"/>
          </w:tcPr>
          <w:p>
            <w:pPr>
              <w:spacing w:after="0"/>
              <w:rPr>
                <w:sz w:val="6"/>
                <w:szCs w:val="6"/>
                <w:color w:val="auto"/>
              </w:rPr>
            </w:pPr>
          </w:p>
        </w:tc>
        <w:tc>
          <w:tcPr>
            <w:tcW w:w="1020" w:type="dxa"/>
            <w:vAlign w:val="bottom"/>
            <w:vMerge w:val="continue"/>
            <w:shd w:val="clear" w:color="auto" w:fill="0C479D"/>
          </w:tcPr>
          <w:p>
            <w:pPr>
              <w:spacing w:after="0"/>
              <w:rPr>
                <w:sz w:val="6"/>
                <w:szCs w:val="6"/>
                <w:color w:val="auto"/>
              </w:rPr>
            </w:pPr>
          </w:p>
        </w:tc>
        <w:tc>
          <w:tcPr>
            <w:tcW w:w="1080" w:type="dxa"/>
            <w:vAlign w:val="bottom"/>
            <w:vMerge w:val="continue"/>
            <w:shd w:val="clear" w:color="auto" w:fill="0C479D"/>
          </w:tcPr>
          <w:p>
            <w:pPr>
              <w:spacing w:after="0"/>
              <w:rPr>
                <w:sz w:val="6"/>
                <w:szCs w:val="6"/>
                <w:color w:val="auto"/>
              </w:rPr>
            </w:pPr>
          </w:p>
        </w:tc>
        <w:tc>
          <w:tcPr>
            <w:tcW w:w="940" w:type="dxa"/>
            <w:vAlign w:val="bottom"/>
            <w:vMerge w:val="continue"/>
            <w:shd w:val="clear" w:color="auto" w:fill="0C479D"/>
          </w:tcPr>
          <w:p>
            <w:pPr>
              <w:spacing w:after="0"/>
              <w:rPr>
                <w:sz w:val="6"/>
                <w:szCs w:val="6"/>
                <w:color w:val="auto"/>
              </w:rPr>
            </w:pPr>
          </w:p>
        </w:tc>
        <w:tc>
          <w:tcPr>
            <w:tcW w:w="1080" w:type="dxa"/>
            <w:vAlign w:val="bottom"/>
            <w:vMerge w:val="restart"/>
            <w:shd w:val="clear" w:color="auto" w:fill="0C479D"/>
          </w:tcPr>
          <w:p>
            <w:pPr>
              <w:jc w:val="right"/>
              <w:ind w:right="319"/>
              <w:spacing w:after="0"/>
              <w:rPr>
                <w:sz w:val="20"/>
                <w:szCs w:val="20"/>
                <w:color w:val="auto"/>
              </w:rPr>
            </w:pPr>
            <w:r>
              <w:rPr>
                <w:rFonts w:ascii="Times New Roman" w:cs="Times New Roman" w:eastAsia="Times New Roman" w:hAnsi="Times New Roman"/>
                <w:sz w:val="14"/>
                <w:szCs w:val="14"/>
                <w:b w:val="1"/>
                <w:bCs w:val="1"/>
                <w:color w:val="FFFFFF"/>
              </w:rPr>
              <w:t>Oceania</w:t>
            </w:r>
          </w:p>
        </w:tc>
        <w:tc>
          <w:tcPr>
            <w:tcW w:w="860" w:type="dxa"/>
            <w:vAlign w:val="bottom"/>
            <w:vMerge w:val="continue"/>
            <w:shd w:val="clear" w:color="auto" w:fill="0C479D"/>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3960" w:type="dxa"/>
            <w:vAlign w:val="bottom"/>
            <w:vMerge w:val="continue"/>
            <w:shd w:val="clear" w:color="auto" w:fill="0C479D"/>
          </w:tcPr>
          <w:p>
            <w:pPr>
              <w:spacing w:after="0"/>
              <w:rPr>
                <w:sz w:val="10"/>
                <w:szCs w:val="10"/>
                <w:color w:val="auto"/>
              </w:rPr>
            </w:pPr>
          </w:p>
        </w:tc>
        <w:tc>
          <w:tcPr>
            <w:tcW w:w="1160" w:type="dxa"/>
            <w:vAlign w:val="bottom"/>
            <w:vMerge w:val="continue"/>
            <w:shd w:val="clear" w:color="auto" w:fill="0C479D"/>
          </w:tcPr>
          <w:p>
            <w:pPr>
              <w:spacing w:after="0"/>
              <w:rPr>
                <w:sz w:val="10"/>
                <w:szCs w:val="10"/>
                <w:color w:val="auto"/>
              </w:rPr>
            </w:pPr>
          </w:p>
        </w:tc>
        <w:tc>
          <w:tcPr>
            <w:tcW w:w="1040" w:type="dxa"/>
            <w:vAlign w:val="bottom"/>
            <w:vMerge w:val="restart"/>
            <w:shd w:val="clear" w:color="auto" w:fill="0C479D"/>
          </w:tcPr>
          <w:p>
            <w:pPr>
              <w:jc w:val="center"/>
              <w:ind w:right="100"/>
              <w:spacing w:after="0"/>
              <w:rPr>
                <w:sz w:val="20"/>
                <w:szCs w:val="20"/>
                <w:color w:val="auto"/>
              </w:rPr>
            </w:pPr>
            <w:r>
              <w:rPr>
                <w:rFonts w:ascii="Times New Roman" w:cs="Times New Roman" w:eastAsia="Times New Roman" w:hAnsi="Times New Roman"/>
                <w:sz w:val="14"/>
                <w:szCs w:val="14"/>
                <w:b w:val="1"/>
                <w:bCs w:val="1"/>
                <w:color w:val="FFFFFF"/>
              </w:rPr>
              <w:t>Americas</w:t>
            </w:r>
          </w:p>
        </w:tc>
        <w:tc>
          <w:tcPr>
            <w:tcW w:w="1020" w:type="dxa"/>
            <w:vAlign w:val="bottom"/>
            <w:shd w:val="clear" w:color="auto" w:fill="0C479D"/>
          </w:tcPr>
          <w:p>
            <w:pPr>
              <w:spacing w:after="0"/>
              <w:rPr>
                <w:sz w:val="10"/>
                <w:szCs w:val="10"/>
                <w:color w:val="auto"/>
              </w:rPr>
            </w:pPr>
          </w:p>
        </w:tc>
        <w:tc>
          <w:tcPr>
            <w:tcW w:w="1080" w:type="dxa"/>
            <w:vAlign w:val="bottom"/>
            <w:shd w:val="clear" w:color="auto" w:fill="0C479D"/>
          </w:tcPr>
          <w:p>
            <w:pPr>
              <w:spacing w:after="0"/>
              <w:rPr>
                <w:sz w:val="10"/>
                <w:szCs w:val="10"/>
                <w:color w:val="auto"/>
              </w:rPr>
            </w:pPr>
          </w:p>
        </w:tc>
        <w:tc>
          <w:tcPr>
            <w:tcW w:w="940" w:type="dxa"/>
            <w:vAlign w:val="bottom"/>
            <w:shd w:val="clear" w:color="auto" w:fill="0C479D"/>
          </w:tcPr>
          <w:p>
            <w:pPr>
              <w:spacing w:after="0"/>
              <w:rPr>
                <w:sz w:val="10"/>
                <w:szCs w:val="10"/>
                <w:color w:val="auto"/>
              </w:rPr>
            </w:pPr>
          </w:p>
        </w:tc>
        <w:tc>
          <w:tcPr>
            <w:tcW w:w="1080" w:type="dxa"/>
            <w:vAlign w:val="bottom"/>
            <w:vMerge w:val="continue"/>
            <w:shd w:val="clear" w:color="auto" w:fill="0C479D"/>
          </w:tcPr>
          <w:p>
            <w:pPr>
              <w:spacing w:after="0"/>
              <w:rPr>
                <w:sz w:val="10"/>
                <w:szCs w:val="10"/>
                <w:color w:val="auto"/>
              </w:rPr>
            </w:pPr>
          </w:p>
        </w:tc>
        <w:tc>
          <w:tcPr>
            <w:tcW w:w="860" w:type="dxa"/>
            <w:vAlign w:val="bottom"/>
            <w:shd w:val="clear" w:color="auto" w:fill="0C479D"/>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3960" w:type="dxa"/>
            <w:vAlign w:val="bottom"/>
            <w:shd w:val="clear" w:color="auto" w:fill="0C479D"/>
          </w:tcPr>
          <w:p>
            <w:pPr>
              <w:spacing w:after="0"/>
              <w:rPr>
                <w:sz w:val="6"/>
                <w:szCs w:val="6"/>
                <w:color w:val="auto"/>
              </w:rPr>
            </w:pPr>
          </w:p>
        </w:tc>
        <w:tc>
          <w:tcPr>
            <w:tcW w:w="1160" w:type="dxa"/>
            <w:vAlign w:val="bottom"/>
            <w:shd w:val="clear" w:color="auto" w:fill="0C479D"/>
          </w:tcPr>
          <w:p>
            <w:pPr>
              <w:spacing w:after="0"/>
              <w:rPr>
                <w:sz w:val="6"/>
                <w:szCs w:val="6"/>
                <w:color w:val="auto"/>
              </w:rPr>
            </w:pPr>
          </w:p>
        </w:tc>
        <w:tc>
          <w:tcPr>
            <w:tcW w:w="1040" w:type="dxa"/>
            <w:vAlign w:val="bottom"/>
            <w:vMerge w:val="continue"/>
            <w:shd w:val="clear" w:color="auto" w:fill="0C479D"/>
          </w:tcPr>
          <w:p>
            <w:pPr>
              <w:spacing w:after="0"/>
              <w:rPr>
                <w:sz w:val="6"/>
                <w:szCs w:val="6"/>
                <w:color w:val="auto"/>
              </w:rPr>
            </w:pPr>
          </w:p>
        </w:tc>
        <w:tc>
          <w:tcPr>
            <w:tcW w:w="1020" w:type="dxa"/>
            <w:vAlign w:val="bottom"/>
            <w:shd w:val="clear" w:color="auto" w:fill="0C479D"/>
          </w:tcPr>
          <w:p>
            <w:pPr>
              <w:spacing w:after="0"/>
              <w:rPr>
                <w:sz w:val="6"/>
                <w:szCs w:val="6"/>
                <w:color w:val="auto"/>
              </w:rPr>
            </w:pPr>
          </w:p>
        </w:tc>
        <w:tc>
          <w:tcPr>
            <w:tcW w:w="1080" w:type="dxa"/>
            <w:vAlign w:val="bottom"/>
            <w:shd w:val="clear" w:color="auto" w:fill="0C479D"/>
          </w:tcPr>
          <w:p>
            <w:pPr>
              <w:spacing w:after="0"/>
              <w:rPr>
                <w:sz w:val="6"/>
                <w:szCs w:val="6"/>
                <w:color w:val="auto"/>
              </w:rPr>
            </w:pPr>
          </w:p>
        </w:tc>
        <w:tc>
          <w:tcPr>
            <w:tcW w:w="940" w:type="dxa"/>
            <w:vAlign w:val="bottom"/>
            <w:shd w:val="clear" w:color="auto" w:fill="0C479D"/>
          </w:tcPr>
          <w:p>
            <w:pPr>
              <w:spacing w:after="0"/>
              <w:rPr>
                <w:sz w:val="6"/>
                <w:szCs w:val="6"/>
                <w:color w:val="auto"/>
              </w:rPr>
            </w:pPr>
          </w:p>
        </w:tc>
        <w:tc>
          <w:tcPr>
            <w:tcW w:w="1080" w:type="dxa"/>
            <w:vAlign w:val="bottom"/>
            <w:shd w:val="clear" w:color="auto" w:fill="0C479D"/>
          </w:tcPr>
          <w:p>
            <w:pPr>
              <w:spacing w:after="0"/>
              <w:rPr>
                <w:sz w:val="6"/>
                <w:szCs w:val="6"/>
                <w:color w:val="auto"/>
              </w:rPr>
            </w:pPr>
          </w:p>
        </w:tc>
        <w:tc>
          <w:tcPr>
            <w:tcW w:w="860" w:type="dxa"/>
            <w:vAlign w:val="bottom"/>
            <w:shd w:val="clear" w:color="auto" w:fill="0C479D"/>
          </w:tcPr>
          <w:p>
            <w:pPr>
              <w:spacing w:after="0"/>
              <w:rPr>
                <w:sz w:val="6"/>
                <w:szCs w:val="6"/>
                <w:color w:val="auto"/>
              </w:rPr>
            </w:pPr>
          </w:p>
        </w:tc>
        <w:tc>
          <w:tcPr>
            <w:tcW w:w="0" w:type="dxa"/>
            <w:vAlign w:val="bottom"/>
          </w:tcPr>
          <w:p>
            <w:pPr>
              <w:spacing w:after="0"/>
              <w:rPr>
                <w:sz w:val="1"/>
                <w:szCs w:val="1"/>
                <w:color w:val="auto"/>
              </w:rPr>
            </w:pPr>
          </w:p>
        </w:tc>
      </w:tr>
      <w:tr>
        <w:trPr>
          <w:trHeight w:val="426"/>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0C479D"/>
              </w:rPr>
              <w:t>2023</w:t>
            </w: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0C479D"/>
              </w:rPr>
              <w:t>Consolidated Subsidiaries</w:t>
            </w:r>
          </w:p>
        </w:tc>
        <w:tc>
          <w:tcPr>
            <w:tcW w:w="1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Sales to third parties</w:t>
            </w: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5,098</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4,027</w:t>
            </w: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1,345</w:t>
            </w: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298</w:t>
            </w: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2,490</w:t>
            </w:r>
          </w:p>
        </w:tc>
        <w:tc>
          <w:tcPr>
            <w:tcW w:w="10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4,588</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17,846</w:t>
            </w:r>
          </w:p>
        </w:tc>
        <w:tc>
          <w:tcPr>
            <w:tcW w:w="0" w:type="dxa"/>
            <w:vAlign w:val="bottom"/>
          </w:tcPr>
          <w:p>
            <w:pPr>
              <w:spacing w:after="0"/>
              <w:rPr>
                <w:sz w:val="1"/>
                <w:szCs w:val="1"/>
                <w:color w:val="auto"/>
              </w:rPr>
            </w:pPr>
          </w:p>
        </w:tc>
      </w:tr>
      <w:tr>
        <w:trPr>
          <w:trHeight w:val="219"/>
        </w:trPr>
        <w:tc>
          <w:tcPr>
            <w:tcW w:w="3960" w:type="dxa"/>
            <w:vAlign w:val="bottom"/>
            <w:tcBorders>
              <w:bottom w:val="single" w:sz="8" w:color="0C479D"/>
            </w:tcBorders>
          </w:tcPr>
          <w:p>
            <w:pPr>
              <w:ind w:left="100"/>
              <w:spacing w:after="0"/>
              <w:rPr>
                <w:sz w:val="20"/>
                <w:szCs w:val="20"/>
                <w:color w:val="auto"/>
              </w:rPr>
            </w:pPr>
            <w:r>
              <w:rPr>
                <w:rFonts w:ascii="Times New Roman" w:cs="Times New Roman" w:eastAsia="Times New Roman" w:hAnsi="Times New Roman"/>
                <w:sz w:val="16"/>
                <w:szCs w:val="16"/>
                <w:color w:val="auto"/>
              </w:rPr>
              <w:t>Transfers</w:t>
            </w:r>
          </w:p>
        </w:tc>
        <w:tc>
          <w:tcPr>
            <w:tcW w:w="1160" w:type="dxa"/>
            <w:vAlign w:val="bottom"/>
            <w:tcBorders>
              <w:bottom w:val="single" w:sz="8" w:color="0C479D"/>
            </w:tcBorders>
          </w:tcPr>
          <w:p>
            <w:pPr>
              <w:jc w:val="right"/>
              <w:ind w:right="99"/>
              <w:spacing w:after="0"/>
              <w:rPr>
                <w:sz w:val="20"/>
                <w:szCs w:val="20"/>
                <w:color w:val="auto"/>
              </w:rPr>
            </w:pPr>
            <w:r>
              <w:rPr>
                <w:rFonts w:ascii="Times New Roman" w:cs="Times New Roman" w:eastAsia="Times New Roman" w:hAnsi="Times New Roman"/>
                <w:sz w:val="16"/>
                <w:szCs w:val="16"/>
                <w:color w:val="auto"/>
              </w:rPr>
              <w:t>13,378</w:t>
            </w:r>
          </w:p>
        </w:tc>
        <w:tc>
          <w:tcPr>
            <w:tcW w:w="1040" w:type="dxa"/>
            <w:vAlign w:val="bottom"/>
            <w:tcBorders>
              <w:bottom w:val="single" w:sz="8" w:color="0C479D"/>
            </w:tcBorders>
          </w:tcPr>
          <w:p>
            <w:pPr>
              <w:jc w:val="right"/>
              <w:ind w:right="120"/>
              <w:spacing w:after="0"/>
              <w:rPr>
                <w:sz w:val="20"/>
                <w:szCs w:val="20"/>
                <w:color w:val="auto"/>
              </w:rPr>
            </w:pPr>
            <w:r>
              <w:rPr>
                <w:rFonts w:ascii="Times New Roman" w:cs="Times New Roman" w:eastAsia="Times New Roman" w:hAnsi="Times New Roman"/>
                <w:sz w:val="16"/>
                <w:szCs w:val="16"/>
                <w:color w:val="auto"/>
              </w:rPr>
              <w:t>11,474</w:t>
            </w:r>
          </w:p>
        </w:tc>
        <w:tc>
          <w:tcPr>
            <w:tcW w:w="1020" w:type="dxa"/>
            <w:vAlign w:val="bottom"/>
            <w:tcBorders>
              <w:bottom w:val="single" w:sz="8" w:color="0C479D"/>
            </w:tcBorders>
          </w:tcPr>
          <w:p>
            <w:pPr>
              <w:jc w:val="right"/>
              <w:ind w:right="119"/>
              <w:spacing w:after="0"/>
              <w:rPr>
                <w:sz w:val="20"/>
                <w:szCs w:val="20"/>
                <w:color w:val="auto"/>
              </w:rPr>
            </w:pPr>
            <w:r>
              <w:rPr>
                <w:rFonts w:ascii="Times New Roman" w:cs="Times New Roman" w:eastAsia="Times New Roman" w:hAnsi="Times New Roman"/>
                <w:sz w:val="16"/>
                <w:szCs w:val="16"/>
                <w:color w:val="auto"/>
              </w:rPr>
              <w:t>47</w:t>
            </w:r>
          </w:p>
        </w:tc>
        <w:tc>
          <w:tcPr>
            <w:tcW w:w="1080" w:type="dxa"/>
            <w:vAlign w:val="bottom"/>
            <w:tcBorders>
              <w:bottom w:val="single" w:sz="8" w:color="0C479D"/>
            </w:tcBorders>
          </w:tcPr>
          <w:p>
            <w:pPr>
              <w:jc w:val="right"/>
              <w:ind w:right="199"/>
              <w:spacing w:after="0"/>
              <w:rPr>
                <w:sz w:val="20"/>
                <w:szCs w:val="20"/>
                <w:color w:val="auto"/>
              </w:rPr>
            </w:pPr>
            <w:r>
              <w:rPr>
                <w:rFonts w:ascii="Times New Roman" w:cs="Times New Roman" w:eastAsia="Times New Roman" w:hAnsi="Times New Roman"/>
                <w:sz w:val="16"/>
                <w:szCs w:val="16"/>
                <w:color w:val="auto"/>
              </w:rPr>
              <w:t>6,355</w:t>
            </w:r>
          </w:p>
        </w:tc>
        <w:tc>
          <w:tcPr>
            <w:tcW w:w="940" w:type="dxa"/>
            <w:vAlign w:val="bottom"/>
            <w:tcBorders>
              <w:bottom w:val="single" w:sz="8" w:color="0C479D"/>
            </w:tcBorders>
          </w:tcPr>
          <w:p>
            <w:pPr>
              <w:jc w:val="right"/>
              <w:ind w:right="99"/>
              <w:spacing w:after="0"/>
              <w:rPr>
                <w:sz w:val="20"/>
                <w:szCs w:val="20"/>
                <w:color w:val="auto"/>
              </w:rPr>
            </w:pPr>
            <w:r>
              <w:rPr>
                <w:rFonts w:ascii="Times New Roman" w:cs="Times New Roman" w:eastAsia="Times New Roman" w:hAnsi="Times New Roman"/>
                <w:sz w:val="16"/>
                <w:szCs w:val="16"/>
                <w:color w:val="auto"/>
              </w:rPr>
              <w:t>10,779</w:t>
            </w:r>
          </w:p>
        </w:tc>
        <w:tc>
          <w:tcPr>
            <w:tcW w:w="108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color w:val="auto"/>
              </w:rPr>
              <w:t>600</w:t>
            </w:r>
          </w:p>
        </w:tc>
        <w:tc>
          <w:tcPr>
            <w:tcW w:w="8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42,633</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160" w:type="dxa"/>
            <w:vAlign w:val="bottom"/>
            <w:tcBorders>
              <w:bottom w:val="single" w:sz="8" w:color="0C479D"/>
            </w:tcBorders>
          </w:tcPr>
          <w:p>
            <w:pPr>
              <w:jc w:val="right"/>
              <w:ind w:right="99"/>
              <w:spacing w:after="0"/>
              <w:rPr>
                <w:sz w:val="20"/>
                <w:szCs w:val="20"/>
                <w:color w:val="auto"/>
              </w:rPr>
            </w:pPr>
            <w:r>
              <w:rPr>
                <w:rFonts w:ascii="Times New Roman" w:cs="Times New Roman" w:eastAsia="Times New Roman" w:hAnsi="Times New Roman"/>
                <w:sz w:val="16"/>
                <w:szCs w:val="16"/>
                <w:color w:val="auto"/>
              </w:rPr>
              <w:t>18,476</w:t>
            </w:r>
          </w:p>
        </w:tc>
        <w:tc>
          <w:tcPr>
            <w:tcW w:w="1040" w:type="dxa"/>
            <w:vAlign w:val="bottom"/>
            <w:tcBorders>
              <w:bottom w:val="single" w:sz="8" w:color="0C479D"/>
            </w:tcBorders>
          </w:tcPr>
          <w:p>
            <w:pPr>
              <w:jc w:val="right"/>
              <w:ind w:right="120"/>
              <w:spacing w:after="0"/>
              <w:rPr>
                <w:sz w:val="20"/>
                <w:szCs w:val="20"/>
                <w:color w:val="auto"/>
              </w:rPr>
            </w:pPr>
            <w:r>
              <w:rPr>
                <w:rFonts w:ascii="Times New Roman" w:cs="Times New Roman" w:eastAsia="Times New Roman" w:hAnsi="Times New Roman"/>
                <w:sz w:val="16"/>
                <w:szCs w:val="16"/>
                <w:color w:val="auto"/>
              </w:rPr>
              <w:t>15,501</w:t>
            </w:r>
          </w:p>
        </w:tc>
        <w:tc>
          <w:tcPr>
            <w:tcW w:w="1020" w:type="dxa"/>
            <w:vAlign w:val="bottom"/>
            <w:tcBorders>
              <w:bottom w:val="single" w:sz="8" w:color="0C479D"/>
            </w:tcBorders>
          </w:tcPr>
          <w:p>
            <w:pPr>
              <w:jc w:val="right"/>
              <w:ind w:right="119"/>
              <w:spacing w:after="0"/>
              <w:rPr>
                <w:sz w:val="20"/>
                <w:szCs w:val="20"/>
                <w:color w:val="auto"/>
              </w:rPr>
            </w:pPr>
            <w:r>
              <w:rPr>
                <w:rFonts w:ascii="Times New Roman" w:cs="Times New Roman" w:eastAsia="Times New Roman" w:hAnsi="Times New Roman"/>
                <w:sz w:val="16"/>
                <w:szCs w:val="16"/>
                <w:color w:val="auto"/>
              </w:rPr>
              <w:t>1,392</w:t>
            </w:r>
          </w:p>
        </w:tc>
        <w:tc>
          <w:tcPr>
            <w:tcW w:w="1080" w:type="dxa"/>
            <w:vAlign w:val="bottom"/>
            <w:tcBorders>
              <w:bottom w:val="single" w:sz="8" w:color="0C479D"/>
            </w:tcBorders>
          </w:tcPr>
          <w:p>
            <w:pPr>
              <w:jc w:val="right"/>
              <w:ind w:right="199"/>
              <w:spacing w:after="0"/>
              <w:rPr>
                <w:sz w:val="20"/>
                <w:szCs w:val="20"/>
                <w:color w:val="auto"/>
              </w:rPr>
            </w:pPr>
            <w:r>
              <w:rPr>
                <w:rFonts w:ascii="Times New Roman" w:cs="Times New Roman" w:eastAsia="Times New Roman" w:hAnsi="Times New Roman"/>
                <w:sz w:val="16"/>
                <w:szCs w:val="16"/>
                <w:color w:val="auto"/>
              </w:rPr>
              <w:t>6,653</w:t>
            </w:r>
          </w:p>
        </w:tc>
        <w:tc>
          <w:tcPr>
            <w:tcW w:w="940" w:type="dxa"/>
            <w:vAlign w:val="bottom"/>
            <w:tcBorders>
              <w:bottom w:val="single" w:sz="8" w:color="0C479D"/>
            </w:tcBorders>
          </w:tcPr>
          <w:p>
            <w:pPr>
              <w:jc w:val="right"/>
              <w:ind w:right="99"/>
              <w:spacing w:after="0"/>
              <w:rPr>
                <w:sz w:val="20"/>
                <w:szCs w:val="20"/>
                <w:color w:val="auto"/>
              </w:rPr>
            </w:pPr>
            <w:r>
              <w:rPr>
                <w:rFonts w:ascii="Times New Roman" w:cs="Times New Roman" w:eastAsia="Times New Roman" w:hAnsi="Times New Roman"/>
                <w:sz w:val="16"/>
                <w:szCs w:val="16"/>
                <w:color w:val="auto"/>
              </w:rPr>
              <w:t>13,269</w:t>
            </w:r>
          </w:p>
        </w:tc>
        <w:tc>
          <w:tcPr>
            <w:tcW w:w="108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color w:val="auto"/>
              </w:rPr>
              <w:t>5,188</w:t>
            </w:r>
          </w:p>
        </w:tc>
        <w:tc>
          <w:tcPr>
            <w:tcW w:w="8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60,479</w:t>
            </w:r>
          </w:p>
        </w:tc>
        <w:tc>
          <w:tcPr>
            <w:tcW w:w="0" w:type="dxa"/>
            <w:vAlign w:val="bottom"/>
          </w:tcPr>
          <w:p>
            <w:pPr>
              <w:spacing w:after="0"/>
              <w:rPr>
                <w:sz w:val="1"/>
                <w:szCs w:val="1"/>
                <w:color w:val="auto"/>
              </w:rPr>
            </w:pPr>
          </w:p>
        </w:tc>
      </w:tr>
      <w:tr>
        <w:trPr>
          <w:trHeight w:val="207"/>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Production costs excluding taxes</w:t>
            </w: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4,164</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4,943</w:t>
            </w: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623</w:t>
            </w: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1,710</w:t>
            </w: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1,146</w:t>
            </w:r>
          </w:p>
        </w:tc>
        <w:tc>
          <w:tcPr>
            <w:tcW w:w="10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511</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13,097</w:t>
            </w: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Exploration expenses</w:t>
            </w: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44</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505</w:t>
            </w: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w:t>
            </w: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124</w:t>
            </w: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18</w:t>
            </w:r>
          </w:p>
        </w:tc>
        <w:tc>
          <w:tcPr>
            <w:tcW w:w="10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35</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depletion</w:t>
            </w: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8,479</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2,866</w:t>
            </w: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96</w:t>
            </w: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1,561</w:t>
            </w: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1,519</w:t>
            </w:r>
          </w:p>
        </w:tc>
        <w:tc>
          <w:tcPr>
            <w:tcW w:w="10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755</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15,276</w:t>
            </w: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 other than income</w:t>
            </w: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1,701</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117</w:t>
            </w: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48</w:t>
            </w: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516</w:t>
            </w: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1,936</w:t>
            </w:r>
          </w:p>
        </w:tc>
        <w:tc>
          <w:tcPr>
            <w:tcW w:w="10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358</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4,676</w:t>
            </w:r>
          </w:p>
        </w:tc>
        <w:tc>
          <w:tcPr>
            <w:tcW w:w="0" w:type="dxa"/>
            <w:vAlign w:val="bottom"/>
          </w:tcPr>
          <w:p>
            <w:pPr>
              <w:spacing w:after="0"/>
              <w:rPr>
                <w:sz w:val="1"/>
                <w:szCs w:val="1"/>
                <w:color w:val="auto"/>
              </w:rPr>
            </w:pPr>
          </w:p>
        </w:tc>
      </w:tr>
      <w:tr>
        <w:trPr>
          <w:trHeight w:val="219"/>
        </w:trPr>
        <w:tc>
          <w:tcPr>
            <w:tcW w:w="396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color w:val="auto"/>
              </w:rPr>
              <w:t>Related income tax</w:t>
            </w:r>
          </w:p>
        </w:tc>
        <w:tc>
          <w:tcPr>
            <w:tcW w:w="1160" w:type="dxa"/>
            <w:vAlign w:val="bottom"/>
            <w:tcBorders>
              <w:bottom w:val="single" w:sz="8" w:color="0C479D"/>
            </w:tcBorders>
          </w:tcPr>
          <w:p>
            <w:pPr>
              <w:jc w:val="right"/>
              <w:ind w:right="99"/>
              <w:spacing w:after="0"/>
              <w:rPr>
                <w:sz w:val="20"/>
                <w:szCs w:val="20"/>
                <w:color w:val="auto"/>
              </w:rPr>
            </w:pPr>
            <w:r>
              <w:rPr>
                <w:rFonts w:ascii="Times New Roman" w:cs="Times New Roman" w:eastAsia="Times New Roman" w:hAnsi="Times New Roman"/>
                <w:sz w:val="16"/>
                <w:szCs w:val="16"/>
                <w:color w:val="auto"/>
              </w:rPr>
              <w:t>703</w:t>
            </w:r>
          </w:p>
        </w:tc>
        <w:tc>
          <w:tcPr>
            <w:tcW w:w="1040" w:type="dxa"/>
            <w:vAlign w:val="bottom"/>
            <w:tcBorders>
              <w:bottom w:val="single" w:sz="8" w:color="0C479D"/>
            </w:tcBorders>
          </w:tcPr>
          <w:p>
            <w:pPr>
              <w:jc w:val="right"/>
              <w:ind w:right="120"/>
              <w:spacing w:after="0"/>
              <w:rPr>
                <w:sz w:val="20"/>
                <w:szCs w:val="20"/>
                <w:color w:val="auto"/>
              </w:rPr>
            </w:pPr>
            <w:r>
              <w:rPr>
                <w:rFonts w:ascii="Times New Roman" w:cs="Times New Roman" w:eastAsia="Times New Roman" w:hAnsi="Times New Roman"/>
                <w:sz w:val="16"/>
                <w:szCs w:val="16"/>
                <w:color w:val="auto"/>
              </w:rPr>
              <w:t>1,196</w:t>
            </w:r>
          </w:p>
        </w:tc>
        <w:tc>
          <w:tcPr>
            <w:tcW w:w="1020" w:type="dxa"/>
            <w:vAlign w:val="bottom"/>
            <w:tcBorders>
              <w:bottom w:val="single" w:sz="8" w:color="0C479D"/>
            </w:tcBorders>
          </w:tcPr>
          <w:p>
            <w:pPr>
              <w:jc w:val="right"/>
              <w:ind w:right="119"/>
              <w:spacing w:after="0"/>
              <w:rPr>
                <w:sz w:val="20"/>
                <w:szCs w:val="20"/>
                <w:color w:val="auto"/>
              </w:rPr>
            </w:pPr>
            <w:r>
              <w:rPr>
                <w:rFonts w:ascii="Times New Roman" w:cs="Times New Roman" w:eastAsia="Times New Roman" w:hAnsi="Times New Roman"/>
                <w:sz w:val="16"/>
                <w:szCs w:val="16"/>
                <w:color w:val="auto"/>
              </w:rPr>
              <w:t>315</w:t>
            </w:r>
          </w:p>
        </w:tc>
        <w:tc>
          <w:tcPr>
            <w:tcW w:w="1080" w:type="dxa"/>
            <w:vAlign w:val="bottom"/>
            <w:tcBorders>
              <w:bottom w:val="single" w:sz="8" w:color="0C479D"/>
            </w:tcBorders>
          </w:tcPr>
          <w:p>
            <w:pPr>
              <w:jc w:val="right"/>
              <w:ind w:right="199"/>
              <w:spacing w:after="0"/>
              <w:rPr>
                <w:sz w:val="20"/>
                <w:szCs w:val="20"/>
                <w:color w:val="auto"/>
              </w:rPr>
            </w:pPr>
            <w:r>
              <w:rPr>
                <w:rFonts w:ascii="Times New Roman" w:cs="Times New Roman" w:eastAsia="Times New Roman" w:hAnsi="Times New Roman"/>
                <w:sz w:val="16"/>
                <w:szCs w:val="16"/>
                <w:color w:val="auto"/>
              </w:rPr>
              <w:t>1,299</w:t>
            </w:r>
          </w:p>
        </w:tc>
        <w:tc>
          <w:tcPr>
            <w:tcW w:w="940" w:type="dxa"/>
            <w:vAlign w:val="bottom"/>
            <w:tcBorders>
              <w:bottom w:val="single" w:sz="8" w:color="0C479D"/>
            </w:tcBorders>
          </w:tcPr>
          <w:p>
            <w:pPr>
              <w:jc w:val="right"/>
              <w:ind w:right="99"/>
              <w:spacing w:after="0"/>
              <w:rPr>
                <w:sz w:val="20"/>
                <w:szCs w:val="20"/>
                <w:color w:val="auto"/>
              </w:rPr>
            </w:pPr>
            <w:r>
              <w:rPr>
                <w:rFonts w:ascii="Times New Roman" w:cs="Times New Roman" w:eastAsia="Times New Roman" w:hAnsi="Times New Roman"/>
                <w:sz w:val="16"/>
                <w:szCs w:val="16"/>
                <w:color w:val="auto"/>
              </w:rPr>
              <w:t>6,498</w:t>
            </w:r>
          </w:p>
        </w:tc>
        <w:tc>
          <w:tcPr>
            <w:tcW w:w="108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color w:val="auto"/>
              </w:rPr>
              <w:t>1,078</w:t>
            </w:r>
          </w:p>
        </w:tc>
        <w:tc>
          <w:tcPr>
            <w:tcW w:w="8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11,089</w:t>
            </w:r>
          </w:p>
        </w:tc>
        <w:tc>
          <w:tcPr>
            <w:tcW w:w="0" w:type="dxa"/>
            <w:vAlign w:val="bottom"/>
          </w:tcPr>
          <w:p>
            <w:pPr>
              <w:spacing w:after="0"/>
              <w:rPr>
                <w:sz w:val="1"/>
                <w:szCs w:val="1"/>
                <w:color w:val="auto"/>
              </w:rPr>
            </w:pPr>
          </w:p>
        </w:tc>
      </w:tr>
      <w:tr>
        <w:trPr>
          <w:trHeight w:val="159"/>
        </w:trPr>
        <w:tc>
          <w:tcPr>
            <w:tcW w:w="396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Results of producing activities for consolidated</w:t>
            </w:r>
          </w:p>
        </w:tc>
        <w:tc>
          <w:tcPr>
            <w:tcW w:w="116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3,385</w:t>
            </w:r>
          </w:p>
        </w:tc>
        <w:tc>
          <w:tcPr>
            <w:tcW w:w="1040" w:type="dxa"/>
            <w:vAlign w:val="bottom"/>
            <w:vMerge w:val="restart"/>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5,874</w:t>
            </w:r>
          </w:p>
        </w:tc>
        <w:tc>
          <w:tcPr>
            <w:tcW w:w="102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285</w:t>
            </w:r>
          </w:p>
        </w:tc>
        <w:tc>
          <w:tcPr>
            <w:tcW w:w="108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1,443</w:t>
            </w:r>
          </w:p>
        </w:tc>
        <w:tc>
          <w:tcPr>
            <w:tcW w:w="94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2,152</w:t>
            </w:r>
          </w:p>
        </w:tc>
        <w:tc>
          <w:tcPr>
            <w:tcW w:w="108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2,451</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15,590</w:t>
            </w:r>
          </w:p>
        </w:tc>
        <w:tc>
          <w:tcPr>
            <w:tcW w:w="0" w:type="dxa"/>
            <w:vAlign w:val="bottom"/>
          </w:tcPr>
          <w:p>
            <w:pPr>
              <w:spacing w:after="0"/>
              <w:rPr>
                <w:sz w:val="1"/>
                <w:szCs w:val="1"/>
                <w:color w:val="auto"/>
              </w:rPr>
            </w:pPr>
          </w:p>
        </w:tc>
      </w:tr>
      <w:tr>
        <w:trPr>
          <w:trHeight w:val="214"/>
        </w:trPr>
        <w:tc>
          <w:tcPr>
            <w:tcW w:w="396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160" w:type="dxa"/>
            <w:vAlign w:val="bottom"/>
            <w:tcBorders>
              <w:bottom w:val="single" w:sz="8" w:color="0C479D"/>
            </w:tcBorders>
            <w:vMerge w:val="continue"/>
          </w:tcPr>
          <w:p>
            <w:pPr>
              <w:spacing w:after="0"/>
              <w:rPr>
                <w:sz w:val="18"/>
                <w:szCs w:val="18"/>
                <w:color w:val="auto"/>
              </w:rPr>
            </w:pPr>
          </w:p>
        </w:tc>
        <w:tc>
          <w:tcPr>
            <w:tcW w:w="1040" w:type="dxa"/>
            <w:vAlign w:val="bottom"/>
            <w:tcBorders>
              <w:bottom w:val="single" w:sz="8" w:color="0C479D"/>
            </w:tcBorders>
            <w:vMerge w:val="continue"/>
          </w:tcPr>
          <w:p>
            <w:pPr>
              <w:spacing w:after="0"/>
              <w:rPr>
                <w:sz w:val="18"/>
                <w:szCs w:val="18"/>
                <w:color w:val="auto"/>
              </w:rPr>
            </w:pPr>
          </w:p>
        </w:tc>
        <w:tc>
          <w:tcPr>
            <w:tcW w:w="1020" w:type="dxa"/>
            <w:vAlign w:val="bottom"/>
            <w:tcBorders>
              <w:bottom w:val="single" w:sz="8" w:color="0C479D"/>
            </w:tcBorders>
            <w:vMerge w:val="continue"/>
          </w:tcPr>
          <w:p>
            <w:pPr>
              <w:spacing w:after="0"/>
              <w:rPr>
                <w:sz w:val="18"/>
                <w:szCs w:val="18"/>
                <w:color w:val="auto"/>
              </w:rPr>
            </w:pPr>
          </w:p>
        </w:tc>
        <w:tc>
          <w:tcPr>
            <w:tcW w:w="1080" w:type="dxa"/>
            <w:vAlign w:val="bottom"/>
            <w:tcBorders>
              <w:bottom w:val="single" w:sz="8" w:color="0C479D"/>
            </w:tcBorders>
            <w:vMerge w:val="continue"/>
          </w:tcPr>
          <w:p>
            <w:pPr>
              <w:spacing w:after="0"/>
              <w:rPr>
                <w:sz w:val="18"/>
                <w:szCs w:val="18"/>
                <w:color w:val="auto"/>
              </w:rPr>
            </w:pPr>
          </w:p>
        </w:tc>
        <w:tc>
          <w:tcPr>
            <w:tcW w:w="940" w:type="dxa"/>
            <w:vAlign w:val="bottom"/>
            <w:tcBorders>
              <w:bottom w:val="single" w:sz="8" w:color="0C479D"/>
            </w:tcBorders>
            <w:vMerge w:val="continue"/>
          </w:tcPr>
          <w:p>
            <w:pPr>
              <w:spacing w:after="0"/>
              <w:rPr>
                <w:sz w:val="18"/>
                <w:szCs w:val="18"/>
                <w:color w:val="auto"/>
              </w:rPr>
            </w:pPr>
          </w:p>
        </w:tc>
        <w:tc>
          <w:tcPr>
            <w:tcW w:w="1080" w:type="dxa"/>
            <w:vAlign w:val="bottom"/>
            <w:tcBorders>
              <w:bottom w:val="single" w:sz="8" w:color="0C479D"/>
            </w:tcBorders>
            <w:vMerge w:val="continue"/>
          </w:tcPr>
          <w:p>
            <w:pPr>
              <w:spacing w:after="0"/>
              <w:rPr>
                <w:sz w:val="18"/>
                <w:szCs w:val="18"/>
                <w:color w:val="auto"/>
              </w:rPr>
            </w:pPr>
          </w:p>
        </w:tc>
        <w:tc>
          <w:tcPr>
            <w:tcW w:w="860" w:type="dxa"/>
            <w:vAlign w:val="bottom"/>
            <w:tcBorders>
              <w:bottom w:val="single" w:sz="8" w:color="0C479D"/>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0C479D"/>
              </w:rPr>
              <w:t>Equity Companies</w:t>
            </w: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Sales to third parties</w:t>
            </w: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182</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1,211</w:t>
            </w: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214</w:t>
            </w: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14,653</w:t>
            </w:r>
          </w:p>
        </w:tc>
        <w:tc>
          <w:tcPr>
            <w:tcW w:w="10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16,260</w:t>
            </w:r>
          </w:p>
        </w:tc>
        <w:tc>
          <w:tcPr>
            <w:tcW w:w="0" w:type="dxa"/>
            <w:vAlign w:val="bottom"/>
          </w:tcPr>
          <w:p>
            <w:pPr>
              <w:spacing w:after="0"/>
              <w:rPr>
                <w:sz w:val="1"/>
                <w:szCs w:val="1"/>
                <w:color w:val="auto"/>
              </w:rPr>
            </w:pPr>
          </w:p>
        </w:tc>
      </w:tr>
      <w:tr>
        <w:trPr>
          <w:trHeight w:val="219"/>
        </w:trPr>
        <w:tc>
          <w:tcPr>
            <w:tcW w:w="3960" w:type="dxa"/>
            <w:vAlign w:val="bottom"/>
            <w:tcBorders>
              <w:bottom w:val="single" w:sz="8" w:color="0C479D"/>
            </w:tcBorders>
          </w:tcPr>
          <w:p>
            <w:pPr>
              <w:ind w:left="100"/>
              <w:spacing w:after="0"/>
              <w:rPr>
                <w:sz w:val="20"/>
                <w:szCs w:val="20"/>
                <w:color w:val="auto"/>
              </w:rPr>
            </w:pPr>
            <w:r>
              <w:rPr>
                <w:rFonts w:ascii="Times New Roman" w:cs="Times New Roman" w:eastAsia="Times New Roman" w:hAnsi="Times New Roman"/>
                <w:sz w:val="16"/>
                <w:szCs w:val="16"/>
                <w:color w:val="auto"/>
              </w:rPr>
              <w:t>Transfers</w:t>
            </w:r>
          </w:p>
        </w:tc>
        <w:tc>
          <w:tcPr>
            <w:tcW w:w="1160" w:type="dxa"/>
            <w:vAlign w:val="bottom"/>
            <w:tcBorders>
              <w:bottom w:val="single" w:sz="8" w:color="0C479D"/>
            </w:tcBorders>
          </w:tcPr>
          <w:p>
            <w:pPr>
              <w:jc w:val="right"/>
              <w:ind w:right="99"/>
              <w:spacing w:after="0"/>
              <w:rPr>
                <w:sz w:val="20"/>
                <w:szCs w:val="20"/>
                <w:color w:val="auto"/>
              </w:rPr>
            </w:pPr>
            <w:r>
              <w:rPr>
                <w:rFonts w:ascii="Times New Roman" w:cs="Times New Roman" w:eastAsia="Times New Roman" w:hAnsi="Times New Roman"/>
                <w:sz w:val="16"/>
                <w:szCs w:val="16"/>
                <w:color w:val="auto"/>
              </w:rPr>
              <w:t>83</w:t>
            </w:r>
          </w:p>
        </w:tc>
        <w:tc>
          <w:tcPr>
            <w:tcW w:w="1040" w:type="dxa"/>
            <w:vAlign w:val="bottom"/>
            <w:tcBorders>
              <w:bottom w:val="single" w:sz="8" w:color="0C479D"/>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0C479D"/>
            </w:tcBorders>
          </w:tcPr>
          <w:p>
            <w:pPr>
              <w:jc w:val="right"/>
              <w:ind w:right="119"/>
              <w:spacing w:after="0"/>
              <w:rPr>
                <w:sz w:val="20"/>
                <w:szCs w:val="20"/>
                <w:color w:val="auto"/>
              </w:rPr>
            </w:pPr>
            <w:r>
              <w:rPr>
                <w:rFonts w:ascii="Times New Roman" w:cs="Times New Roman" w:eastAsia="Times New Roman" w:hAnsi="Times New Roman"/>
                <w:sz w:val="16"/>
                <w:szCs w:val="16"/>
                <w:color w:val="auto"/>
              </w:rPr>
              <w:t>29</w:t>
            </w:r>
          </w:p>
        </w:tc>
        <w:tc>
          <w:tcPr>
            <w:tcW w:w="1080" w:type="dxa"/>
            <w:vAlign w:val="bottom"/>
            <w:tcBorders>
              <w:bottom w:val="single" w:sz="8" w:color="0C479D"/>
            </w:tcBorders>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0C479D"/>
            </w:tcBorders>
          </w:tcPr>
          <w:p>
            <w:pPr>
              <w:jc w:val="right"/>
              <w:ind w:right="99"/>
              <w:spacing w:after="0"/>
              <w:rPr>
                <w:sz w:val="20"/>
                <w:szCs w:val="20"/>
                <w:color w:val="auto"/>
              </w:rPr>
            </w:pPr>
            <w:r>
              <w:rPr>
                <w:rFonts w:ascii="Times New Roman" w:cs="Times New Roman" w:eastAsia="Times New Roman" w:hAnsi="Times New Roman"/>
                <w:sz w:val="16"/>
                <w:szCs w:val="16"/>
                <w:color w:val="auto"/>
              </w:rPr>
              <w:t>232</w:t>
            </w:r>
          </w:p>
        </w:tc>
        <w:tc>
          <w:tcPr>
            <w:tcW w:w="108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160" w:type="dxa"/>
            <w:vAlign w:val="bottom"/>
            <w:tcBorders>
              <w:bottom w:val="single" w:sz="8" w:color="0C479D"/>
            </w:tcBorders>
          </w:tcPr>
          <w:p>
            <w:pPr>
              <w:jc w:val="right"/>
              <w:ind w:right="99"/>
              <w:spacing w:after="0"/>
              <w:rPr>
                <w:sz w:val="20"/>
                <w:szCs w:val="20"/>
                <w:color w:val="auto"/>
              </w:rPr>
            </w:pPr>
            <w:r>
              <w:rPr>
                <w:rFonts w:ascii="Times New Roman" w:cs="Times New Roman" w:eastAsia="Times New Roman" w:hAnsi="Times New Roman"/>
                <w:sz w:val="16"/>
                <w:szCs w:val="16"/>
                <w:color w:val="auto"/>
              </w:rPr>
              <w:t>265</w:t>
            </w:r>
          </w:p>
        </w:tc>
        <w:tc>
          <w:tcPr>
            <w:tcW w:w="1040" w:type="dxa"/>
            <w:vAlign w:val="bottom"/>
            <w:tcBorders>
              <w:bottom w:val="single" w:sz="8" w:color="0C479D"/>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0C479D"/>
            </w:tcBorders>
          </w:tcPr>
          <w:p>
            <w:pPr>
              <w:jc w:val="right"/>
              <w:ind w:right="119"/>
              <w:spacing w:after="0"/>
              <w:rPr>
                <w:sz w:val="20"/>
                <w:szCs w:val="20"/>
                <w:color w:val="auto"/>
              </w:rPr>
            </w:pPr>
            <w:r>
              <w:rPr>
                <w:rFonts w:ascii="Times New Roman" w:cs="Times New Roman" w:eastAsia="Times New Roman" w:hAnsi="Times New Roman"/>
                <w:sz w:val="16"/>
                <w:szCs w:val="16"/>
                <w:color w:val="auto"/>
              </w:rPr>
              <w:t>1,240</w:t>
            </w:r>
          </w:p>
        </w:tc>
        <w:tc>
          <w:tcPr>
            <w:tcW w:w="1080" w:type="dxa"/>
            <w:vAlign w:val="bottom"/>
            <w:tcBorders>
              <w:bottom w:val="single" w:sz="8" w:color="0C479D"/>
            </w:tcBorders>
          </w:tcPr>
          <w:p>
            <w:pPr>
              <w:jc w:val="right"/>
              <w:ind w:right="199"/>
              <w:spacing w:after="0"/>
              <w:rPr>
                <w:sz w:val="20"/>
                <w:szCs w:val="20"/>
                <w:color w:val="auto"/>
              </w:rPr>
            </w:pPr>
            <w:r>
              <w:rPr>
                <w:rFonts w:ascii="Times New Roman" w:cs="Times New Roman" w:eastAsia="Times New Roman" w:hAnsi="Times New Roman"/>
                <w:sz w:val="16"/>
                <w:szCs w:val="16"/>
                <w:color w:val="auto"/>
              </w:rPr>
              <w:t>214</w:t>
            </w:r>
          </w:p>
        </w:tc>
        <w:tc>
          <w:tcPr>
            <w:tcW w:w="940" w:type="dxa"/>
            <w:vAlign w:val="bottom"/>
            <w:tcBorders>
              <w:bottom w:val="single" w:sz="8" w:color="0C479D"/>
            </w:tcBorders>
          </w:tcPr>
          <w:p>
            <w:pPr>
              <w:jc w:val="right"/>
              <w:ind w:right="99"/>
              <w:spacing w:after="0"/>
              <w:rPr>
                <w:sz w:val="20"/>
                <w:szCs w:val="20"/>
                <w:color w:val="auto"/>
              </w:rPr>
            </w:pPr>
            <w:r>
              <w:rPr>
                <w:rFonts w:ascii="Times New Roman" w:cs="Times New Roman" w:eastAsia="Times New Roman" w:hAnsi="Times New Roman"/>
                <w:sz w:val="16"/>
                <w:szCs w:val="16"/>
                <w:color w:val="auto"/>
              </w:rPr>
              <w:t>14,885</w:t>
            </w:r>
          </w:p>
        </w:tc>
        <w:tc>
          <w:tcPr>
            <w:tcW w:w="108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16,604</w:t>
            </w:r>
          </w:p>
        </w:tc>
        <w:tc>
          <w:tcPr>
            <w:tcW w:w="0" w:type="dxa"/>
            <w:vAlign w:val="bottom"/>
          </w:tcPr>
          <w:p>
            <w:pPr>
              <w:spacing w:after="0"/>
              <w:rPr>
                <w:sz w:val="1"/>
                <w:szCs w:val="1"/>
                <w:color w:val="auto"/>
              </w:rPr>
            </w:pPr>
          </w:p>
        </w:tc>
      </w:tr>
      <w:tr>
        <w:trPr>
          <w:trHeight w:val="207"/>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Production costs excluding taxes</w:t>
            </w: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239</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419</w:t>
            </w: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39</w:t>
            </w: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714</w:t>
            </w:r>
          </w:p>
        </w:tc>
        <w:tc>
          <w:tcPr>
            <w:tcW w:w="10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1,411</w:t>
            </w: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Exploration expenses</w:t>
            </w: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depletion</w:t>
            </w: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58</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w:t>
            </w: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42</w:t>
            </w: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605</w:t>
            </w:r>
          </w:p>
        </w:tc>
        <w:tc>
          <w:tcPr>
            <w:tcW w:w="10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 other than income</w:t>
            </w: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12</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w:t>
            </w: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5,049</w:t>
            </w:r>
          </w:p>
        </w:tc>
        <w:tc>
          <w:tcPr>
            <w:tcW w:w="10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5,088</w:t>
            </w:r>
          </w:p>
        </w:tc>
        <w:tc>
          <w:tcPr>
            <w:tcW w:w="0" w:type="dxa"/>
            <w:vAlign w:val="bottom"/>
          </w:tcPr>
          <w:p>
            <w:pPr>
              <w:spacing w:after="0"/>
              <w:rPr>
                <w:sz w:val="1"/>
                <w:szCs w:val="1"/>
                <w:color w:val="auto"/>
              </w:rPr>
            </w:pPr>
          </w:p>
        </w:tc>
      </w:tr>
      <w:tr>
        <w:trPr>
          <w:trHeight w:val="219"/>
        </w:trPr>
        <w:tc>
          <w:tcPr>
            <w:tcW w:w="396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color w:val="auto"/>
              </w:rPr>
              <w:t>Related income tax</w:t>
            </w:r>
          </w:p>
        </w:tc>
        <w:tc>
          <w:tcPr>
            <w:tcW w:w="1160" w:type="dxa"/>
            <w:vAlign w:val="bottom"/>
            <w:tcBorders>
              <w:bottom w:val="single" w:sz="8" w:color="0C479D"/>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0C479D"/>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0C479D"/>
            </w:tcBorders>
          </w:tcPr>
          <w:p>
            <w:pPr>
              <w:jc w:val="right"/>
              <w:ind w:right="119"/>
              <w:spacing w:after="0"/>
              <w:rPr>
                <w:sz w:val="20"/>
                <w:szCs w:val="20"/>
                <w:color w:val="auto"/>
              </w:rPr>
            </w:pPr>
            <w:r>
              <w:rPr>
                <w:rFonts w:ascii="Times New Roman" w:cs="Times New Roman" w:eastAsia="Times New Roman" w:hAnsi="Times New Roman"/>
                <w:sz w:val="16"/>
                <w:szCs w:val="16"/>
                <w:color w:val="auto"/>
              </w:rPr>
              <w:t>202</w:t>
            </w:r>
          </w:p>
        </w:tc>
        <w:tc>
          <w:tcPr>
            <w:tcW w:w="1080" w:type="dxa"/>
            <w:vAlign w:val="bottom"/>
            <w:tcBorders>
              <w:bottom w:val="single" w:sz="8" w:color="0C479D"/>
            </w:tcBorders>
          </w:tcPr>
          <w:p>
            <w:pPr>
              <w:jc w:val="right"/>
              <w:ind w:right="199"/>
              <w:spacing w:after="0"/>
              <w:rPr>
                <w:sz w:val="20"/>
                <w:szCs w:val="20"/>
                <w:color w:val="auto"/>
              </w:rPr>
            </w:pPr>
            <w:r>
              <w:rPr>
                <w:rFonts w:ascii="Times New Roman" w:cs="Times New Roman" w:eastAsia="Times New Roman" w:hAnsi="Times New Roman"/>
                <w:sz w:val="16"/>
                <w:szCs w:val="16"/>
                <w:color w:val="auto"/>
              </w:rPr>
              <w:t>30</w:t>
            </w:r>
          </w:p>
        </w:tc>
        <w:tc>
          <w:tcPr>
            <w:tcW w:w="940" w:type="dxa"/>
            <w:vAlign w:val="bottom"/>
            <w:tcBorders>
              <w:bottom w:val="single" w:sz="8" w:color="0C479D"/>
            </w:tcBorders>
          </w:tcPr>
          <w:p>
            <w:pPr>
              <w:jc w:val="right"/>
              <w:ind w:right="99"/>
              <w:spacing w:after="0"/>
              <w:rPr>
                <w:sz w:val="20"/>
                <w:szCs w:val="20"/>
                <w:color w:val="auto"/>
              </w:rPr>
            </w:pPr>
            <w:r>
              <w:rPr>
                <w:rFonts w:ascii="Times New Roman" w:cs="Times New Roman" w:eastAsia="Times New Roman" w:hAnsi="Times New Roman"/>
                <w:sz w:val="16"/>
                <w:szCs w:val="16"/>
                <w:color w:val="auto"/>
              </w:rPr>
              <w:t>2,904</w:t>
            </w:r>
          </w:p>
        </w:tc>
        <w:tc>
          <w:tcPr>
            <w:tcW w:w="108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3,136</w:t>
            </w:r>
          </w:p>
        </w:tc>
        <w:tc>
          <w:tcPr>
            <w:tcW w:w="0" w:type="dxa"/>
            <w:vAlign w:val="bottom"/>
          </w:tcPr>
          <w:p>
            <w:pPr>
              <w:spacing w:after="0"/>
              <w:rPr>
                <w:sz w:val="1"/>
                <w:szCs w:val="1"/>
                <w:color w:val="auto"/>
              </w:rPr>
            </w:pPr>
          </w:p>
        </w:tc>
      </w:tr>
      <w:tr>
        <w:trPr>
          <w:trHeight w:val="211"/>
        </w:trPr>
        <w:tc>
          <w:tcPr>
            <w:tcW w:w="396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Results of producing activities for equity companies</w:t>
            </w:r>
          </w:p>
        </w:tc>
        <w:tc>
          <w:tcPr>
            <w:tcW w:w="1160" w:type="dxa"/>
            <w:vAlign w:val="bottom"/>
            <w:tcBorders>
              <w:bottom w:val="single" w:sz="8" w:color="0C479D"/>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(44)</w:t>
            </w:r>
          </w:p>
        </w:tc>
        <w:tc>
          <w:tcPr>
            <w:tcW w:w="1040" w:type="dxa"/>
            <w:vAlign w:val="bottom"/>
            <w:tcBorders>
              <w:bottom w:val="single" w:sz="8" w:color="0C479D"/>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Borders>
              <w:bottom w:val="single" w:sz="8" w:color="0C479D"/>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565</w:t>
            </w:r>
          </w:p>
        </w:tc>
        <w:tc>
          <w:tcPr>
            <w:tcW w:w="1080" w:type="dxa"/>
            <w:vAlign w:val="bottom"/>
            <w:tcBorders>
              <w:bottom w:val="single" w:sz="8" w:color="0C479D"/>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103</w:t>
            </w:r>
          </w:p>
        </w:tc>
        <w:tc>
          <w:tcPr>
            <w:tcW w:w="940" w:type="dxa"/>
            <w:vAlign w:val="bottom"/>
            <w:tcBorders>
              <w:bottom w:val="single" w:sz="8" w:color="0C479D"/>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5,613</w:t>
            </w:r>
          </w:p>
        </w:tc>
        <w:tc>
          <w:tcPr>
            <w:tcW w:w="108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6,237</w:t>
            </w:r>
          </w:p>
        </w:tc>
        <w:tc>
          <w:tcPr>
            <w:tcW w:w="0" w:type="dxa"/>
            <w:vAlign w:val="bottom"/>
          </w:tcPr>
          <w:p>
            <w:pPr>
              <w:spacing w:after="0"/>
              <w:rPr>
                <w:sz w:val="1"/>
                <w:szCs w:val="1"/>
                <w:color w:val="auto"/>
              </w:rPr>
            </w:pPr>
          </w:p>
        </w:tc>
      </w:tr>
      <w:tr>
        <w:trPr>
          <w:trHeight w:val="76"/>
        </w:trPr>
        <w:tc>
          <w:tcPr>
            <w:tcW w:w="3960" w:type="dxa"/>
            <w:vAlign w:val="bottom"/>
            <w:tcBorders>
              <w:bottom w:val="single" w:sz="8" w:color="0C479D"/>
            </w:tcBorders>
          </w:tcPr>
          <w:p>
            <w:pPr>
              <w:spacing w:after="0"/>
              <w:rPr>
                <w:sz w:val="6"/>
                <w:szCs w:val="6"/>
                <w:color w:val="auto"/>
              </w:rPr>
            </w:pPr>
          </w:p>
        </w:tc>
        <w:tc>
          <w:tcPr>
            <w:tcW w:w="1160" w:type="dxa"/>
            <w:vAlign w:val="bottom"/>
            <w:tcBorders>
              <w:bottom w:val="single" w:sz="8" w:color="0C479D"/>
            </w:tcBorders>
          </w:tcPr>
          <w:p>
            <w:pPr>
              <w:spacing w:after="0"/>
              <w:rPr>
                <w:sz w:val="6"/>
                <w:szCs w:val="6"/>
                <w:color w:val="auto"/>
              </w:rPr>
            </w:pPr>
          </w:p>
        </w:tc>
        <w:tc>
          <w:tcPr>
            <w:tcW w:w="1040" w:type="dxa"/>
            <w:vAlign w:val="bottom"/>
            <w:tcBorders>
              <w:bottom w:val="single" w:sz="8" w:color="0C479D"/>
            </w:tcBorders>
          </w:tcPr>
          <w:p>
            <w:pPr>
              <w:spacing w:after="0"/>
              <w:rPr>
                <w:sz w:val="6"/>
                <w:szCs w:val="6"/>
                <w:color w:val="auto"/>
              </w:rPr>
            </w:pPr>
          </w:p>
        </w:tc>
        <w:tc>
          <w:tcPr>
            <w:tcW w:w="1020" w:type="dxa"/>
            <w:vAlign w:val="bottom"/>
            <w:tcBorders>
              <w:bottom w:val="single" w:sz="8" w:color="0C479D"/>
            </w:tcBorders>
          </w:tcPr>
          <w:p>
            <w:pPr>
              <w:spacing w:after="0"/>
              <w:rPr>
                <w:sz w:val="6"/>
                <w:szCs w:val="6"/>
                <w:color w:val="auto"/>
              </w:rPr>
            </w:pPr>
          </w:p>
        </w:tc>
        <w:tc>
          <w:tcPr>
            <w:tcW w:w="1080" w:type="dxa"/>
            <w:vAlign w:val="bottom"/>
            <w:tcBorders>
              <w:bottom w:val="single" w:sz="8" w:color="0C479D"/>
            </w:tcBorders>
          </w:tcPr>
          <w:p>
            <w:pPr>
              <w:spacing w:after="0"/>
              <w:rPr>
                <w:sz w:val="6"/>
                <w:szCs w:val="6"/>
                <w:color w:val="auto"/>
              </w:rPr>
            </w:pPr>
          </w:p>
        </w:tc>
        <w:tc>
          <w:tcPr>
            <w:tcW w:w="940" w:type="dxa"/>
            <w:vAlign w:val="bottom"/>
            <w:tcBorders>
              <w:bottom w:val="single" w:sz="8" w:color="0C479D"/>
            </w:tcBorders>
          </w:tcPr>
          <w:p>
            <w:pPr>
              <w:spacing w:after="0"/>
              <w:rPr>
                <w:sz w:val="6"/>
                <w:szCs w:val="6"/>
                <w:color w:val="auto"/>
              </w:rPr>
            </w:pPr>
          </w:p>
        </w:tc>
        <w:tc>
          <w:tcPr>
            <w:tcW w:w="1080" w:type="dxa"/>
            <w:vAlign w:val="bottom"/>
            <w:tcBorders>
              <w:bottom w:val="single" w:sz="8" w:color="0C479D"/>
            </w:tcBorders>
          </w:tcPr>
          <w:p>
            <w:pPr>
              <w:spacing w:after="0"/>
              <w:rPr>
                <w:sz w:val="6"/>
                <w:szCs w:val="6"/>
                <w:color w:val="auto"/>
              </w:rPr>
            </w:pPr>
          </w:p>
        </w:tc>
        <w:tc>
          <w:tcPr>
            <w:tcW w:w="860" w:type="dxa"/>
            <w:vAlign w:val="bottom"/>
            <w:tcBorders>
              <w:bottom w:val="single" w:sz="8" w:color="0C479D"/>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396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results of operations</w:t>
            </w:r>
          </w:p>
        </w:tc>
        <w:tc>
          <w:tcPr>
            <w:tcW w:w="1160" w:type="dxa"/>
            <w:vAlign w:val="bottom"/>
            <w:tcBorders>
              <w:bottom w:val="single" w:sz="8" w:color="0C479D"/>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3,341</w:t>
            </w:r>
          </w:p>
        </w:tc>
        <w:tc>
          <w:tcPr>
            <w:tcW w:w="1040" w:type="dxa"/>
            <w:vAlign w:val="bottom"/>
            <w:tcBorders>
              <w:bottom w:val="single" w:sz="8" w:color="0C479D"/>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5,874</w:t>
            </w:r>
          </w:p>
        </w:tc>
        <w:tc>
          <w:tcPr>
            <w:tcW w:w="1020" w:type="dxa"/>
            <w:vAlign w:val="bottom"/>
            <w:tcBorders>
              <w:bottom w:val="single" w:sz="8" w:color="0C479D"/>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850</w:t>
            </w:r>
          </w:p>
        </w:tc>
        <w:tc>
          <w:tcPr>
            <w:tcW w:w="1080" w:type="dxa"/>
            <w:vAlign w:val="bottom"/>
            <w:tcBorders>
              <w:bottom w:val="single" w:sz="8" w:color="0C479D"/>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1,546</w:t>
            </w:r>
          </w:p>
        </w:tc>
        <w:tc>
          <w:tcPr>
            <w:tcW w:w="940" w:type="dxa"/>
            <w:vAlign w:val="bottom"/>
            <w:tcBorders>
              <w:bottom w:val="single" w:sz="8" w:color="0C479D"/>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7,765</w:t>
            </w:r>
          </w:p>
        </w:tc>
        <w:tc>
          <w:tcPr>
            <w:tcW w:w="108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2,451</w:t>
            </w:r>
          </w:p>
        </w:tc>
        <w:tc>
          <w:tcPr>
            <w:tcW w:w="8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21,827</w:t>
            </w:r>
          </w:p>
        </w:tc>
        <w:tc>
          <w:tcPr>
            <w:tcW w:w="0" w:type="dxa"/>
            <w:vAlign w:val="bottom"/>
          </w:tcPr>
          <w:p>
            <w:pPr>
              <w:spacing w:after="0"/>
              <w:rPr>
                <w:sz w:val="1"/>
                <w:szCs w:val="1"/>
                <w:color w:val="auto"/>
              </w:rPr>
            </w:pPr>
          </w:p>
        </w:tc>
      </w:tr>
      <w:tr>
        <w:trPr>
          <w:trHeight w:val="466"/>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0C479D"/>
              </w:rPr>
              <w:t>2022</w:t>
            </w: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0C479D"/>
              </w:rPr>
              <w:t>Consolidated Subsidiaries</w:t>
            </w:r>
          </w:p>
        </w:tc>
        <w:tc>
          <w:tcPr>
            <w:tcW w:w="1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Sales to third parties</w:t>
            </w: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8,801</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4,401</w:t>
            </w: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2,388</w:t>
            </w: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463</w:t>
            </w: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2,710</w:t>
            </w:r>
          </w:p>
        </w:tc>
        <w:tc>
          <w:tcPr>
            <w:tcW w:w="10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6,222</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24,985</w:t>
            </w:r>
          </w:p>
        </w:tc>
        <w:tc>
          <w:tcPr>
            <w:tcW w:w="0" w:type="dxa"/>
            <w:vAlign w:val="bottom"/>
          </w:tcPr>
          <w:p>
            <w:pPr>
              <w:spacing w:after="0"/>
              <w:rPr>
                <w:sz w:val="1"/>
                <w:szCs w:val="1"/>
                <w:color w:val="auto"/>
              </w:rPr>
            </w:pPr>
          </w:p>
        </w:tc>
      </w:tr>
      <w:tr>
        <w:trPr>
          <w:trHeight w:val="219"/>
        </w:trPr>
        <w:tc>
          <w:tcPr>
            <w:tcW w:w="3960" w:type="dxa"/>
            <w:vAlign w:val="bottom"/>
            <w:tcBorders>
              <w:bottom w:val="single" w:sz="8" w:color="0C479D"/>
            </w:tcBorders>
          </w:tcPr>
          <w:p>
            <w:pPr>
              <w:ind w:left="100"/>
              <w:spacing w:after="0"/>
              <w:rPr>
                <w:sz w:val="20"/>
                <w:szCs w:val="20"/>
                <w:color w:val="auto"/>
              </w:rPr>
            </w:pPr>
            <w:r>
              <w:rPr>
                <w:rFonts w:ascii="Times New Roman" w:cs="Times New Roman" w:eastAsia="Times New Roman" w:hAnsi="Times New Roman"/>
                <w:sz w:val="16"/>
                <w:szCs w:val="16"/>
                <w:color w:val="auto"/>
              </w:rPr>
              <w:t>Transfers</w:t>
            </w:r>
          </w:p>
        </w:tc>
        <w:tc>
          <w:tcPr>
            <w:tcW w:w="1160" w:type="dxa"/>
            <w:vAlign w:val="bottom"/>
            <w:tcBorders>
              <w:bottom w:val="single" w:sz="8" w:color="0C479D"/>
            </w:tcBorders>
          </w:tcPr>
          <w:p>
            <w:pPr>
              <w:jc w:val="right"/>
              <w:ind w:right="99"/>
              <w:spacing w:after="0"/>
              <w:rPr>
                <w:sz w:val="20"/>
                <w:szCs w:val="20"/>
                <w:color w:val="auto"/>
              </w:rPr>
            </w:pPr>
            <w:r>
              <w:rPr>
                <w:rFonts w:ascii="Times New Roman" w:cs="Times New Roman" w:eastAsia="Times New Roman" w:hAnsi="Times New Roman"/>
                <w:sz w:val="16"/>
                <w:szCs w:val="16"/>
                <w:color w:val="auto"/>
              </w:rPr>
              <w:t>17,020</w:t>
            </w:r>
          </w:p>
        </w:tc>
        <w:tc>
          <w:tcPr>
            <w:tcW w:w="1040" w:type="dxa"/>
            <w:vAlign w:val="bottom"/>
            <w:tcBorders>
              <w:bottom w:val="single" w:sz="8" w:color="0C479D"/>
            </w:tcBorders>
          </w:tcPr>
          <w:p>
            <w:pPr>
              <w:jc w:val="right"/>
              <w:ind w:right="120"/>
              <w:spacing w:after="0"/>
              <w:rPr>
                <w:sz w:val="20"/>
                <w:szCs w:val="20"/>
                <w:color w:val="auto"/>
              </w:rPr>
            </w:pPr>
            <w:r>
              <w:rPr>
                <w:rFonts w:ascii="Times New Roman" w:cs="Times New Roman" w:eastAsia="Times New Roman" w:hAnsi="Times New Roman"/>
                <w:sz w:val="16"/>
                <w:szCs w:val="16"/>
                <w:color w:val="auto"/>
              </w:rPr>
              <w:t>12,568</w:t>
            </w:r>
          </w:p>
        </w:tc>
        <w:tc>
          <w:tcPr>
            <w:tcW w:w="1020" w:type="dxa"/>
            <w:vAlign w:val="bottom"/>
            <w:tcBorders>
              <w:bottom w:val="single" w:sz="8" w:color="0C479D"/>
            </w:tcBorders>
          </w:tcPr>
          <w:p>
            <w:pPr>
              <w:jc w:val="right"/>
              <w:ind w:right="119"/>
              <w:spacing w:after="0"/>
              <w:rPr>
                <w:sz w:val="20"/>
                <w:szCs w:val="20"/>
                <w:color w:val="auto"/>
              </w:rPr>
            </w:pPr>
            <w:r>
              <w:rPr>
                <w:rFonts w:ascii="Times New Roman" w:cs="Times New Roman" w:eastAsia="Times New Roman" w:hAnsi="Times New Roman"/>
                <w:sz w:val="16"/>
                <w:szCs w:val="16"/>
                <w:color w:val="auto"/>
              </w:rPr>
              <w:t>60</w:t>
            </w:r>
          </w:p>
        </w:tc>
        <w:tc>
          <w:tcPr>
            <w:tcW w:w="1080" w:type="dxa"/>
            <w:vAlign w:val="bottom"/>
            <w:tcBorders>
              <w:bottom w:val="single" w:sz="8" w:color="0C479D"/>
            </w:tcBorders>
          </w:tcPr>
          <w:p>
            <w:pPr>
              <w:jc w:val="right"/>
              <w:ind w:right="199"/>
              <w:spacing w:after="0"/>
              <w:rPr>
                <w:sz w:val="20"/>
                <w:szCs w:val="20"/>
                <w:color w:val="auto"/>
              </w:rPr>
            </w:pPr>
            <w:r>
              <w:rPr>
                <w:rFonts w:ascii="Times New Roman" w:cs="Times New Roman" w:eastAsia="Times New Roman" w:hAnsi="Times New Roman"/>
                <w:sz w:val="16"/>
                <w:szCs w:val="16"/>
                <w:color w:val="auto"/>
              </w:rPr>
              <w:t>8,634</w:t>
            </w:r>
          </w:p>
        </w:tc>
        <w:tc>
          <w:tcPr>
            <w:tcW w:w="940" w:type="dxa"/>
            <w:vAlign w:val="bottom"/>
            <w:tcBorders>
              <w:bottom w:val="single" w:sz="8" w:color="0C479D"/>
            </w:tcBorders>
          </w:tcPr>
          <w:p>
            <w:pPr>
              <w:jc w:val="right"/>
              <w:ind w:right="99"/>
              <w:spacing w:after="0"/>
              <w:rPr>
                <w:sz w:val="20"/>
                <w:szCs w:val="20"/>
                <w:color w:val="auto"/>
              </w:rPr>
            </w:pPr>
            <w:r>
              <w:rPr>
                <w:rFonts w:ascii="Times New Roman" w:cs="Times New Roman" w:eastAsia="Times New Roman" w:hAnsi="Times New Roman"/>
                <w:sz w:val="16"/>
                <w:szCs w:val="16"/>
                <w:color w:val="auto"/>
              </w:rPr>
              <w:t>12,274</w:t>
            </w:r>
          </w:p>
        </w:tc>
        <w:tc>
          <w:tcPr>
            <w:tcW w:w="108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color w:val="auto"/>
              </w:rPr>
              <w:t>996</w:t>
            </w:r>
          </w:p>
        </w:tc>
        <w:tc>
          <w:tcPr>
            <w:tcW w:w="8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51,552</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160" w:type="dxa"/>
            <w:vAlign w:val="bottom"/>
            <w:tcBorders>
              <w:bottom w:val="single" w:sz="8" w:color="0C479D"/>
            </w:tcBorders>
          </w:tcPr>
          <w:p>
            <w:pPr>
              <w:jc w:val="right"/>
              <w:ind w:right="99"/>
              <w:spacing w:after="0"/>
              <w:rPr>
                <w:sz w:val="20"/>
                <w:szCs w:val="20"/>
                <w:color w:val="auto"/>
              </w:rPr>
            </w:pPr>
            <w:r>
              <w:rPr>
                <w:rFonts w:ascii="Times New Roman" w:cs="Times New Roman" w:eastAsia="Times New Roman" w:hAnsi="Times New Roman"/>
                <w:sz w:val="16"/>
                <w:szCs w:val="16"/>
                <w:color w:val="auto"/>
              </w:rPr>
              <w:t>25,821</w:t>
            </w:r>
          </w:p>
        </w:tc>
        <w:tc>
          <w:tcPr>
            <w:tcW w:w="1040" w:type="dxa"/>
            <w:vAlign w:val="bottom"/>
            <w:tcBorders>
              <w:bottom w:val="single" w:sz="8" w:color="0C479D"/>
            </w:tcBorders>
          </w:tcPr>
          <w:p>
            <w:pPr>
              <w:jc w:val="right"/>
              <w:ind w:right="120"/>
              <w:spacing w:after="0"/>
              <w:rPr>
                <w:sz w:val="20"/>
                <w:szCs w:val="20"/>
                <w:color w:val="auto"/>
              </w:rPr>
            </w:pPr>
            <w:r>
              <w:rPr>
                <w:rFonts w:ascii="Times New Roman" w:cs="Times New Roman" w:eastAsia="Times New Roman" w:hAnsi="Times New Roman"/>
                <w:sz w:val="16"/>
                <w:szCs w:val="16"/>
                <w:color w:val="auto"/>
              </w:rPr>
              <w:t>16,969</w:t>
            </w:r>
          </w:p>
        </w:tc>
        <w:tc>
          <w:tcPr>
            <w:tcW w:w="1020" w:type="dxa"/>
            <w:vAlign w:val="bottom"/>
            <w:tcBorders>
              <w:bottom w:val="single" w:sz="8" w:color="0C479D"/>
            </w:tcBorders>
          </w:tcPr>
          <w:p>
            <w:pPr>
              <w:jc w:val="right"/>
              <w:ind w:right="119"/>
              <w:spacing w:after="0"/>
              <w:rPr>
                <w:sz w:val="20"/>
                <w:szCs w:val="20"/>
                <w:color w:val="auto"/>
              </w:rPr>
            </w:pPr>
            <w:r>
              <w:rPr>
                <w:rFonts w:ascii="Times New Roman" w:cs="Times New Roman" w:eastAsia="Times New Roman" w:hAnsi="Times New Roman"/>
                <w:sz w:val="16"/>
                <w:szCs w:val="16"/>
                <w:color w:val="auto"/>
              </w:rPr>
              <w:t>2,448</w:t>
            </w:r>
          </w:p>
        </w:tc>
        <w:tc>
          <w:tcPr>
            <w:tcW w:w="1080" w:type="dxa"/>
            <w:vAlign w:val="bottom"/>
            <w:tcBorders>
              <w:bottom w:val="single" w:sz="8" w:color="0C479D"/>
            </w:tcBorders>
          </w:tcPr>
          <w:p>
            <w:pPr>
              <w:jc w:val="right"/>
              <w:ind w:right="199"/>
              <w:spacing w:after="0"/>
              <w:rPr>
                <w:sz w:val="20"/>
                <w:szCs w:val="20"/>
                <w:color w:val="auto"/>
              </w:rPr>
            </w:pPr>
            <w:r>
              <w:rPr>
                <w:rFonts w:ascii="Times New Roman" w:cs="Times New Roman" w:eastAsia="Times New Roman" w:hAnsi="Times New Roman"/>
                <w:sz w:val="16"/>
                <w:szCs w:val="16"/>
                <w:color w:val="auto"/>
              </w:rPr>
              <w:t>9,097</w:t>
            </w:r>
          </w:p>
        </w:tc>
        <w:tc>
          <w:tcPr>
            <w:tcW w:w="940" w:type="dxa"/>
            <w:vAlign w:val="bottom"/>
            <w:tcBorders>
              <w:bottom w:val="single" w:sz="8" w:color="0C479D"/>
            </w:tcBorders>
          </w:tcPr>
          <w:p>
            <w:pPr>
              <w:jc w:val="right"/>
              <w:ind w:right="99"/>
              <w:spacing w:after="0"/>
              <w:rPr>
                <w:sz w:val="20"/>
                <w:szCs w:val="20"/>
                <w:color w:val="auto"/>
              </w:rPr>
            </w:pPr>
            <w:r>
              <w:rPr>
                <w:rFonts w:ascii="Times New Roman" w:cs="Times New Roman" w:eastAsia="Times New Roman" w:hAnsi="Times New Roman"/>
                <w:sz w:val="16"/>
                <w:szCs w:val="16"/>
                <w:color w:val="auto"/>
              </w:rPr>
              <w:t>14,984</w:t>
            </w:r>
          </w:p>
        </w:tc>
        <w:tc>
          <w:tcPr>
            <w:tcW w:w="108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color w:val="auto"/>
              </w:rPr>
              <w:t>7,218</w:t>
            </w:r>
          </w:p>
        </w:tc>
        <w:tc>
          <w:tcPr>
            <w:tcW w:w="8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76,537</w:t>
            </w:r>
          </w:p>
        </w:tc>
        <w:tc>
          <w:tcPr>
            <w:tcW w:w="0" w:type="dxa"/>
            <w:vAlign w:val="bottom"/>
          </w:tcPr>
          <w:p>
            <w:pPr>
              <w:spacing w:after="0"/>
              <w:rPr>
                <w:sz w:val="1"/>
                <w:szCs w:val="1"/>
                <w:color w:val="auto"/>
              </w:rPr>
            </w:pPr>
          </w:p>
        </w:tc>
      </w:tr>
      <w:tr>
        <w:trPr>
          <w:trHeight w:val="207"/>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Production costs excluding taxes</w:t>
            </w: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3,965</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5,519</w:t>
            </w: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464</w:t>
            </w: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1,965</w:t>
            </w: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1,492</w:t>
            </w:r>
          </w:p>
        </w:tc>
        <w:tc>
          <w:tcPr>
            <w:tcW w:w="10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513</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13,918</w:t>
            </w: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Exploration expenses</w:t>
            </w: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18</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698</w:t>
            </w: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w:t>
            </w: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168</w:t>
            </w: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51</w:t>
            </w:r>
          </w:p>
        </w:tc>
        <w:tc>
          <w:tcPr>
            <w:tcW w:w="10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62</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1,025</w:t>
            </w: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depletion</w:t>
            </w: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5,472</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3,700</w:t>
            </w: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193</w:t>
            </w: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2,293</w:t>
            </w: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5,672</w:t>
            </w:r>
          </w:p>
        </w:tc>
        <w:tc>
          <w:tcPr>
            <w:tcW w:w="10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829</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18,159</w:t>
            </w: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 other than income</w:t>
            </w: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2,314</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120</w:t>
            </w: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140</w:t>
            </w: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729</w:t>
            </w: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2,312</w:t>
            </w:r>
          </w:p>
        </w:tc>
        <w:tc>
          <w:tcPr>
            <w:tcW w:w="10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689</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6,304</w:t>
            </w:r>
          </w:p>
        </w:tc>
        <w:tc>
          <w:tcPr>
            <w:tcW w:w="0" w:type="dxa"/>
            <w:vAlign w:val="bottom"/>
          </w:tcPr>
          <w:p>
            <w:pPr>
              <w:spacing w:after="0"/>
              <w:rPr>
                <w:sz w:val="1"/>
                <w:szCs w:val="1"/>
                <w:color w:val="auto"/>
              </w:rPr>
            </w:pPr>
          </w:p>
        </w:tc>
      </w:tr>
      <w:tr>
        <w:trPr>
          <w:trHeight w:val="219"/>
        </w:trPr>
        <w:tc>
          <w:tcPr>
            <w:tcW w:w="396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color w:val="auto"/>
              </w:rPr>
              <w:t>Related income tax</w:t>
            </w:r>
          </w:p>
        </w:tc>
        <w:tc>
          <w:tcPr>
            <w:tcW w:w="1160" w:type="dxa"/>
            <w:vAlign w:val="bottom"/>
            <w:tcBorders>
              <w:bottom w:val="single" w:sz="8" w:color="0C479D"/>
            </w:tcBorders>
          </w:tcPr>
          <w:p>
            <w:pPr>
              <w:jc w:val="right"/>
              <w:ind w:right="99"/>
              <w:spacing w:after="0"/>
              <w:rPr>
                <w:sz w:val="20"/>
                <w:szCs w:val="20"/>
                <w:color w:val="auto"/>
              </w:rPr>
            </w:pPr>
            <w:r>
              <w:rPr>
                <w:rFonts w:ascii="Times New Roman" w:cs="Times New Roman" w:eastAsia="Times New Roman" w:hAnsi="Times New Roman"/>
                <w:sz w:val="16"/>
                <w:szCs w:val="16"/>
                <w:color w:val="auto"/>
              </w:rPr>
              <w:t>3,294</w:t>
            </w:r>
          </w:p>
        </w:tc>
        <w:tc>
          <w:tcPr>
            <w:tcW w:w="1040" w:type="dxa"/>
            <w:vAlign w:val="bottom"/>
            <w:tcBorders>
              <w:bottom w:val="single" w:sz="8" w:color="0C479D"/>
            </w:tcBorders>
          </w:tcPr>
          <w:p>
            <w:pPr>
              <w:jc w:val="right"/>
              <w:ind w:right="120"/>
              <w:spacing w:after="0"/>
              <w:rPr>
                <w:sz w:val="20"/>
                <w:szCs w:val="20"/>
                <w:color w:val="auto"/>
              </w:rPr>
            </w:pPr>
            <w:r>
              <w:rPr>
                <w:rFonts w:ascii="Times New Roman" w:cs="Times New Roman" w:eastAsia="Times New Roman" w:hAnsi="Times New Roman"/>
                <w:sz w:val="16"/>
                <w:szCs w:val="16"/>
                <w:color w:val="auto"/>
              </w:rPr>
              <w:t>1,112</w:t>
            </w:r>
          </w:p>
        </w:tc>
        <w:tc>
          <w:tcPr>
            <w:tcW w:w="1020" w:type="dxa"/>
            <w:vAlign w:val="bottom"/>
            <w:tcBorders>
              <w:bottom w:val="single" w:sz="8" w:color="0C479D"/>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1,048</w:t>
            </w:r>
          </w:p>
        </w:tc>
        <w:tc>
          <w:tcPr>
            <w:tcW w:w="1080" w:type="dxa"/>
            <w:vAlign w:val="bottom"/>
            <w:tcBorders>
              <w:bottom w:val="single" w:sz="8" w:color="0C479D"/>
            </w:tcBorders>
          </w:tcPr>
          <w:p>
            <w:pPr>
              <w:jc w:val="right"/>
              <w:ind w:right="199"/>
              <w:spacing w:after="0"/>
              <w:rPr>
                <w:sz w:val="20"/>
                <w:szCs w:val="20"/>
                <w:color w:val="auto"/>
              </w:rPr>
            </w:pPr>
            <w:r>
              <w:rPr>
                <w:rFonts w:ascii="Times New Roman" w:cs="Times New Roman" w:eastAsia="Times New Roman" w:hAnsi="Times New Roman"/>
                <w:sz w:val="16"/>
                <w:szCs w:val="16"/>
                <w:color w:val="auto"/>
              </w:rPr>
              <w:t>2,004</w:t>
            </w:r>
          </w:p>
        </w:tc>
        <w:tc>
          <w:tcPr>
            <w:tcW w:w="940" w:type="dxa"/>
            <w:vAlign w:val="bottom"/>
            <w:tcBorders>
              <w:bottom w:val="single" w:sz="8" w:color="0C479D"/>
            </w:tcBorders>
          </w:tcPr>
          <w:p>
            <w:pPr>
              <w:jc w:val="right"/>
              <w:ind w:right="99"/>
              <w:spacing w:after="0"/>
              <w:rPr>
                <w:sz w:val="20"/>
                <w:szCs w:val="20"/>
                <w:color w:val="auto"/>
              </w:rPr>
            </w:pPr>
            <w:r>
              <w:rPr>
                <w:rFonts w:ascii="Times New Roman" w:cs="Times New Roman" w:eastAsia="Times New Roman" w:hAnsi="Times New Roman"/>
                <w:sz w:val="16"/>
                <w:szCs w:val="16"/>
                <w:color w:val="auto"/>
              </w:rPr>
              <w:t>6,008</w:t>
            </w:r>
          </w:p>
        </w:tc>
        <w:tc>
          <w:tcPr>
            <w:tcW w:w="108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color w:val="auto"/>
              </w:rPr>
              <w:t>1,549</w:t>
            </w:r>
          </w:p>
        </w:tc>
        <w:tc>
          <w:tcPr>
            <w:tcW w:w="8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15,015</w:t>
            </w:r>
          </w:p>
        </w:tc>
        <w:tc>
          <w:tcPr>
            <w:tcW w:w="0" w:type="dxa"/>
            <w:vAlign w:val="bottom"/>
          </w:tcPr>
          <w:p>
            <w:pPr>
              <w:spacing w:after="0"/>
              <w:rPr>
                <w:sz w:val="1"/>
                <w:szCs w:val="1"/>
                <w:color w:val="auto"/>
              </w:rPr>
            </w:pPr>
          </w:p>
        </w:tc>
      </w:tr>
      <w:tr>
        <w:trPr>
          <w:trHeight w:val="159"/>
        </w:trPr>
        <w:tc>
          <w:tcPr>
            <w:tcW w:w="396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Results of producing activities for consolidated</w:t>
            </w:r>
          </w:p>
        </w:tc>
        <w:tc>
          <w:tcPr>
            <w:tcW w:w="116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10,758</w:t>
            </w:r>
          </w:p>
        </w:tc>
        <w:tc>
          <w:tcPr>
            <w:tcW w:w="1040" w:type="dxa"/>
            <w:vAlign w:val="bottom"/>
            <w:vMerge w:val="restart"/>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5,820</w:t>
            </w:r>
          </w:p>
        </w:tc>
        <w:tc>
          <w:tcPr>
            <w:tcW w:w="102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575</w:t>
            </w:r>
          </w:p>
        </w:tc>
        <w:tc>
          <w:tcPr>
            <w:tcW w:w="108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1,938</w:t>
            </w:r>
          </w:p>
        </w:tc>
        <w:tc>
          <w:tcPr>
            <w:tcW w:w="9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(551)</w:t>
            </w:r>
          </w:p>
        </w:tc>
        <w:tc>
          <w:tcPr>
            <w:tcW w:w="108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3,576</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22,116</w:t>
            </w:r>
          </w:p>
        </w:tc>
        <w:tc>
          <w:tcPr>
            <w:tcW w:w="0" w:type="dxa"/>
            <w:vAlign w:val="bottom"/>
          </w:tcPr>
          <w:p>
            <w:pPr>
              <w:spacing w:after="0"/>
              <w:rPr>
                <w:sz w:val="1"/>
                <w:szCs w:val="1"/>
                <w:color w:val="auto"/>
              </w:rPr>
            </w:pPr>
          </w:p>
        </w:tc>
      </w:tr>
      <w:tr>
        <w:trPr>
          <w:trHeight w:val="214"/>
        </w:trPr>
        <w:tc>
          <w:tcPr>
            <w:tcW w:w="396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subsidiaries</w:t>
            </w:r>
          </w:p>
        </w:tc>
        <w:tc>
          <w:tcPr>
            <w:tcW w:w="1160" w:type="dxa"/>
            <w:vAlign w:val="bottom"/>
            <w:tcBorders>
              <w:bottom w:val="single" w:sz="8" w:color="0C479D"/>
            </w:tcBorders>
            <w:vMerge w:val="continue"/>
          </w:tcPr>
          <w:p>
            <w:pPr>
              <w:spacing w:after="0"/>
              <w:rPr>
                <w:sz w:val="18"/>
                <w:szCs w:val="18"/>
                <w:color w:val="auto"/>
              </w:rPr>
            </w:pPr>
          </w:p>
        </w:tc>
        <w:tc>
          <w:tcPr>
            <w:tcW w:w="1040" w:type="dxa"/>
            <w:vAlign w:val="bottom"/>
            <w:tcBorders>
              <w:bottom w:val="single" w:sz="8" w:color="0C479D"/>
            </w:tcBorders>
            <w:vMerge w:val="continue"/>
          </w:tcPr>
          <w:p>
            <w:pPr>
              <w:spacing w:after="0"/>
              <w:rPr>
                <w:sz w:val="18"/>
                <w:szCs w:val="18"/>
                <w:color w:val="auto"/>
              </w:rPr>
            </w:pPr>
          </w:p>
        </w:tc>
        <w:tc>
          <w:tcPr>
            <w:tcW w:w="1020" w:type="dxa"/>
            <w:vAlign w:val="bottom"/>
            <w:tcBorders>
              <w:bottom w:val="single" w:sz="8" w:color="0C479D"/>
            </w:tcBorders>
            <w:vMerge w:val="continue"/>
          </w:tcPr>
          <w:p>
            <w:pPr>
              <w:spacing w:after="0"/>
              <w:rPr>
                <w:sz w:val="18"/>
                <w:szCs w:val="18"/>
                <w:color w:val="auto"/>
              </w:rPr>
            </w:pPr>
          </w:p>
        </w:tc>
        <w:tc>
          <w:tcPr>
            <w:tcW w:w="1080" w:type="dxa"/>
            <w:vAlign w:val="bottom"/>
            <w:tcBorders>
              <w:bottom w:val="single" w:sz="8" w:color="0C479D"/>
            </w:tcBorders>
            <w:vMerge w:val="continue"/>
          </w:tcPr>
          <w:p>
            <w:pPr>
              <w:spacing w:after="0"/>
              <w:rPr>
                <w:sz w:val="18"/>
                <w:szCs w:val="18"/>
                <w:color w:val="auto"/>
              </w:rPr>
            </w:pPr>
          </w:p>
        </w:tc>
        <w:tc>
          <w:tcPr>
            <w:tcW w:w="940" w:type="dxa"/>
            <w:vAlign w:val="bottom"/>
            <w:tcBorders>
              <w:bottom w:val="single" w:sz="8" w:color="0C479D"/>
            </w:tcBorders>
            <w:vMerge w:val="continue"/>
          </w:tcPr>
          <w:p>
            <w:pPr>
              <w:spacing w:after="0"/>
              <w:rPr>
                <w:sz w:val="18"/>
                <w:szCs w:val="18"/>
                <w:color w:val="auto"/>
              </w:rPr>
            </w:pPr>
          </w:p>
        </w:tc>
        <w:tc>
          <w:tcPr>
            <w:tcW w:w="1080" w:type="dxa"/>
            <w:vAlign w:val="bottom"/>
            <w:tcBorders>
              <w:bottom w:val="single" w:sz="8" w:color="0C479D"/>
            </w:tcBorders>
            <w:vMerge w:val="continue"/>
          </w:tcPr>
          <w:p>
            <w:pPr>
              <w:spacing w:after="0"/>
              <w:rPr>
                <w:sz w:val="18"/>
                <w:szCs w:val="18"/>
                <w:color w:val="auto"/>
              </w:rPr>
            </w:pPr>
          </w:p>
        </w:tc>
        <w:tc>
          <w:tcPr>
            <w:tcW w:w="860" w:type="dxa"/>
            <w:vAlign w:val="bottom"/>
            <w:tcBorders>
              <w:bottom w:val="single" w:sz="8" w:color="0C479D"/>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0C479D"/>
              </w:rPr>
              <w:t>Equity Companies</w:t>
            </w:r>
          </w:p>
        </w:tc>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Sales to third parties</w:t>
            </w: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820</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2,791</w:t>
            </w: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10</w:t>
            </w: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20,750</w:t>
            </w:r>
          </w:p>
        </w:tc>
        <w:tc>
          <w:tcPr>
            <w:tcW w:w="10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24,371</w:t>
            </w:r>
          </w:p>
        </w:tc>
        <w:tc>
          <w:tcPr>
            <w:tcW w:w="0" w:type="dxa"/>
            <w:vAlign w:val="bottom"/>
          </w:tcPr>
          <w:p>
            <w:pPr>
              <w:spacing w:after="0"/>
              <w:rPr>
                <w:sz w:val="1"/>
                <w:szCs w:val="1"/>
                <w:color w:val="auto"/>
              </w:rPr>
            </w:pPr>
          </w:p>
        </w:tc>
      </w:tr>
      <w:tr>
        <w:trPr>
          <w:trHeight w:val="219"/>
        </w:trPr>
        <w:tc>
          <w:tcPr>
            <w:tcW w:w="3960" w:type="dxa"/>
            <w:vAlign w:val="bottom"/>
            <w:tcBorders>
              <w:bottom w:val="single" w:sz="8" w:color="0C479D"/>
            </w:tcBorders>
          </w:tcPr>
          <w:p>
            <w:pPr>
              <w:ind w:left="100"/>
              <w:spacing w:after="0"/>
              <w:rPr>
                <w:sz w:val="20"/>
                <w:szCs w:val="20"/>
                <w:color w:val="auto"/>
              </w:rPr>
            </w:pPr>
            <w:r>
              <w:rPr>
                <w:rFonts w:ascii="Times New Roman" w:cs="Times New Roman" w:eastAsia="Times New Roman" w:hAnsi="Times New Roman"/>
                <w:sz w:val="16"/>
                <w:szCs w:val="16"/>
                <w:color w:val="auto"/>
              </w:rPr>
              <w:t>Transfers</w:t>
            </w:r>
          </w:p>
        </w:tc>
        <w:tc>
          <w:tcPr>
            <w:tcW w:w="1160" w:type="dxa"/>
            <w:vAlign w:val="bottom"/>
            <w:tcBorders>
              <w:bottom w:val="single" w:sz="8" w:color="0C479D"/>
            </w:tcBorders>
          </w:tcPr>
          <w:p>
            <w:pPr>
              <w:jc w:val="right"/>
              <w:ind w:right="99"/>
              <w:spacing w:after="0"/>
              <w:rPr>
                <w:sz w:val="20"/>
                <w:szCs w:val="20"/>
                <w:color w:val="auto"/>
              </w:rPr>
            </w:pPr>
            <w:r>
              <w:rPr>
                <w:rFonts w:ascii="Times New Roman" w:cs="Times New Roman" w:eastAsia="Times New Roman" w:hAnsi="Times New Roman"/>
                <w:sz w:val="16"/>
                <w:szCs w:val="16"/>
                <w:color w:val="auto"/>
              </w:rPr>
              <w:t>640</w:t>
            </w:r>
          </w:p>
        </w:tc>
        <w:tc>
          <w:tcPr>
            <w:tcW w:w="1040" w:type="dxa"/>
            <w:vAlign w:val="bottom"/>
            <w:tcBorders>
              <w:bottom w:val="single" w:sz="8" w:color="0C479D"/>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0C479D"/>
            </w:tcBorders>
          </w:tcPr>
          <w:p>
            <w:pPr>
              <w:jc w:val="right"/>
              <w:ind w:right="119"/>
              <w:spacing w:after="0"/>
              <w:rPr>
                <w:sz w:val="20"/>
                <w:szCs w:val="20"/>
                <w:color w:val="auto"/>
              </w:rPr>
            </w:pPr>
            <w:r>
              <w:rPr>
                <w:rFonts w:ascii="Times New Roman" w:cs="Times New Roman" w:eastAsia="Times New Roman" w:hAnsi="Times New Roman"/>
                <w:sz w:val="16"/>
                <w:szCs w:val="16"/>
                <w:color w:val="auto"/>
              </w:rPr>
              <w:t>51</w:t>
            </w:r>
          </w:p>
        </w:tc>
        <w:tc>
          <w:tcPr>
            <w:tcW w:w="1080" w:type="dxa"/>
            <w:vAlign w:val="bottom"/>
            <w:tcBorders>
              <w:bottom w:val="single" w:sz="8" w:color="0C479D"/>
            </w:tcBorders>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0C479D"/>
            </w:tcBorders>
          </w:tcPr>
          <w:p>
            <w:pPr>
              <w:jc w:val="right"/>
              <w:ind w:right="99"/>
              <w:spacing w:after="0"/>
              <w:rPr>
                <w:sz w:val="20"/>
                <w:szCs w:val="20"/>
                <w:color w:val="auto"/>
              </w:rPr>
            </w:pPr>
            <w:r>
              <w:rPr>
                <w:rFonts w:ascii="Times New Roman" w:cs="Times New Roman" w:eastAsia="Times New Roman" w:hAnsi="Times New Roman"/>
                <w:sz w:val="16"/>
                <w:szCs w:val="16"/>
                <w:color w:val="auto"/>
              </w:rPr>
              <w:t>316</w:t>
            </w:r>
          </w:p>
        </w:tc>
        <w:tc>
          <w:tcPr>
            <w:tcW w:w="108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1,007</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160" w:type="dxa"/>
            <w:vAlign w:val="bottom"/>
            <w:tcBorders>
              <w:bottom w:val="single" w:sz="8" w:color="0C479D"/>
            </w:tcBorders>
          </w:tcPr>
          <w:p>
            <w:pPr>
              <w:jc w:val="right"/>
              <w:ind w:right="99"/>
              <w:spacing w:after="0"/>
              <w:rPr>
                <w:sz w:val="20"/>
                <w:szCs w:val="20"/>
                <w:color w:val="auto"/>
              </w:rPr>
            </w:pPr>
            <w:r>
              <w:rPr>
                <w:rFonts w:ascii="Times New Roman" w:cs="Times New Roman" w:eastAsia="Times New Roman" w:hAnsi="Times New Roman"/>
                <w:sz w:val="16"/>
                <w:szCs w:val="16"/>
                <w:color w:val="auto"/>
              </w:rPr>
              <w:t>1,460</w:t>
            </w:r>
          </w:p>
        </w:tc>
        <w:tc>
          <w:tcPr>
            <w:tcW w:w="1040" w:type="dxa"/>
            <w:vAlign w:val="bottom"/>
            <w:tcBorders>
              <w:bottom w:val="single" w:sz="8" w:color="0C479D"/>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0C479D"/>
            </w:tcBorders>
          </w:tcPr>
          <w:p>
            <w:pPr>
              <w:jc w:val="right"/>
              <w:ind w:right="119"/>
              <w:spacing w:after="0"/>
              <w:rPr>
                <w:sz w:val="20"/>
                <w:szCs w:val="20"/>
                <w:color w:val="auto"/>
              </w:rPr>
            </w:pPr>
            <w:r>
              <w:rPr>
                <w:rFonts w:ascii="Times New Roman" w:cs="Times New Roman" w:eastAsia="Times New Roman" w:hAnsi="Times New Roman"/>
                <w:sz w:val="16"/>
                <w:szCs w:val="16"/>
                <w:color w:val="auto"/>
              </w:rPr>
              <w:t>2,842</w:t>
            </w:r>
          </w:p>
        </w:tc>
        <w:tc>
          <w:tcPr>
            <w:tcW w:w="1080" w:type="dxa"/>
            <w:vAlign w:val="bottom"/>
            <w:tcBorders>
              <w:bottom w:val="single" w:sz="8" w:color="0C479D"/>
            </w:tcBorders>
          </w:tcPr>
          <w:p>
            <w:pPr>
              <w:jc w:val="right"/>
              <w:ind w:right="199"/>
              <w:spacing w:after="0"/>
              <w:rPr>
                <w:sz w:val="20"/>
                <w:szCs w:val="20"/>
                <w:color w:val="auto"/>
              </w:rPr>
            </w:pPr>
            <w:r>
              <w:rPr>
                <w:rFonts w:ascii="Times New Roman" w:cs="Times New Roman" w:eastAsia="Times New Roman" w:hAnsi="Times New Roman"/>
                <w:sz w:val="16"/>
                <w:szCs w:val="16"/>
                <w:color w:val="auto"/>
              </w:rPr>
              <w:t>10</w:t>
            </w:r>
          </w:p>
        </w:tc>
        <w:tc>
          <w:tcPr>
            <w:tcW w:w="940" w:type="dxa"/>
            <w:vAlign w:val="bottom"/>
            <w:tcBorders>
              <w:bottom w:val="single" w:sz="8" w:color="0C479D"/>
            </w:tcBorders>
          </w:tcPr>
          <w:p>
            <w:pPr>
              <w:jc w:val="right"/>
              <w:ind w:right="99"/>
              <w:spacing w:after="0"/>
              <w:rPr>
                <w:sz w:val="20"/>
                <w:szCs w:val="20"/>
                <w:color w:val="auto"/>
              </w:rPr>
            </w:pPr>
            <w:r>
              <w:rPr>
                <w:rFonts w:ascii="Times New Roman" w:cs="Times New Roman" w:eastAsia="Times New Roman" w:hAnsi="Times New Roman"/>
                <w:sz w:val="16"/>
                <w:szCs w:val="16"/>
                <w:color w:val="auto"/>
              </w:rPr>
              <w:t>21,066</w:t>
            </w:r>
          </w:p>
        </w:tc>
        <w:tc>
          <w:tcPr>
            <w:tcW w:w="108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25,378</w:t>
            </w:r>
          </w:p>
        </w:tc>
        <w:tc>
          <w:tcPr>
            <w:tcW w:w="0" w:type="dxa"/>
            <w:vAlign w:val="bottom"/>
          </w:tcPr>
          <w:p>
            <w:pPr>
              <w:spacing w:after="0"/>
              <w:rPr>
                <w:sz w:val="1"/>
                <w:szCs w:val="1"/>
                <w:color w:val="auto"/>
              </w:rPr>
            </w:pPr>
          </w:p>
        </w:tc>
      </w:tr>
      <w:tr>
        <w:trPr>
          <w:trHeight w:val="207"/>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Production costs excluding taxes</w:t>
            </w: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667</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607</w:t>
            </w: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21</w:t>
            </w: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379</w:t>
            </w:r>
          </w:p>
        </w:tc>
        <w:tc>
          <w:tcPr>
            <w:tcW w:w="10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1,674</w:t>
            </w: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Exploration expenses</w:t>
            </w: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depletion</w:t>
            </w: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280</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48</w:t>
            </w: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w:t>
            </w: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717</w:t>
            </w:r>
          </w:p>
        </w:tc>
        <w:tc>
          <w:tcPr>
            <w:tcW w:w="10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w:t>
            </w: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 other than income</w:t>
            </w: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37</w:t>
            </w:r>
          </w:p>
        </w:tc>
        <w:tc>
          <w:tcPr>
            <w:tcW w:w="10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232</w:t>
            </w:r>
          </w:p>
        </w:tc>
        <w:tc>
          <w:tcPr>
            <w:tcW w:w="10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6,857</w:t>
            </w:r>
          </w:p>
        </w:tc>
        <w:tc>
          <w:tcPr>
            <w:tcW w:w="10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7,126</w:t>
            </w:r>
          </w:p>
        </w:tc>
        <w:tc>
          <w:tcPr>
            <w:tcW w:w="0" w:type="dxa"/>
            <w:vAlign w:val="bottom"/>
          </w:tcPr>
          <w:p>
            <w:pPr>
              <w:spacing w:after="0"/>
              <w:rPr>
                <w:sz w:val="1"/>
                <w:szCs w:val="1"/>
                <w:color w:val="auto"/>
              </w:rPr>
            </w:pPr>
          </w:p>
        </w:tc>
      </w:tr>
      <w:tr>
        <w:trPr>
          <w:trHeight w:val="219"/>
        </w:trPr>
        <w:tc>
          <w:tcPr>
            <w:tcW w:w="396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color w:val="auto"/>
              </w:rPr>
              <w:t>Related income tax</w:t>
            </w:r>
          </w:p>
        </w:tc>
        <w:tc>
          <w:tcPr>
            <w:tcW w:w="1160" w:type="dxa"/>
            <w:vAlign w:val="bottom"/>
            <w:tcBorders>
              <w:bottom w:val="single" w:sz="8" w:color="0C479D"/>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0C479D"/>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0C479D"/>
            </w:tcBorders>
          </w:tcPr>
          <w:p>
            <w:pPr>
              <w:jc w:val="right"/>
              <w:ind w:right="119"/>
              <w:spacing w:after="0"/>
              <w:rPr>
                <w:sz w:val="20"/>
                <w:szCs w:val="20"/>
                <w:color w:val="auto"/>
              </w:rPr>
            </w:pPr>
            <w:r>
              <w:rPr>
                <w:rFonts w:ascii="Times New Roman" w:cs="Times New Roman" w:eastAsia="Times New Roman" w:hAnsi="Times New Roman"/>
                <w:sz w:val="16"/>
                <w:szCs w:val="16"/>
                <w:color w:val="auto"/>
              </w:rPr>
              <w:t>1,413</w:t>
            </w:r>
          </w:p>
        </w:tc>
        <w:tc>
          <w:tcPr>
            <w:tcW w:w="108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color w:val="auto"/>
              </w:rPr>
              <w:t>(2)</w:t>
            </w:r>
          </w:p>
        </w:tc>
        <w:tc>
          <w:tcPr>
            <w:tcW w:w="940" w:type="dxa"/>
            <w:vAlign w:val="bottom"/>
            <w:tcBorders>
              <w:bottom w:val="single" w:sz="8" w:color="0C479D"/>
            </w:tcBorders>
          </w:tcPr>
          <w:p>
            <w:pPr>
              <w:jc w:val="right"/>
              <w:ind w:right="99"/>
              <w:spacing w:after="0"/>
              <w:rPr>
                <w:sz w:val="20"/>
                <w:szCs w:val="20"/>
                <w:color w:val="auto"/>
              </w:rPr>
            </w:pPr>
            <w:r>
              <w:rPr>
                <w:rFonts w:ascii="Times New Roman" w:cs="Times New Roman" w:eastAsia="Times New Roman" w:hAnsi="Times New Roman"/>
                <w:sz w:val="16"/>
                <w:szCs w:val="16"/>
                <w:color w:val="auto"/>
              </w:rPr>
              <w:t>4,559</w:t>
            </w:r>
          </w:p>
        </w:tc>
        <w:tc>
          <w:tcPr>
            <w:tcW w:w="108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5,970</w:t>
            </w:r>
          </w:p>
        </w:tc>
        <w:tc>
          <w:tcPr>
            <w:tcW w:w="0" w:type="dxa"/>
            <w:vAlign w:val="bottom"/>
          </w:tcPr>
          <w:p>
            <w:pPr>
              <w:spacing w:after="0"/>
              <w:rPr>
                <w:sz w:val="1"/>
                <w:szCs w:val="1"/>
                <w:color w:val="auto"/>
              </w:rPr>
            </w:pPr>
          </w:p>
        </w:tc>
      </w:tr>
      <w:tr>
        <w:trPr>
          <w:trHeight w:val="211"/>
        </w:trPr>
        <w:tc>
          <w:tcPr>
            <w:tcW w:w="396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Results of producing activities for equity companies</w:t>
            </w:r>
          </w:p>
        </w:tc>
        <w:tc>
          <w:tcPr>
            <w:tcW w:w="1160" w:type="dxa"/>
            <w:vAlign w:val="bottom"/>
            <w:tcBorders>
              <w:bottom w:val="single" w:sz="8" w:color="0C479D"/>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476</w:t>
            </w:r>
          </w:p>
        </w:tc>
        <w:tc>
          <w:tcPr>
            <w:tcW w:w="1040" w:type="dxa"/>
            <w:vAlign w:val="bottom"/>
            <w:tcBorders>
              <w:bottom w:val="single" w:sz="8" w:color="0C479D"/>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Borders>
              <w:bottom w:val="single" w:sz="8" w:color="0C479D"/>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541</w:t>
            </w:r>
          </w:p>
        </w:tc>
        <w:tc>
          <w:tcPr>
            <w:tcW w:w="108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(10)</w:t>
            </w:r>
          </w:p>
        </w:tc>
        <w:tc>
          <w:tcPr>
            <w:tcW w:w="940" w:type="dxa"/>
            <w:vAlign w:val="bottom"/>
            <w:tcBorders>
              <w:bottom w:val="single" w:sz="8" w:color="0C479D"/>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8,554</w:t>
            </w:r>
          </w:p>
        </w:tc>
        <w:tc>
          <w:tcPr>
            <w:tcW w:w="108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9,561</w:t>
            </w:r>
          </w:p>
        </w:tc>
        <w:tc>
          <w:tcPr>
            <w:tcW w:w="0" w:type="dxa"/>
            <w:vAlign w:val="bottom"/>
          </w:tcPr>
          <w:p>
            <w:pPr>
              <w:spacing w:after="0"/>
              <w:rPr>
                <w:sz w:val="1"/>
                <w:szCs w:val="1"/>
                <w:color w:val="auto"/>
              </w:rPr>
            </w:pPr>
          </w:p>
        </w:tc>
      </w:tr>
      <w:tr>
        <w:trPr>
          <w:trHeight w:val="76"/>
        </w:trPr>
        <w:tc>
          <w:tcPr>
            <w:tcW w:w="3960" w:type="dxa"/>
            <w:vAlign w:val="bottom"/>
            <w:tcBorders>
              <w:bottom w:val="single" w:sz="8" w:color="0C479D"/>
            </w:tcBorders>
          </w:tcPr>
          <w:p>
            <w:pPr>
              <w:spacing w:after="0"/>
              <w:rPr>
                <w:sz w:val="6"/>
                <w:szCs w:val="6"/>
                <w:color w:val="auto"/>
              </w:rPr>
            </w:pPr>
          </w:p>
        </w:tc>
        <w:tc>
          <w:tcPr>
            <w:tcW w:w="1160" w:type="dxa"/>
            <w:vAlign w:val="bottom"/>
            <w:tcBorders>
              <w:bottom w:val="single" w:sz="8" w:color="0C479D"/>
            </w:tcBorders>
          </w:tcPr>
          <w:p>
            <w:pPr>
              <w:spacing w:after="0"/>
              <w:rPr>
                <w:sz w:val="6"/>
                <w:szCs w:val="6"/>
                <w:color w:val="auto"/>
              </w:rPr>
            </w:pPr>
          </w:p>
        </w:tc>
        <w:tc>
          <w:tcPr>
            <w:tcW w:w="1040" w:type="dxa"/>
            <w:vAlign w:val="bottom"/>
            <w:tcBorders>
              <w:bottom w:val="single" w:sz="8" w:color="0C479D"/>
            </w:tcBorders>
          </w:tcPr>
          <w:p>
            <w:pPr>
              <w:spacing w:after="0"/>
              <w:rPr>
                <w:sz w:val="6"/>
                <w:szCs w:val="6"/>
                <w:color w:val="auto"/>
              </w:rPr>
            </w:pPr>
          </w:p>
        </w:tc>
        <w:tc>
          <w:tcPr>
            <w:tcW w:w="1020" w:type="dxa"/>
            <w:vAlign w:val="bottom"/>
            <w:tcBorders>
              <w:bottom w:val="single" w:sz="8" w:color="0C479D"/>
            </w:tcBorders>
          </w:tcPr>
          <w:p>
            <w:pPr>
              <w:spacing w:after="0"/>
              <w:rPr>
                <w:sz w:val="6"/>
                <w:szCs w:val="6"/>
                <w:color w:val="auto"/>
              </w:rPr>
            </w:pPr>
          </w:p>
        </w:tc>
        <w:tc>
          <w:tcPr>
            <w:tcW w:w="1080" w:type="dxa"/>
            <w:vAlign w:val="bottom"/>
            <w:tcBorders>
              <w:bottom w:val="single" w:sz="8" w:color="0C479D"/>
            </w:tcBorders>
          </w:tcPr>
          <w:p>
            <w:pPr>
              <w:spacing w:after="0"/>
              <w:rPr>
                <w:sz w:val="6"/>
                <w:szCs w:val="6"/>
                <w:color w:val="auto"/>
              </w:rPr>
            </w:pPr>
          </w:p>
        </w:tc>
        <w:tc>
          <w:tcPr>
            <w:tcW w:w="940" w:type="dxa"/>
            <w:vAlign w:val="bottom"/>
            <w:tcBorders>
              <w:bottom w:val="single" w:sz="8" w:color="0C479D"/>
            </w:tcBorders>
          </w:tcPr>
          <w:p>
            <w:pPr>
              <w:spacing w:after="0"/>
              <w:rPr>
                <w:sz w:val="6"/>
                <w:szCs w:val="6"/>
                <w:color w:val="auto"/>
              </w:rPr>
            </w:pPr>
          </w:p>
        </w:tc>
        <w:tc>
          <w:tcPr>
            <w:tcW w:w="1080" w:type="dxa"/>
            <w:vAlign w:val="bottom"/>
            <w:tcBorders>
              <w:bottom w:val="single" w:sz="8" w:color="0C479D"/>
            </w:tcBorders>
          </w:tcPr>
          <w:p>
            <w:pPr>
              <w:spacing w:after="0"/>
              <w:rPr>
                <w:sz w:val="6"/>
                <w:szCs w:val="6"/>
                <w:color w:val="auto"/>
              </w:rPr>
            </w:pPr>
          </w:p>
        </w:tc>
        <w:tc>
          <w:tcPr>
            <w:tcW w:w="860" w:type="dxa"/>
            <w:vAlign w:val="bottom"/>
            <w:tcBorders>
              <w:bottom w:val="single" w:sz="8" w:color="0C479D"/>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96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results of operations</w:t>
            </w:r>
          </w:p>
        </w:tc>
        <w:tc>
          <w:tcPr>
            <w:tcW w:w="1160" w:type="dxa"/>
            <w:vAlign w:val="bottom"/>
            <w:tcBorders>
              <w:bottom w:val="single" w:sz="8" w:color="0C479D"/>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11,234</w:t>
            </w:r>
          </w:p>
        </w:tc>
        <w:tc>
          <w:tcPr>
            <w:tcW w:w="1040" w:type="dxa"/>
            <w:vAlign w:val="bottom"/>
            <w:tcBorders>
              <w:bottom w:val="single" w:sz="8" w:color="0C479D"/>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5,820</w:t>
            </w:r>
          </w:p>
        </w:tc>
        <w:tc>
          <w:tcPr>
            <w:tcW w:w="1020" w:type="dxa"/>
            <w:vAlign w:val="bottom"/>
            <w:tcBorders>
              <w:bottom w:val="single" w:sz="8" w:color="0C479D"/>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1,116</w:t>
            </w:r>
          </w:p>
        </w:tc>
        <w:tc>
          <w:tcPr>
            <w:tcW w:w="1080" w:type="dxa"/>
            <w:vAlign w:val="bottom"/>
            <w:tcBorders>
              <w:bottom w:val="single" w:sz="8" w:color="0C479D"/>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1,928</w:t>
            </w:r>
          </w:p>
        </w:tc>
        <w:tc>
          <w:tcPr>
            <w:tcW w:w="940" w:type="dxa"/>
            <w:vAlign w:val="bottom"/>
            <w:tcBorders>
              <w:bottom w:val="single" w:sz="8" w:color="0C479D"/>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8,003</w:t>
            </w:r>
          </w:p>
        </w:tc>
        <w:tc>
          <w:tcPr>
            <w:tcW w:w="108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3,576</w:t>
            </w:r>
          </w:p>
        </w:tc>
        <w:tc>
          <w:tcPr>
            <w:tcW w:w="8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31,677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73025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80" w:top="966" w:right="37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color w:val="0C479D"/>
        </w:rPr>
        <w:t>Oil and Gas Exploration and Production Costs</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amounts shown for net capitalized costs of consolidated subsidiaries are $9,619 million less at year-end 2024 and $10,769 million less at year-end 2023 than the amounts reported as investments in property, plant and equipment for the Upstream in </w:t>
      </w:r>
      <w:r>
        <w:rPr>
          <w:rFonts w:ascii="Times New Roman" w:cs="Times New Roman" w:eastAsia="Times New Roman" w:hAnsi="Times New Roman"/>
          <w:sz w:val="18"/>
          <w:szCs w:val="18"/>
          <w:color w:val="0000FF"/>
        </w:rPr>
        <w:t>Note 9</w:t>
      </w:r>
      <w:r>
        <w:rPr>
          <w:rFonts w:ascii="Times New Roman" w:cs="Times New Roman" w:eastAsia="Times New Roman" w:hAnsi="Times New Roman"/>
          <w:sz w:val="18"/>
          <w:szCs w:val="18"/>
          <w:color w:val="auto"/>
        </w:rPr>
        <w:t>. This is due to the exclusion from capitalized costs of certain transportation and research assets and assets relating to LNG operations. Assets related to oil sands and oil shale mining operations are included in the capitalized costs in accordance with Financial Accounting Standards Board rules.</w:t>
      </w:r>
    </w:p>
    <w:p>
      <w:pPr>
        <w:spacing w:after="0" w:line="8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980" w:type="dxa"/>
            <w:vAlign w:val="bottom"/>
            <w:vMerge w:val="restart"/>
            <w:shd w:val="clear" w:color="auto" w:fill="0C479D"/>
          </w:tcPr>
          <w:p>
            <w:pPr>
              <w:ind w:left="20"/>
              <w:spacing w:after="0"/>
              <w:rPr>
                <w:sz w:val="20"/>
                <w:szCs w:val="20"/>
                <w:color w:val="auto"/>
              </w:rPr>
            </w:pPr>
            <w:r>
              <w:rPr>
                <w:rFonts w:ascii="Times New Roman" w:cs="Times New Roman" w:eastAsia="Times New Roman" w:hAnsi="Times New Roman"/>
                <w:sz w:val="16"/>
                <w:szCs w:val="16"/>
                <w:b w:val="1"/>
                <w:bCs w:val="1"/>
                <w:color w:val="FFFFFF"/>
              </w:rPr>
              <w:t>Capitalized Costs</w:t>
            </w:r>
          </w:p>
        </w:tc>
        <w:tc>
          <w:tcPr>
            <w:tcW w:w="2080" w:type="dxa"/>
            <w:vAlign w:val="bottom"/>
            <w:shd w:val="clear" w:color="auto" w:fill="0C479D"/>
          </w:tcPr>
          <w:p>
            <w:pPr>
              <w:spacing w:after="0"/>
              <w:rPr>
                <w:sz w:val="13"/>
                <w:szCs w:val="13"/>
                <w:color w:val="auto"/>
              </w:rPr>
            </w:pPr>
          </w:p>
        </w:tc>
        <w:tc>
          <w:tcPr>
            <w:tcW w:w="1360" w:type="dxa"/>
            <w:vAlign w:val="bottom"/>
            <w:vMerge w:val="restart"/>
            <w:shd w:val="clear" w:color="auto" w:fill="0C479D"/>
          </w:tcPr>
          <w:p>
            <w:pPr>
              <w:jc w:val="right"/>
              <w:ind w:right="240"/>
              <w:spacing w:after="0"/>
              <w:rPr>
                <w:sz w:val="20"/>
                <w:szCs w:val="20"/>
                <w:color w:val="auto"/>
              </w:rPr>
            </w:pPr>
            <w:r>
              <w:rPr>
                <w:rFonts w:ascii="Times New Roman" w:cs="Times New Roman" w:eastAsia="Times New Roman" w:hAnsi="Times New Roman"/>
                <w:sz w:val="14"/>
                <w:szCs w:val="14"/>
                <w:b w:val="1"/>
                <w:bCs w:val="1"/>
                <w:color w:val="FFFFFF"/>
              </w:rPr>
              <w:t>United</w:t>
            </w:r>
          </w:p>
        </w:tc>
        <w:tc>
          <w:tcPr>
            <w:tcW w:w="1000" w:type="dxa"/>
            <w:vAlign w:val="bottom"/>
            <w:shd w:val="clear" w:color="auto" w:fill="0C479D"/>
          </w:tcPr>
          <w:p>
            <w:pPr>
              <w:jc w:val="center"/>
              <w:ind w:right="40"/>
              <w:spacing w:after="0"/>
              <w:rPr>
                <w:sz w:val="20"/>
                <w:szCs w:val="20"/>
                <w:color w:val="auto"/>
              </w:rPr>
            </w:pPr>
            <w:r>
              <w:rPr>
                <w:rFonts w:ascii="Times New Roman" w:cs="Times New Roman" w:eastAsia="Times New Roman" w:hAnsi="Times New Roman"/>
                <w:sz w:val="14"/>
                <w:szCs w:val="14"/>
                <w:b w:val="1"/>
                <w:bCs w:val="1"/>
                <w:color w:val="FFFFFF"/>
              </w:rPr>
              <w:t>Canada/</w:t>
            </w:r>
          </w:p>
        </w:tc>
        <w:tc>
          <w:tcPr>
            <w:tcW w:w="1000" w:type="dxa"/>
            <w:vAlign w:val="bottom"/>
            <w:vMerge w:val="restart"/>
            <w:shd w:val="clear" w:color="auto" w:fill="0C479D"/>
          </w:tcPr>
          <w:p>
            <w:pPr>
              <w:jc w:val="right"/>
              <w:ind w:right="279"/>
              <w:spacing w:after="0"/>
              <w:rPr>
                <w:sz w:val="20"/>
                <w:szCs w:val="20"/>
                <w:color w:val="auto"/>
              </w:rPr>
            </w:pPr>
            <w:r>
              <w:rPr>
                <w:rFonts w:ascii="Times New Roman" w:cs="Times New Roman" w:eastAsia="Times New Roman" w:hAnsi="Times New Roman"/>
                <w:sz w:val="14"/>
                <w:szCs w:val="14"/>
                <w:b w:val="1"/>
                <w:bCs w:val="1"/>
                <w:color w:val="FFFFFF"/>
              </w:rPr>
              <w:t>Europe</w:t>
            </w:r>
          </w:p>
        </w:tc>
        <w:tc>
          <w:tcPr>
            <w:tcW w:w="1000" w:type="dxa"/>
            <w:vAlign w:val="bottom"/>
            <w:vMerge w:val="restart"/>
            <w:shd w:val="clear" w:color="auto" w:fill="0C479D"/>
          </w:tcPr>
          <w:p>
            <w:pPr>
              <w:jc w:val="right"/>
              <w:ind w:right="339"/>
              <w:spacing w:after="0"/>
              <w:rPr>
                <w:sz w:val="20"/>
                <w:szCs w:val="20"/>
                <w:color w:val="auto"/>
              </w:rPr>
            </w:pPr>
            <w:r>
              <w:rPr>
                <w:rFonts w:ascii="Times New Roman" w:cs="Times New Roman" w:eastAsia="Times New Roman" w:hAnsi="Times New Roman"/>
                <w:sz w:val="14"/>
                <w:szCs w:val="14"/>
                <w:b w:val="1"/>
                <w:bCs w:val="1"/>
                <w:color w:val="FFFFFF"/>
              </w:rPr>
              <w:t>Africa</w:t>
            </w:r>
          </w:p>
        </w:tc>
        <w:tc>
          <w:tcPr>
            <w:tcW w:w="880" w:type="dxa"/>
            <w:vAlign w:val="bottom"/>
            <w:vMerge w:val="restart"/>
            <w:shd w:val="clear" w:color="auto" w:fill="0C479D"/>
          </w:tcPr>
          <w:p>
            <w:pPr>
              <w:jc w:val="right"/>
              <w:ind w:right="299"/>
              <w:spacing w:after="0"/>
              <w:rPr>
                <w:sz w:val="20"/>
                <w:szCs w:val="20"/>
                <w:color w:val="auto"/>
              </w:rPr>
            </w:pPr>
            <w:r>
              <w:rPr>
                <w:rFonts w:ascii="Times New Roman" w:cs="Times New Roman" w:eastAsia="Times New Roman" w:hAnsi="Times New Roman"/>
                <w:sz w:val="14"/>
                <w:szCs w:val="14"/>
                <w:b w:val="1"/>
                <w:bCs w:val="1"/>
                <w:color w:val="FFFFFF"/>
              </w:rPr>
              <w:t>Asia</w:t>
            </w:r>
          </w:p>
        </w:tc>
        <w:tc>
          <w:tcPr>
            <w:tcW w:w="1060" w:type="dxa"/>
            <w:vAlign w:val="bottom"/>
            <w:vMerge w:val="restart"/>
            <w:shd w:val="clear" w:color="auto" w:fill="0C479D"/>
          </w:tcPr>
          <w:p>
            <w:pPr>
              <w:jc w:val="right"/>
              <w:ind w:right="220"/>
              <w:spacing w:after="0"/>
              <w:rPr>
                <w:sz w:val="20"/>
                <w:szCs w:val="20"/>
                <w:color w:val="auto"/>
              </w:rPr>
            </w:pPr>
            <w:r>
              <w:rPr>
                <w:rFonts w:ascii="Times New Roman" w:cs="Times New Roman" w:eastAsia="Times New Roman" w:hAnsi="Times New Roman"/>
                <w:sz w:val="14"/>
                <w:szCs w:val="14"/>
                <w:b w:val="1"/>
                <w:bCs w:val="1"/>
                <w:color w:val="FFFFFF"/>
              </w:rPr>
              <w:t>Australia/</w:t>
            </w:r>
          </w:p>
        </w:tc>
        <w:tc>
          <w:tcPr>
            <w:tcW w:w="820" w:type="dxa"/>
            <w:vAlign w:val="bottom"/>
            <w:vMerge w:val="restart"/>
            <w:shd w:val="clear" w:color="auto" w:fill="0C479D"/>
          </w:tcPr>
          <w:p>
            <w:pPr>
              <w:jc w:val="right"/>
              <w:ind w:right="219"/>
              <w:spacing w:after="0"/>
              <w:rPr>
                <w:sz w:val="20"/>
                <w:szCs w:val="20"/>
                <w:color w:val="auto"/>
              </w:rPr>
            </w:pPr>
            <w:r>
              <w:rPr>
                <w:rFonts w:ascii="Times New Roman" w:cs="Times New Roman" w:eastAsia="Times New Roman" w:hAnsi="Times New Roman"/>
                <w:sz w:val="14"/>
                <w:szCs w:val="14"/>
                <w:b w:val="1"/>
                <w:bCs w:val="1"/>
                <w:color w:val="FFFFFF"/>
              </w:rPr>
              <w:t>Total</w:t>
            </w:r>
          </w:p>
        </w:tc>
        <w:tc>
          <w:tcPr>
            <w:tcW w:w="0" w:type="dxa"/>
            <w:vAlign w:val="bottom"/>
          </w:tcPr>
          <w:p>
            <w:pPr>
              <w:spacing w:after="0"/>
              <w:rPr>
                <w:sz w:val="1"/>
                <w:szCs w:val="1"/>
                <w:color w:val="auto"/>
              </w:rPr>
            </w:pPr>
          </w:p>
        </w:tc>
      </w:tr>
      <w:tr>
        <w:trPr>
          <w:trHeight w:val="79"/>
        </w:trPr>
        <w:tc>
          <w:tcPr>
            <w:tcW w:w="1980" w:type="dxa"/>
            <w:vAlign w:val="bottom"/>
            <w:vMerge w:val="continue"/>
            <w:shd w:val="clear" w:color="auto" w:fill="0C479D"/>
          </w:tcPr>
          <w:p>
            <w:pPr>
              <w:spacing w:after="0"/>
              <w:rPr>
                <w:sz w:val="6"/>
                <w:szCs w:val="6"/>
                <w:color w:val="auto"/>
              </w:rPr>
            </w:pPr>
          </w:p>
        </w:tc>
        <w:tc>
          <w:tcPr>
            <w:tcW w:w="2080" w:type="dxa"/>
            <w:vAlign w:val="bottom"/>
            <w:shd w:val="clear" w:color="auto" w:fill="0C479D"/>
          </w:tcPr>
          <w:p>
            <w:pPr>
              <w:spacing w:after="0"/>
              <w:rPr>
                <w:sz w:val="6"/>
                <w:szCs w:val="6"/>
                <w:color w:val="auto"/>
              </w:rPr>
            </w:pPr>
          </w:p>
        </w:tc>
        <w:tc>
          <w:tcPr>
            <w:tcW w:w="1360" w:type="dxa"/>
            <w:vAlign w:val="bottom"/>
            <w:vMerge w:val="continue"/>
            <w:shd w:val="clear" w:color="auto" w:fill="0C479D"/>
          </w:tcPr>
          <w:p>
            <w:pPr>
              <w:spacing w:after="0"/>
              <w:rPr>
                <w:sz w:val="6"/>
                <w:szCs w:val="6"/>
                <w:color w:val="auto"/>
              </w:rPr>
            </w:pPr>
          </w:p>
        </w:tc>
        <w:tc>
          <w:tcPr>
            <w:tcW w:w="1000" w:type="dxa"/>
            <w:vAlign w:val="bottom"/>
            <w:vMerge w:val="restart"/>
            <w:shd w:val="clear" w:color="auto" w:fill="0C479D"/>
          </w:tcPr>
          <w:p>
            <w:pPr>
              <w:jc w:val="center"/>
              <w:ind w:right="20"/>
              <w:spacing w:after="0" w:line="135" w:lineRule="exact"/>
              <w:rPr>
                <w:sz w:val="20"/>
                <w:szCs w:val="20"/>
                <w:color w:val="auto"/>
              </w:rPr>
            </w:pPr>
            <w:r>
              <w:rPr>
                <w:rFonts w:ascii="Times New Roman" w:cs="Times New Roman" w:eastAsia="Times New Roman" w:hAnsi="Times New Roman"/>
                <w:sz w:val="14"/>
                <w:szCs w:val="14"/>
                <w:b w:val="1"/>
                <w:bCs w:val="1"/>
                <w:color w:val="FFFFFF"/>
              </w:rPr>
              <w:t>Other</w:t>
            </w:r>
          </w:p>
        </w:tc>
        <w:tc>
          <w:tcPr>
            <w:tcW w:w="1000" w:type="dxa"/>
            <w:vAlign w:val="bottom"/>
            <w:vMerge w:val="continue"/>
            <w:shd w:val="clear" w:color="auto" w:fill="0C479D"/>
          </w:tcPr>
          <w:p>
            <w:pPr>
              <w:spacing w:after="0"/>
              <w:rPr>
                <w:sz w:val="6"/>
                <w:szCs w:val="6"/>
                <w:color w:val="auto"/>
              </w:rPr>
            </w:pPr>
          </w:p>
        </w:tc>
        <w:tc>
          <w:tcPr>
            <w:tcW w:w="1000" w:type="dxa"/>
            <w:vAlign w:val="bottom"/>
            <w:vMerge w:val="continue"/>
            <w:shd w:val="clear" w:color="auto" w:fill="0C479D"/>
          </w:tcPr>
          <w:p>
            <w:pPr>
              <w:spacing w:after="0"/>
              <w:rPr>
                <w:sz w:val="6"/>
                <w:szCs w:val="6"/>
                <w:color w:val="auto"/>
              </w:rPr>
            </w:pPr>
          </w:p>
        </w:tc>
        <w:tc>
          <w:tcPr>
            <w:tcW w:w="880" w:type="dxa"/>
            <w:vAlign w:val="bottom"/>
            <w:vMerge w:val="continue"/>
            <w:shd w:val="clear" w:color="auto" w:fill="0C479D"/>
          </w:tcPr>
          <w:p>
            <w:pPr>
              <w:spacing w:after="0"/>
              <w:rPr>
                <w:sz w:val="6"/>
                <w:szCs w:val="6"/>
                <w:color w:val="auto"/>
              </w:rPr>
            </w:pPr>
          </w:p>
        </w:tc>
        <w:tc>
          <w:tcPr>
            <w:tcW w:w="1060" w:type="dxa"/>
            <w:vAlign w:val="bottom"/>
            <w:vMerge w:val="continue"/>
            <w:shd w:val="clear" w:color="auto" w:fill="0C479D"/>
          </w:tcPr>
          <w:p>
            <w:pPr>
              <w:spacing w:after="0"/>
              <w:rPr>
                <w:sz w:val="6"/>
                <w:szCs w:val="6"/>
                <w:color w:val="auto"/>
              </w:rPr>
            </w:pPr>
          </w:p>
        </w:tc>
        <w:tc>
          <w:tcPr>
            <w:tcW w:w="820" w:type="dxa"/>
            <w:vAlign w:val="bottom"/>
            <w:vMerge w:val="continue"/>
            <w:shd w:val="clear" w:color="auto" w:fill="0C479D"/>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1980" w:type="dxa"/>
            <w:vAlign w:val="bottom"/>
            <w:vMerge w:val="restart"/>
            <w:shd w:val="clear" w:color="auto" w:fill="0C479D"/>
          </w:tcPr>
          <w:p>
            <w:pPr>
              <w:ind w:left="20"/>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2080" w:type="dxa"/>
            <w:vAlign w:val="bottom"/>
            <w:shd w:val="clear" w:color="auto" w:fill="0C479D"/>
          </w:tcPr>
          <w:p>
            <w:pPr>
              <w:spacing w:after="0"/>
              <w:rPr>
                <w:sz w:val="4"/>
                <w:szCs w:val="4"/>
                <w:color w:val="auto"/>
              </w:rPr>
            </w:pPr>
          </w:p>
        </w:tc>
        <w:tc>
          <w:tcPr>
            <w:tcW w:w="1360" w:type="dxa"/>
            <w:vAlign w:val="bottom"/>
            <w:vMerge w:val="restart"/>
            <w:shd w:val="clear" w:color="auto" w:fill="0C479D"/>
          </w:tcPr>
          <w:p>
            <w:pPr>
              <w:jc w:val="right"/>
              <w:ind w:right="260"/>
              <w:spacing w:after="0"/>
              <w:rPr>
                <w:sz w:val="20"/>
                <w:szCs w:val="20"/>
                <w:color w:val="auto"/>
              </w:rPr>
            </w:pPr>
            <w:r>
              <w:rPr>
                <w:rFonts w:ascii="Times New Roman" w:cs="Times New Roman" w:eastAsia="Times New Roman" w:hAnsi="Times New Roman"/>
                <w:sz w:val="14"/>
                <w:szCs w:val="14"/>
                <w:b w:val="1"/>
                <w:bCs w:val="1"/>
                <w:color w:val="FFFFFF"/>
              </w:rPr>
              <w:t>States</w:t>
            </w:r>
          </w:p>
        </w:tc>
        <w:tc>
          <w:tcPr>
            <w:tcW w:w="1000" w:type="dxa"/>
            <w:vAlign w:val="bottom"/>
            <w:vMerge w:val="continue"/>
            <w:shd w:val="clear" w:color="auto" w:fill="0C479D"/>
          </w:tcPr>
          <w:p>
            <w:pPr>
              <w:spacing w:after="0"/>
              <w:rPr>
                <w:sz w:val="4"/>
                <w:szCs w:val="4"/>
                <w:color w:val="auto"/>
              </w:rPr>
            </w:pPr>
          </w:p>
        </w:tc>
        <w:tc>
          <w:tcPr>
            <w:tcW w:w="1000" w:type="dxa"/>
            <w:vAlign w:val="bottom"/>
            <w:vMerge w:val="continue"/>
            <w:shd w:val="clear" w:color="auto" w:fill="0C479D"/>
          </w:tcPr>
          <w:p>
            <w:pPr>
              <w:spacing w:after="0"/>
              <w:rPr>
                <w:sz w:val="4"/>
                <w:szCs w:val="4"/>
                <w:color w:val="auto"/>
              </w:rPr>
            </w:pPr>
          </w:p>
        </w:tc>
        <w:tc>
          <w:tcPr>
            <w:tcW w:w="1000" w:type="dxa"/>
            <w:vAlign w:val="bottom"/>
            <w:vMerge w:val="continue"/>
            <w:shd w:val="clear" w:color="auto" w:fill="0C479D"/>
          </w:tcPr>
          <w:p>
            <w:pPr>
              <w:spacing w:after="0"/>
              <w:rPr>
                <w:sz w:val="4"/>
                <w:szCs w:val="4"/>
                <w:color w:val="auto"/>
              </w:rPr>
            </w:pPr>
          </w:p>
        </w:tc>
        <w:tc>
          <w:tcPr>
            <w:tcW w:w="880" w:type="dxa"/>
            <w:vAlign w:val="bottom"/>
            <w:vMerge w:val="continue"/>
            <w:shd w:val="clear" w:color="auto" w:fill="0C479D"/>
          </w:tcPr>
          <w:p>
            <w:pPr>
              <w:spacing w:after="0"/>
              <w:rPr>
                <w:sz w:val="4"/>
                <w:szCs w:val="4"/>
                <w:color w:val="auto"/>
              </w:rPr>
            </w:pPr>
          </w:p>
        </w:tc>
        <w:tc>
          <w:tcPr>
            <w:tcW w:w="1060" w:type="dxa"/>
            <w:vAlign w:val="bottom"/>
            <w:vMerge w:val="restart"/>
            <w:shd w:val="clear" w:color="auto" w:fill="0C479D"/>
          </w:tcPr>
          <w:p>
            <w:pPr>
              <w:jc w:val="right"/>
              <w:ind w:right="280"/>
              <w:spacing w:after="0"/>
              <w:rPr>
                <w:sz w:val="20"/>
                <w:szCs w:val="20"/>
                <w:color w:val="auto"/>
              </w:rPr>
            </w:pPr>
            <w:r>
              <w:rPr>
                <w:rFonts w:ascii="Times New Roman" w:cs="Times New Roman" w:eastAsia="Times New Roman" w:hAnsi="Times New Roman"/>
                <w:sz w:val="14"/>
                <w:szCs w:val="14"/>
                <w:b w:val="1"/>
                <w:bCs w:val="1"/>
                <w:color w:val="FFFFFF"/>
              </w:rPr>
              <w:t>Oceania</w:t>
            </w:r>
          </w:p>
        </w:tc>
        <w:tc>
          <w:tcPr>
            <w:tcW w:w="820" w:type="dxa"/>
            <w:vAlign w:val="bottom"/>
            <w:vMerge w:val="continue"/>
            <w:shd w:val="clear" w:color="auto" w:fill="0C479D"/>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1980" w:type="dxa"/>
            <w:vAlign w:val="bottom"/>
            <w:vMerge w:val="continue"/>
            <w:shd w:val="clear" w:color="auto" w:fill="0C479D"/>
          </w:tcPr>
          <w:p>
            <w:pPr>
              <w:spacing w:after="0"/>
              <w:rPr>
                <w:sz w:val="11"/>
                <w:szCs w:val="11"/>
                <w:color w:val="auto"/>
              </w:rPr>
            </w:pPr>
          </w:p>
        </w:tc>
        <w:tc>
          <w:tcPr>
            <w:tcW w:w="2080" w:type="dxa"/>
            <w:vAlign w:val="bottom"/>
            <w:shd w:val="clear" w:color="auto" w:fill="0C479D"/>
          </w:tcPr>
          <w:p>
            <w:pPr>
              <w:spacing w:after="0"/>
              <w:rPr>
                <w:sz w:val="11"/>
                <w:szCs w:val="11"/>
                <w:color w:val="auto"/>
              </w:rPr>
            </w:pPr>
          </w:p>
        </w:tc>
        <w:tc>
          <w:tcPr>
            <w:tcW w:w="1360" w:type="dxa"/>
            <w:vAlign w:val="bottom"/>
            <w:vMerge w:val="continue"/>
            <w:shd w:val="clear" w:color="auto" w:fill="0C479D"/>
          </w:tcPr>
          <w:p>
            <w:pPr>
              <w:spacing w:after="0"/>
              <w:rPr>
                <w:sz w:val="11"/>
                <w:szCs w:val="11"/>
                <w:color w:val="auto"/>
              </w:rPr>
            </w:pPr>
          </w:p>
        </w:tc>
        <w:tc>
          <w:tcPr>
            <w:tcW w:w="1000" w:type="dxa"/>
            <w:vAlign w:val="bottom"/>
            <w:vMerge w:val="restart"/>
            <w:shd w:val="clear" w:color="auto" w:fill="0C479D"/>
          </w:tcPr>
          <w:p>
            <w:pPr>
              <w:jc w:val="center"/>
              <w:ind w:right="20"/>
              <w:spacing w:after="0"/>
              <w:rPr>
                <w:sz w:val="20"/>
                <w:szCs w:val="20"/>
                <w:color w:val="auto"/>
              </w:rPr>
            </w:pPr>
            <w:r>
              <w:rPr>
                <w:rFonts w:ascii="Times New Roman" w:cs="Times New Roman" w:eastAsia="Times New Roman" w:hAnsi="Times New Roman"/>
                <w:sz w:val="14"/>
                <w:szCs w:val="14"/>
                <w:b w:val="1"/>
                <w:bCs w:val="1"/>
                <w:color w:val="FFFFFF"/>
              </w:rPr>
              <w:t>Americas</w:t>
            </w:r>
          </w:p>
        </w:tc>
        <w:tc>
          <w:tcPr>
            <w:tcW w:w="1000" w:type="dxa"/>
            <w:vAlign w:val="bottom"/>
            <w:shd w:val="clear" w:color="auto" w:fill="0C479D"/>
          </w:tcPr>
          <w:p>
            <w:pPr>
              <w:spacing w:after="0"/>
              <w:rPr>
                <w:sz w:val="11"/>
                <w:szCs w:val="11"/>
                <w:color w:val="auto"/>
              </w:rPr>
            </w:pPr>
          </w:p>
        </w:tc>
        <w:tc>
          <w:tcPr>
            <w:tcW w:w="1000" w:type="dxa"/>
            <w:vAlign w:val="bottom"/>
            <w:shd w:val="clear" w:color="auto" w:fill="0C479D"/>
          </w:tcPr>
          <w:p>
            <w:pPr>
              <w:spacing w:after="0"/>
              <w:rPr>
                <w:sz w:val="11"/>
                <w:szCs w:val="11"/>
                <w:color w:val="auto"/>
              </w:rPr>
            </w:pPr>
          </w:p>
        </w:tc>
        <w:tc>
          <w:tcPr>
            <w:tcW w:w="880" w:type="dxa"/>
            <w:vAlign w:val="bottom"/>
            <w:shd w:val="clear" w:color="auto" w:fill="0C479D"/>
          </w:tcPr>
          <w:p>
            <w:pPr>
              <w:spacing w:after="0"/>
              <w:rPr>
                <w:sz w:val="11"/>
                <w:szCs w:val="11"/>
                <w:color w:val="auto"/>
              </w:rPr>
            </w:pPr>
          </w:p>
        </w:tc>
        <w:tc>
          <w:tcPr>
            <w:tcW w:w="1060" w:type="dxa"/>
            <w:vAlign w:val="bottom"/>
            <w:vMerge w:val="continue"/>
            <w:shd w:val="clear" w:color="auto" w:fill="0C479D"/>
          </w:tcPr>
          <w:p>
            <w:pPr>
              <w:spacing w:after="0"/>
              <w:rPr>
                <w:sz w:val="11"/>
                <w:szCs w:val="11"/>
                <w:color w:val="auto"/>
              </w:rPr>
            </w:pPr>
          </w:p>
        </w:tc>
        <w:tc>
          <w:tcPr>
            <w:tcW w:w="820" w:type="dxa"/>
            <w:vAlign w:val="bottom"/>
            <w:shd w:val="clear" w:color="auto" w:fill="0C479D"/>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1980" w:type="dxa"/>
            <w:vAlign w:val="bottom"/>
            <w:tcBorders>
              <w:bottom w:val="single" w:sz="8" w:color="0C479D"/>
            </w:tcBorders>
            <w:shd w:val="clear" w:color="auto" w:fill="0C479D"/>
          </w:tcPr>
          <w:p>
            <w:pPr>
              <w:spacing w:after="0"/>
              <w:rPr>
                <w:sz w:val="5"/>
                <w:szCs w:val="5"/>
                <w:color w:val="auto"/>
              </w:rPr>
            </w:pPr>
          </w:p>
        </w:tc>
        <w:tc>
          <w:tcPr>
            <w:tcW w:w="2080" w:type="dxa"/>
            <w:vAlign w:val="bottom"/>
            <w:tcBorders>
              <w:bottom w:val="single" w:sz="8" w:color="0C479D"/>
            </w:tcBorders>
            <w:shd w:val="clear" w:color="auto" w:fill="0C479D"/>
          </w:tcPr>
          <w:p>
            <w:pPr>
              <w:spacing w:after="0"/>
              <w:rPr>
                <w:sz w:val="5"/>
                <w:szCs w:val="5"/>
                <w:color w:val="auto"/>
              </w:rPr>
            </w:pPr>
          </w:p>
        </w:tc>
        <w:tc>
          <w:tcPr>
            <w:tcW w:w="1360" w:type="dxa"/>
            <w:vAlign w:val="bottom"/>
            <w:tcBorders>
              <w:bottom w:val="single" w:sz="8" w:color="0C479D"/>
            </w:tcBorders>
            <w:shd w:val="clear" w:color="auto" w:fill="0C479D"/>
          </w:tcPr>
          <w:p>
            <w:pPr>
              <w:spacing w:after="0"/>
              <w:rPr>
                <w:sz w:val="5"/>
                <w:szCs w:val="5"/>
                <w:color w:val="auto"/>
              </w:rPr>
            </w:pPr>
          </w:p>
        </w:tc>
        <w:tc>
          <w:tcPr>
            <w:tcW w:w="1000" w:type="dxa"/>
            <w:vAlign w:val="bottom"/>
            <w:tcBorders>
              <w:bottom w:val="single" w:sz="8" w:color="0C479D"/>
            </w:tcBorders>
            <w:vMerge w:val="continue"/>
            <w:shd w:val="clear" w:color="auto" w:fill="0C479D"/>
          </w:tcPr>
          <w:p>
            <w:pPr>
              <w:spacing w:after="0"/>
              <w:rPr>
                <w:sz w:val="5"/>
                <w:szCs w:val="5"/>
                <w:color w:val="auto"/>
              </w:rPr>
            </w:pPr>
          </w:p>
        </w:tc>
        <w:tc>
          <w:tcPr>
            <w:tcW w:w="1000" w:type="dxa"/>
            <w:vAlign w:val="bottom"/>
            <w:tcBorders>
              <w:bottom w:val="single" w:sz="8" w:color="0C479D"/>
            </w:tcBorders>
            <w:shd w:val="clear" w:color="auto" w:fill="0C479D"/>
          </w:tcPr>
          <w:p>
            <w:pPr>
              <w:spacing w:after="0"/>
              <w:rPr>
                <w:sz w:val="5"/>
                <w:szCs w:val="5"/>
                <w:color w:val="auto"/>
              </w:rPr>
            </w:pPr>
          </w:p>
        </w:tc>
        <w:tc>
          <w:tcPr>
            <w:tcW w:w="1000" w:type="dxa"/>
            <w:vAlign w:val="bottom"/>
            <w:tcBorders>
              <w:bottom w:val="single" w:sz="8" w:color="0C479D"/>
            </w:tcBorders>
            <w:shd w:val="clear" w:color="auto" w:fill="0C479D"/>
          </w:tcPr>
          <w:p>
            <w:pPr>
              <w:spacing w:after="0"/>
              <w:rPr>
                <w:sz w:val="5"/>
                <w:szCs w:val="5"/>
                <w:color w:val="auto"/>
              </w:rPr>
            </w:pPr>
          </w:p>
        </w:tc>
        <w:tc>
          <w:tcPr>
            <w:tcW w:w="880" w:type="dxa"/>
            <w:vAlign w:val="bottom"/>
            <w:tcBorders>
              <w:bottom w:val="single" w:sz="8" w:color="0C479D"/>
            </w:tcBorders>
            <w:shd w:val="clear" w:color="auto" w:fill="0C479D"/>
          </w:tcPr>
          <w:p>
            <w:pPr>
              <w:spacing w:after="0"/>
              <w:rPr>
                <w:sz w:val="5"/>
                <w:szCs w:val="5"/>
                <w:color w:val="auto"/>
              </w:rPr>
            </w:pPr>
          </w:p>
        </w:tc>
        <w:tc>
          <w:tcPr>
            <w:tcW w:w="1060" w:type="dxa"/>
            <w:vAlign w:val="bottom"/>
            <w:tcBorders>
              <w:bottom w:val="single" w:sz="8" w:color="0C479D"/>
            </w:tcBorders>
            <w:shd w:val="clear" w:color="auto" w:fill="0C479D"/>
          </w:tcPr>
          <w:p>
            <w:pPr>
              <w:spacing w:after="0"/>
              <w:rPr>
                <w:sz w:val="5"/>
                <w:szCs w:val="5"/>
                <w:color w:val="auto"/>
              </w:rPr>
            </w:pPr>
          </w:p>
        </w:tc>
        <w:tc>
          <w:tcPr>
            <w:tcW w:w="820" w:type="dxa"/>
            <w:vAlign w:val="bottom"/>
            <w:tcBorders>
              <w:bottom w:val="single" w:sz="8" w:color="0C479D"/>
            </w:tcBorders>
            <w:shd w:val="clear" w:color="auto" w:fill="0C479D"/>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0C479D"/>
              </w:rPr>
              <w:t>As of December 31, 2024</w:t>
            </w:r>
          </w:p>
        </w:tc>
        <w:tc>
          <w:tcPr>
            <w:tcW w:w="2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0C479D"/>
              </w:rPr>
              <w:t>Consolidated Subsidiaries</w:t>
            </w:r>
          </w:p>
        </w:tc>
        <w:tc>
          <w:tcPr>
            <w:tcW w:w="2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(acreage) costs</w:t>
            </w:r>
          </w:p>
        </w:tc>
        <w:tc>
          <w:tcPr>
            <w:tcW w:w="20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 Proved</w:t>
            </w:r>
          </w:p>
        </w:tc>
        <w:tc>
          <w:tcPr>
            <w:tcW w:w="13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28,143</w:t>
            </w:r>
          </w:p>
        </w:tc>
        <w:tc>
          <w:tcPr>
            <w:tcW w:w="10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3,238</w:t>
            </w: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w:t>
            </w: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693</w:t>
            </w: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2,990</w:t>
            </w: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654</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35,726</w:t>
            </w:r>
          </w:p>
        </w:tc>
        <w:tc>
          <w:tcPr>
            <w:tcW w:w="0" w:type="dxa"/>
            <w:vAlign w:val="bottom"/>
          </w:tcPr>
          <w:p>
            <w:pPr>
              <w:spacing w:after="0"/>
              <w:rPr>
                <w:sz w:val="1"/>
                <w:szCs w:val="1"/>
                <w:color w:val="auto"/>
              </w:rPr>
            </w:pPr>
          </w:p>
        </w:tc>
      </w:tr>
      <w:tr>
        <w:trPr>
          <w:trHeight w:val="219"/>
        </w:trPr>
        <w:tc>
          <w:tcPr>
            <w:tcW w:w="1980" w:type="dxa"/>
            <w:vAlign w:val="bottom"/>
            <w:tcBorders>
              <w:bottom w:val="single" w:sz="8" w:color="0C479D"/>
            </w:tcBorders>
          </w:tcPr>
          <w:p>
            <w:pPr>
              <w:spacing w:after="0"/>
              <w:rPr>
                <w:sz w:val="19"/>
                <w:szCs w:val="19"/>
                <w:color w:val="auto"/>
              </w:rPr>
            </w:pPr>
          </w:p>
        </w:tc>
        <w:tc>
          <w:tcPr>
            <w:tcW w:w="2080" w:type="dxa"/>
            <w:vAlign w:val="bottom"/>
            <w:tcBorders>
              <w:bottom w:val="single" w:sz="8" w:color="0C479D"/>
            </w:tcBorders>
          </w:tcPr>
          <w:p>
            <w:pPr>
              <w:ind w:left="160"/>
              <w:spacing w:after="0"/>
              <w:rPr>
                <w:sz w:val="20"/>
                <w:szCs w:val="20"/>
                <w:color w:val="auto"/>
              </w:rPr>
            </w:pPr>
            <w:r>
              <w:rPr>
                <w:rFonts w:ascii="Times New Roman" w:cs="Times New Roman" w:eastAsia="Times New Roman" w:hAnsi="Times New Roman"/>
                <w:sz w:val="16"/>
                <w:szCs w:val="16"/>
                <w:color w:val="auto"/>
              </w:rPr>
              <w:t>– Unproved</w:t>
            </w:r>
          </w:p>
        </w:tc>
        <w:tc>
          <w:tcPr>
            <w:tcW w:w="1360" w:type="dxa"/>
            <w:vAlign w:val="bottom"/>
            <w:tcBorders>
              <w:bottom w:val="single" w:sz="8" w:color="0C479D"/>
            </w:tcBorders>
          </w:tcPr>
          <w:p>
            <w:pPr>
              <w:jc w:val="right"/>
              <w:ind w:right="60"/>
              <w:spacing w:after="0"/>
              <w:rPr>
                <w:sz w:val="20"/>
                <w:szCs w:val="20"/>
                <w:color w:val="auto"/>
              </w:rPr>
            </w:pPr>
            <w:r>
              <w:rPr>
                <w:rFonts w:ascii="Times New Roman" w:cs="Times New Roman" w:eastAsia="Times New Roman" w:hAnsi="Times New Roman"/>
                <w:sz w:val="16"/>
                <w:szCs w:val="16"/>
                <w:color w:val="auto"/>
              </w:rPr>
              <w:t>49,903</w:t>
            </w:r>
          </w:p>
        </w:tc>
        <w:tc>
          <w:tcPr>
            <w:tcW w:w="1000" w:type="dxa"/>
            <w:vAlign w:val="bottom"/>
            <w:tcBorders>
              <w:bottom w:val="single" w:sz="8" w:color="0C479D"/>
            </w:tcBorders>
          </w:tcPr>
          <w:p>
            <w:pPr>
              <w:jc w:val="right"/>
              <w:ind w:right="100"/>
              <w:spacing w:after="0"/>
              <w:rPr>
                <w:sz w:val="20"/>
                <w:szCs w:val="20"/>
                <w:color w:val="auto"/>
              </w:rPr>
            </w:pPr>
            <w:r>
              <w:rPr>
                <w:rFonts w:ascii="Times New Roman" w:cs="Times New Roman" w:eastAsia="Times New Roman" w:hAnsi="Times New Roman"/>
                <w:sz w:val="16"/>
                <w:szCs w:val="16"/>
                <w:color w:val="auto"/>
              </w:rPr>
              <w:t>2,367</w:t>
            </w:r>
          </w:p>
        </w:tc>
        <w:tc>
          <w:tcPr>
            <w:tcW w:w="1000" w:type="dxa"/>
            <w:vAlign w:val="bottom"/>
            <w:tcBorders>
              <w:bottom w:val="single" w:sz="8" w:color="0C479D"/>
            </w:tcBorders>
          </w:tcPr>
          <w:p>
            <w:pPr>
              <w:jc w:val="right"/>
              <w:ind w:right="119"/>
              <w:spacing w:after="0"/>
              <w:rPr>
                <w:sz w:val="20"/>
                <w:szCs w:val="20"/>
                <w:color w:val="auto"/>
              </w:rPr>
            </w:pPr>
            <w:r>
              <w:rPr>
                <w:rFonts w:ascii="Times New Roman" w:cs="Times New Roman" w:eastAsia="Times New Roman" w:hAnsi="Times New Roman"/>
                <w:sz w:val="16"/>
                <w:szCs w:val="16"/>
                <w:color w:val="auto"/>
              </w:rPr>
              <w:t>42</w:t>
            </w:r>
          </w:p>
        </w:tc>
        <w:tc>
          <w:tcPr>
            <w:tcW w:w="100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color w:val="auto"/>
              </w:rPr>
              <w:t>108</w:t>
            </w:r>
          </w:p>
        </w:tc>
        <w:tc>
          <w:tcPr>
            <w:tcW w:w="880" w:type="dxa"/>
            <w:vAlign w:val="bottom"/>
            <w:tcBorders>
              <w:bottom w:val="single" w:sz="8" w:color="0C479D"/>
            </w:tcBorders>
          </w:tcPr>
          <w:p>
            <w:pPr>
              <w:jc w:val="right"/>
              <w:ind w:right="59"/>
              <w:spacing w:after="0"/>
              <w:rPr>
                <w:sz w:val="20"/>
                <w:szCs w:val="20"/>
                <w:color w:val="auto"/>
              </w:rPr>
            </w:pPr>
            <w:r>
              <w:rPr>
                <w:rFonts w:ascii="Times New Roman" w:cs="Times New Roman" w:eastAsia="Times New Roman" w:hAnsi="Times New Roman"/>
                <w:sz w:val="16"/>
                <w:szCs w:val="16"/>
                <w:color w:val="auto"/>
              </w:rPr>
              <w:t>5</w:t>
            </w:r>
          </w:p>
        </w:tc>
        <w:tc>
          <w:tcPr>
            <w:tcW w:w="1060" w:type="dxa"/>
            <w:vAlign w:val="bottom"/>
            <w:tcBorders>
              <w:bottom w:val="single" w:sz="8" w:color="0C479D"/>
            </w:tcBorders>
          </w:tcPr>
          <w:p>
            <w:pPr>
              <w:jc w:val="right"/>
              <w:ind w:right="140"/>
              <w:spacing w:after="0"/>
              <w:rPr>
                <w:sz w:val="20"/>
                <w:szCs w:val="20"/>
                <w:color w:val="auto"/>
              </w:rPr>
            </w:pPr>
            <w:r>
              <w:rPr>
                <w:rFonts w:ascii="Times New Roman" w:cs="Times New Roman" w:eastAsia="Times New Roman" w:hAnsi="Times New Roman"/>
                <w:sz w:val="16"/>
                <w:szCs w:val="16"/>
                <w:color w:val="auto"/>
              </w:rPr>
              <w:t>2,656</w:t>
            </w:r>
          </w:p>
        </w:tc>
        <w:tc>
          <w:tcPr>
            <w:tcW w:w="8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55,081</w:t>
            </w:r>
          </w:p>
        </w:tc>
        <w:tc>
          <w:tcPr>
            <w:tcW w:w="0" w:type="dxa"/>
            <w:vAlign w:val="bottom"/>
          </w:tcPr>
          <w:p>
            <w:pPr>
              <w:spacing w:after="0"/>
              <w:rPr>
                <w:sz w:val="1"/>
                <w:szCs w:val="1"/>
                <w:color w:val="auto"/>
              </w:rPr>
            </w:pPr>
          </w:p>
        </w:tc>
      </w:tr>
      <w:tr>
        <w:trPr>
          <w:trHeight w:val="210"/>
        </w:trPr>
        <w:tc>
          <w:tcPr>
            <w:tcW w:w="198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color w:val="auto"/>
              </w:rPr>
              <w:t>Total property costs</w:t>
            </w:r>
          </w:p>
        </w:tc>
        <w:tc>
          <w:tcPr>
            <w:tcW w:w="2080" w:type="dxa"/>
            <w:vAlign w:val="bottom"/>
            <w:tcBorders>
              <w:bottom w:val="single" w:sz="8" w:color="0C479D"/>
            </w:tcBorders>
          </w:tcPr>
          <w:p>
            <w:pPr>
              <w:spacing w:after="0"/>
              <w:rPr>
                <w:sz w:val="18"/>
                <w:szCs w:val="18"/>
                <w:color w:val="auto"/>
              </w:rPr>
            </w:pPr>
          </w:p>
        </w:tc>
        <w:tc>
          <w:tcPr>
            <w:tcW w:w="1360" w:type="dxa"/>
            <w:vAlign w:val="bottom"/>
            <w:tcBorders>
              <w:bottom w:val="single" w:sz="8" w:color="0C479D"/>
            </w:tcBorders>
          </w:tcPr>
          <w:p>
            <w:pPr>
              <w:jc w:val="right"/>
              <w:ind w:right="60"/>
              <w:spacing w:after="0"/>
              <w:rPr>
                <w:sz w:val="20"/>
                <w:szCs w:val="20"/>
                <w:color w:val="auto"/>
              </w:rPr>
            </w:pPr>
            <w:r>
              <w:rPr>
                <w:rFonts w:ascii="Times New Roman" w:cs="Times New Roman" w:eastAsia="Times New Roman" w:hAnsi="Times New Roman"/>
                <w:sz w:val="16"/>
                <w:szCs w:val="16"/>
                <w:color w:val="auto"/>
              </w:rPr>
              <w:t>78,046</w:t>
            </w:r>
          </w:p>
        </w:tc>
        <w:tc>
          <w:tcPr>
            <w:tcW w:w="1000" w:type="dxa"/>
            <w:vAlign w:val="bottom"/>
            <w:tcBorders>
              <w:bottom w:val="single" w:sz="8" w:color="0C479D"/>
            </w:tcBorders>
          </w:tcPr>
          <w:p>
            <w:pPr>
              <w:jc w:val="right"/>
              <w:ind w:right="100"/>
              <w:spacing w:after="0"/>
              <w:rPr>
                <w:sz w:val="20"/>
                <w:szCs w:val="20"/>
                <w:color w:val="auto"/>
              </w:rPr>
            </w:pPr>
            <w:r>
              <w:rPr>
                <w:rFonts w:ascii="Times New Roman" w:cs="Times New Roman" w:eastAsia="Times New Roman" w:hAnsi="Times New Roman"/>
                <w:sz w:val="16"/>
                <w:szCs w:val="16"/>
                <w:color w:val="auto"/>
              </w:rPr>
              <w:t>5,605</w:t>
            </w:r>
          </w:p>
        </w:tc>
        <w:tc>
          <w:tcPr>
            <w:tcW w:w="1000" w:type="dxa"/>
            <w:vAlign w:val="bottom"/>
            <w:tcBorders>
              <w:bottom w:val="single" w:sz="8" w:color="0C479D"/>
            </w:tcBorders>
          </w:tcPr>
          <w:p>
            <w:pPr>
              <w:jc w:val="right"/>
              <w:ind w:right="119"/>
              <w:spacing w:after="0"/>
              <w:rPr>
                <w:sz w:val="20"/>
                <w:szCs w:val="20"/>
                <w:color w:val="auto"/>
              </w:rPr>
            </w:pPr>
            <w:r>
              <w:rPr>
                <w:rFonts w:ascii="Times New Roman" w:cs="Times New Roman" w:eastAsia="Times New Roman" w:hAnsi="Times New Roman"/>
                <w:sz w:val="16"/>
                <w:szCs w:val="16"/>
                <w:color w:val="auto"/>
              </w:rPr>
              <w:t>50</w:t>
            </w:r>
          </w:p>
        </w:tc>
        <w:tc>
          <w:tcPr>
            <w:tcW w:w="100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color w:val="auto"/>
              </w:rPr>
              <w:t>801</w:t>
            </w:r>
          </w:p>
        </w:tc>
        <w:tc>
          <w:tcPr>
            <w:tcW w:w="880" w:type="dxa"/>
            <w:vAlign w:val="bottom"/>
            <w:tcBorders>
              <w:bottom w:val="single" w:sz="8" w:color="0C479D"/>
            </w:tcBorders>
          </w:tcPr>
          <w:p>
            <w:pPr>
              <w:jc w:val="right"/>
              <w:ind w:right="59"/>
              <w:spacing w:after="0"/>
              <w:rPr>
                <w:sz w:val="20"/>
                <w:szCs w:val="20"/>
                <w:color w:val="auto"/>
              </w:rPr>
            </w:pPr>
            <w:r>
              <w:rPr>
                <w:rFonts w:ascii="Times New Roman" w:cs="Times New Roman" w:eastAsia="Times New Roman" w:hAnsi="Times New Roman"/>
                <w:sz w:val="16"/>
                <w:szCs w:val="16"/>
                <w:color w:val="auto"/>
              </w:rPr>
              <w:t>2,995</w:t>
            </w:r>
          </w:p>
        </w:tc>
        <w:tc>
          <w:tcPr>
            <w:tcW w:w="1060" w:type="dxa"/>
            <w:vAlign w:val="bottom"/>
            <w:tcBorders>
              <w:bottom w:val="single" w:sz="8" w:color="0C479D"/>
            </w:tcBorders>
          </w:tcPr>
          <w:p>
            <w:pPr>
              <w:jc w:val="right"/>
              <w:ind w:right="140"/>
              <w:spacing w:after="0"/>
              <w:rPr>
                <w:sz w:val="20"/>
                <w:szCs w:val="20"/>
                <w:color w:val="auto"/>
              </w:rPr>
            </w:pPr>
            <w:r>
              <w:rPr>
                <w:rFonts w:ascii="Times New Roman" w:cs="Times New Roman" w:eastAsia="Times New Roman" w:hAnsi="Times New Roman"/>
                <w:sz w:val="16"/>
                <w:szCs w:val="16"/>
                <w:color w:val="auto"/>
              </w:rPr>
              <w:t>3,310</w:t>
            </w:r>
          </w:p>
        </w:tc>
        <w:tc>
          <w:tcPr>
            <w:tcW w:w="8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90,807</w:t>
            </w:r>
          </w:p>
        </w:tc>
        <w:tc>
          <w:tcPr>
            <w:tcW w:w="0" w:type="dxa"/>
            <w:vAlign w:val="bottom"/>
          </w:tcPr>
          <w:p>
            <w:pPr>
              <w:spacing w:after="0"/>
              <w:rPr>
                <w:sz w:val="1"/>
                <w:szCs w:val="1"/>
                <w:color w:val="auto"/>
              </w:rPr>
            </w:pPr>
          </w:p>
        </w:tc>
      </w:tr>
      <w:tr>
        <w:trPr>
          <w:trHeight w:val="207"/>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Producing assets</w:t>
            </w:r>
          </w:p>
        </w:tc>
        <w:tc>
          <w:tcPr>
            <w:tcW w:w="2080" w:type="dxa"/>
            <w:vAlign w:val="bottom"/>
          </w:tcPr>
          <w:p>
            <w:pPr>
              <w:spacing w:after="0"/>
              <w:rPr>
                <w:sz w:val="17"/>
                <w:szCs w:val="17"/>
                <w:color w:val="auto"/>
              </w:rPr>
            </w:pPr>
          </w:p>
        </w:tc>
        <w:tc>
          <w:tcPr>
            <w:tcW w:w="13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131,125</w:t>
            </w:r>
          </w:p>
        </w:tc>
        <w:tc>
          <w:tcPr>
            <w:tcW w:w="10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50,905</w:t>
            </w: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12,304</w:t>
            </w: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34,991</w:t>
            </w: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45,482</w:t>
            </w: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15,317</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290,124</w:t>
            </w:r>
          </w:p>
        </w:tc>
        <w:tc>
          <w:tcPr>
            <w:tcW w:w="0" w:type="dxa"/>
            <w:vAlign w:val="bottom"/>
          </w:tcPr>
          <w:p>
            <w:pPr>
              <w:spacing w:after="0"/>
              <w:rPr>
                <w:sz w:val="1"/>
                <w:szCs w:val="1"/>
                <w:color w:val="auto"/>
              </w:rPr>
            </w:pPr>
          </w:p>
        </w:tc>
      </w:tr>
      <w:tr>
        <w:trPr>
          <w:trHeight w:val="219"/>
        </w:trPr>
        <w:tc>
          <w:tcPr>
            <w:tcW w:w="198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color w:val="auto"/>
              </w:rPr>
              <w:t>Incomplete construction</w:t>
            </w:r>
          </w:p>
        </w:tc>
        <w:tc>
          <w:tcPr>
            <w:tcW w:w="2080" w:type="dxa"/>
            <w:vAlign w:val="bottom"/>
            <w:tcBorders>
              <w:bottom w:val="single" w:sz="8" w:color="0C479D"/>
            </w:tcBorders>
          </w:tcPr>
          <w:p>
            <w:pPr>
              <w:spacing w:after="0"/>
              <w:rPr>
                <w:sz w:val="19"/>
                <w:szCs w:val="19"/>
                <w:color w:val="auto"/>
              </w:rPr>
            </w:pPr>
          </w:p>
        </w:tc>
        <w:tc>
          <w:tcPr>
            <w:tcW w:w="1360" w:type="dxa"/>
            <w:vAlign w:val="bottom"/>
            <w:tcBorders>
              <w:bottom w:val="single" w:sz="8" w:color="0C479D"/>
            </w:tcBorders>
          </w:tcPr>
          <w:p>
            <w:pPr>
              <w:jc w:val="right"/>
              <w:ind w:right="60"/>
              <w:spacing w:after="0"/>
              <w:rPr>
                <w:sz w:val="20"/>
                <w:szCs w:val="20"/>
                <w:color w:val="auto"/>
              </w:rPr>
            </w:pPr>
            <w:r>
              <w:rPr>
                <w:rFonts w:ascii="Times New Roman" w:cs="Times New Roman" w:eastAsia="Times New Roman" w:hAnsi="Times New Roman"/>
                <w:sz w:val="16"/>
                <w:szCs w:val="16"/>
                <w:color w:val="auto"/>
              </w:rPr>
              <w:t>6,685</w:t>
            </w:r>
          </w:p>
        </w:tc>
        <w:tc>
          <w:tcPr>
            <w:tcW w:w="1000" w:type="dxa"/>
            <w:vAlign w:val="bottom"/>
            <w:tcBorders>
              <w:bottom w:val="single" w:sz="8" w:color="0C479D"/>
            </w:tcBorders>
          </w:tcPr>
          <w:p>
            <w:pPr>
              <w:jc w:val="right"/>
              <w:ind w:right="100"/>
              <w:spacing w:after="0"/>
              <w:rPr>
                <w:sz w:val="20"/>
                <w:szCs w:val="20"/>
                <w:color w:val="auto"/>
              </w:rPr>
            </w:pPr>
            <w:r>
              <w:rPr>
                <w:rFonts w:ascii="Times New Roman" w:cs="Times New Roman" w:eastAsia="Times New Roman" w:hAnsi="Times New Roman"/>
                <w:sz w:val="16"/>
                <w:szCs w:val="16"/>
                <w:color w:val="auto"/>
              </w:rPr>
              <w:t>12,854</w:t>
            </w:r>
          </w:p>
        </w:tc>
        <w:tc>
          <w:tcPr>
            <w:tcW w:w="1000" w:type="dxa"/>
            <w:vAlign w:val="bottom"/>
            <w:tcBorders>
              <w:bottom w:val="single" w:sz="8" w:color="0C479D"/>
            </w:tcBorders>
          </w:tcPr>
          <w:p>
            <w:pPr>
              <w:jc w:val="right"/>
              <w:ind w:right="119"/>
              <w:spacing w:after="0"/>
              <w:rPr>
                <w:sz w:val="20"/>
                <w:szCs w:val="20"/>
                <w:color w:val="auto"/>
              </w:rPr>
            </w:pPr>
            <w:r>
              <w:rPr>
                <w:rFonts w:ascii="Times New Roman" w:cs="Times New Roman" w:eastAsia="Times New Roman" w:hAnsi="Times New Roman"/>
                <w:sz w:val="16"/>
                <w:szCs w:val="16"/>
                <w:color w:val="auto"/>
              </w:rPr>
              <w:t>196</w:t>
            </w:r>
          </w:p>
        </w:tc>
        <w:tc>
          <w:tcPr>
            <w:tcW w:w="100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color w:val="auto"/>
              </w:rPr>
              <w:t>1,317</w:t>
            </w:r>
          </w:p>
        </w:tc>
        <w:tc>
          <w:tcPr>
            <w:tcW w:w="880" w:type="dxa"/>
            <w:vAlign w:val="bottom"/>
            <w:tcBorders>
              <w:bottom w:val="single" w:sz="8" w:color="0C479D"/>
            </w:tcBorders>
          </w:tcPr>
          <w:p>
            <w:pPr>
              <w:jc w:val="right"/>
              <w:ind w:right="59"/>
              <w:spacing w:after="0"/>
              <w:rPr>
                <w:sz w:val="20"/>
                <w:szCs w:val="20"/>
                <w:color w:val="auto"/>
              </w:rPr>
            </w:pPr>
            <w:r>
              <w:rPr>
                <w:rFonts w:ascii="Times New Roman" w:cs="Times New Roman" w:eastAsia="Times New Roman" w:hAnsi="Times New Roman"/>
                <w:sz w:val="16"/>
                <w:szCs w:val="16"/>
                <w:color w:val="auto"/>
              </w:rPr>
              <w:t>2,269</w:t>
            </w:r>
          </w:p>
        </w:tc>
        <w:tc>
          <w:tcPr>
            <w:tcW w:w="1060" w:type="dxa"/>
            <w:vAlign w:val="bottom"/>
            <w:tcBorders>
              <w:bottom w:val="single" w:sz="8" w:color="0C479D"/>
            </w:tcBorders>
          </w:tcPr>
          <w:p>
            <w:pPr>
              <w:jc w:val="right"/>
              <w:ind w:right="140"/>
              <w:spacing w:after="0"/>
              <w:rPr>
                <w:sz w:val="20"/>
                <w:szCs w:val="20"/>
                <w:color w:val="auto"/>
              </w:rPr>
            </w:pPr>
            <w:r>
              <w:rPr>
                <w:rFonts w:ascii="Times New Roman" w:cs="Times New Roman" w:eastAsia="Times New Roman" w:hAnsi="Times New Roman"/>
                <w:sz w:val="16"/>
                <w:szCs w:val="16"/>
                <w:color w:val="auto"/>
              </w:rPr>
              <w:t>2,078</w:t>
            </w:r>
          </w:p>
        </w:tc>
        <w:tc>
          <w:tcPr>
            <w:tcW w:w="8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25,399</w:t>
            </w:r>
          </w:p>
        </w:tc>
        <w:tc>
          <w:tcPr>
            <w:tcW w:w="0" w:type="dxa"/>
            <w:vAlign w:val="bottom"/>
          </w:tcPr>
          <w:p>
            <w:pPr>
              <w:spacing w:after="0"/>
              <w:rPr>
                <w:sz w:val="1"/>
                <w:szCs w:val="1"/>
                <w:color w:val="auto"/>
              </w:rPr>
            </w:pPr>
          </w:p>
        </w:tc>
      </w:tr>
      <w:tr>
        <w:trPr>
          <w:trHeight w:val="210"/>
        </w:trPr>
        <w:tc>
          <w:tcPr>
            <w:tcW w:w="198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color w:val="auto"/>
              </w:rPr>
              <w:t>Total capitalized costs</w:t>
            </w:r>
          </w:p>
        </w:tc>
        <w:tc>
          <w:tcPr>
            <w:tcW w:w="2080" w:type="dxa"/>
            <w:vAlign w:val="bottom"/>
            <w:tcBorders>
              <w:bottom w:val="single" w:sz="8" w:color="0C479D"/>
            </w:tcBorders>
          </w:tcPr>
          <w:p>
            <w:pPr>
              <w:spacing w:after="0"/>
              <w:rPr>
                <w:sz w:val="18"/>
                <w:szCs w:val="18"/>
                <w:color w:val="auto"/>
              </w:rPr>
            </w:pPr>
          </w:p>
        </w:tc>
        <w:tc>
          <w:tcPr>
            <w:tcW w:w="1360" w:type="dxa"/>
            <w:vAlign w:val="bottom"/>
            <w:tcBorders>
              <w:bottom w:val="single" w:sz="8" w:color="0C479D"/>
            </w:tcBorders>
          </w:tcPr>
          <w:p>
            <w:pPr>
              <w:jc w:val="right"/>
              <w:ind w:right="60"/>
              <w:spacing w:after="0"/>
              <w:rPr>
                <w:sz w:val="20"/>
                <w:szCs w:val="20"/>
                <w:color w:val="auto"/>
              </w:rPr>
            </w:pPr>
            <w:r>
              <w:rPr>
                <w:rFonts w:ascii="Times New Roman" w:cs="Times New Roman" w:eastAsia="Times New Roman" w:hAnsi="Times New Roman"/>
                <w:sz w:val="16"/>
                <w:szCs w:val="16"/>
                <w:color w:val="auto"/>
              </w:rPr>
              <w:t>215,856</w:t>
            </w:r>
          </w:p>
        </w:tc>
        <w:tc>
          <w:tcPr>
            <w:tcW w:w="1000" w:type="dxa"/>
            <w:vAlign w:val="bottom"/>
            <w:tcBorders>
              <w:bottom w:val="single" w:sz="8" w:color="0C479D"/>
            </w:tcBorders>
          </w:tcPr>
          <w:p>
            <w:pPr>
              <w:jc w:val="right"/>
              <w:ind w:right="100"/>
              <w:spacing w:after="0"/>
              <w:rPr>
                <w:sz w:val="20"/>
                <w:szCs w:val="20"/>
                <w:color w:val="auto"/>
              </w:rPr>
            </w:pPr>
            <w:r>
              <w:rPr>
                <w:rFonts w:ascii="Times New Roman" w:cs="Times New Roman" w:eastAsia="Times New Roman" w:hAnsi="Times New Roman"/>
                <w:sz w:val="16"/>
                <w:szCs w:val="16"/>
                <w:color w:val="auto"/>
              </w:rPr>
              <w:t>69,364</w:t>
            </w:r>
          </w:p>
        </w:tc>
        <w:tc>
          <w:tcPr>
            <w:tcW w:w="1000" w:type="dxa"/>
            <w:vAlign w:val="bottom"/>
            <w:tcBorders>
              <w:bottom w:val="single" w:sz="8" w:color="0C479D"/>
            </w:tcBorders>
          </w:tcPr>
          <w:p>
            <w:pPr>
              <w:jc w:val="right"/>
              <w:ind w:right="119"/>
              <w:spacing w:after="0"/>
              <w:rPr>
                <w:sz w:val="20"/>
                <w:szCs w:val="20"/>
                <w:color w:val="auto"/>
              </w:rPr>
            </w:pPr>
            <w:r>
              <w:rPr>
                <w:rFonts w:ascii="Times New Roman" w:cs="Times New Roman" w:eastAsia="Times New Roman" w:hAnsi="Times New Roman"/>
                <w:sz w:val="16"/>
                <w:szCs w:val="16"/>
                <w:color w:val="auto"/>
              </w:rPr>
              <w:t>12,550</w:t>
            </w:r>
          </w:p>
        </w:tc>
        <w:tc>
          <w:tcPr>
            <w:tcW w:w="100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color w:val="auto"/>
              </w:rPr>
              <w:t>37,109</w:t>
            </w:r>
          </w:p>
        </w:tc>
        <w:tc>
          <w:tcPr>
            <w:tcW w:w="880" w:type="dxa"/>
            <w:vAlign w:val="bottom"/>
            <w:tcBorders>
              <w:bottom w:val="single" w:sz="8" w:color="0C479D"/>
            </w:tcBorders>
          </w:tcPr>
          <w:p>
            <w:pPr>
              <w:jc w:val="right"/>
              <w:ind w:right="59"/>
              <w:spacing w:after="0"/>
              <w:rPr>
                <w:sz w:val="20"/>
                <w:szCs w:val="20"/>
                <w:color w:val="auto"/>
              </w:rPr>
            </w:pPr>
            <w:r>
              <w:rPr>
                <w:rFonts w:ascii="Times New Roman" w:cs="Times New Roman" w:eastAsia="Times New Roman" w:hAnsi="Times New Roman"/>
                <w:sz w:val="16"/>
                <w:szCs w:val="16"/>
                <w:color w:val="auto"/>
              </w:rPr>
              <w:t>50,746</w:t>
            </w:r>
          </w:p>
        </w:tc>
        <w:tc>
          <w:tcPr>
            <w:tcW w:w="1060" w:type="dxa"/>
            <w:vAlign w:val="bottom"/>
            <w:tcBorders>
              <w:bottom w:val="single" w:sz="8" w:color="0C479D"/>
            </w:tcBorders>
          </w:tcPr>
          <w:p>
            <w:pPr>
              <w:jc w:val="right"/>
              <w:ind w:right="140"/>
              <w:spacing w:after="0"/>
              <w:rPr>
                <w:sz w:val="20"/>
                <w:szCs w:val="20"/>
                <w:color w:val="auto"/>
              </w:rPr>
            </w:pPr>
            <w:r>
              <w:rPr>
                <w:rFonts w:ascii="Times New Roman" w:cs="Times New Roman" w:eastAsia="Times New Roman" w:hAnsi="Times New Roman"/>
                <w:sz w:val="16"/>
                <w:szCs w:val="16"/>
                <w:color w:val="auto"/>
              </w:rPr>
              <w:t>20,705</w:t>
            </w:r>
          </w:p>
        </w:tc>
        <w:tc>
          <w:tcPr>
            <w:tcW w:w="8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406,330</w:t>
            </w:r>
          </w:p>
        </w:tc>
        <w:tc>
          <w:tcPr>
            <w:tcW w:w="0" w:type="dxa"/>
            <w:vAlign w:val="bottom"/>
          </w:tcPr>
          <w:p>
            <w:pPr>
              <w:spacing w:after="0"/>
              <w:rPr>
                <w:sz w:val="1"/>
                <w:szCs w:val="1"/>
                <w:color w:val="auto"/>
              </w:rPr>
            </w:pPr>
          </w:p>
        </w:tc>
      </w:tr>
      <w:tr>
        <w:trPr>
          <w:trHeight w:val="209"/>
        </w:trPr>
        <w:tc>
          <w:tcPr>
            <w:tcW w:w="4060" w:type="dxa"/>
            <w:vAlign w:val="bottom"/>
            <w:tcBorders>
              <w:bottom w:val="single" w:sz="8" w:color="0C479D"/>
            </w:tcBorders>
            <w:gridSpan w:val="2"/>
          </w:tcPr>
          <w:p>
            <w:pPr>
              <w:ind w:left="20"/>
              <w:spacing w:after="0"/>
              <w:rPr>
                <w:sz w:val="20"/>
                <w:szCs w:val="20"/>
                <w:color w:val="auto"/>
              </w:rPr>
            </w:pPr>
            <w:r>
              <w:rPr>
                <w:rFonts w:ascii="Times New Roman" w:cs="Times New Roman" w:eastAsia="Times New Roman" w:hAnsi="Times New Roman"/>
                <w:sz w:val="16"/>
                <w:szCs w:val="16"/>
                <w:color w:val="auto"/>
              </w:rPr>
              <w:t>Accumulated depreciation and depletion</w:t>
            </w:r>
          </w:p>
        </w:tc>
        <w:tc>
          <w:tcPr>
            <w:tcW w:w="1360" w:type="dxa"/>
            <w:vAlign w:val="bottom"/>
            <w:tcBorders>
              <w:bottom w:val="single" w:sz="8" w:color="0C479D"/>
            </w:tcBorders>
          </w:tcPr>
          <w:p>
            <w:pPr>
              <w:jc w:val="right"/>
              <w:ind w:right="60"/>
              <w:spacing w:after="0"/>
              <w:rPr>
                <w:sz w:val="20"/>
                <w:szCs w:val="20"/>
                <w:color w:val="auto"/>
              </w:rPr>
            </w:pPr>
            <w:r>
              <w:rPr>
                <w:rFonts w:ascii="Times New Roman" w:cs="Times New Roman" w:eastAsia="Times New Roman" w:hAnsi="Times New Roman"/>
                <w:sz w:val="16"/>
                <w:szCs w:val="16"/>
                <w:color w:val="auto"/>
              </w:rPr>
              <w:t>74,303</w:t>
            </w:r>
          </w:p>
        </w:tc>
        <w:tc>
          <w:tcPr>
            <w:tcW w:w="1000" w:type="dxa"/>
            <w:vAlign w:val="bottom"/>
            <w:tcBorders>
              <w:bottom w:val="single" w:sz="8" w:color="0C479D"/>
            </w:tcBorders>
          </w:tcPr>
          <w:p>
            <w:pPr>
              <w:jc w:val="right"/>
              <w:ind w:right="100"/>
              <w:spacing w:after="0"/>
              <w:rPr>
                <w:sz w:val="20"/>
                <w:szCs w:val="20"/>
                <w:color w:val="auto"/>
              </w:rPr>
            </w:pPr>
            <w:r>
              <w:rPr>
                <w:rFonts w:ascii="Times New Roman" w:cs="Times New Roman" w:eastAsia="Times New Roman" w:hAnsi="Times New Roman"/>
                <w:sz w:val="16"/>
                <w:szCs w:val="16"/>
                <w:color w:val="auto"/>
              </w:rPr>
              <w:t>27,479</w:t>
            </w:r>
          </w:p>
        </w:tc>
        <w:tc>
          <w:tcPr>
            <w:tcW w:w="1000" w:type="dxa"/>
            <w:vAlign w:val="bottom"/>
            <w:tcBorders>
              <w:bottom w:val="single" w:sz="8" w:color="0C479D"/>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11,953</w:t>
            </w:r>
          </w:p>
        </w:tc>
        <w:tc>
          <w:tcPr>
            <w:tcW w:w="100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color w:val="auto"/>
              </w:rPr>
              <w:t>32,837</w:t>
            </w:r>
          </w:p>
        </w:tc>
        <w:tc>
          <w:tcPr>
            <w:tcW w:w="880" w:type="dxa"/>
            <w:vAlign w:val="bottom"/>
            <w:tcBorders>
              <w:bottom w:val="single" w:sz="8" w:color="0C479D"/>
            </w:tcBorders>
          </w:tcPr>
          <w:p>
            <w:pPr>
              <w:jc w:val="right"/>
              <w:ind w:right="59"/>
              <w:spacing w:after="0"/>
              <w:rPr>
                <w:sz w:val="20"/>
                <w:szCs w:val="20"/>
                <w:color w:val="auto"/>
              </w:rPr>
            </w:pPr>
            <w:r>
              <w:rPr>
                <w:rFonts w:ascii="Times New Roman" w:cs="Times New Roman" w:eastAsia="Times New Roman" w:hAnsi="Times New Roman"/>
                <w:sz w:val="16"/>
                <w:szCs w:val="16"/>
                <w:color w:val="auto"/>
              </w:rPr>
              <w:t>32,822</w:t>
            </w:r>
          </w:p>
        </w:tc>
        <w:tc>
          <w:tcPr>
            <w:tcW w:w="1060" w:type="dxa"/>
            <w:vAlign w:val="bottom"/>
            <w:tcBorders>
              <w:bottom w:val="single" w:sz="8" w:color="0C479D"/>
            </w:tcBorders>
          </w:tcPr>
          <w:p>
            <w:pPr>
              <w:jc w:val="right"/>
              <w:ind w:right="140"/>
              <w:spacing w:after="0"/>
              <w:rPr>
                <w:sz w:val="20"/>
                <w:szCs w:val="20"/>
                <w:color w:val="auto"/>
              </w:rPr>
            </w:pPr>
            <w:r>
              <w:rPr>
                <w:rFonts w:ascii="Times New Roman" w:cs="Times New Roman" w:eastAsia="Times New Roman" w:hAnsi="Times New Roman"/>
                <w:sz w:val="16"/>
                <w:szCs w:val="16"/>
                <w:color w:val="auto"/>
              </w:rPr>
              <w:t>10,534</w:t>
            </w:r>
          </w:p>
        </w:tc>
        <w:tc>
          <w:tcPr>
            <w:tcW w:w="8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189,928</w:t>
            </w:r>
          </w:p>
        </w:tc>
        <w:tc>
          <w:tcPr>
            <w:tcW w:w="0" w:type="dxa"/>
            <w:vAlign w:val="bottom"/>
          </w:tcPr>
          <w:p>
            <w:pPr>
              <w:spacing w:after="0"/>
              <w:rPr>
                <w:sz w:val="1"/>
                <w:szCs w:val="1"/>
                <w:color w:val="auto"/>
              </w:rPr>
            </w:pPr>
          </w:p>
        </w:tc>
      </w:tr>
      <w:tr>
        <w:trPr>
          <w:trHeight w:val="219"/>
        </w:trPr>
        <w:tc>
          <w:tcPr>
            <w:tcW w:w="4060" w:type="dxa"/>
            <w:vAlign w:val="bottom"/>
            <w:tcBorders>
              <w:bottom w:val="single" w:sz="8" w:color="0C479D"/>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capitalized costs for consolidated subsidiaries</w:t>
            </w:r>
          </w:p>
        </w:tc>
        <w:tc>
          <w:tcPr>
            <w:tcW w:w="1360" w:type="dxa"/>
            <w:vAlign w:val="bottom"/>
            <w:tcBorders>
              <w:bottom w:val="single" w:sz="8" w:color="0C479D"/>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141,553</w:t>
            </w:r>
          </w:p>
        </w:tc>
        <w:tc>
          <w:tcPr>
            <w:tcW w:w="1000" w:type="dxa"/>
            <w:vAlign w:val="bottom"/>
            <w:tcBorders>
              <w:bottom w:val="single" w:sz="8" w:color="0C479D"/>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41,885</w:t>
            </w:r>
          </w:p>
        </w:tc>
        <w:tc>
          <w:tcPr>
            <w:tcW w:w="1000" w:type="dxa"/>
            <w:vAlign w:val="bottom"/>
            <w:tcBorders>
              <w:bottom w:val="single" w:sz="8" w:color="0C479D"/>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597</w:t>
            </w:r>
          </w:p>
        </w:tc>
        <w:tc>
          <w:tcPr>
            <w:tcW w:w="100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4,272</w:t>
            </w:r>
          </w:p>
        </w:tc>
        <w:tc>
          <w:tcPr>
            <w:tcW w:w="880" w:type="dxa"/>
            <w:vAlign w:val="bottom"/>
            <w:tcBorders>
              <w:bottom w:val="single" w:sz="8" w:color="0C479D"/>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17,924</w:t>
            </w:r>
          </w:p>
        </w:tc>
        <w:tc>
          <w:tcPr>
            <w:tcW w:w="1060" w:type="dxa"/>
            <w:vAlign w:val="bottom"/>
            <w:tcBorders>
              <w:bottom w:val="single" w:sz="8" w:color="0C479D"/>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10,171</w:t>
            </w:r>
          </w:p>
        </w:tc>
        <w:tc>
          <w:tcPr>
            <w:tcW w:w="8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216,402</w:t>
            </w:r>
          </w:p>
        </w:tc>
        <w:tc>
          <w:tcPr>
            <w:tcW w:w="0" w:type="dxa"/>
            <w:vAlign w:val="bottom"/>
          </w:tcPr>
          <w:p>
            <w:pPr>
              <w:spacing w:after="0"/>
              <w:rPr>
                <w:sz w:val="1"/>
                <w:szCs w:val="1"/>
                <w:color w:val="auto"/>
              </w:rPr>
            </w:pPr>
          </w:p>
        </w:tc>
      </w:tr>
      <w:tr>
        <w:trPr>
          <w:trHeight w:val="291"/>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0C479D"/>
              </w:rPr>
              <w:t>Equity Companies</w:t>
            </w:r>
          </w:p>
        </w:tc>
        <w:tc>
          <w:tcPr>
            <w:tcW w:w="2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(acreage) costs</w:t>
            </w:r>
          </w:p>
        </w:tc>
        <w:tc>
          <w:tcPr>
            <w:tcW w:w="20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 Proved</w:t>
            </w:r>
          </w:p>
        </w:tc>
        <w:tc>
          <w:tcPr>
            <w:tcW w:w="13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309</w:t>
            </w: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0" w:type="dxa"/>
            <w:vAlign w:val="bottom"/>
          </w:tcPr>
          <w:p>
            <w:pPr>
              <w:spacing w:after="0"/>
              <w:rPr>
                <w:sz w:val="1"/>
                <w:szCs w:val="1"/>
                <w:color w:val="auto"/>
              </w:rPr>
            </w:pPr>
          </w:p>
        </w:tc>
      </w:tr>
      <w:tr>
        <w:trPr>
          <w:trHeight w:val="219"/>
        </w:trPr>
        <w:tc>
          <w:tcPr>
            <w:tcW w:w="1980" w:type="dxa"/>
            <w:vAlign w:val="bottom"/>
            <w:tcBorders>
              <w:bottom w:val="single" w:sz="8" w:color="0C479D"/>
            </w:tcBorders>
          </w:tcPr>
          <w:p>
            <w:pPr>
              <w:spacing w:after="0"/>
              <w:rPr>
                <w:sz w:val="19"/>
                <w:szCs w:val="19"/>
                <w:color w:val="auto"/>
              </w:rPr>
            </w:pPr>
          </w:p>
        </w:tc>
        <w:tc>
          <w:tcPr>
            <w:tcW w:w="2080" w:type="dxa"/>
            <w:vAlign w:val="bottom"/>
            <w:tcBorders>
              <w:bottom w:val="single" w:sz="8" w:color="0C479D"/>
            </w:tcBorders>
          </w:tcPr>
          <w:p>
            <w:pPr>
              <w:ind w:left="160"/>
              <w:spacing w:after="0"/>
              <w:rPr>
                <w:sz w:val="20"/>
                <w:szCs w:val="20"/>
                <w:color w:val="auto"/>
              </w:rPr>
            </w:pPr>
            <w:r>
              <w:rPr>
                <w:rFonts w:ascii="Times New Roman" w:cs="Times New Roman" w:eastAsia="Times New Roman" w:hAnsi="Times New Roman"/>
                <w:sz w:val="16"/>
                <w:szCs w:val="16"/>
                <w:color w:val="auto"/>
              </w:rPr>
              <w:t>– Unproved</w:t>
            </w:r>
          </w:p>
        </w:tc>
        <w:tc>
          <w:tcPr>
            <w:tcW w:w="1360" w:type="dxa"/>
            <w:vAlign w:val="bottom"/>
            <w:tcBorders>
              <w:bottom w:val="single" w:sz="8" w:color="0C479D"/>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0C479D"/>
            </w:tcBorders>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0C479D"/>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color w:val="auto"/>
              </w:rPr>
              <w:t>3,111</w:t>
            </w:r>
          </w:p>
        </w:tc>
        <w:tc>
          <w:tcPr>
            <w:tcW w:w="880" w:type="dxa"/>
            <w:vAlign w:val="bottom"/>
            <w:tcBorders>
              <w:bottom w:val="single" w:sz="8" w:color="0C479D"/>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0C479D"/>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3,111</w:t>
            </w:r>
          </w:p>
        </w:tc>
        <w:tc>
          <w:tcPr>
            <w:tcW w:w="0" w:type="dxa"/>
            <w:vAlign w:val="bottom"/>
          </w:tcPr>
          <w:p>
            <w:pPr>
              <w:spacing w:after="0"/>
              <w:rPr>
                <w:sz w:val="1"/>
                <w:szCs w:val="1"/>
                <w:color w:val="auto"/>
              </w:rPr>
            </w:pPr>
          </w:p>
        </w:tc>
      </w:tr>
      <w:tr>
        <w:trPr>
          <w:trHeight w:val="210"/>
        </w:trPr>
        <w:tc>
          <w:tcPr>
            <w:tcW w:w="198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color w:val="auto"/>
              </w:rPr>
              <w:t>Total property costs</w:t>
            </w:r>
          </w:p>
        </w:tc>
        <w:tc>
          <w:tcPr>
            <w:tcW w:w="2080" w:type="dxa"/>
            <w:vAlign w:val="bottom"/>
            <w:tcBorders>
              <w:bottom w:val="single" w:sz="8" w:color="0C479D"/>
            </w:tcBorders>
          </w:tcPr>
          <w:p>
            <w:pPr>
              <w:spacing w:after="0"/>
              <w:rPr>
                <w:sz w:val="18"/>
                <w:szCs w:val="18"/>
                <w:color w:val="auto"/>
              </w:rPr>
            </w:pPr>
          </w:p>
        </w:tc>
        <w:tc>
          <w:tcPr>
            <w:tcW w:w="1360" w:type="dxa"/>
            <w:vAlign w:val="bottom"/>
            <w:tcBorders>
              <w:bottom w:val="single" w:sz="8" w:color="0C479D"/>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0C479D"/>
            </w:tcBorders>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0C479D"/>
            </w:tcBorders>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c>
          <w:tcPr>
            <w:tcW w:w="100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color w:val="auto"/>
              </w:rPr>
              <w:t>3,420</w:t>
            </w:r>
          </w:p>
        </w:tc>
        <w:tc>
          <w:tcPr>
            <w:tcW w:w="880" w:type="dxa"/>
            <w:vAlign w:val="bottom"/>
            <w:tcBorders>
              <w:bottom w:val="single" w:sz="8" w:color="0C479D"/>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0C479D"/>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3,423</w:t>
            </w:r>
          </w:p>
        </w:tc>
        <w:tc>
          <w:tcPr>
            <w:tcW w:w="0" w:type="dxa"/>
            <w:vAlign w:val="bottom"/>
          </w:tcPr>
          <w:p>
            <w:pPr>
              <w:spacing w:after="0"/>
              <w:rPr>
                <w:sz w:val="1"/>
                <w:szCs w:val="1"/>
                <w:color w:val="auto"/>
              </w:rPr>
            </w:pPr>
          </w:p>
        </w:tc>
      </w:tr>
      <w:tr>
        <w:trPr>
          <w:trHeight w:val="207"/>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Producing assets</w:t>
            </w:r>
          </w:p>
        </w:tc>
        <w:tc>
          <w:tcPr>
            <w:tcW w:w="2080" w:type="dxa"/>
            <w:vAlign w:val="bottom"/>
          </w:tcPr>
          <w:p>
            <w:pPr>
              <w:spacing w:after="0"/>
              <w:rPr>
                <w:sz w:val="17"/>
                <w:szCs w:val="17"/>
                <w:color w:val="auto"/>
              </w:rPr>
            </w:pPr>
          </w:p>
        </w:tc>
        <w:tc>
          <w:tcPr>
            <w:tcW w:w="13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1,360</w:t>
            </w:r>
          </w:p>
        </w:tc>
        <w:tc>
          <w:tcPr>
            <w:tcW w:w="10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5,222</w:t>
            </w: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402</w:t>
            </w: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19,215</w:t>
            </w: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26,199</w:t>
            </w:r>
          </w:p>
        </w:tc>
        <w:tc>
          <w:tcPr>
            <w:tcW w:w="0" w:type="dxa"/>
            <w:vAlign w:val="bottom"/>
          </w:tcPr>
          <w:p>
            <w:pPr>
              <w:spacing w:after="0"/>
              <w:rPr>
                <w:sz w:val="1"/>
                <w:szCs w:val="1"/>
                <w:color w:val="auto"/>
              </w:rPr>
            </w:pPr>
          </w:p>
        </w:tc>
      </w:tr>
      <w:tr>
        <w:trPr>
          <w:trHeight w:val="219"/>
        </w:trPr>
        <w:tc>
          <w:tcPr>
            <w:tcW w:w="198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color w:val="auto"/>
              </w:rPr>
              <w:t>Incomplete construction</w:t>
            </w:r>
          </w:p>
        </w:tc>
        <w:tc>
          <w:tcPr>
            <w:tcW w:w="2080" w:type="dxa"/>
            <w:vAlign w:val="bottom"/>
            <w:tcBorders>
              <w:bottom w:val="single" w:sz="8" w:color="0C479D"/>
            </w:tcBorders>
          </w:tcPr>
          <w:p>
            <w:pPr>
              <w:spacing w:after="0"/>
              <w:rPr>
                <w:sz w:val="19"/>
                <w:szCs w:val="19"/>
                <w:color w:val="auto"/>
              </w:rPr>
            </w:pPr>
          </w:p>
        </w:tc>
        <w:tc>
          <w:tcPr>
            <w:tcW w:w="1360" w:type="dxa"/>
            <w:vAlign w:val="bottom"/>
            <w:tcBorders>
              <w:bottom w:val="single" w:sz="8" w:color="0C479D"/>
            </w:tcBorders>
          </w:tcPr>
          <w:p>
            <w:pPr>
              <w:jc w:val="right"/>
              <w:ind w:right="60"/>
              <w:spacing w:after="0"/>
              <w:rPr>
                <w:sz w:val="20"/>
                <w:szCs w:val="20"/>
                <w:color w:val="auto"/>
              </w:rPr>
            </w:pPr>
            <w:r>
              <w:rPr>
                <w:rFonts w:ascii="Times New Roman" w:cs="Times New Roman" w:eastAsia="Times New Roman" w:hAnsi="Times New Roman"/>
                <w:sz w:val="16"/>
                <w:szCs w:val="16"/>
                <w:color w:val="auto"/>
              </w:rPr>
              <w:t>2</w:t>
            </w:r>
          </w:p>
        </w:tc>
        <w:tc>
          <w:tcPr>
            <w:tcW w:w="1000" w:type="dxa"/>
            <w:vAlign w:val="bottom"/>
            <w:tcBorders>
              <w:bottom w:val="single" w:sz="8" w:color="0C479D"/>
            </w:tcBorders>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0C479D"/>
            </w:tcBorders>
          </w:tcPr>
          <w:p>
            <w:pPr>
              <w:jc w:val="right"/>
              <w:ind w:right="119"/>
              <w:spacing w:after="0"/>
              <w:rPr>
                <w:sz w:val="20"/>
                <w:szCs w:val="20"/>
                <w:color w:val="auto"/>
              </w:rPr>
            </w:pPr>
            <w:r>
              <w:rPr>
                <w:rFonts w:ascii="Times New Roman" w:cs="Times New Roman" w:eastAsia="Times New Roman" w:hAnsi="Times New Roman"/>
                <w:sz w:val="16"/>
                <w:szCs w:val="16"/>
                <w:color w:val="auto"/>
              </w:rPr>
              <w:t>15</w:t>
            </w:r>
          </w:p>
        </w:tc>
        <w:tc>
          <w:tcPr>
            <w:tcW w:w="100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color w:val="auto"/>
              </w:rPr>
              <w:t>453</w:t>
            </w:r>
          </w:p>
        </w:tc>
        <w:tc>
          <w:tcPr>
            <w:tcW w:w="880" w:type="dxa"/>
            <w:vAlign w:val="bottom"/>
            <w:tcBorders>
              <w:bottom w:val="single" w:sz="8" w:color="0C479D"/>
            </w:tcBorders>
          </w:tcPr>
          <w:p>
            <w:pPr>
              <w:jc w:val="right"/>
              <w:ind w:right="59"/>
              <w:spacing w:after="0"/>
              <w:rPr>
                <w:sz w:val="20"/>
                <w:szCs w:val="20"/>
                <w:color w:val="auto"/>
              </w:rPr>
            </w:pPr>
            <w:r>
              <w:rPr>
                <w:rFonts w:ascii="Times New Roman" w:cs="Times New Roman" w:eastAsia="Times New Roman" w:hAnsi="Times New Roman"/>
                <w:sz w:val="16"/>
                <w:szCs w:val="16"/>
                <w:color w:val="auto"/>
              </w:rPr>
              <w:t>5,091</w:t>
            </w:r>
          </w:p>
        </w:tc>
        <w:tc>
          <w:tcPr>
            <w:tcW w:w="1060" w:type="dxa"/>
            <w:vAlign w:val="bottom"/>
            <w:tcBorders>
              <w:bottom w:val="single" w:sz="8" w:color="0C479D"/>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5,561</w:t>
            </w:r>
          </w:p>
        </w:tc>
        <w:tc>
          <w:tcPr>
            <w:tcW w:w="0" w:type="dxa"/>
            <w:vAlign w:val="bottom"/>
          </w:tcPr>
          <w:p>
            <w:pPr>
              <w:spacing w:after="0"/>
              <w:rPr>
                <w:sz w:val="1"/>
                <w:szCs w:val="1"/>
                <w:color w:val="auto"/>
              </w:rPr>
            </w:pPr>
          </w:p>
        </w:tc>
      </w:tr>
      <w:tr>
        <w:trPr>
          <w:trHeight w:val="210"/>
        </w:trPr>
        <w:tc>
          <w:tcPr>
            <w:tcW w:w="198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color w:val="auto"/>
              </w:rPr>
              <w:t>Total capitalized costs</w:t>
            </w:r>
          </w:p>
        </w:tc>
        <w:tc>
          <w:tcPr>
            <w:tcW w:w="2080" w:type="dxa"/>
            <w:vAlign w:val="bottom"/>
            <w:tcBorders>
              <w:bottom w:val="single" w:sz="8" w:color="0C479D"/>
            </w:tcBorders>
          </w:tcPr>
          <w:p>
            <w:pPr>
              <w:spacing w:after="0"/>
              <w:rPr>
                <w:sz w:val="18"/>
                <w:szCs w:val="18"/>
                <w:color w:val="auto"/>
              </w:rPr>
            </w:pPr>
          </w:p>
        </w:tc>
        <w:tc>
          <w:tcPr>
            <w:tcW w:w="1360" w:type="dxa"/>
            <w:vAlign w:val="bottom"/>
            <w:tcBorders>
              <w:bottom w:val="single" w:sz="8" w:color="0C479D"/>
            </w:tcBorders>
          </w:tcPr>
          <w:p>
            <w:pPr>
              <w:jc w:val="right"/>
              <w:ind w:right="60"/>
              <w:spacing w:after="0"/>
              <w:rPr>
                <w:sz w:val="20"/>
                <w:szCs w:val="20"/>
                <w:color w:val="auto"/>
              </w:rPr>
            </w:pPr>
            <w:r>
              <w:rPr>
                <w:rFonts w:ascii="Times New Roman" w:cs="Times New Roman" w:eastAsia="Times New Roman" w:hAnsi="Times New Roman"/>
                <w:sz w:val="16"/>
                <w:szCs w:val="16"/>
                <w:color w:val="auto"/>
              </w:rPr>
              <w:t>1,362</w:t>
            </w:r>
          </w:p>
        </w:tc>
        <w:tc>
          <w:tcPr>
            <w:tcW w:w="1000" w:type="dxa"/>
            <w:vAlign w:val="bottom"/>
            <w:tcBorders>
              <w:bottom w:val="single" w:sz="8" w:color="0C479D"/>
            </w:tcBorders>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0C479D"/>
            </w:tcBorders>
          </w:tcPr>
          <w:p>
            <w:pPr>
              <w:jc w:val="right"/>
              <w:ind w:right="119"/>
              <w:spacing w:after="0"/>
              <w:rPr>
                <w:sz w:val="20"/>
                <w:szCs w:val="20"/>
                <w:color w:val="auto"/>
              </w:rPr>
            </w:pPr>
            <w:r>
              <w:rPr>
                <w:rFonts w:ascii="Times New Roman" w:cs="Times New Roman" w:eastAsia="Times New Roman" w:hAnsi="Times New Roman"/>
                <w:sz w:val="16"/>
                <w:szCs w:val="16"/>
                <w:color w:val="auto"/>
              </w:rPr>
              <w:t>5,240</w:t>
            </w:r>
          </w:p>
        </w:tc>
        <w:tc>
          <w:tcPr>
            <w:tcW w:w="100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color w:val="auto"/>
              </w:rPr>
              <w:t>4,275</w:t>
            </w:r>
          </w:p>
        </w:tc>
        <w:tc>
          <w:tcPr>
            <w:tcW w:w="880" w:type="dxa"/>
            <w:vAlign w:val="bottom"/>
            <w:tcBorders>
              <w:bottom w:val="single" w:sz="8" w:color="0C479D"/>
            </w:tcBorders>
          </w:tcPr>
          <w:p>
            <w:pPr>
              <w:jc w:val="right"/>
              <w:ind w:right="59"/>
              <w:spacing w:after="0"/>
              <w:rPr>
                <w:sz w:val="20"/>
                <w:szCs w:val="20"/>
                <w:color w:val="auto"/>
              </w:rPr>
            </w:pPr>
            <w:r>
              <w:rPr>
                <w:rFonts w:ascii="Times New Roman" w:cs="Times New Roman" w:eastAsia="Times New Roman" w:hAnsi="Times New Roman"/>
                <w:sz w:val="16"/>
                <w:szCs w:val="16"/>
                <w:color w:val="auto"/>
              </w:rPr>
              <w:t>24,306</w:t>
            </w:r>
          </w:p>
        </w:tc>
        <w:tc>
          <w:tcPr>
            <w:tcW w:w="1060" w:type="dxa"/>
            <w:vAlign w:val="bottom"/>
            <w:tcBorders>
              <w:bottom w:val="single" w:sz="8" w:color="0C479D"/>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35,183</w:t>
            </w:r>
          </w:p>
        </w:tc>
        <w:tc>
          <w:tcPr>
            <w:tcW w:w="0" w:type="dxa"/>
            <w:vAlign w:val="bottom"/>
          </w:tcPr>
          <w:p>
            <w:pPr>
              <w:spacing w:after="0"/>
              <w:rPr>
                <w:sz w:val="1"/>
                <w:szCs w:val="1"/>
                <w:color w:val="auto"/>
              </w:rPr>
            </w:pPr>
          </w:p>
        </w:tc>
      </w:tr>
      <w:tr>
        <w:trPr>
          <w:trHeight w:val="210"/>
        </w:trPr>
        <w:tc>
          <w:tcPr>
            <w:tcW w:w="4060" w:type="dxa"/>
            <w:vAlign w:val="bottom"/>
            <w:tcBorders>
              <w:bottom w:val="single" w:sz="8" w:color="0C479D"/>
            </w:tcBorders>
            <w:gridSpan w:val="2"/>
          </w:tcPr>
          <w:p>
            <w:pPr>
              <w:ind w:left="20"/>
              <w:spacing w:after="0"/>
              <w:rPr>
                <w:sz w:val="20"/>
                <w:szCs w:val="20"/>
                <w:color w:val="auto"/>
              </w:rPr>
            </w:pPr>
            <w:r>
              <w:rPr>
                <w:rFonts w:ascii="Times New Roman" w:cs="Times New Roman" w:eastAsia="Times New Roman" w:hAnsi="Times New Roman"/>
                <w:sz w:val="16"/>
                <w:szCs w:val="16"/>
                <w:color w:val="auto"/>
              </w:rPr>
              <w:t>Accumulated depreciation and depletion</w:t>
            </w:r>
          </w:p>
        </w:tc>
        <w:tc>
          <w:tcPr>
            <w:tcW w:w="1360" w:type="dxa"/>
            <w:vAlign w:val="bottom"/>
            <w:tcBorders>
              <w:bottom w:val="single" w:sz="8" w:color="0C479D"/>
            </w:tcBorders>
          </w:tcPr>
          <w:p>
            <w:pPr>
              <w:jc w:val="right"/>
              <w:ind w:right="60"/>
              <w:spacing w:after="0"/>
              <w:rPr>
                <w:sz w:val="20"/>
                <w:szCs w:val="20"/>
                <w:color w:val="auto"/>
              </w:rPr>
            </w:pPr>
            <w:r>
              <w:rPr>
                <w:rFonts w:ascii="Times New Roman" w:cs="Times New Roman" w:eastAsia="Times New Roman" w:hAnsi="Times New Roman"/>
                <w:sz w:val="16"/>
                <w:szCs w:val="16"/>
                <w:color w:val="auto"/>
              </w:rPr>
              <w:t>1,046</w:t>
            </w:r>
          </w:p>
        </w:tc>
        <w:tc>
          <w:tcPr>
            <w:tcW w:w="1000" w:type="dxa"/>
            <w:vAlign w:val="bottom"/>
            <w:tcBorders>
              <w:bottom w:val="single" w:sz="8" w:color="0C479D"/>
            </w:tcBorders>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0C479D"/>
            </w:tcBorders>
          </w:tcPr>
          <w:p>
            <w:pPr>
              <w:jc w:val="right"/>
              <w:ind w:right="119"/>
              <w:spacing w:after="0"/>
              <w:rPr>
                <w:sz w:val="20"/>
                <w:szCs w:val="20"/>
                <w:color w:val="auto"/>
              </w:rPr>
            </w:pPr>
            <w:r>
              <w:rPr>
                <w:rFonts w:ascii="Times New Roman" w:cs="Times New Roman" w:eastAsia="Times New Roman" w:hAnsi="Times New Roman"/>
                <w:sz w:val="16"/>
                <w:szCs w:val="16"/>
                <w:color w:val="auto"/>
              </w:rPr>
              <w:t>4,935</w:t>
            </w:r>
          </w:p>
        </w:tc>
        <w:tc>
          <w:tcPr>
            <w:tcW w:w="100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color w:val="auto"/>
              </w:rPr>
              <w:t>76</w:t>
            </w:r>
          </w:p>
        </w:tc>
        <w:tc>
          <w:tcPr>
            <w:tcW w:w="880" w:type="dxa"/>
            <w:vAlign w:val="bottom"/>
            <w:tcBorders>
              <w:bottom w:val="single" w:sz="8" w:color="0C479D"/>
            </w:tcBorders>
          </w:tcPr>
          <w:p>
            <w:pPr>
              <w:jc w:val="right"/>
              <w:ind w:right="59"/>
              <w:spacing w:after="0"/>
              <w:rPr>
                <w:sz w:val="20"/>
                <w:szCs w:val="20"/>
                <w:color w:val="auto"/>
              </w:rPr>
            </w:pPr>
            <w:r>
              <w:rPr>
                <w:rFonts w:ascii="Times New Roman" w:cs="Times New Roman" w:eastAsia="Times New Roman" w:hAnsi="Times New Roman"/>
                <w:sz w:val="16"/>
                <w:szCs w:val="16"/>
                <w:color w:val="auto"/>
              </w:rPr>
              <w:t>8,564</w:t>
            </w:r>
          </w:p>
        </w:tc>
        <w:tc>
          <w:tcPr>
            <w:tcW w:w="1060" w:type="dxa"/>
            <w:vAlign w:val="bottom"/>
            <w:tcBorders>
              <w:bottom w:val="single" w:sz="8" w:color="0C479D"/>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14,621</w:t>
            </w:r>
          </w:p>
        </w:tc>
        <w:tc>
          <w:tcPr>
            <w:tcW w:w="0" w:type="dxa"/>
            <w:vAlign w:val="bottom"/>
          </w:tcPr>
          <w:p>
            <w:pPr>
              <w:spacing w:after="0"/>
              <w:rPr>
                <w:sz w:val="1"/>
                <w:szCs w:val="1"/>
                <w:color w:val="auto"/>
              </w:rPr>
            </w:pPr>
          </w:p>
        </w:tc>
      </w:tr>
      <w:tr>
        <w:trPr>
          <w:trHeight w:val="219"/>
        </w:trPr>
        <w:tc>
          <w:tcPr>
            <w:tcW w:w="4060" w:type="dxa"/>
            <w:vAlign w:val="bottom"/>
            <w:tcBorders>
              <w:bottom w:val="single" w:sz="8" w:color="0C479D"/>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capitalized costs for equity companies</w:t>
            </w:r>
          </w:p>
        </w:tc>
        <w:tc>
          <w:tcPr>
            <w:tcW w:w="1360" w:type="dxa"/>
            <w:vAlign w:val="bottom"/>
            <w:tcBorders>
              <w:bottom w:val="single" w:sz="8" w:color="0C479D"/>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316</w:t>
            </w:r>
          </w:p>
        </w:tc>
        <w:tc>
          <w:tcPr>
            <w:tcW w:w="1000" w:type="dxa"/>
            <w:vAlign w:val="bottom"/>
            <w:tcBorders>
              <w:bottom w:val="single" w:sz="8" w:color="0C479D"/>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Borders>
              <w:bottom w:val="single" w:sz="8" w:color="0C479D"/>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305</w:t>
            </w:r>
          </w:p>
        </w:tc>
        <w:tc>
          <w:tcPr>
            <w:tcW w:w="100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4,199</w:t>
            </w:r>
          </w:p>
        </w:tc>
        <w:tc>
          <w:tcPr>
            <w:tcW w:w="880" w:type="dxa"/>
            <w:vAlign w:val="bottom"/>
            <w:tcBorders>
              <w:bottom w:val="single" w:sz="8" w:color="0C479D"/>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15,742</w:t>
            </w:r>
          </w:p>
        </w:tc>
        <w:tc>
          <w:tcPr>
            <w:tcW w:w="1060" w:type="dxa"/>
            <w:vAlign w:val="bottom"/>
            <w:tcBorders>
              <w:bottom w:val="single" w:sz="8" w:color="0C479D"/>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20,562</w:t>
            </w:r>
          </w:p>
        </w:tc>
        <w:tc>
          <w:tcPr>
            <w:tcW w:w="0" w:type="dxa"/>
            <w:vAlign w:val="bottom"/>
          </w:tcPr>
          <w:p>
            <w:pPr>
              <w:spacing w:after="0"/>
              <w:rPr>
                <w:sz w:val="1"/>
                <w:szCs w:val="1"/>
                <w:color w:val="auto"/>
              </w:rPr>
            </w:pPr>
          </w:p>
        </w:tc>
      </w:tr>
      <w:tr>
        <w:trPr>
          <w:trHeight w:val="466"/>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0C479D"/>
              </w:rPr>
              <w:t>As of December 31, 2023</w:t>
            </w:r>
          </w:p>
        </w:tc>
        <w:tc>
          <w:tcPr>
            <w:tcW w:w="2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0C479D"/>
              </w:rPr>
              <w:t>Consolidated Subsidiaries</w:t>
            </w:r>
          </w:p>
        </w:tc>
        <w:tc>
          <w:tcPr>
            <w:tcW w:w="2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(acreage) costs</w:t>
            </w:r>
          </w:p>
        </w:tc>
        <w:tc>
          <w:tcPr>
            <w:tcW w:w="20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 Proved</w:t>
            </w:r>
          </w:p>
        </w:tc>
        <w:tc>
          <w:tcPr>
            <w:tcW w:w="13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14,758</w:t>
            </w:r>
          </w:p>
        </w:tc>
        <w:tc>
          <w:tcPr>
            <w:tcW w:w="10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3,420</w:t>
            </w: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w:t>
            </w: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1,512</w:t>
            </w: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3,013</w:t>
            </w: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699</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23,409</w:t>
            </w:r>
          </w:p>
        </w:tc>
        <w:tc>
          <w:tcPr>
            <w:tcW w:w="0" w:type="dxa"/>
            <w:vAlign w:val="bottom"/>
          </w:tcPr>
          <w:p>
            <w:pPr>
              <w:spacing w:after="0"/>
              <w:rPr>
                <w:sz w:val="1"/>
                <w:szCs w:val="1"/>
                <w:color w:val="auto"/>
              </w:rPr>
            </w:pPr>
          </w:p>
        </w:tc>
      </w:tr>
      <w:tr>
        <w:trPr>
          <w:trHeight w:val="219"/>
        </w:trPr>
        <w:tc>
          <w:tcPr>
            <w:tcW w:w="1980" w:type="dxa"/>
            <w:vAlign w:val="bottom"/>
            <w:tcBorders>
              <w:bottom w:val="single" w:sz="8" w:color="0C479D"/>
            </w:tcBorders>
          </w:tcPr>
          <w:p>
            <w:pPr>
              <w:spacing w:after="0"/>
              <w:rPr>
                <w:sz w:val="19"/>
                <w:szCs w:val="19"/>
                <w:color w:val="auto"/>
              </w:rPr>
            </w:pPr>
          </w:p>
        </w:tc>
        <w:tc>
          <w:tcPr>
            <w:tcW w:w="2080" w:type="dxa"/>
            <w:vAlign w:val="bottom"/>
            <w:tcBorders>
              <w:bottom w:val="single" w:sz="8" w:color="0C479D"/>
            </w:tcBorders>
          </w:tcPr>
          <w:p>
            <w:pPr>
              <w:ind w:left="160"/>
              <w:spacing w:after="0"/>
              <w:rPr>
                <w:sz w:val="20"/>
                <w:szCs w:val="20"/>
                <w:color w:val="auto"/>
              </w:rPr>
            </w:pPr>
            <w:r>
              <w:rPr>
                <w:rFonts w:ascii="Times New Roman" w:cs="Times New Roman" w:eastAsia="Times New Roman" w:hAnsi="Times New Roman"/>
                <w:sz w:val="16"/>
                <w:szCs w:val="16"/>
                <w:color w:val="auto"/>
              </w:rPr>
              <w:t>– Unproved</w:t>
            </w:r>
          </w:p>
        </w:tc>
        <w:tc>
          <w:tcPr>
            <w:tcW w:w="1360" w:type="dxa"/>
            <w:vAlign w:val="bottom"/>
            <w:tcBorders>
              <w:bottom w:val="single" w:sz="8" w:color="0C479D"/>
            </w:tcBorders>
          </w:tcPr>
          <w:p>
            <w:pPr>
              <w:jc w:val="right"/>
              <w:ind w:right="60"/>
              <w:spacing w:after="0"/>
              <w:rPr>
                <w:sz w:val="20"/>
                <w:szCs w:val="20"/>
                <w:color w:val="auto"/>
              </w:rPr>
            </w:pPr>
            <w:r>
              <w:rPr>
                <w:rFonts w:ascii="Times New Roman" w:cs="Times New Roman" w:eastAsia="Times New Roman" w:hAnsi="Times New Roman"/>
                <w:sz w:val="16"/>
                <w:szCs w:val="16"/>
                <w:color w:val="auto"/>
              </w:rPr>
              <w:t>11,220</w:t>
            </w:r>
          </w:p>
        </w:tc>
        <w:tc>
          <w:tcPr>
            <w:tcW w:w="1000" w:type="dxa"/>
            <w:vAlign w:val="bottom"/>
            <w:tcBorders>
              <w:bottom w:val="single" w:sz="8" w:color="0C479D"/>
            </w:tcBorders>
          </w:tcPr>
          <w:p>
            <w:pPr>
              <w:jc w:val="right"/>
              <w:ind w:right="100"/>
              <w:spacing w:after="0"/>
              <w:rPr>
                <w:sz w:val="20"/>
                <w:szCs w:val="20"/>
                <w:color w:val="auto"/>
              </w:rPr>
            </w:pPr>
            <w:r>
              <w:rPr>
                <w:rFonts w:ascii="Times New Roman" w:cs="Times New Roman" w:eastAsia="Times New Roman" w:hAnsi="Times New Roman"/>
                <w:sz w:val="16"/>
                <w:szCs w:val="16"/>
                <w:color w:val="auto"/>
              </w:rPr>
              <w:t>3,035</w:t>
            </w:r>
          </w:p>
        </w:tc>
        <w:tc>
          <w:tcPr>
            <w:tcW w:w="1000" w:type="dxa"/>
            <w:vAlign w:val="bottom"/>
            <w:tcBorders>
              <w:bottom w:val="single" w:sz="8" w:color="0C479D"/>
            </w:tcBorders>
          </w:tcPr>
          <w:p>
            <w:pPr>
              <w:jc w:val="right"/>
              <w:ind w:right="119"/>
              <w:spacing w:after="0"/>
              <w:rPr>
                <w:sz w:val="20"/>
                <w:szCs w:val="20"/>
                <w:color w:val="auto"/>
              </w:rPr>
            </w:pPr>
            <w:r>
              <w:rPr>
                <w:rFonts w:ascii="Times New Roman" w:cs="Times New Roman" w:eastAsia="Times New Roman" w:hAnsi="Times New Roman"/>
                <w:sz w:val="16"/>
                <w:szCs w:val="16"/>
                <w:color w:val="auto"/>
              </w:rPr>
              <w:t>37</w:t>
            </w:r>
          </w:p>
        </w:tc>
        <w:tc>
          <w:tcPr>
            <w:tcW w:w="100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color w:val="auto"/>
              </w:rPr>
              <w:t>122</w:t>
            </w:r>
          </w:p>
        </w:tc>
        <w:tc>
          <w:tcPr>
            <w:tcW w:w="880" w:type="dxa"/>
            <w:vAlign w:val="bottom"/>
            <w:tcBorders>
              <w:bottom w:val="single" w:sz="8" w:color="0C479D"/>
            </w:tcBorders>
          </w:tcPr>
          <w:p>
            <w:pPr>
              <w:jc w:val="right"/>
              <w:ind w:right="59"/>
              <w:spacing w:after="0"/>
              <w:rPr>
                <w:sz w:val="20"/>
                <w:szCs w:val="20"/>
                <w:color w:val="auto"/>
              </w:rPr>
            </w:pPr>
            <w:r>
              <w:rPr>
                <w:rFonts w:ascii="Times New Roman" w:cs="Times New Roman" w:eastAsia="Times New Roman" w:hAnsi="Times New Roman"/>
                <w:sz w:val="16"/>
                <w:szCs w:val="16"/>
                <w:color w:val="auto"/>
              </w:rPr>
              <w:t>5</w:t>
            </w:r>
          </w:p>
        </w:tc>
        <w:tc>
          <w:tcPr>
            <w:tcW w:w="1060" w:type="dxa"/>
            <w:vAlign w:val="bottom"/>
            <w:tcBorders>
              <w:bottom w:val="single" w:sz="8" w:color="0C479D"/>
            </w:tcBorders>
          </w:tcPr>
          <w:p>
            <w:pPr>
              <w:jc w:val="right"/>
              <w:ind w:right="140"/>
              <w:spacing w:after="0"/>
              <w:rPr>
                <w:sz w:val="20"/>
                <w:szCs w:val="20"/>
                <w:color w:val="auto"/>
              </w:rPr>
            </w:pPr>
            <w:r>
              <w:rPr>
                <w:rFonts w:ascii="Times New Roman" w:cs="Times New Roman" w:eastAsia="Times New Roman" w:hAnsi="Times New Roman"/>
                <w:sz w:val="16"/>
                <w:szCs w:val="16"/>
                <w:color w:val="auto"/>
              </w:rPr>
              <w:t>2,660</w:t>
            </w:r>
          </w:p>
        </w:tc>
        <w:tc>
          <w:tcPr>
            <w:tcW w:w="8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17,079</w:t>
            </w:r>
          </w:p>
        </w:tc>
        <w:tc>
          <w:tcPr>
            <w:tcW w:w="0" w:type="dxa"/>
            <w:vAlign w:val="bottom"/>
          </w:tcPr>
          <w:p>
            <w:pPr>
              <w:spacing w:after="0"/>
              <w:rPr>
                <w:sz w:val="1"/>
                <w:szCs w:val="1"/>
                <w:color w:val="auto"/>
              </w:rPr>
            </w:pPr>
          </w:p>
        </w:tc>
      </w:tr>
      <w:tr>
        <w:trPr>
          <w:trHeight w:val="210"/>
        </w:trPr>
        <w:tc>
          <w:tcPr>
            <w:tcW w:w="198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color w:val="auto"/>
              </w:rPr>
              <w:t>Total property costs</w:t>
            </w:r>
          </w:p>
        </w:tc>
        <w:tc>
          <w:tcPr>
            <w:tcW w:w="2080" w:type="dxa"/>
            <w:vAlign w:val="bottom"/>
            <w:tcBorders>
              <w:bottom w:val="single" w:sz="8" w:color="0C479D"/>
            </w:tcBorders>
          </w:tcPr>
          <w:p>
            <w:pPr>
              <w:spacing w:after="0"/>
              <w:rPr>
                <w:sz w:val="18"/>
                <w:szCs w:val="18"/>
                <w:color w:val="auto"/>
              </w:rPr>
            </w:pPr>
          </w:p>
        </w:tc>
        <w:tc>
          <w:tcPr>
            <w:tcW w:w="1360" w:type="dxa"/>
            <w:vAlign w:val="bottom"/>
            <w:tcBorders>
              <w:bottom w:val="single" w:sz="8" w:color="0C479D"/>
            </w:tcBorders>
          </w:tcPr>
          <w:p>
            <w:pPr>
              <w:jc w:val="right"/>
              <w:ind w:right="60"/>
              <w:spacing w:after="0"/>
              <w:rPr>
                <w:sz w:val="20"/>
                <w:szCs w:val="20"/>
                <w:color w:val="auto"/>
              </w:rPr>
            </w:pPr>
            <w:r>
              <w:rPr>
                <w:rFonts w:ascii="Times New Roman" w:cs="Times New Roman" w:eastAsia="Times New Roman" w:hAnsi="Times New Roman"/>
                <w:sz w:val="16"/>
                <w:szCs w:val="16"/>
                <w:color w:val="auto"/>
              </w:rPr>
              <w:t>25,978</w:t>
            </w:r>
          </w:p>
        </w:tc>
        <w:tc>
          <w:tcPr>
            <w:tcW w:w="1000" w:type="dxa"/>
            <w:vAlign w:val="bottom"/>
            <w:tcBorders>
              <w:bottom w:val="single" w:sz="8" w:color="0C479D"/>
            </w:tcBorders>
          </w:tcPr>
          <w:p>
            <w:pPr>
              <w:jc w:val="right"/>
              <w:ind w:right="100"/>
              <w:spacing w:after="0"/>
              <w:rPr>
                <w:sz w:val="20"/>
                <w:szCs w:val="20"/>
                <w:color w:val="auto"/>
              </w:rPr>
            </w:pPr>
            <w:r>
              <w:rPr>
                <w:rFonts w:ascii="Times New Roman" w:cs="Times New Roman" w:eastAsia="Times New Roman" w:hAnsi="Times New Roman"/>
                <w:sz w:val="16"/>
                <w:szCs w:val="16"/>
                <w:color w:val="auto"/>
              </w:rPr>
              <w:t>6,455</w:t>
            </w:r>
          </w:p>
        </w:tc>
        <w:tc>
          <w:tcPr>
            <w:tcW w:w="1000" w:type="dxa"/>
            <w:vAlign w:val="bottom"/>
            <w:tcBorders>
              <w:bottom w:val="single" w:sz="8" w:color="0C479D"/>
            </w:tcBorders>
          </w:tcPr>
          <w:p>
            <w:pPr>
              <w:jc w:val="right"/>
              <w:ind w:right="119"/>
              <w:spacing w:after="0"/>
              <w:rPr>
                <w:sz w:val="20"/>
                <w:szCs w:val="20"/>
                <w:color w:val="auto"/>
              </w:rPr>
            </w:pPr>
            <w:r>
              <w:rPr>
                <w:rFonts w:ascii="Times New Roman" w:cs="Times New Roman" w:eastAsia="Times New Roman" w:hAnsi="Times New Roman"/>
                <w:sz w:val="16"/>
                <w:szCs w:val="16"/>
                <w:color w:val="auto"/>
              </w:rPr>
              <w:t>44</w:t>
            </w:r>
          </w:p>
        </w:tc>
        <w:tc>
          <w:tcPr>
            <w:tcW w:w="100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color w:val="auto"/>
              </w:rPr>
              <w:t>1,634</w:t>
            </w:r>
          </w:p>
        </w:tc>
        <w:tc>
          <w:tcPr>
            <w:tcW w:w="880" w:type="dxa"/>
            <w:vAlign w:val="bottom"/>
            <w:tcBorders>
              <w:bottom w:val="single" w:sz="8" w:color="0C479D"/>
            </w:tcBorders>
          </w:tcPr>
          <w:p>
            <w:pPr>
              <w:jc w:val="right"/>
              <w:ind w:right="59"/>
              <w:spacing w:after="0"/>
              <w:rPr>
                <w:sz w:val="20"/>
                <w:szCs w:val="20"/>
                <w:color w:val="auto"/>
              </w:rPr>
            </w:pPr>
            <w:r>
              <w:rPr>
                <w:rFonts w:ascii="Times New Roman" w:cs="Times New Roman" w:eastAsia="Times New Roman" w:hAnsi="Times New Roman"/>
                <w:sz w:val="16"/>
                <w:szCs w:val="16"/>
                <w:color w:val="auto"/>
              </w:rPr>
              <w:t>3,018</w:t>
            </w:r>
          </w:p>
        </w:tc>
        <w:tc>
          <w:tcPr>
            <w:tcW w:w="1060" w:type="dxa"/>
            <w:vAlign w:val="bottom"/>
            <w:tcBorders>
              <w:bottom w:val="single" w:sz="8" w:color="0C479D"/>
            </w:tcBorders>
          </w:tcPr>
          <w:p>
            <w:pPr>
              <w:jc w:val="right"/>
              <w:ind w:right="140"/>
              <w:spacing w:after="0"/>
              <w:rPr>
                <w:sz w:val="20"/>
                <w:szCs w:val="20"/>
                <w:color w:val="auto"/>
              </w:rPr>
            </w:pPr>
            <w:r>
              <w:rPr>
                <w:rFonts w:ascii="Times New Roman" w:cs="Times New Roman" w:eastAsia="Times New Roman" w:hAnsi="Times New Roman"/>
                <w:sz w:val="16"/>
                <w:szCs w:val="16"/>
                <w:color w:val="auto"/>
              </w:rPr>
              <w:t>3,359</w:t>
            </w:r>
          </w:p>
        </w:tc>
        <w:tc>
          <w:tcPr>
            <w:tcW w:w="8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40,488</w:t>
            </w:r>
          </w:p>
        </w:tc>
        <w:tc>
          <w:tcPr>
            <w:tcW w:w="0" w:type="dxa"/>
            <w:vAlign w:val="bottom"/>
          </w:tcPr>
          <w:p>
            <w:pPr>
              <w:spacing w:after="0"/>
              <w:rPr>
                <w:sz w:val="1"/>
                <w:szCs w:val="1"/>
                <w:color w:val="auto"/>
              </w:rPr>
            </w:pPr>
          </w:p>
        </w:tc>
      </w:tr>
      <w:tr>
        <w:trPr>
          <w:trHeight w:val="207"/>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Producing assets</w:t>
            </w:r>
          </w:p>
        </w:tc>
        <w:tc>
          <w:tcPr>
            <w:tcW w:w="2080" w:type="dxa"/>
            <w:vAlign w:val="bottom"/>
          </w:tcPr>
          <w:p>
            <w:pPr>
              <w:spacing w:after="0"/>
              <w:rPr>
                <w:sz w:val="17"/>
                <w:szCs w:val="17"/>
                <w:color w:val="auto"/>
              </w:rPr>
            </w:pPr>
          </w:p>
        </w:tc>
        <w:tc>
          <w:tcPr>
            <w:tcW w:w="13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100,167</w:t>
            </w:r>
          </w:p>
        </w:tc>
        <w:tc>
          <w:tcPr>
            <w:tcW w:w="10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53,019</w:t>
            </w: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12,676</w:t>
            </w: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52,243</w:t>
            </w: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45,260</w:t>
            </w: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15,306</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278,671</w:t>
            </w:r>
          </w:p>
        </w:tc>
        <w:tc>
          <w:tcPr>
            <w:tcW w:w="0" w:type="dxa"/>
            <w:vAlign w:val="bottom"/>
          </w:tcPr>
          <w:p>
            <w:pPr>
              <w:spacing w:after="0"/>
              <w:rPr>
                <w:sz w:val="1"/>
                <w:szCs w:val="1"/>
                <w:color w:val="auto"/>
              </w:rPr>
            </w:pPr>
          </w:p>
        </w:tc>
      </w:tr>
      <w:tr>
        <w:trPr>
          <w:trHeight w:val="219"/>
        </w:trPr>
        <w:tc>
          <w:tcPr>
            <w:tcW w:w="198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color w:val="auto"/>
              </w:rPr>
              <w:t>Incomplete construction</w:t>
            </w:r>
          </w:p>
        </w:tc>
        <w:tc>
          <w:tcPr>
            <w:tcW w:w="2080" w:type="dxa"/>
            <w:vAlign w:val="bottom"/>
            <w:tcBorders>
              <w:bottom w:val="single" w:sz="8" w:color="0C479D"/>
            </w:tcBorders>
          </w:tcPr>
          <w:p>
            <w:pPr>
              <w:spacing w:after="0"/>
              <w:rPr>
                <w:sz w:val="19"/>
                <w:szCs w:val="19"/>
                <w:color w:val="auto"/>
              </w:rPr>
            </w:pPr>
          </w:p>
        </w:tc>
        <w:tc>
          <w:tcPr>
            <w:tcW w:w="1360" w:type="dxa"/>
            <w:vAlign w:val="bottom"/>
            <w:tcBorders>
              <w:bottom w:val="single" w:sz="8" w:color="0C479D"/>
            </w:tcBorders>
          </w:tcPr>
          <w:p>
            <w:pPr>
              <w:jc w:val="right"/>
              <w:ind w:right="60"/>
              <w:spacing w:after="0"/>
              <w:rPr>
                <w:sz w:val="20"/>
                <w:szCs w:val="20"/>
                <w:color w:val="auto"/>
              </w:rPr>
            </w:pPr>
            <w:r>
              <w:rPr>
                <w:rFonts w:ascii="Times New Roman" w:cs="Times New Roman" w:eastAsia="Times New Roman" w:hAnsi="Times New Roman"/>
                <w:sz w:val="16"/>
                <w:szCs w:val="16"/>
                <w:color w:val="auto"/>
              </w:rPr>
              <w:t>5,460</w:t>
            </w:r>
          </w:p>
        </w:tc>
        <w:tc>
          <w:tcPr>
            <w:tcW w:w="1000" w:type="dxa"/>
            <w:vAlign w:val="bottom"/>
            <w:tcBorders>
              <w:bottom w:val="single" w:sz="8" w:color="0C479D"/>
            </w:tcBorders>
          </w:tcPr>
          <w:p>
            <w:pPr>
              <w:jc w:val="right"/>
              <w:ind w:right="100"/>
              <w:spacing w:after="0"/>
              <w:rPr>
                <w:sz w:val="20"/>
                <w:szCs w:val="20"/>
                <w:color w:val="auto"/>
              </w:rPr>
            </w:pPr>
            <w:r>
              <w:rPr>
                <w:rFonts w:ascii="Times New Roman" w:cs="Times New Roman" w:eastAsia="Times New Roman" w:hAnsi="Times New Roman"/>
                <w:sz w:val="16"/>
                <w:szCs w:val="16"/>
                <w:color w:val="auto"/>
              </w:rPr>
              <w:t>9,712</w:t>
            </w:r>
          </w:p>
        </w:tc>
        <w:tc>
          <w:tcPr>
            <w:tcW w:w="1000" w:type="dxa"/>
            <w:vAlign w:val="bottom"/>
            <w:tcBorders>
              <w:bottom w:val="single" w:sz="8" w:color="0C479D"/>
            </w:tcBorders>
          </w:tcPr>
          <w:p>
            <w:pPr>
              <w:jc w:val="right"/>
              <w:ind w:right="119"/>
              <w:spacing w:after="0"/>
              <w:rPr>
                <w:sz w:val="20"/>
                <w:szCs w:val="20"/>
                <w:color w:val="auto"/>
              </w:rPr>
            </w:pPr>
            <w:r>
              <w:rPr>
                <w:rFonts w:ascii="Times New Roman" w:cs="Times New Roman" w:eastAsia="Times New Roman" w:hAnsi="Times New Roman"/>
                <w:sz w:val="16"/>
                <w:szCs w:val="16"/>
                <w:color w:val="auto"/>
              </w:rPr>
              <w:t>172</w:t>
            </w:r>
          </w:p>
        </w:tc>
        <w:tc>
          <w:tcPr>
            <w:tcW w:w="100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color w:val="auto"/>
              </w:rPr>
              <w:t>1,393</w:t>
            </w:r>
          </w:p>
        </w:tc>
        <w:tc>
          <w:tcPr>
            <w:tcW w:w="880" w:type="dxa"/>
            <w:vAlign w:val="bottom"/>
            <w:tcBorders>
              <w:bottom w:val="single" w:sz="8" w:color="0C479D"/>
            </w:tcBorders>
          </w:tcPr>
          <w:p>
            <w:pPr>
              <w:jc w:val="right"/>
              <w:ind w:right="59"/>
              <w:spacing w:after="0"/>
              <w:rPr>
                <w:sz w:val="20"/>
                <w:szCs w:val="20"/>
                <w:color w:val="auto"/>
              </w:rPr>
            </w:pPr>
            <w:r>
              <w:rPr>
                <w:rFonts w:ascii="Times New Roman" w:cs="Times New Roman" w:eastAsia="Times New Roman" w:hAnsi="Times New Roman"/>
                <w:sz w:val="16"/>
                <w:szCs w:val="16"/>
                <w:color w:val="auto"/>
              </w:rPr>
              <w:t>3,178</w:t>
            </w:r>
          </w:p>
        </w:tc>
        <w:tc>
          <w:tcPr>
            <w:tcW w:w="1060" w:type="dxa"/>
            <w:vAlign w:val="bottom"/>
            <w:tcBorders>
              <w:bottom w:val="single" w:sz="8" w:color="0C479D"/>
            </w:tcBorders>
          </w:tcPr>
          <w:p>
            <w:pPr>
              <w:jc w:val="right"/>
              <w:ind w:right="140"/>
              <w:spacing w:after="0"/>
              <w:rPr>
                <w:sz w:val="20"/>
                <w:szCs w:val="20"/>
                <w:color w:val="auto"/>
              </w:rPr>
            </w:pPr>
            <w:r>
              <w:rPr>
                <w:rFonts w:ascii="Times New Roman" w:cs="Times New Roman" w:eastAsia="Times New Roman" w:hAnsi="Times New Roman"/>
                <w:sz w:val="16"/>
                <w:szCs w:val="16"/>
                <w:color w:val="auto"/>
              </w:rPr>
              <w:t>2,402</w:t>
            </w:r>
          </w:p>
        </w:tc>
        <w:tc>
          <w:tcPr>
            <w:tcW w:w="8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22,317</w:t>
            </w:r>
          </w:p>
        </w:tc>
        <w:tc>
          <w:tcPr>
            <w:tcW w:w="0" w:type="dxa"/>
            <w:vAlign w:val="bottom"/>
          </w:tcPr>
          <w:p>
            <w:pPr>
              <w:spacing w:after="0"/>
              <w:rPr>
                <w:sz w:val="1"/>
                <w:szCs w:val="1"/>
                <w:color w:val="auto"/>
              </w:rPr>
            </w:pPr>
          </w:p>
        </w:tc>
      </w:tr>
      <w:tr>
        <w:trPr>
          <w:trHeight w:val="210"/>
        </w:trPr>
        <w:tc>
          <w:tcPr>
            <w:tcW w:w="198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color w:val="auto"/>
              </w:rPr>
              <w:t>Total capitalized costs</w:t>
            </w:r>
          </w:p>
        </w:tc>
        <w:tc>
          <w:tcPr>
            <w:tcW w:w="2080" w:type="dxa"/>
            <w:vAlign w:val="bottom"/>
            <w:tcBorders>
              <w:bottom w:val="single" w:sz="8" w:color="0C479D"/>
            </w:tcBorders>
          </w:tcPr>
          <w:p>
            <w:pPr>
              <w:spacing w:after="0"/>
              <w:rPr>
                <w:sz w:val="18"/>
                <w:szCs w:val="18"/>
                <w:color w:val="auto"/>
              </w:rPr>
            </w:pPr>
          </w:p>
        </w:tc>
        <w:tc>
          <w:tcPr>
            <w:tcW w:w="1360" w:type="dxa"/>
            <w:vAlign w:val="bottom"/>
            <w:tcBorders>
              <w:bottom w:val="single" w:sz="8" w:color="0C479D"/>
            </w:tcBorders>
          </w:tcPr>
          <w:p>
            <w:pPr>
              <w:jc w:val="right"/>
              <w:ind w:right="60"/>
              <w:spacing w:after="0"/>
              <w:rPr>
                <w:sz w:val="20"/>
                <w:szCs w:val="20"/>
                <w:color w:val="auto"/>
              </w:rPr>
            </w:pPr>
            <w:r>
              <w:rPr>
                <w:rFonts w:ascii="Times New Roman" w:cs="Times New Roman" w:eastAsia="Times New Roman" w:hAnsi="Times New Roman"/>
                <w:sz w:val="16"/>
                <w:szCs w:val="16"/>
                <w:color w:val="auto"/>
              </w:rPr>
              <w:t>131,605</w:t>
            </w:r>
          </w:p>
        </w:tc>
        <w:tc>
          <w:tcPr>
            <w:tcW w:w="1000" w:type="dxa"/>
            <w:vAlign w:val="bottom"/>
            <w:tcBorders>
              <w:bottom w:val="single" w:sz="8" w:color="0C479D"/>
            </w:tcBorders>
          </w:tcPr>
          <w:p>
            <w:pPr>
              <w:jc w:val="right"/>
              <w:ind w:right="100"/>
              <w:spacing w:after="0"/>
              <w:rPr>
                <w:sz w:val="20"/>
                <w:szCs w:val="20"/>
                <w:color w:val="auto"/>
              </w:rPr>
            </w:pPr>
            <w:r>
              <w:rPr>
                <w:rFonts w:ascii="Times New Roman" w:cs="Times New Roman" w:eastAsia="Times New Roman" w:hAnsi="Times New Roman"/>
                <w:sz w:val="16"/>
                <w:szCs w:val="16"/>
                <w:color w:val="auto"/>
              </w:rPr>
              <w:t>69,186</w:t>
            </w:r>
          </w:p>
        </w:tc>
        <w:tc>
          <w:tcPr>
            <w:tcW w:w="1000" w:type="dxa"/>
            <w:vAlign w:val="bottom"/>
            <w:tcBorders>
              <w:bottom w:val="single" w:sz="8" w:color="0C479D"/>
            </w:tcBorders>
          </w:tcPr>
          <w:p>
            <w:pPr>
              <w:jc w:val="right"/>
              <w:ind w:right="119"/>
              <w:spacing w:after="0"/>
              <w:rPr>
                <w:sz w:val="20"/>
                <w:szCs w:val="20"/>
                <w:color w:val="auto"/>
              </w:rPr>
            </w:pPr>
            <w:r>
              <w:rPr>
                <w:rFonts w:ascii="Times New Roman" w:cs="Times New Roman" w:eastAsia="Times New Roman" w:hAnsi="Times New Roman"/>
                <w:sz w:val="16"/>
                <w:szCs w:val="16"/>
                <w:color w:val="auto"/>
              </w:rPr>
              <w:t>12,892</w:t>
            </w:r>
          </w:p>
        </w:tc>
        <w:tc>
          <w:tcPr>
            <w:tcW w:w="100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color w:val="auto"/>
              </w:rPr>
              <w:t>55,270</w:t>
            </w:r>
          </w:p>
        </w:tc>
        <w:tc>
          <w:tcPr>
            <w:tcW w:w="880" w:type="dxa"/>
            <w:vAlign w:val="bottom"/>
            <w:tcBorders>
              <w:bottom w:val="single" w:sz="8" w:color="0C479D"/>
            </w:tcBorders>
          </w:tcPr>
          <w:p>
            <w:pPr>
              <w:jc w:val="right"/>
              <w:ind w:right="59"/>
              <w:spacing w:after="0"/>
              <w:rPr>
                <w:sz w:val="20"/>
                <w:szCs w:val="20"/>
                <w:color w:val="auto"/>
              </w:rPr>
            </w:pPr>
            <w:r>
              <w:rPr>
                <w:rFonts w:ascii="Times New Roman" w:cs="Times New Roman" w:eastAsia="Times New Roman" w:hAnsi="Times New Roman"/>
                <w:sz w:val="16"/>
                <w:szCs w:val="16"/>
                <w:color w:val="auto"/>
              </w:rPr>
              <w:t>51,456</w:t>
            </w:r>
          </w:p>
        </w:tc>
        <w:tc>
          <w:tcPr>
            <w:tcW w:w="1060" w:type="dxa"/>
            <w:vAlign w:val="bottom"/>
            <w:tcBorders>
              <w:bottom w:val="single" w:sz="8" w:color="0C479D"/>
            </w:tcBorders>
          </w:tcPr>
          <w:p>
            <w:pPr>
              <w:jc w:val="right"/>
              <w:ind w:right="140"/>
              <w:spacing w:after="0"/>
              <w:rPr>
                <w:sz w:val="20"/>
                <w:szCs w:val="20"/>
                <w:color w:val="auto"/>
              </w:rPr>
            </w:pPr>
            <w:r>
              <w:rPr>
                <w:rFonts w:ascii="Times New Roman" w:cs="Times New Roman" w:eastAsia="Times New Roman" w:hAnsi="Times New Roman"/>
                <w:sz w:val="16"/>
                <w:szCs w:val="16"/>
                <w:color w:val="auto"/>
              </w:rPr>
              <w:t>21,067</w:t>
            </w:r>
          </w:p>
        </w:tc>
        <w:tc>
          <w:tcPr>
            <w:tcW w:w="8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341,476</w:t>
            </w:r>
          </w:p>
        </w:tc>
        <w:tc>
          <w:tcPr>
            <w:tcW w:w="0" w:type="dxa"/>
            <w:vAlign w:val="bottom"/>
          </w:tcPr>
          <w:p>
            <w:pPr>
              <w:spacing w:after="0"/>
              <w:rPr>
                <w:sz w:val="1"/>
                <w:szCs w:val="1"/>
                <w:color w:val="auto"/>
              </w:rPr>
            </w:pPr>
          </w:p>
        </w:tc>
      </w:tr>
      <w:tr>
        <w:trPr>
          <w:trHeight w:val="210"/>
        </w:trPr>
        <w:tc>
          <w:tcPr>
            <w:tcW w:w="4060" w:type="dxa"/>
            <w:vAlign w:val="bottom"/>
            <w:tcBorders>
              <w:bottom w:val="single" w:sz="8" w:color="0C479D"/>
            </w:tcBorders>
            <w:gridSpan w:val="2"/>
          </w:tcPr>
          <w:p>
            <w:pPr>
              <w:ind w:left="20"/>
              <w:spacing w:after="0"/>
              <w:rPr>
                <w:sz w:val="20"/>
                <w:szCs w:val="20"/>
                <w:color w:val="auto"/>
              </w:rPr>
            </w:pPr>
            <w:r>
              <w:rPr>
                <w:rFonts w:ascii="Times New Roman" w:cs="Times New Roman" w:eastAsia="Times New Roman" w:hAnsi="Times New Roman"/>
                <w:sz w:val="16"/>
                <w:szCs w:val="16"/>
                <w:color w:val="auto"/>
              </w:rPr>
              <w:t>Accumulated depreciation and depletion</w:t>
            </w:r>
          </w:p>
        </w:tc>
        <w:tc>
          <w:tcPr>
            <w:tcW w:w="1360" w:type="dxa"/>
            <w:vAlign w:val="bottom"/>
            <w:tcBorders>
              <w:bottom w:val="single" w:sz="8" w:color="0C479D"/>
            </w:tcBorders>
          </w:tcPr>
          <w:p>
            <w:pPr>
              <w:jc w:val="right"/>
              <w:ind w:right="60"/>
              <w:spacing w:after="0"/>
              <w:rPr>
                <w:sz w:val="20"/>
                <w:szCs w:val="20"/>
                <w:color w:val="auto"/>
              </w:rPr>
            </w:pPr>
            <w:r>
              <w:rPr>
                <w:rFonts w:ascii="Times New Roman" w:cs="Times New Roman" w:eastAsia="Times New Roman" w:hAnsi="Times New Roman"/>
                <w:sz w:val="16"/>
                <w:szCs w:val="16"/>
                <w:color w:val="auto"/>
              </w:rPr>
              <w:t>72,548</w:t>
            </w:r>
          </w:p>
        </w:tc>
        <w:tc>
          <w:tcPr>
            <w:tcW w:w="1000" w:type="dxa"/>
            <w:vAlign w:val="bottom"/>
            <w:tcBorders>
              <w:bottom w:val="single" w:sz="8" w:color="0C479D"/>
            </w:tcBorders>
          </w:tcPr>
          <w:p>
            <w:pPr>
              <w:jc w:val="right"/>
              <w:ind w:right="100"/>
              <w:spacing w:after="0"/>
              <w:rPr>
                <w:sz w:val="20"/>
                <w:szCs w:val="20"/>
                <w:color w:val="auto"/>
              </w:rPr>
            </w:pPr>
            <w:r>
              <w:rPr>
                <w:rFonts w:ascii="Times New Roman" w:cs="Times New Roman" w:eastAsia="Times New Roman" w:hAnsi="Times New Roman"/>
                <w:sz w:val="16"/>
                <w:szCs w:val="16"/>
                <w:color w:val="auto"/>
              </w:rPr>
              <w:t>27,224</w:t>
            </w:r>
          </w:p>
        </w:tc>
        <w:tc>
          <w:tcPr>
            <w:tcW w:w="1000" w:type="dxa"/>
            <w:vAlign w:val="bottom"/>
            <w:tcBorders>
              <w:bottom w:val="single" w:sz="8" w:color="0C479D"/>
            </w:tcBorders>
          </w:tcPr>
          <w:p>
            <w:pPr>
              <w:jc w:val="right"/>
              <w:ind w:right="119"/>
              <w:spacing w:after="0"/>
              <w:rPr>
                <w:sz w:val="20"/>
                <w:szCs w:val="20"/>
                <w:color w:val="auto"/>
              </w:rPr>
            </w:pPr>
            <w:r>
              <w:rPr>
                <w:rFonts w:ascii="Times New Roman" w:cs="Times New Roman" w:eastAsia="Times New Roman" w:hAnsi="Times New Roman"/>
                <w:sz w:val="16"/>
                <w:szCs w:val="16"/>
                <w:color w:val="auto"/>
              </w:rPr>
              <w:t>12,289</w:t>
            </w:r>
          </w:p>
        </w:tc>
        <w:tc>
          <w:tcPr>
            <w:tcW w:w="100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color w:val="auto"/>
              </w:rPr>
              <w:t>48,751</w:t>
            </w:r>
          </w:p>
        </w:tc>
        <w:tc>
          <w:tcPr>
            <w:tcW w:w="880" w:type="dxa"/>
            <w:vAlign w:val="bottom"/>
            <w:tcBorders>
              <w:bottom w:val="single" w:sz="8" w:color="0C479D"/>
            </w:tcBorders>
          </w:tcPr>
          <w:p>
            <w:pPr>
              <w:jc w:val="right"/>
              <w:ind w:right="59"/>
              <w:spacing w:after="0"/>
              <w:rPr>
                <w:sz w:val="20"/>
                <w:szCs w:val="20"/>
                <w:color w:val="auto"/>
              </w:rPr>
            </w:pPr>
            <w:r>
              <w:rPr>
                <w:rFonts w:ascii="Times New Roman" w:cs="Times New Roman" w:eastAsia="Times New Roman" w:hAnsi="Times New Roman"/>
                <w:sz w:val="16"/>
                <w:szCs w:val="16"/>
                <w:color w:val="auto"/>
              </w:rPr>
              <w:t>32,764</w:t>
            </w:r>
          </w:p>
        </w:tc>
        <w:tc>
          <w:tcPr>
            <w:tcW w:w="1060" w:type="dxa"/>
            <w:vAlign w:val="bottom"/>
            <w:tcBorders>
              <w:bottom w:val="single" w:sz="8" w:color="0C479D"/>
            </w:tcBorders>
          </w:tcPr>
          <w:p>
            <w:pPr>
              <w:jc w:val="right"/>
              <w:ind w:right="140"/>
              <w:spacing w:after="0"/>
              <w:rPr>
                <w:sz w:val="20"/>
                <w:szCs w:val="20"/>
                <w:color w:val="auto"/>
              </w:rPr>
            </w:pPr>
            <w:r>
              <w:rPr>
                <w:rFonts w:ascii="Times New Roman" w:cs="Times New Roman" w:eastAsia="Times New Roman" w:hAnsi="Times New Roman"/>
                <w:sz w:val="16"/>
                <w:szCs w:val="16"/>
                <w:color w:val="auto"/>
              </w:rPr>
              <w:t>10,424</w:t>
            </w:r>
          </w:p>
        </w:tc>
        <w:tc>
          <w:tcPr>
            <w:tcW w:w="8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204,000</w:t>
            </w:r>
          </w:p>
        </w:tc>
        <w:tc>
          <w:tcPr>
            <w:tcW w:w="0" w:type="dxa"/>
            <w:vAlign w:val="bottom"/>
          </w:tcPr>
          <w:p>
            <w:pPr>
              <w:spacing w:after="0"/>
              <w:rPr>
                <w:sz w:val="1"/>
                <w:szCs w:val="1"/>
                <w:color w:val="auto"/>
              </w:rPr>
            </w:pPr>
          </w:p>
        </w:tc>
      </w:tr>
      <w:tr>
        <w:trPr>
          <w:trHeight w:val="219"/>
        </w:trPr>
        <w:tc>
          <w:tcPr>
            <w:tcW w:w="4060" w:type="dxa"/>
            <w:vAlign w:val="bottom"/>
            <w:tcBorders>
              <w:bottom w:val="single" w:sz="8" w:color="0C479D"/>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capitalized costs for consolidated subsidiaries</w:t>
            </w:r>
          </w:p>
        </w:tc>
        <w:tc>
          <w:tcPr>
            <w:tcW w:w="1360" w:type="dxa"/>
            <w:vAlign w:val="bottom"/>
            <w:tcBorders>
              <w:bottom w:val="single" w:sz="8" w:color="0C479D"/>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59,057</w:t>
            </w:r>
          </w:p>
        </w:tc>
        <w:tc>
          <w:tcPr>
            <w:tcW w:w="1000" w:type="dxa"/>
            <w:vAlign w:val="bottom"/>
            <w:tcBorders>
              <w:bottom w:val="single" w:sz="8" w:color="0C479D"/>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41,962</w:t>
            </w:r>
          </w:p>
        </w:tc>
        <w:tc>
          <w:tcPr>
            <w:tcW w:w="1000" w:type="dxa"/>
            <w:vAlign w:val="bottom"/>
            <w:tcBorders>
              <w:bottom w:val="single" w:sz="8" w:color="0C479D"/>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603</w:t>
            </w:r>
          </w:p>
        </w:tc>
        <w:tc>
          <w:tcPr>
            <w:tcW w:w="100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6,519</w:t>
            </w:r>
          </w:p>
        </w:tc>
        <w:tc>
          <w:tcPr>
            <w:tcW w:w="880" w:type="dxa"/>
            <w:vAlign w:val="bottom"/>
            <w:tcBorders>
              <w:bottom w:val="single" w:sz="8" w:color="0C479D"/>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18,692</w:t>
            </w:r>
          </w:p>
        </w:tc>
        <w:tc>
          <w:tcPr>
            <w:tcW w:w="1060" w:type="dxa"/>
            <w:vAlign w:val="bottom"/>
            <w:tcBorders>
              <w:bottom w:val="single" w:sz="8" w:color="0C479D"/>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10,643</w:t>
            </w:r>
          </w:p>
        </w:tc>
        <w:tc>
          <w:tcPr>
            <w:tcW w:w="8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137,476</w:t>
            </w:r>
          </w:p>
        </w:tc>
        <w:tc>
          <w:tcPr>
            <w:tcW w:w="0" w:type="dxa"/>
            <w:vAlign w:val="bottom"/>
          </w:tcPr>
          <w:p>
            <w:pPr>
              <w:spacing w:after="0"/>
              <w:rPr>
                <w:sz w:val="1"/>
                <w:szCs w:val="1"/>
                <w:color w:val="auto"/>
              </w:rPr>
            </w:pPr>
          </w:p>
        </w:tc>
      </w:tr>
      <w:tr>
        <w:trPr>
          <w:trHeight w:val="291"/>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0C479D"/>
              </w:rPr>
              <w:t>Equity Companies</w:t>
            </w:r>
          </w:p>
        </w:tc>
        <w:tc>
          <w:tcPr>
            <w:tcW w:w="2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(acreage) costs</w:t>
            </w:r>
          </w:p>
        </w:tc>
        <w:tc>
          <w:tcPr>
            <w:tcW w:w="20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 Proved</w:t>
            </w:r>
          </w:p>
        </w:tc>
        <w:tc>
          <w:tcPr>
            <w:tcW w:w="13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w:t>
            </w: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309</w:t>
            </w: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0" w:type="dxa"/>
            <w:vAlign w:val="bottom"/>
          </w:tcPr>
          <w:p>
            <w:pPr>
              <w:spacing w:after="0"/>
              <w:rPr>
                <w:sz w:val="1"/>
                <w:szCs w:val="1"/>
                <w:color w:val="auto"/>
              </w:rPr>
            </w:pPr>
          </w:p>
        </w:tc>
      </w:tr>
      <w:tr>
        <w:trPr>
          <w:trHeight w:val="219"/>
        </w:trPr>
        <w:tc>
          <w:tcPr>
            <w:tcW w:w="1980" w:type="dxa"/>
            <w:vAlign w:val="bottom"/>
            <w:tcBorders>
              <w:bottom w:val="single" w:sz="8" w:color="0C479D"/>
            </w:tcBorders>
          </w:tcPr>
          <w:p>
            <w:pPr>
              <w:spacing w:after="0"/>
              <w:rPr>
                <w:sz w:val="19"/>
                <w:szCs w:val="19"/>
                <w:color w:val="auto"/>
              </w:rPr>
            </w:pPr>
          </w:p>
        </w:tc>
        <w:tc>
          <w:tcPr>
            <w:tcW w:w="2080" w:type="dxa"/>
            <w:vAlign w:val="bottom"/>
            <w:tcBorders>
              <w:bottom w:val="single" w:sz="8" w:color="0C479D"/>
            </w:tcBorders>
          </w:tcPr>
          <w:p>
            <w:pPr>
              <w:ind w:left="160"/>
              <w:spacing w:after="0"/>
              <w:rPr>
                <w:sz w:val="20"/>
                <w:szCs w:val="20"/>
                <w:color w:val="auto"/>
              </w:rPr>
            </w:pPr>
            <w:r>
              <w:rPr>
                <w:rFonts w:ascii="Times New Roman" w:cs="Times New Roman" w:eastAsia="Times New Roman" w:hAnsi="Times New Roman"/>
                <w:sz w:val="16"/>
                <w:szCs w:val="16"/>
                <w:color w:val="auto"/>
              </w:rPr>
              <w:t>– Unproved</w:t>
            </w:r>
          </w:p>
        </w:tc>
        <w:tc>
          <w:tcPr>
            <w:tcW w:w="1360" w:type="dxa"/>
            <w:vAlign w:val="bottom"/>
            <w:tcBorders>
              <w:bottom w:val="single" w:sz="8" w:color="0C479D"/>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0C479D"/>
            </w:tcBorders>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0C479D"/>
            </w:tcBorders>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color w:val="auto"/>
              </w:rPr>
              <w:t>3,111</w:t>
            </w:r>
          </w:p>
        </w:tc>
        <w:tc>
          <w:tcPr>
            <w:tcW w:w="880" w:type="dxa"/>
            <w:vAlign w:val="bottom"/>
            <w:tcBorders>
              <w:bottom w:val="single" w:sz="8" w:color="0C479D"/>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0C479D"/>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3,111</w:t>
            </w:r>
          </w:p>
        </w:tc>
        <w:tc>
          <w:tcPr>
            <w:tcW w:w="0" w:type="dxa"/>
            <w:vAlign w:val="bottom"/>
          </w:tcPr>
          <w:p>
            <w:pPr>
              <w:spacing w:after="0"/>
              <w:rPr>
                <w:sz w:val="1"/>
                <w:szCs w:val="1"/>
                <w:color w:val="auto"/>
              </w:rPr>
            </w:pPr>
          </w:p>
        </w:tc>
      </w:tr>
      <w:tr>
        <w:trPr>
          <w:trHeight w:val="210"/>
        </w:trPr>
        <w:tc>
          <w:tcPr>
            <w:tcW w:w="198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color w:val="auto"/>
              </w:rPr>
              <w:t>Total property costs</w:t>
            </w:r>
          </w:p>
        </w:tc>
        <w:tc>
          <w:tcPr>
            <w:tcW w:w="2080" w:type="dxa"/>
            <w:vAlign w:val="bottom"/>
            <w:tcBorders>
              <w:bottom w:val="single" w:sz="8" w:color="0C479D"/>
            </w:tcBorders>
          </w:tcPr>
          <w:p>
            <w:pPr>
              <w:spacing w:after="0"/>
              <w:rPr>
                <w:sz w:val="18"/>
                <w:szCs w:val="18"/>
                <w:color w:val="auto"/>
              </w:rPr>
            </w:pPr>
          </w:p>
        </w:tc>
        <w:tc>
          <w:tcPr>
            <w:tcW w:w="1360" w:type="dxa"/>
            <w:vAlign w:val="bottom"/>
            <w:tcBorders>
              <w:bottom w:val="single" w:sz="8" w:color="0C479D"/>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0C479D"/>
            </w:tcBorders>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0C479D"/>
            </w:tcBorders>
          </w:tcPr>
          <w:p>
            <w:pPr>
              <w:jc w:val="right"/>
              <w:ind w:right="119"/>
              <w:spacing w:after="0"/>
              <w:rPr>
                <w:sz w:val="20"/>
                <w:szCs w:val="20"/>
                <w:color w:val="auto"/>
              </w:rPr>
            </w:pPr>
            <w:r>
              <w:rPr>
                <w:rFonts w:ascii="Times New Roman" w:cs="Times New Roman" w:eastAsia="Times New Roman" w:hAnsi="Times New Roman"/>
                <w:sz w:val="16"/>
                <w:szCs w:val="16"/>
                <w:color w:val="auto"/>
              </w:rPr>
              <w:t>4</w:t>
            </w:r>
          </w:p>
        </w:tc>
        <w:tc>
          <w:tcPr>
            <w:tcW w:w="100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color w:val="auto"/>
              </w:rPr>
              <w:t>3,420</w:t>
            </w:r>
          </w:p>
        </w:tc>
        <w:tc>
          <w:tcPr>
            <w:tcW w:w="880" w:type="dxa"/>
            <w:vAlign w:val="bottom"/>
            <w:tcBorders>
              <w:bottom w:val="single" w:sz="8" w:color="0C479D"/>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0C479D"/>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3,424</w:t>
            </w:r>
          </w:p>
        </w:tc>
        <w:tc>
          <w:tcPr>
            <w:tcW w:w="0" w:type="dxa"/>
            <w:vAlign w:val="bottom"/>
          </w:tcPr>
          <w:p>
            <w:pPr>
              <w:spacing w:after="0"/>
              <w:rPr>
                <w:sz w:val="1"/>
                <w:szCs w:val="1"/>
                <w:color w:val="auto"/>
              </w:rPr>
            </w:pPr>
          </w:p>
        </w:tc>
      </w:tr>
      <w:tr>
        <w:trPr>
          <w:trHeight w:val="207"/>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Producing assets</w:t>
            </w:r>
          </w:p>
        </w:tc>
        <w:tc>
          <w:tcPr>
            <w:tcW w:w="2080" w:type="dxa"/>
            <w:vAlign w:val="bottom"/>
          </w:tcPr>
          <w:p>
            <w:pPr>
              <w:spacing w:after="0"/>
              <w:rPr>
                <w:sz w:val="17"/>
                <w:szCs w:val="17"/>
                <w:color w:val="auto"/>
              </w:rPr>
            </w:pPr>
          </w:p>
        </w:tc>
        <w:tc>
          <w:tcPr>
            <w:tcW w:w="13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1,332</w:t>
            </w:r>
          </w:p>
        </w:tc>
        <w:tc>
          <w:tcPr>
            <w:tcW w:w="10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5,493</w:t>
            </w: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288</w:t>
            </w: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10,153</w:t>
            </w: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17,266</w:t>
            </w:r>
          </w:p>
        </w:tc>
        <w:tc>
          <w:tcPr>
            <w:tcW w:w="0" w:type="dxa"/>
            <w:vAlign w:val="bottom"/>
          </w:tcPr>
          <w:p>
            <w:pPr>
              <w:spacing w:after="0"/>
              <w:rPr>
                <w:sz w:val="1"/>
                <w:szCs w:val="1"/>
                <w:color w:val="auto"/>
              </w:rPr>
            </w:pPr>
          </w:p>
        </w:tc>
      </w:tr>
      <w:tr>
        <w:trPr>
          <w:trHeight w:val="219"/>
        </w:trPr>
        <w:tc>
          <w:tcPr>
            <w:tcW w:w="198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color w:val="auto"/>
              </w:rPr>
              <w:t>Incomplete construction</w:t>
            </w:r>
          </w:p>
        </w:tc>
        <w:tc>
          <w:tcPr>
            <w:tcW w:w="2080" w:type="dxa"/>
            <w:vAlign w:val="bottom"/>
            <w:tcBorders>
              <w:bottom w:val="single" w:sz="8" w:color="0C479D"/>
            </w:tcBorders>
          </w:tcPr>
          <w:p>
            <w:pPr>
              <w:spacing w:after="0"/>
              <w:rPr>
                <w:sz w:val="19"/>
                <w:szCs w:val="19"/>
                <w:color w:val="auto"/>
              </w:rPr>
            </w:pPr>
          </w:p>
        </w:tc>
        <w:tc>
          <w:tcPr>
            <w:tcW w:w="1360" w:type="dxa"/>
            <w:vAlign w:val="bottom"/>
            <w:tcBorders>
              <w:bottom w:val="single" w:sz="8" w:color="0C479D"/>
            </w:tcBorders>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c>
          <w:tcPr>
            <w:tcW w:w="1000" w:type="dxa"/>
            <w:vAlign w:val="bottom"/>
            <w:tcBorders>
              <w:bottom w:val="single" w:sz="8" w:color="0C479D"/>
            </w:tcBorders>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0C479D"/>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w:t>
            </w:r>
          </w:p>
        </w:tc>
        <w:tc>
          <w:tcPr>
            <w:tcW w:w="100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color w:val="auto"/>
              </w:rPr>
              <w:t>550</w:t>
            </w:r>
          </w:p>
        </w:tc>
        <w:tc>
          <w:tcPr>
            <w:tcW w:w="880" w:type="dxa"/>
            <w:vAlign w:val="bottom"/>
            <w:tcBorders>
              <w:bottom w:val="single" w:sz="8" w:color="0C479D"/>
            </w:tcBorders>
          </w:tcPr>
          <w:p>
            <w:pPr>
              <w:jc w:val="right"/>
              <w:ind w:right="59"/>
              <w:spacing w:after="0"/>
              <w:rPr>
                <w:sz w:val="20"/>
                <w:szCs w:val="20"/>
                <w:color w:val="auto"/>
              </w:rPr>
            </w:pPr>
            <w:r>
              <w:rPr>
                <w:rFonts w:ascii="Times New Roman" w:cs="Times New Roman" w:eastAsia="Times New Roman" w:hAnsi="Times New Roman"/>
                <w:sz w:val="16"/>
                <w:szCs w:val="16"/>
                <w:color w:val="auto"/>
              </w:rPr>
              <w:t>13,083</w:t>
            </w:r>
          </w:p>
        </w:tc>
        <w:tc>
          <w:tcPr>
            <w:tcW w:w="1060" w:type="dxa"/>
            <w:vAlign w:val="bottom"/>
            <w:tcBorders>
              <w:bottom w:val="single" w:sz="8" w:color="0C479D"/>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13,645</w:t>
            </w:r>
          </w:p>
        </w:tc>
        <w:tc>
          <w:tcPr>
            <w:tcW w:w="0" w:type="dxa"/>
            <w:vAlign w:val="bottom"/>
          </w:tcPr>
          <w:p>
            <w:pPr>
              <w:spacing w:after="0"/>
              <w:rPr>
                <w:sz w:val="1"/>
                <w:szCs w:val="1"/>
                <w:color w:val="auto"/>
              </w:rPr>
            </w:pPr>
          </w:p>
        </w:tc>
      </w:tr>
      <w:tr>
        <w:trPr>
          <w:trHeight w:val="210"/>
        </w:trPr>
        <w:tc>
          <w:tcPr>
            <w:tcW w:w="198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color w:val="auto"/>
              </w:rPr>
              <w:t>Total capitalized costs</w:t>
            </w:r>
          </w:p>
        </w:tc>
        <w:tc>
          <w:tcPr>
            <w:tcW w:w="2080" w:type="dxa"/>
            <w:vAlign w:val="bottom"/>
            <w:tcBorders>
              <w:bottom w:val="single" w:sz="8" w:color="0C479D"/>
            </w:tcBorders>
          </w:tcPr>
          <w:p>
            <w:pPr>
              <w:spacing w:after="0"/>
              <w:rPr>
                <w:sz w:val="18"/>
                <w:szCs w:val="18"/>
                <w:color w:val="auto"/>
              </w:rPr>
            </w:pPr>
          </w:p>
        </w:tc>
        <w:tc>
          <w:tcPr>
            <w:tcW w:w="1360" w:type="dxa"/>
            <w:vAlign w:val="bottom"/>
            <w:tcBorders>
              <w:bottom w:val="single" w:sz="8" w:color="0C479D"/>
            </w:tcBorders>
          </w:tcPr>
          <w:p>
            <w:pPr>
              <w:jc w:val="right"/>
              <w:ind w:right="60"/>
              <w:spacing w:after="0"/>
              <w:rPr>
                <w:sz w:val="20"/>
                <w:szCs w:val="20"/>
                <w:color w:val="auto"/>
              </w:rPr>
            </w:pPr>
            <w:r>
              <w:rPr>
                <w:rFonts w:ascii="Times New Roman" w:cs="Times New Roman" w:eastAsia="Times New Roman" w:hAnsi="Times New Roman"/>
                <w:sz w:val="16"/>
                <w:szCs w:val="16"/>
                <w:color w:val="auto"/>
              </w:rPr>
              <w:t>1,333</w:t>
            </w:r>
          </w:p>
        </w:tc>
        <w:tc>
          <w:tcPr>
            <w:tcW w:w="1000" w:type="dxa"/>
            <w:vAlign w:val="bottom"/>
            <w:tcBorders>
              <w:bottom w:val="single" w:sz="8" w:color="0C479D"/>
            </w:tcBorders>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0C479D"/>
            </w:tcBorders>
          </w:tcPr>
          <w:p>
            <w:pPr>
              <w:jc w:val="right"/>
              <w:ind w:right="119"/>
              <w:spacing w:after="0"/>
              <w:rPr>
                <w:sz w:val="20"/>
                <w:szCs w:val="20"/>
                <w:color w:val="auto"/>
              </w:rPr>
            </w:pPr>
            <w:r>
              <w:rPr>
                <w:rFonts w:ascii="Times New Roman" w:cs="Times New Roman" w:eastAsia="Times New Roman" w:hAnsi="Times New Roman"/>
                <w:sz w:val="16"/>
                <w:szCs w:val="16"/>
                <w:color w:val="auto"/>
              </w:rPr>
              <w:t>5,508</w:t>
            </w:r>
          </w:p>
        </w:tc>
        <w:tc>
          <w:tcPr>
            <w:tcW w:w="100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color w:val="auto"/>
              </w:rPr>
              <w:t>4,258</w:t>
            </w:r>
          </w:p>
        </w:tc>
        <w:tc>
          <w:tcPr>
            <w:tcW w:w="880" w:type="dxa"/>
            <w:vAlign w:val="bottom"/>
            <w:tcBorders>
              <w:bottom w:val="single" w:sz="8" w:color="0C479D"/>
            </w:tcBorders>
          </w:tcPr>
          <w:p>
            <w:pPr>
              <w:jc w:val="right"/>
              <w:ind w:right="59"/>
              <w:spacing w:after="0"/>
              <w:rPr>
                <w:sz w:val="20"/>
                <w:szCs w:val="20"/>
                <w:color w:val="auto"/>
              </w:rPr>
            </w:pPr>
            <w:r>
              <w:rPr>
                <w:rFonts w:ascii="Times New Roman" w:cs="Times New Roman" w:eastAsia="Times New Roman" w:hAnsi="Times New Roman"/>
                <w:sz w:val="16"/>
                <w:szCs w:val="16"/>
                <w:color w:val="auto"/>
              </w:rPr>
              <w:t>23,236</w:t>
            </w:r>
          </w:p>
        </w:tc>
        <w:tc>
          <w:tcPr>
            <w:tcW w:w="1060" w:type="dxa"/>
            <w:vAlign w:val="bottom"/>
            <w:tcBorders>
              <w:bottom w:val="single" w:sz="8" w:color="0C479D"/>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34,335</w:t>
            </w:r>
          </w:p>
        </w:tc>
        <w:tc>
          <w:tcPr>
            <w:tcW w:w="0" w:type="dxa"/>
            <w:vAlign w:val="bottom"/>
          </w:tcPr>
          <w:p>
            <w:pPr>
              <w:spacing w:after="0"/>
              <w:rPr>
                <w:sz w:val="1"/>
                <w:szCs w:val="1"/>
                <w:color w:val="auto"/>
              </w:rPr>
            </w:pPr>
          </w:p>
        </w:tc>
      </w:tr>
      <w:tr>
        <w:trPr>
          <w:trHeight w:val="210"/>
        </w:trPr>
        <w:tc>
          <w:tcPr>
            <w:tcW w:w="4060" w:type="dxa"/>
            <w:vAlign w:val="bottom"/>
            <w:tcBorders>
              <w:bottom w:val="single" w:sz="8" w:color="0C479D"/>
            </w:tcBorders>
            <w:gridSpan w:val="2"/>
          </w:tcPr>
          <w:p>
            <w:pPr>
              <w:ind w:left="20"/>
              <w:spacing w:after="0"/>
              <w:rPr>
                <w:sz w:val="20"/>
                <w:szCs w:val="20"/>
                <w:color w:val="auto"/>
              </w:rPr>
            </w:pPr>
            <w:r>
              <w:rPr>
                <w:rFonts w:ascii="Times New Roman" w:cs="Times New Roman" w:eastAsia="Times New Roman" w:hAnsi="Times New Roman"/>
                <w:sz w:val="16"/>
                <w:szCs w:val="16"/>
                <w:color w:val="auto"/>
              </w:rPr>
              <w:t>Accumulated depreciation and depletion</w:t>
            </w:r>
          </w:p>
        </w:tc>
        <w:tc>
          <w:tcPr>
            <w:tcW w:w="1360" w:type="dxa"/>
            <w:vAlign w:val="bottom"/>
            <w:tcBorders>
              <w:bottom w:val="single" w:sz="8" w:color="0C479D"/>
            </w:tcBorders>
          </w:tcPr>
          <w:p>
            <w:pPr>
              <w:jc w:val="right"/>
              <w:ind w:right="60"/>
              <w:spacing w:after="0"/>
              <w:rPr>
                <w:sz w:val="20"/>
                <w:szCs w:val="20"/>
                <w:color w:val="auto"/>
              </w:rPr>
            </w:pPr>
            <w:r>
              <w:rPr>
                <w:rFonts w:ascii="Times New Roman" w:cs="Times New Roman" w:eastAsia="Times New Roman" w:hAnsi="Times New Roman"/>
                <w:sz w:val="16"/>
                <w:szCs w:val="16"/>
                <w:color w:val="auto"/>
              </w:rPr>
              <w:t>789</w:t>
            </w:r>
          </w:p>
        </w:tc>
        <w:tc>
          <w:tcPr>
            <w:tcW w:w="1000" w:type="dxa"/>
            <w:vAlign w:val="bottom"/>
            <w:tcBorders>
              <w:bottom w:val="single" w:sz="8" w:color="0C479D"/>
            </w:tcBorders>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0C479D"/>
            </w:tcBorders>
          </w:tcPr>
          <w:p>
            <w:pPr>
              <w:jc w:val="right"/>
              <w:ind w:right="119"/>
              <w:spacing w:after="0"/>
              <w:rPr>
                <w:sz w:val="20"/>
                <w:szCs w:val="20"/>
                <w:color w:val="auto"/>
              </w:rPr>
            </w:pPr>
            <w:r>
              <w:rPr>
                <w:rFonts w:ascii="Times New Roman" w:cs="Times New Roman" w:eastAsia="Times New Roman" w:hAnsi="Times New Roman"/>
                <w:sz w:val="16"/>
                <w:szCs w:val="16"/>
                <w:color w:val="auto"/>
              </w:rPr>
              <w:t>5,177</w:t>
            </w:r>
          </w:p>
        </w:tc>
        <w:tc>
          <w:tcPr>
            <w:tcW w:w="100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color w:val="auto"/>
              </w:rPr>
              <w:t>42</w:t>
            </w:r>
          </w:p>
        </w:tc>
        <w:tc>
          <w:tcPr>
            <w:tcW w:w="880" w:type="dxa"/>
            <w:vAlign w:val="bottom"/>
            <w:tcBorders>
              <w:bottom w:val="single" w:sz="8" w:color="0C479D"/>
            </w:tcBorders>
          </w:tcPr>
          <w:p>
            <w:pPr>
              <w:jc w:val="right"/>
              <w:ind w:right="59"/>
              <w:spacing w:after="0"/>
              <w:rPr>
                <w:sz w:val="20"/>
                <w:szCs w:val="20"/>
                <w:color w:val="auto"/>
              </w:rPr>
            </w:pPr>
            <w:r>
              <w:rPr>
                <w:rFonts w:ascii="Times New Roman" w:cs="Times New Roman" w:eastAsia="Times New Roman" w:hAnsi="Times New Roman"/>
                <w:sz w:val="16"/>
                <w:szCs w:val="16"/>
                <w:color w:val="auto"/>
              </w:rPr>
              <w:t>7,768</w:t>
            </w:r>
          </w:p>
        </w:tc>
        <w:tc>
          <w:tcPr>
            <w:tcW w:w="1060" w:type="dxa"/>
            <w:vAlign w:val="bottom"/>
            <w:tcBorders>
              <w:bottom w:val="single" w:sz="8" w:color="0C479D"/>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13,776</w:t>
            </w:r>
          </w:p>
        </w:tc>
        <w:tc>
          <w:tcPr>
            <w:tcW w:w="0" w:type="dxa"/>
            <w:vAlign w:val="bottom"/>
          </w:tcPr>
          <w:p>
            <w:pPr>
              <w:spacing w:after="0"/>
              <w:rPr>
                <w:sz w:val="1"/>
                <w:szCs w:val="1"/>
                <w:color w:val="auto"/>
              </w:rPr>
            </w:pPr>
          </w:p>
        </w:tc>
      </w:tr>
      <w:tr>
        <w:trPr>
          <w:trHeight w:val="219"/>
        </w:trPr>
        <w:tc>
          <w:tcPr>
            <w:tcW w:w="4060" w:type="dxa"/>
            <w:vAlign w:val="bottom"/>
            <w:tcBorders>
              <w:bottom w:val="single" w:sz="8" w:color="0C479D"/>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Net capitalized costs for equity companies</w:t>
            </w:r>
          </w:p>
        </w:tc>
        <w:tc>
          <w:tcPr>
            <w:tcW w:w="1360" w:type="dxa"/>
            <w:vAlign w:val="bottom"/>
            <w:tcBorders>
              <w:bottom w:val="single" w:sz="8" w:color="0C479D"/>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544</w:t>
            </w:r>
          </w:p>
        </w:tc>
        <w:tc>
          <w:tcPr>
            <w:tcW w:w="1000" w:type="dxa"/>
            <w:vAlign w:val="bottom"/>
            <w:tcBorders>
              <w:bottom w:val="single" w:sz="8" w:color="0C479D"/>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Borders>
              <w:bottom w:val="single" w:sz="8" w:color="0C479D"/>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331</w:t>
            </w:r>
          </w:p>
        </w:tc>
        <w:tc>
          <w:tcPr>
            <w:tcW w:w="100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4,216</w:t>
            </w:r>
          </w:p>
        </w:tc>
        <w:tc>
          <w:tcPr>
            <w:tcW w:w="880" w:type="dxa"/>
            <w:vAlign w:val="bottom"/>
            <w:tcBorders>
              <w:bottom w:val="single" w:sz="8" w:color="0C479D"/>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15,468</w:t>
            </w:r>
          </w:p>
        </w:tc>
        <w:tc>
          <w:tcPr>
            <w:tcW w:w="1060" w:type="dxa"/>
            <w:vAlign w:val="bottom"/>
            <w:tcBorders>
              <w:bottom w:val="single" w:sz="8" w:color="0C479D"/>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20,559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color w:val="0C479D"/>
        </w:rPr>
        <w:t>Oil and Gas Exploration and Production Costs (continued)</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amounts reported as costs incurred include both capitalized costs and costs charged to expense during the year. Costs incurred also include new asset retirement obligations established in the current year, as well as increases or decreases to the asset retirement obligation resulting from changes in cost estimates or abandonment date. Total consolidated costs incurred in 2024 were $105,094 million, up $84,142 million from 2023, due primarily to the Pioneer acquisition and higher development costs. In 2023, costs were $20,952 million, up $6,439 million from 2022, due primarily to higher development costs and the Denbury acquisition. Total equity company costs incurred in 2024 were $1,134 million, down $376 million from 2023, due to lower development costs.</w:t>
      </w:r>
    </w:p>
    <w:p>
      <w:pPr>
        <w:spacing w:after="0" w:line="8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040" w:type="dxa"/>
            <w:vAlign w:val="bottom"/>
            <w:gridSpan w:val="2"/>
            <w:shd w:val="clear" w:color="auto" w:fill="0C479D"/>
          </w:tcPr>
          <w:p>
            <w:pPr>
              <w:ind w:left="20"/>
              <w:spacing w:after="0"/>
              <w:rPr>
                <w:sz w:val="20"/>
                <w:szCs w:val="20"/>
                <w:color w:val="auto"/>
              </w:rPr>
            </w:pPr>
            <w:r>
              <w:rPr>
                <w:rFonts w:ascii="Times New Roman" w:cs="Times New Roman" w:eastAsia="Times New Roman" w:hAnsi="Times New Roman"/>
                <w:sz w:val="16"/>
                <w:szCs w:val="16"/>
                <w:b w:val="1"/>
                <w:bCs w:val="1"/>
                <w:color w:val="FFFFFF"/>
              </w:rPr>
              <w:t>Costs Incurred in Property Acquisitions,</w:t>
            </w:r>
          </w:p>
        </w:tc>
        <w:tc>
          <w:tcPr>
            <w:tcW w:w="1380" w:type="dxa"/>
            <w:vAlign w:val="bottom"/>
            <w:vMerge w:val="restart"/>
            <w:shd w:val="clear" w:color="auto" w:fill="0C479D"/>
          </w:tcPr>
          <w:p>
            <w:pPr>
              <w:jc w:val="right"/>
              <w:ind w:right="220"/>
              <w:spacing w:after="0"/>
              <w:rPr>
                <w:sz w:val="20"/>
                <w:szCs w:val="20"/>
                <w:color w:val="auto"/>
              </w:rPr>
            </w:pPr>
            <w:r>
              <w:rPr>
                <w:rFonts w:ascii="Times New Roman" w:cs="Times New Roman" w:eastAsia="Times New Roman" w:hAnsi="Times New Roman"/>
                <w:sz w:val="14"/>
                <w:szCs w:val="14"/>
                <w:b w:val="1"/>
                <w:bCs w:val="1"/>
                <w:color w:val="FFFFFF"/>
              </w:rPr>
              <w:t>United</w:t>
            </w:r>
          </w:p>
        </w:tc>
        <w:tc>
          <w:tcPr>
            <w:tcW w:w="1000" w:type="dxa"/>
            <w:vAlign w:val="bottom"/>
            <w:shd w:val="clear" w:color="auto" w:fill="0C479D"/>
          </w:tcPr>
          <w:p>
            <w:pPr>
              <w:jc w:val="center"/>
              <w:ind w:right="40"/>
              <w:spacing w:after="0"/>
              <w:rPr>
                <w:sz w:val="20"/>
                <w:szCs w:val="20"/>
                <w:color w:val="auto"/>
              </w:rPr>
            </w:pPr>
            <w:r>
              <w:rPr>
                <w:rFonts w:ascii="Times New Roman" w:cs="Times New Roman" w:eastAsia="Times New Roman" w:hAnsi="Times New Roman"/>
                <w:sz w:val="14"/>
                <w:szCs w:val="14"/>
                <w:b w:val="1"/>
                <w:bCs w:val="1"/>
                <w:color w:val="FFFFFF"/>
              </w:rPr>
              <w:t>Canada/</w:t>
            </w:r>
          </w:p>
        </w:tc>
        <w:tc>
          <w:tcPr>
            <w:tcW w:w="1000" w:type="dxa"/>
            <w:vAlign w:val="bottom"/>
            <w:shd w:val="clear" w:color="auto" w:fill="0C479D"/>
          </w:tcPr>
          <w:p>
            <w:pPr>
              <w:spacing w:after="0"/>
              <w:rPr>
                <w:sz w:val="16"/>
                <w:szCs w:val="16"/>
                <w:color w:val="auto"/>
              </w:rPr>
            </w:pPr>
          </w:p>
        </w:tc>
        <w:tc>
          <w:tcPr>
            <w:tcW w:w="1000" w:type="dxa"/>
            <w:vAlign w:val="bottom"/>
            <w:shd w:val="clear" w:color="auto" w:fill="0C479D"/>
          </w:tcPr>
          <w:p>
            <w:pPr>
              <w:spacing w:after="0"/>
              <w:rPr>
                <w:sz w:val="16"/>
                <w:szCs w:val="16"/>
                <w:color w:val="auto"/>
              </w:rPr>
            </w:pPr>
          </w:p>
        </w:tc>
        <w:tc>
          <w:tcPr>
            <w:tcW w:w="880" w:type="dxa"/>
            <w:vAlign w:val="bottom"/>
            <w:shd w:val="clear" w:color="auto" w:fill="0C479D"/>
          </w:tcPr>
          <w:p>
            <w:pPr>
              <w:spacing w:after="0"/>
              <w:rPr>
                <w:sz w:val="16"/>
                <w:szCs w:val="16"/>
                <w:color w:val="auto"/>
              </w:rPr>
            </w:pPr>
          </w:p>
        </w:tc>
        <w:tc>
          <w:tcPr>
            <w:tcW w:w="1060" w:type="dxa"/>
            <w:vAlign w:val="bottom"/>
            <w:vMerge w:val="restart"/>
            <w:shd w:val="clear" w:color="auto" w:fill="0C479D"/>
          </w:tcPr>
          <w:p>
            <w:pPr>
              <w:jc w:val="right"/>
              <w:ind w:right="220"/>
              <w:spacing w:after="0"/>
              <w:rPr>
                <w:sz w:val="20"/>
                <w:szCs w:val="20"/>
                <w:color w:val="auto"/>
              </w:rPr>
            </w:pPr>
            <w:r>
              <w:rPr>
                <w:rFonts w:ascii="Times New Roman" w:cs="Times New Roman" w:eastAsia="Times New Roman" w:hAnsi="Times New Roman"/>
                <w:sz w:val="14"/>
                <w:szCs w:val="14"/>
                <w:b w:val="1"/>
                <w:bCs w:val="1"/>
                <w:color w:val="FFFFFF"/>
              </w:rPr>
              <w:t>Australia/</w:t>
            </w:r>
          </w:p>
        </w:tc>
        <w:tc>
          <w:tcPr>
            <w:tcW w:w="820" w:type="dxa"/>
            <w:vAlign w:val="bottom"/>
            <w:shd w:val="clear" w:color="auto" w:fill="0C479D"/>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4040" w:type="dxa"/>
            <w:vAlign w:val="bottom"/>
            <w:gridSpan w:val="2"/>
            <w:vMerge w:val="restart"/>
            <w:shd w:val="clear" w:color="auto" w:fill="0C479D"/>
          </w:tcPr>
          <w:p>
            <w:pPr>
              <w:ind w:left="20"/>
              <w:spacing w:after="0"/>
              <w:rPr>
                <w:sz w:val="20"/>
                <w:szCs w:val="20"/>
                <w:color w:val="auto"/>
              </w:rPr>
            </w:pPr>
            <w:r>
              <w:rPr>
                <w:rFonts w:ascii="Times New Roman" w:cs="Times New Roman" w:eastAsia="Times New Roman" w:hAnsi="Times New Roman"/>
                <w:sz w:val="16"/>
                <w:szCs w:val="16"/>
                <w:b w:val="1"/>
                <w:bCs w:val="1"/>
                <w:color w:val="FFFFFF"/>
              </w:rPr>
              <w:t>Exploration and Development Activities</w:t>
            </w:r>
          </w:p>
        </w:tc>
        <w:tc>
          <w:tcPr>
            <w:tcW w:w="1380" w:type="dxa"/>
            <w:vAlign w:val="bottom"/>
            <w:vMerge w:val="continue"/>
            <w:shd w:val="clear" w:color="auto" w:fill="0C479D"/>
          </w:tcPr>
          <w:p>
            <w:pPr>
              <w:spacing w:after="0"/>
              <w:rPr>
                <w:sz w:val="5"/>
                <w:szCs w:val="5"/>
                <w:color w:val="auto"/>
              </w:rPr>
            </w:pPr>
          </w:p>
        </w:tc>
        <w:tc>
          <w:tcPr>
            <w:tcW w:w="1000" w:type="dxa"/>
            <w:vAlign w:val="bottom"/>
            <w:vMerge w:val="restart"/>
            <w:shd w:val="clear" w:color="auto" w:fill="0C479D"/>
          </w:tcPr>
          <w:p>
            <w:pPr>
              <w:jc w:val="center"/>
              <w:ind w:right="20"/>
              <w:spacing w:after="0"/>
              <w:rPr>
                <w:sz w:val="20"/>
                <w:szCs w:val="20"/>
                <w:color w:val="auto"/>
              </w:rPr>
            </w:pPr>
            <w:r>
              <w:rPr>
                <w:rFonts w:ascii="Times New Roman" w:cs="Times New Roman" w:eastAsia="Times New Roman" w:hAnsi="Times New Roman"/>
                <w:sz w:val="14"/>
                <w:szCs w:val="14"/>
                <w:b w:val="1"/>
                <w:bCs w:val="1"/>
                <w:color w:val="FFFFFF"/>
              </w:rPr>
              <w:t>Other</w:t>
            </w:r>
          </w:p>
        </w:tc>
        <w:tc>
          <w:tcPr>
            <w:tcW w:w="1000" w:type="dxa"/>
            <w:vAlign w:val="bottom"/>
            <w:vMerge w:val="restart"/>
            <w:shd w:val="clear" w:color="auto" w:fill="0C479D"/>
          </w:tcPr>
          <w:p>
            <w:pPr>
              <w:jc w:val="right"/>
              <w:ind w:right="279"/>
              <w:spacing w:after="0"/>
              <w:rPr>
                <w:sz w:val="20"/>
                <w:szCs w:val="20"/>
                <w:color w:val="auto"/>
              </w:rPr>
            </w:pPr>
            <w:r>
              <w:rPr>
                <w:rFonts w:ascii="Times New Roman" w:cs="Times New Roman" w:eastAsia="Times New Roman" w:hAnsi="Times New Roman"/>
                <w:sz w:val="14"/>
                <w:szCs w:val="14"/>
                <w:b w:val="1"/>
                <w:bCs w:val="1"/>
                <w:color w:val="FFFFFF"/>
              </w:rPr>
              <w:t>Europe</w:t>
            </w:r>
          </w:p>
        </w:tc>
        <w:tc>
          <w:tcPr>
            <w:tcW w:w="1000" w:type="dxa"/>
            <w:vAlign w:val="bottom"/>
            <w:vMerge w:val="restart"/>
            <w:shd w:val="clear" w:color="auto" w:fill="0C479D"/>
          </w:tcPr>
          <w:p>
            <w:pPr>
              <w:jc w:val="right"/>
              <w:ind w:right="339"/>
              <w:spacing w:after="0"/>
              <w:rPr>
                <w:sz w:val="20"/>
                <w:szCs w:val="20"/>
                <w:color w:val="auto"/>
              </w:rPr>
            </w:pPr>
            <w:r>
              <w:rPr>
                <w:rFonts w:ascii="Times New Roman" w:cs="Times New Roman" w:eastAsia="Times New Roman" w:hAnsi="Times New Roman"/>
                <w:sz w:val="14"/>
                <w:szCs w:val="14"/>
                <w:b w:val="1"/>
                <w:bCs w:val="1"/>
                <w:color w:val="FFFFFF"/>
              </w:rPr>
              <w:t>Africa</w:t>
            </w:r>
          </w:p>
        </w:tc>
        <w:tc>
          <w:tcPr>
            <w:tcW w:w="880" w:type="dxa"/>
            <w:vAlign w:val="bottom"/>
            <w:vMerge w:val="restart"/>
            <w:shd w:val="clear" w:color="auto" w:fill="0C479D"/>
          </w:tcPr>
          <w:p>
            <w:pPr>
              <w:jc w:val="right"/>
              <w:ind w:right="299"/>
              <w:spacing w:after="0"/>
              <w:rPr>
                <w:sz w:val="20"/>
                <w:szCs w:val="20"/>
                <w:color w:val="auto"/>
              </w:rPr>
            </w:pPr>
            <w:r>
              <w:rPr>
                <w:rFonts w:ascii="Times New Roman" w:cs="Times New Roman" w:eastAsia="Times New Roman" w:hAnsi="Times New Roman"/>
                <w:sz w:val="14"/>
                <w:szCs w:val="14"/>
                <w:b w:val="1"/>
                <w:bCs w:val="1"/>
                <w:color w:val="FFFFFF"/>
              </w:rPr>
              <w:t>Asia</w:t>
            </w:r>
          </w:p>
        </w:tc>
        <w:tc>
          <w:tcPr>
            <w:tcW w:w="1060" w:type="dxa"/>
            <w:vAlign w:val="bottom"/>
            <w:vMerge w:val="continue"/>
            <w:shd w:val="clear" w:color="auto" w:fill="0C479D"/>
          </w:tcPr>
          <w:p>
            <w:pPr>
              <w:spacing w:after="0"/>
              <w:rPr>
                <w:sz w:val="5"/>
                <w:szCs w:val="5"/>
                <w:color w:val="auto"/>
              </w:rPr>
            </w:pPr>
          </w:p>
        </w:tc>
        <w:tc>
          <w:tcPr>
            <w:tcW w:w="820" w:type="dxa"/>
            <w:vAlign w:val="bottom"/>
            <w:vMerge w:val="restart"/>
            <w:shd w:val="clear" w:color="auto" w:fill="0C479D"/>
          </w:tcPr>
          <w:p>
            <w:pPr>
              <w:jc w:val="right"/>
              <w:ind w:right="219"/>
              <w:spacing w:after="0"/>
              <w:rPr>
                <w:sz w:val="20"/>
                <w:szCs w:val="20"/>
                <w:color w:val="auto"/>
              </w:rPr>
            </w:pPr>
            <w:r>
              <w:rPr>
                <w:rFonts w:ascii="Times New Roman" w:cs="Times New Roman" w:eastAsia="Times New Roman" w:hAnsi="Times New Roman"/>
                <w:sz w:val="14"/>
                <w:szCs w:val="14"/>
                <w:b w:val="1"/>
                <w:bCs w:val="1"/>
                <w:color w:val="FFFFFF"/>
              </w:rPr>
              <w:t>Total</w:t>
            </w:r>
          </w:p>
        </w:tc>
        <w:tc>
          <w:tcPr>
            <w:tcW w:w="0" w:type="dxa"/>
            <w:vAlign w:val="bottom"/>
          </w:tcPr>
          <w:p>
            <w:pPr>
              <w:spacing w:after="0"/>
              <w:rPr>
                <w:sz w:val="1"/>
                <w:szCs w:val="1"/>
                <w:color w:val="auto"/>
              </w:rPr>
            </w:pPr>
          </w:p>
        </w:tc>
      </w:tr>
      <w:tr>
        <w:trPr>
          <w:trHeight w:val="135"/>
        </w:trPr>
        <w:tc>
          <w:tcPr>
            <w:tcW w:w="4040" w:type="dxa"/>
            <w:vAlign w:val="bottom"/>
            <w:gridSpan w:val="2"/>
            <w:vMerge w:val="continue"/>
            <w:shd w:val="clear" w:color="auto" w:fill="0C479D"/>
          </w:tcPr>
          <w:p>
            <w:pPr>
              <w:spacing w:after="0"/>
              <w:rPr>
                <w:sz w:val="11"/>
                <w:szCs w:val="11"/>
                <w:color w:val="auto"/>
              </w:rPr>
            </w:pPr>
          </w:p>
        </w:tc>
        <w:tc>
          <w:tcPr>
            <w:tcW w:w="1380" w:type="dxa"/>
            <w:vAlign w:val="bottom"/>
            <w:shd w:val="clear" w:color="auto" w:fill="0C479D"/>
          </w:tcPr>
          <w:p>
            <w:pPr>
              <w:jc w:val="right"/>
              <w:ind w:right="260"/>
              <w:spacing w:after="0" w:line="135" w:lineRule="exact"/>
              <w:rPr>
                <w:sz w:val="20"/>
                <w:szCs w:val="20"/>
                <w:color w:val="auto"/>
              </w:rPr>
            </w:pPr>
            <w:r>
              <w:rPr>
                <w:rFonts w:ascii="Times New Roman" w:cs="Times New Roman" w:eastAsia="Times New Roman" w:hAnsi="Times New Roman"/>
                <w:sz w:val="14"/>
                <w:szCs w:val="14"/>
                <w:b w:val="1"/>
                <w:bCs w:val="1"/>
                <w:color w:val="FFFFFF"/>
              </w:rPr>
              <w:t>States</w:t>
            </w:r>
          </w:p>
        </w:tc>
        <w:tc>
          <w:tcPr>
            <w:tcW w:w="1000" w:type="dxa"/>
            <w:vAlign w:val="bottom"/>
            <w:vMerge w:val="continue"/>
            <w:shd w:val="clear" w:color="auto" w:fill="0C479D"/>
          </w:tcPr>
          <w:p>
            <w:pPr>
              <w:spacing w:after="0"/>
              <w:rPr>
                <w:sz w:val="11"/>
                <w:szCs w:val="11"/>
                <w:color w:val="auto"/>
              </w:rPr>
            </w:pPr>
          </w:p>
        </w:tc>
        <w:tc>
          <w:tcPr>
            <w:tcW w:w="1000" w:type="dxa"/>
            <w:vAlign w:val="bottom"/>
            <w:vMerge w:val="continue"/>
            <w:shd w:val="clear" w:color="auto" w:fill="0C479D"/>
          </w:tcPr>
          <w:p>
            <w:pPr>
              <w:spacing w:after="0"/>
              <w:rPr>
                <w:sz w:val="11"/>
                <w:szCs w:val="11"/>
                <w:color w:val="auto"/>
              </w:rPr>
            </w:pPr>
          </w:p>
        </w:tc>
        <w:tc>
          <w:tcPr>
            <w:tcW w:w="1000" w:type="dxa"/>
            <w:vAlign w:val="bottom"/>
            <w:vMerge w:val="continue"/>
            <w:shd w:val="clear" w:color="auto" w:fill="0C479D"/>
          </w:tcPr>
          <w:p>
            <w:pPr>
              <w:spacing w:after="0"/>
              <w:rPr>
                <w:sz w:val="11"/>
                <w:szCs w:val="11"/>
                <w:color w:val="auto"/>
              </w:rPr>
            </w:pPr>
          </w:p>
        </w:tc>
        <w:tc>
          <w:tcPr>
            <w:tcW w:w="880" w:type="dxa"/>
            <w:vAlign w:val="bottom"/>
            <w:vMerge w:val="continue"/>
            <w:shd w:val="clear" w:color="auto" w:fill="0C479D"/>
          </w:tcPr>
          <w:p>
            <w:pPr>
              <w:spacing w:after="0"/>
              <w:rPr>
                <w:sz w:val="11"/>
                <w:szCs w:val="11"/>
                <w:color w:val="auto"/>
              </w:rPr>
            </w:pPr>
          </w:p>
        </w:tc>
        <w:tc>
          <w:tcPr>
            <w:tcW w:w="1060" w:type="dxa"/>
            <w:vAlign w:val="bottom"/>
            <w:shd w:val="clear" w:color="auto" w:fill="0C479D"/>
          </w:tcPr>
          <w:p>
            <w:pPr>
              <w:jc w:val="right"/>
              <w:ind w:right="280"/>
              <w:spacing w:after="0" w:line="135" w:lineRule="exact"/>
              <w:rPr>
                <w:sz w:val="20"/>
                <w:szCs w:val="20"/>
                <w:color w:val="auto"/>
              </w:rPr>
            </w:pPr>
            <w:r>
              <w:rPr>
                <w:rFonts w:ascii="Times New Roman" w:cs="Times New Roman" w:eastAsia="Times New Roman" w:hAnsi="Times New Roman"/>
                <w:sz w:val="14"/>
                <w:szCs w:val="14"/>
                <w:b w:val="1"/>
                <w:bCs w:val="1"/>
                <w:color w:val="FFFFFF"/>
              </w:rPr>
              <w:t>Oceania</w:t>
            </w:r>
          </w:p>
        </w:tc>
        <w:tc>
          <w:tcPr>
            <w:tcW w:w="820" w:type="dxa"/>
            <w:vAlign w:val="bottom"/>
            <w:vMerge w:val="continue"/>
            <w:shd w:val="clear" w:color="auto" w:fill="0C479D"/>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980" w:type="dxa"/>
            <w:vAlign w:val="bottom"/>
            <w:shd w:val="clear" w:color="auto" w:fill="0C479D"/>
          </w:tcPr>
          <w:p>
            <w:pPr>
              <w:ind w:left="20"/>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2060" w:type="dxa"/>
            <w:vAlign w:val="bottom"/>
            <w:shd w:val="clear" w:color="auto" w:fill="0C479D"/>
          </w:tcPr>
          <w:p>
            <w:pPr>
              <w:spacing w:after="0"/>
              <w:rPr>
                <w:sz w:val="14"/>
                <w:szCs w:val="14"/>
                <w:color w:val="auto"/>
              </w:rPr>
            </w:pPr>
          </w:p>
        </w:tc>
        <w:tc>
          <w:tcPr>
            <w:tcW w:w="1380" w:type="dxa"/>
            <w:vAlign w:val="bottom"/>
            <w:shd w:val="clear" w:color="auto" w:fill="0C479D"/>
          </w:tcPr>
          <w:p>
            <w:pPr>
              <w:spacing w:after="0"/>
              <w:rPr>
                <w:sz w:val="14"/>
                <w:szCs w:val="14"/>
                <w:color w:val="auto"/>
              </w:rPr>
            </w:pPr>
          </w:p>
        </w:tc>
        <w:tc>
          <w:tcPr>
            <w:tcW w:w="1000" w:type="dxa"/>
            <w:vAlign w:val="bottom"/>
            <w:shd w:val="clear" w:color="auto" w:fill="0C479D"/>
          </w:tcPr>
          <w:p>
            <w:pPr>
              <w:jc w:val="center"/>
              <w:ind w:right="20"/>
              <w:spacing w:after="0"/>
              <w:rPr>
                <w:sz w:val="20"/>
                <w:szCs w:val="20"/>
                <w:color w:val="auto"/>
              </w:rPr>
            </w:pPr>
            <w:r>
              <w:rPr>
                <w:rFonts w:ascii="Times New Roman" w:cs="Times New Roman" w:eastAsia="Times New Roman" w:hAnsi="Times New Roman"/>
                <w:sz w:val="14"/>
                <w:szCs w:val="14"/>
                <w:b w:val="1"/>
                <w:bCs w:val="1"/>
                <w:color w:val="FFFFFF"/>
              </w:rPr>
              <w:t>Americas</w:t>
            </w:r>
          </w:p>
        </w:tc>
        <w:tc>
          <w:tcPr>
            <w:tcW w:w="1000" w:type="dxa"/>
            <w:vAlign w:val="bottom"/>
            <w:shd w:val="clear" w:color="auto" w:fill="0C479D"/>
          </w:tcPr>
          <w:p>
            <w:pPr>
              <w:spacing w:after="0"/>
              <w:rPr>
                <w:sz w:val="14"/>
                <w:szCs w:val="14"/>
                <w:color w:val="auto"/>
              </w:rPr>
            </w:pPr>
          </w:p>
        </w:tc>
        <w:tc>
          <w:tcPr>
            <w:tcW w:w="1000" w:type="dxa"/>
            <w:vAlign w:val="bottom"/>
            <w:shd w:val="clear" w:color="auto" w:fill="0C479D"/>
          </w:tcPr>
          <w:p>
            <w:pPr>
              <w:spacing w:after="0"/>
              <w:rPr>
                <w:sz w:val="14"/>
                <w:szCs w:val="14"/>
                <w:color w:val="auto"/>
              </w:rPr>
            </w:pPr>
          </w:p>
        </w:tc>
        <w:tc>
          <w:tcPr>
            <w:tcW w:w="880" w:type="dxa"/>
            <w:vAlign w:val="bottom"/>
            <w:shd w:val="clear" w:color="auto" w:fill="0C479D"/>
          </w:tcPr>
          <w:p>
            <w:pPr>
              <w:spacing w:after="0"/>
              <w:rPr>
                <w:sz w:val="14"/>
                <w:szCs w:val="14"/>
                <w:color w:val="auto"/>
              </w:rPr>
            </w:pPr>
          </w:p>
        </w:tc>
        <w:tc>
          <w:tcPr>
            <w:tcW w:w="1060" w:type="dxa"/>
            <w:vAlign w:val="bottom"/>
            <w:shd w:val="clear" w:color="auto" w:fill="0C479D"/>
          </w:tcPr>
          <w:p>
            <w:pPr>
              <w:spacing w:after="0"/>
              <w:rPr>
                <w:sz w:val="14"/>
                <w:szCs w:val="14"/>
                <w:color w:val="auto"/>
              </w:rPr>
            </w:pPr>
          </w:p>
        </w:tc>
        <w:tc>
          <w:tcPr>
            <w:tcW w:w="820" w:type="dxa"/>
            <w:vAlign w:val="bottom"/>
            <w:shd w:val="clear" w:color="auto" w:fill="0C479D"/>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0C479D"/>
              </w:rPr>
              <w:t>During 2024</w:t>
            </w:r>
          </w:p>
        </w:tc>
        <w:tc>
          <w:tcPr>
            <w:tcW w:w="2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0C479D"/>
              </w:rPr>
              <w:t>Consolidated Subsidiaries</w:t>
            </w:r>
          </w:p>
        </w:tc>
        <w:tc>
          <w:tcPr>
            <w:tcW w:w="20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acquisition costs</w:t>
            </w:r>
          </w:p>
        </w:tc>
        <w:tc>
          <w:tcPr>
            <w:tcW w:w="2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 Proved</w:t>
            </w:r>
          </w:p>
        </w:tc>
        <w:tc>
          <w:tcPr>
            <w:tcW w:w="13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39,271</w:t>
            </w:r>
          </w:p>
        </w:tc>
        <w:tc>
          <w:tcPr>
            <w:tcW w:w="10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w:t>
            </w: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39,272</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2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 Unproved</w:t>
            </w:r>
          </w:p>
        </w:tc>
        <w:tc>
          <w:tcPr>
            <w:tcW w:w="13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45,196</w:t>
            </w:r>
          </w:p>
        </w:tc>
        <w:tc>
          <w:tcPr>
            <w:tcW w:w="10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45,201</w:t>
            </w:r>
          </w:p>
        </w:tc>
        <w:tc>
          <w:tcPr>
            <w:tcW w:w="0" w:type="dxa"/>
            <w:vAlign w:val="bottom"/>
          </w:tcPr>
          <w:p>
            <w:pPr>
              <w:spacing w:after="0"/>
              <w:rPr>
                <w:sz w:val="1"/>
                <w:szCs w:val="1"/>
                <w:color w:val="auto"/>
              </w:rPr>
            </w:pPr>
          </w:p>
        </w:tc>
      </w:tr>
      <w:tr>
        <w:trPr>
          <w:trHeight w:val="216"/>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Exploration costs</w:t>
            </w:r>
          </w:p>
        </w:tc>
        <w:tc>
          <w:tcPr>
            <w:tcW w:w="2060" w:type="dxa"/>
            <w:vAlign w:val="bottom"/>
          </w:tcPr>
          <w:p>
            <w:pPr>
              <w:spacing w:after="0"/>
              <w:rPr>
                <w:sz w:val="18"/>
                <w:szCs w:val="18"/>
                <w:color w:val="auto"/>
              </w:rPr>
            </w:pPr>
          </w:p>
        </w:tc>
        <w:tc>
          <w:tcPr>
            <w:tcW w:w="13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55</w:t>
            </w:r>
          </w:p>
        </w:tc>
        <w:tc>
          <w:tcPr>
            <w:tcW w:w="10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838</w:t>
            </w: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63</w:t>
            </w: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268</w:t>
            </w: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30</w:t>
            </w: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8</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w:t>
            </w:r>
          </w:p>
        </w:tc>
        <w:tc>
          <w:tcPr>
            <w:tcW w:w="0" w:type="dxa"/>
            <w:vAlign w:val="bottom"/>
          </w:tcPr>
          <w:p>
            <w:pPr>
              <w:spacing w:after="0"/>
              <w:rPr>
                <w:sz w:val="1"/>
                <w:szCs w:val="1"/>
                <w:color w:val="auto"/>
              </w:rPr>
            </w:pPr>
          </w:p>
        </w:tc>
      </w:tr>
      <w:tr>
        <w:trPr>
          <w:trHeight w:val="219"/>
        </w:trPr>
        <w:tc>
          <w:tcPr>
            <w:tcW w:w="198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color w:val="auto"/>
              </w:rPr>
              <w:t>Development costs</w:t>
            </w:r>
          </w:p>
        </w:tc>
        <w:tc>
          <w:tcPr>
            <w:tcW w:w="2060" w:type="dxa"/>
            <w:vAlign w:val="bottom"/>
            <w:tcBorders>
              <w:bottom w:val="single" w:sz="8" w:color="0C479D"/>
            </w:tcBorders>
          </w:tcPr>
          <w:p>
            <w:pPr>
              <w:spacing w:after="0"/>
              <w:rPr>
                <w:sz w:val="19"/>
                <w:szCs w:val="19"/>
                <w:color w:val="auto"/>
              </w:rPr>
            </w:pPr>
          </w:p>
        </w:tc>
        <w:tc>
          <w:tcPr>
            <w:tcW w:w="1380" w:type="dxa"/>
            <w:vAlign w:val="bottom"/>
            <w:tcBorders>
              <w:bottom w:val="single" w:sz="8" w:color="0C479D"/>
            </w:tcBorders>
          </w:tcPr>
          <w:p>
            <w:pPr>
              <w:jc w:val="right"/>
              <w:ind w:right="60"/>
              <w:spacing w:after="0"/>
              <w:rPr>
                <w:sz w:val="20"/>
                <w:szCs w:val="20"/>
                <w:color w:val="auto"/>
              </w:rPr>
            </w:pPr>
            <w:r>
              <w:rPr>
                <w:rFonts w:ascii="Times New Roman" w:cs="Times New Roman" w:eastAsia="Times New Roman" w:hAnsi="Times New Roman"/>
                <w:sz w:val="16"/>
                <w:szCs w:val="16"/>
                <w:color w:val="auto"/>
              </w:rPr>
              <w:t>10,903</w:t>
            </w:r>
          </w:p>
        </w:tc>
        <w:tc>
          <w:tcPr>
            <w:tcW w:w="1000" w:type="dxa"/>
            <w:vAlign w:val="bottom"/>
            <w:tcBorders>
              <w:bottom w:val="single" w:sz="8" w:color="0C479D"/>
            </w:tcBorders>
          </w:tcPr>
          <w:p>
            <w:pPr>
              <w:jc w:val="right"/>
              <w:ind w:right="100"/>
              <w:spacing w:after="0"/>
              <w:rPr>
                <w:sz w:val="20"/>
                <w:szCs w:val="20"/>
                <w:color w:val="auto"/>
              </w:rPr>
            </w:pPr>
            <w:r>
              <w:rPr>
                <w:rFonts w:ascii="Times New Roman" w:cs="Times New Roman" w:eastAsia="Times New Roman" w:hAnsi="Times New Roman"/>
                <w:sz w:val="16"/>
                <w:szCs w:val="16"/>
                <w:color w:val="auto"/>
              </w:rPr>
              <w:t>5,839</w:t>
            </w:r>
          </w:p>
        </w:tc>
        <w:tc>
          <w:tcPr>
            <w:tcW w:w="1000" w:type="dxa"/>
            <w:vAlign w:val="bottom"/>
            <w:tcBorders>
              <w:bottom w:val="single" w:sz="8" w:color="0C479D"/>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113</w:t>
            </w:r>
          </w:p>
        </w:tc>
        <w:tc>
          <w:tcPr>
            <w:tcW w:w="100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color w:val="auto"/>
              </w:rPr>
              <w:t>910</w:t>
            </w:r>
          </w:p>
        </w:tc>
        <w:tc>
          <w:tcPr>
            <w:tcW w:w="880" w:type="dxa"/>
            <w:vAlign w:val="bottom"/>
            <w:tcBorders>
              <w:bottom w:val="single" w:sz="8" w:color="0C479D"/>
            </w:tcBorders>
          </w:tcPr>
          <w:p>
            <w:pPr>
              <w:jc w:val="right"/>
              <w:ind w:right="59"/>
              <w:spacing w:after="0"/>
              <w:rPr>
                <w:sz w:val="20"/>
                <w:szCs w:val="20"/>
                <w:color w:val="auto"/>
              </w:rPr>
            </w:pPr>
            <w:r>
              <w:rPr>
                <w:rFonts w:ascii="Times New Roman" w:cs="Times New Roman" w:eastAsia="Times New Roman" w:hAnsi="Times New Roman"/>
                <w:sz w:val="16"/>
                <w:szCs w:val="16"/>
                <w:color w:val="auto"/>
              </w:rPr>
              <w:t>750</w:t>
            </w:r>
          </w:p>
        </w:tc>
        <w:tc>
          <w:tcPr>
            <w:tcW w:w="1060" w:type="dxa"/>
            <w:vAlign w:val="bottom"/>
            <w:tcBorders>
              <w:bottom w:val="single" w:sz="8" w:color="0C479D"/>
            </w:tcBorders>
          </w:tcPr>
          <w:p>
            <w:pPr>
              <w:jc w:val="right"/>
              <w:ind w:right="140"/>
              <w:spacing w:after="0"/>
              <w:rPr>
                <w:sz w:val="20"/>
                <w:szCs w:val="20"/>
                <w:color w:val="auto"/>
              </w:rPr>
            </w:pPr>
            <w:r>
              <w:rPr>
                <w:rFonts w:ascii="Times New Roman" w:cs="Times New Roman" w:eastAsia="Times New Roman" w:hAnsi="Times New Roman"/>
                <w:sz w:val="16"/>
                <w:szCs w:val="16"/>
                <w:color w:val="auto"/>
              </w:rPr>
              <w:t>844</w:t>
            </w:r>
          </w:p>
        </w:tc>
        <w:tc>
          <w:tcPr>
            <w:tcW w:w="8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19,359</w:t>
            </w:r>
          </w:p>
        </w:tc>
        <w:tc>
          <w:tcPr>
            <w:tcW w:w="0" w:type="dxa"/>
            <w:vAlign w:val="bottom"/>
          </w:tcPr>
          <w:p>
            <w:pPr>
              <w:spacing w:after="0"/>
              <w:rPr>
                <w:sz w:val="1"/>
                <w:szCs w:val="1"/>
                <w:color w:val="auto"/>
              </w:rPr>
            </w:pPr>
          </w:p>
        </w:tc>
      </w:tr>
      <w:tr>
        <w:trPr>
          <w:trHeight w:val="219"/>
        </w:trPr>
        <w:tc>
          <w:tcPr>
            <w:tcW w:w="4040" w:type="dxa"/>
            <w:vAlign w:val="bottom"/>
            <w:tcBorders>
              <w:bottom w:val="single" w:sz="8" w:color="0C479D"/>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costs incurred for consolidated subsidiaries</w:t>
            </w:r>
          </w:p>
        </w:tc>
        <w:tc>
          <w:tcPr>
            <w:tcW w:w="1380" w:type="dxa"/>
            <w:vAlign w:val="bottom"/>
            <w:tcBorders>
              <w:bottom w:val="single" w:sz="8" w:color="0C479D"/>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95,425</w:t>
            </w:r>
          </w:p>
        </w:tc>
        <w:tc>
          <w:tcPr>
            <w:tcW w:w="1000" w:type="dxa"/>
            <w:vAlign w:val="bottom"/>
            <w:tcBorders>
              <w:bottom w:val="single" w:sz="8" w:color="0C479D"/>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6,677</w:t>
            </w:r>
          </w:p>
        </w:tc>
        <w:tc>
          <w:tcPr>
            <w:tcW w:w="1000" w:type="dxa"/>
            <w:vAlign w:val="bottom"/>
            <w:tcBorders>
              <w:bottom w:val="single" w:sz="8" w:color="0C479D"/>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181</w:t>
            </w:r>
          </w:p>
        </w:tc>
        <w:tc>
          <w:tcPr>
            <w:tcW w:w="100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1,179</w:t>
            </w:r>
          </w:p>
        </w:tc>
        <w:tc>
          <w:tcPr>
            <w:tcW w:w="880" w:type="dxa"/>
            <w:vAlign w:val="bottom"/>
            <w:tcBorders>
              <w:bottom w:val="single" w:sz="8" w:color="0C479D"/>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780</w:t>
            </w:r>
          </w:p>
        </w:tc>
        <w:tc>
          <w:tcPr>
            <w:tcW w:w="1060" w:type="dxa"/>
            <w:vAlign w:val="bottom"/>
            <w:tcBorders>
              <w:bottom w:val="single" w:sz="8" w:color="0C479D"/>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852</w:t>
            </w:r>
          </w:p>
        </w:tc>
        <w:tc>
          <w:tcPr>
            <w:tcW w:w="8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105,094</w:t>
            </w:r>
          </w:p>
        </w:tc>
        <w:tc>
          <w:tcPr>
            <w:tcW w:w="0" w:type="dxa"/>
            <w:vAlign w:val="bottom"/>
          </w:tcPr>
          <w:p>
            <w:pPr>
              <w:spacing w:after="0"/>
              <w:rPr>
                <w:sz w:val="1"/>
                <w:szCs w:val="1"/>
                <w:color w:val="auto"/>
              </w:rPr>
            </w:pPr>
          </w:p>
        </w:tc>
      </w:tr>
      <w:tr>
        <w:trPr>
          <w:trHeight w:val="291"/>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0C479D"/>
              </w:rPr>
              <w:t>Equity Companies</w:t>
            </w:r>
          </w:p>
        </w:tc>
        <w:tc>
          <w:tcPr>
            <w:tcW w:w="2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acquisition costs</w:t>
            </w:r>
          </w:p>
        </w:tc>
        <w:tc>
          <w:tcPr>
            <w:tcW w:w="2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 Proved</w:t>
            </w:r>
          </w:p>
        </w:tc>
        <w:tc>
          <w:tcPr>
            <w:tcW w:w="13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2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 Unproved</w:t>
            </w:r>
          </w:p>
        </w:tc>
        <w:tc>
          <w:tcPr>
            <w:tcW w:w="13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Exploration costs</w:t>
            </w:r>
          </w:p>
        </w:tc>
        <w:tc>
          <w:tcPr>
            <w:tcW w:w="2060" w:type="dxa"/>
            <w:vAlign w:val="bottom"/>
          </w:tcPr>
          <w:p>
            <w:pPr>
              <w:spacing w:after="0"/>
              <w:rPr>
                <w:sz w:val="18"/>
                <w:szCs w:val="18"/>
                <w:color w:val="auto"/>
              </w:rPr>
            </w:pPr>
          </w:p>
        </w:tc>
        <w:tc>
          <w:tcPr>
            <w:tcW w:w="13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9"/>
        </w:trPr>
        <w:tc>
          <w:tcPr>
            <w:tcW w:w="198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color w:val="auto"/>
              </w:rPr>
              <w:t>Development costs</w:t>
            </w:r>
          </w:p>
        </w:tc>
        <w:tc>
          <w:tcPr>
            <w:tcW w:w="2060" w:type="dxa"/>
            <w:vAlign w:val="bottom"/>
            <w:tcBorders>
              <w:bottom w:val="single" w:sz="8" w:color="0C479D"/>
            </w:tcBorders>
          </w:tcPr>
          <w:p>
            <w:pPr>
              <w:spacing w:after="0"/>
              <w:rPr>
                <w:sz w:val="19"/>
                <w:szCs w:val="19"/>
                <w:color w:val="auto"/>
              </w:rPr>
            </w:pPr>
          </w:p>
        </w:tc>
        <w:tc>
          <w:tcPr>
            <w:tcW w:w="1380" w:type="dxa"/>
            <w:vAlign w:val="bottom"/>
            <w:tcBorders>
              <w:bottom w:val="single" w:sz="8" w:color="0C479D"/>
            </w:tcBorders>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c>
          <w:tcPr>
            <w:tcW w:w="1000" w:type="dxa"/>
            <w:vAlign w:val="bottom"/>
            <w:tcBorders>
              <w:bottom w:val="single" w:sz="8" w:color="0C479D"/>
            </w:tcBorders>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0C479D"/>
            </w:tcBorders>
          </w:tcPr>
          <w:p>
            <w:pPr>
              <w:jc w:val="right"/>
              <w:ind w:right="119"/>
              <w:spacing w:after="0"/>
              <w:rPr>
                <w:sz w:val="20"/>
                <w:szCs w:val="20"/>
                <w:color w:val="auto"/>
              </w:rPr>
            </w:pPr>
            <w:r>
              <w:rPr>
                <w:rFonts w:ascii="Times New Roman" w:cs="Times New Roman" w:eastAsia="Times New Roman" w:hAnsi="Times New Roman"/>
                <w:sz w:val="16"/>
                <w:szCs w:val="16"/>
                <w:color w:val="auto"/>
              </w:rPr>
              <w:t>20</w:t>
            </w:r>
          </w:p>
        </w:tc>
        <w:tc>
          <w:tcPr>
            <w:tcW w:w="100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color w:val="auto"/>
              </w:rPr>
              <w:t>18</w:t>
            </w:r>
          </w:p>
        </w:tc>
        <w:tc>
          <w:tcPr>
            <w:tcW w:w="880" w:type="dxa"/>
            <w:vAlign w:val="bottom"/>
            <w:tcBorders>
              <w:bottom w:val="single" w:sz="8" w:color="0C479D"/>
            </w:tcBorders>
          </w:tcPr>
          <w:p>
            <w:pPr>
              <w:jc w:val="right"/>
              <w:ind w:right="59"/>
              <w:spacing w:after="0"/>
              <w:rPr>
                <w:sz w:val="20"/>
                <w:szCs w:val="20"/>
                <w:color w:val="auto"/>
              </w:rPr>
            </w:pPr>
            <w:r>
              <w:rPr>
                <w:rFonts w:ascii="Times New Roman" w:cs="Times New Roman" w:eastAsia="Times New Roman" w:hAnsi="Times New Roman"/>
                <w:sz w:val="16"/>
                <w:szCs w:val="16"/>
                <w:color w:val="auto"/>
              </w:rPr>
              <w:t>1,091</w:t>
            </w:r>
          </w:p>
        </w:tc>
        <w:tc>
          <w:tcPr>
            <w:tcW w:w="1060" w:type="dxa"/>
            <w:vAlign w:val="bottom"/>
            <w:tcBorders>
              <w:bottom w:val="single" w:sz="8" w:color="0C479D"/>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1,132</w:t>
            </w:r>
          </w:p>
        </w:tc>
        <w:tc>
          <w:tcPr>
            <w:tcW w:w="0" w:type="dxa"/>
            <w:vAlign w:val="bottom"/>
          </w:tcPr>
          <w:p>
            <w:pPr>
              <w:spacing w:after="0"/>
              <w:rPr>
                <w:sz w:val="1"/>
                <w:szCs w:val="1"/>
                <w:color w:val="auto"/>
              </w:rPr>
            </w:pPr>
          </w:p>
        </w:tc>
      </w:tr>
      <w:tr>
        <w:trPr>
          <w:trHeight w:val="219"/>
        </w:trPr>
        <w:tc>
          <w:tcPr>
            <w:tcW w:w="4040" w:type="dxa"/>
            <w:vAlign w:val="bottom"/>
            <w:tcBorders>
              <w:bottom w:val="single" w:sz="8" w:color="0C479D"/>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costs incurred for equity companies</w:t>
            </w:r>
          </w:p>
        </w:tc>
        <w:tc>
          <w:tcPr>
            <w:tcW w:w="1380" w:type="dxa"/>
            <w:vAlign w:val="bottom"/>
            <w:tcBorders>
              <w:bottom w:val="single" w:sz="8" w:color="0C479D"/>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w:t>
            </w:r>
          </w:p>
        </w:tc>
        <w:tc>
          <w:tcPr>
            <w:tcW w:w="1000" w:type="dxa"/>
            <w:vAlign w:val="bottom"/>
            <w:tcBorders>
              <w:bottom w:val="single" w:sz="8" w:color="0C479D"/>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Borders>
              <w:bottom w:val="single" w:sz="8" w:color="0C479D"/>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22</w:t>
            </w:r>
          </w:p>
        </w:tc>
        <w:tc>
          <w:tcPr>
            <w:tcW w:w="100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18</w:t>
            </w:r>
          </w:p>
        </w:tc>
        <w:tc>
          <w:tcPr>
            <w:tcW w:w="880" w:type="dxa"/>
            <w:vAlign w:val="bottom"/>
            <w:tcBorders>
              <w:bottom w:val="single" w:sz="8" w:color="0C479D"/>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1,091</w:t>
            </w:r>
          </w:p>
        </w:tc>
        <w:tc>
          <w:tcPr>
            <w:tcW w:w="1060" w:type="dxa"/>
            <w:vAlign w:val="bottom"/>
            <w:tcBorders>
              <w:bottom w:val="single" w:sz="8" w:color="0C479D"/>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1,134</w:t>
            </w:r>
          </w:p>
        </w:tc>
        <w:tc>
          <w:tcPr>
            <w:tcW w:w="0" w:type="dxa"/>
            <w:vAlign w:val="bottom"/>
          </w:tcPr>
          <w:p>
            <w:pPr>
              <w:spacing w:after="0"/>
              <w:rPr>
                <w:sz w:val="1"/>
                <w:szCs w:val="1"/>
                <w:color w:val="auto"/>
              </w:rPr>
            </w:pPr>
          </w:p>
        </w:tc>
      </w:tr>
      <w:tr>
        <w:trPr>
          <w:trHeight w:val="467"/>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0C479D"/>
              </w:rPr>
              <w:t>During 2023</w:t>
            </w:r>
          </w:p>
        </w:tc>
        <w:tc>
          <w:tcPr>
            <w:tcW w:w="2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0C479D"/>
              </w:rPr>
              <w:t>Consolidated Subsidiaries</w:t>
            </w:r>
          </w:p>
        </w:tc>
        <w:tc>
          <w:tcPr>
            <w:tcW w:w="20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acquisition costs</w:t>
            </w:r>
          </w:p>
        </w:tc>
        <w:tc>
          <w:tcPr>
            <w:tcW w:w="2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 Proved</w:t>
            </w:r>
          </w:p>
        </w:tc>
        <w:tc>
          <w:tcPr>
            <w:tcW w:w="13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2,456</w:t>
            </w:r>
          </w:p>
        </w:tc>
        <w:tc>
          <w:tcPr>
            <w:tcW w:w="10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w:t>
            </w: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2,458</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2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 Unproved</w:t>
            </w:r>
          </w:p>
        </w:tc>
        <w:tc>
          <w:tcPr>
            <w:tcW w:w="13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171</w:t>
            </w:r>
          </w:p>
        </w:tc>
        <w:tc>
          <w:tcPr>
            <w:tcW w:w="10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6</w:t>
            </w: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0" w:type="dxa"/>
            <w:vAlign w:val="bottom"/>
          </w:tcPr>
          <w:p>
            <w:pPr>
              <w:spacing w:after="0"/>
              <w:rPr>
                <w:sz w:val="1"/>
                <w:szCs w:val="1"/>
                <w:color w:val="auto"/>
              </w:rPr>
            </w:pPr>
          </w:p>
        </w:tc>
      </w:tr>
      <w:tr>
        <w:trPr>
          <w:trHeight w:val="216"/>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Exploration costs</w:t>
            </w:r>
          </w:p>
        </w:tc>
        <w:tc>
          <w:tcPr>
            <w:tcW w:w="2060" w:type="dxa"/>
            <w:vAlign w:val="bottom"/>
          </w:tcPr>
          <w:p>
            <w:pPr>
              <w:spacing w:after="0"/>
              <w:rPr>
                <w:sz w:val="18"/>
                <w:szCs w:val="18"/>
                <w:color w:val="auto"/>
              </w:rPr>
            </w:pPr>
          </w:p>
        </w:tc>
        <w:tc>
          <w:tcPr>
            <w:tcW w:w="13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54</w:t>
            </w:r>
          </w:p>
        </w:tc>
        <w:tc>
          <w:tcPr>
            <w:tcW w:w="10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693</w:t>
            </w: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w:t>
            </w: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117</w:t>
            </w: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18</w:t>
            </w: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35</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0" w:type="dxa"/>
            <w:vAlign w:val="bottom"/>
          </w:tcPr>
          <w:p>
            <w:pPr>
              <w:spacing w:after="0"/>
              <w:rPr>
                <w:sz w:val="1"/>
                <w:szCs w:val="1"/>
                <w:color w:val="auto"/>
              </w:rPr>
            </w:pPr>
          </w:p>
        </w:tc>
      </w:tr>
      <w:tr>
        <w:trPr>
          <w:trHeight w:val="219"/>
        </w:trPr>
        <w:tc>
          <w:tcPr>
            <w:tcW w:w="198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color w:val="auto"/>
              </w:rPr>
              <w:t>Development costs</w:t>
            </w:r>
          </w:p>
        </w:tc>
        <w:tc>
          <w:tcPr>
            <w:tcW w:w="2060" w:type="dxa"/>
            <w:vAlign w:val="bottom"/>
            <w:tcBorders>
              <w:bottom w:val="single" w:sz="8" w:color="0C479D"/>
            </w:tcBorders>
          </w:tcPr>
          <w:p>
            <w:pPr>
              <w:spacing w:after="0"/>
              <w:rPr>
                <w:sz w:val="19"/>
                <w:szCs w:val="19"/>
                <w:color w:val="auto"/>
              </w:rPr>
            </w:pPr>
          </w:p>
        </w:tc>
        <w:tc>
          <w:tcPr>
            <w:tcW w:w="1380" w:type="dxa"/>
            <w:vAlign w:val="bottom"/>
            <w:tcBorders>
              <w:bottom w:val="single" w:sz="8" w:color="0C479D"/>
            </w:tcBorders>
          </w:tcPr>
          <w:p>
            <w:pPr>
              <w:jc w:val="right"/>
              <w:ind w:right="60"/>
              <w:spacing w:after="0"/>
              <w:rPr>
                <w:sz w:val="20"/>
                <w:szCs w:val="20"/>
                <w:color w:val="auto"/>
              </w:rPr>
            </w:pPr>
            <w:r>
              <w:rPr>
                <w:rFonts w:ascii="Times New Roman" w:cs="Times New Roman" w:eastAsia="Times New Roman" w:hAnsi="Times New Roman"/>
                <w:sz w:val="16"/>
                <w:szCs w:val="16"/>
                <w:color w:val="auto"/>
              </w:rPr>
              <w:t>8,978</w:t>
            </w:r>
          </w:p>
        </w:tc>
        <w:tc>
          <w:tcPr>
            <w:tcW w:w="1000" w:type="dxa"/>
            <w:vAlign w:val="bottom"/>
            <w:tcBorders>
              <w:bottom w:val="single" w:sz="8" w:color="0C479D"/>
            </w:tcBorders>
          </w:tcPr>
          <w:p>
            <w:pPr>
              <w:jc w:val="right"/>
              <w:ind w:right="100"/>
              <w:spacing w:after="0"/>
              <w:rPr>
                <w:sz w:val="20"/>
                <w:szCs w:val="20"/>
                <w:color w:val="auto"/>
              </w:rPr>
            </w:pPr>
            <w:r>
              <w:rPr>
                <w:rFonts w:ascii="Times New Roman" w:cs="Times New Roman" w:eastAsia="Times New Roman" w:hAnsi="Times New Roman"/>
                <w:sz w:val="16"/>
                <w:szCs w:val="16"/>
                <w:color w:val="auto"/>
              </w:rPr>
              <w:t>5,914</w:t>
            </w:r>
          </w:p>
        </w:tc>
        <w:tc>
          <w:tcPr>
            <w:tcW w:w="1000" w:type="dxa"/>
            <w:vAlign w:val="bottom"/>
            <w:tcBorders>
              <w:bottom w:val="single" w:sz="8" w:color="0C479D"/>
            </w:tcBorders>
          </w:tcPr>
          <w:p>
            <w:pPr>
              <w:jc w:val="right"/>
              <w:ind w:right="119"/>
              <w:spacing w:after="0"/>
              <w:rPr>
                <w:sz w:val="20"/>
                <w:szCs w:val="20"/>
                <w:color w:val="auto"/>
              </w:rPr>
            </w:pPr>
            <w:r>
              <w:rPr>
                <w:rFonts w:ascii="Times New Roman" w:cs="Times New Roman" w:eastAsia="Times New Roman" w:hAnsi="Times New Roman"/>
                <w:sz w:val="16"/>
                <w:szCs w:val="16"/>
                <w:color w:val="auto"/>
              </w:rPr>
              <w:t>55</w:t>
            </w:r>
          </w:p>
        </w:tc>
        <w:tc>
          <w:tcPr>
            <w:tcW w:w="100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color w:val="auto"/>
              </w:rPr>
              <w:t>562</w:t>
            </w:r>
          </w:p>
        </w:tc>
        <w:tc>
          <w:tcPr>
            <w:tcW w:w="880" w:type="dxa"/>
            <w:vAlign w:val="bottom"/>
            <w:tcBorders>
              <w:bottom w:val="single" w:sz="8" w:color="0C479D"/>
            </w:tcBorders>
          </w:tcPr>
          <w:p>
            <w:pPr>
              <w:jc w:val="right"/>
              <w:ind w:right="59"/>
              <w:spacing w:after="0"/>
              <w:rPr>
                <w:sz w:val="20"/>
                <w:szCs w:val="20"/>
                <w:color w:val="auto"/>
              </w:rPr>
            </w:pPr>
            <w:r>
              <w:rPr>
                <w:rFonts w:ascii="Times New Roman" w:cs="Times New Roman" w:eastAsia="Times New Roman" w:hAnsi="Times New Roman"/>
                <w:sz w:val="16"/>
                <w:szCs w:val="16"/>
                <w:color w:val="auto"/>
              </w:rPr>
              <w:t>822</w:t>
            </w:r>
          </w:p>
        </w:tc>
        <w:tc>
          <w:tcPr>
            <w:tcW w:w="1060" w:type="dxa"/>
            <w:vAlign w:val="bottom"/>
            <w:tcBorders>
              <w:bottom w:val="single" w:sz="8" w:color="0C479D"/>
            </w:tcBorders>
          </w:tcPr>
          <w:p>
            <w:pPr>
              <w:jc w:val="right"/>
              <w:ind w:right="140"/>
              <w:spacing w:after="0"/>
              <w:rPr>
                <w:sz w:val="20"/>
                <w:szCs w:val="20"/>
                <w:color w:val="auto"/>
              </w:rPr>
            </w:pPr>
            <w:r>
              <w:rPr>
                <w:rFonts w:ascii="Times New Roman" w:cs="Times New Roman" w:eastAsia="Times New Roman" w:hAnsi="Times New Roman"/>
                <w:sz w:val="16"/>
                <w:szCs w:val="16"/>
                <w:color w:val="auto"/>
              </w:rPr>
              <w:t>1,046</w:t>
            </w:r>
          </w:p>
        </w:tc>
        <w:tc>
          <w:tcPr>
            <w:tcW w:w="8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17,377</w:t>
            </w:r>
          </w:p>
        </w:tc>
        <w:tc>
          <w:tcPr>
            <w:tcW w:w="0" w:type="dxa"/>
            <w:vAlign w:val="bottom"/>
          </w:tcPr>
          <w:p>
            <w:pPr>
              <w:spacing w:after="0"/>
              <w:rPr>
                <w:sz w:val="1"/>
                <w:szCs w:val="1"/>
                <w:color w:val="auto"/>
              </w:rPr>
            </w:pPr>
          </w:p>
        </w:tc>
      </w:tr>
      <w:tr>
        <w:trPr>
          <w:trHeight w:val="220"/>
        </w:trPr>
        <w:tc>
          <w:tcPr>
            <w:tcW w:w="4040" w:type="dxa"/>
            <w:vAlign w:val="bottom"/>
            <w:tcBorders>
              <w:bottom w:val="single" w:sz="8" w:color="0C479D"/>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costs incurred for consolidated subsidiaries</w:t>
            </w:r>
          </w:p>
        </w:tc>
        <w:tc>
          <w:tcPr>
            <w:tcW w:w="1380" w:type="dxa"/>
            <w:vAlign w:val="bottom"/>
            <w:tcBorders>
              <w:bottom w:val="single" w:sz="8" w:color="0C479D"/>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11,659</w:t>
            </w:r>
          </w:p>
        </w:tc>
        <w:tc>
          <w:tcPr>
            <w:tcW w:w="1000" w:type="dxa"/>
            <w:vAlign w:val="bottom"/>
            <w:tcBorders>
              <w:bottom w:val="single" w:sz="8" w:color="0C479D"/>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6,607</w:t>
            </w:r>
          </w:p>
        </w:tc>
        <w:tc>
          <w:tcPr>
            <w:tcW w:w="1000" w:type="dxa"/>
            <w:vAlign w:val="bottom"/>
            <w:tcBorders>
              <w:bottom w:val="single" w:sz="8" w:color="0C479D"/>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78</w:t>
            </w:r>
          </w:p>
        </w:tc>
        <w:tc>
          <w:tcPr>
            <w:tcW w:w="100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687</w:t>
            </w:r>
          </w:p>
        </w:tc>
        <w:tc>
          <w:tcPr>
            <w:tcW w:w="880" w:type="dxa"/>
            <w:vAlign w:val="bottom"/>
            <w:tcBorders>
              <w:bottom w:val="single" w:sz="8" w:color="0C479D"/>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840</w:t>
            </w:r>
          </w:p>
        </w:tc>
        <w:tc>
          <w:tcPr>
            <w:tcW w:w="1060" w:type="dxa"/>
            <w:vAlign w:val="bottom"/>
            <w:tcBorders>
              <w:bottom w:val="single" w:sz="8" w:color="0C479D"/>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1,081</w:t>
            </w:r>
          </w:p>
        </w:tc>
        <w:tc>
          <w:tcPr>
            <w:tcW w:w="8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20,952</w:t>
            </w:r>
          </w:p>
        </w:tc>
        <w:tc>
          <w:tcPr>
            <w:tcW w:w="0" w:type="dxa"/>
            <w:vAlign w:val="bottom"/>
          </w:tcPr>
          <w:p>
            <w:pPr>
              <w:spacing w:after="0"/>
              <w:rPr>
                <w:sz w:val="1"/>
                <w:szCs w:val="1"/>
                <w:color w:val="auto"/>
              </w:rPr>
            </w:pPr>
          </w:p>
        </w:tc>
      </w:tr>
      <w:tr>
        <w:trPr>
          <w:trHeight w:val="291"/>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0C479D"/>
              </w:rPr>
              <w:t>Equity Companies</w:t>
            </w:r>
          </w:p>
        </w:tc>
        <w:tc>
          <w:tcPr>
            <w:tcW w:w="2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acquisition costs</w:t>
            </w:r>
          </w:p>
        </w:tc>
        <w:tc>
          <w:tcPr>
            <w:tcW w:w="2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 Proved</w:t>
            </w:r>
          </w:p>
        </w:tc>
        <w:tc>
          <w:tcPr>
            <w:tcW w:w="13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2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 Unproved</w:t>
            </w:r>
          </w:p>
        </w:tc>
        <w:tc>
          <w:tcPr>
            <w:tcW w:w="13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Exploration costs</w:t>
            </w:r>
          </w:p>
        </w:tc>
        <w:tc>
          <w:tcPr>
            <w:tcW w:w="2060" w:type="dxa"/>
            <w:vAlign w:val="bottom"/>
          </w:tcPr>
          <w:p>
            <w:pPr>
              <w:spacing w:after="0"/>
              <w:rPr>
                <w:sz w:val="18"/>
                <w:szCs w:val="18"/>
                <w:color w:val="auto"/>
              </w:rPr>
            </w:pPr>
          </w:p>
        </w:tc>
        <w:tc>
          <w:tcPr>
            <w:tcW w:w="13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198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color w:val="auto"/>
              </w:rPr>
              <w:t>Development costs</w:t>
            </w:r>
          </w:p>
        </w:tc>
        <w:tc>
          <w:tcPr>
            <w:tcW w:w="2060" w:type="dxa"/>
            <w:vAlign w:val="bottom"/>
            <w:tcBorders>
              <w:bottom w:val="single" w:sz="8" w:color="0C479D"/>
            </w:tcBorders>
          </w:tcPr>
          <w:p>
            <w:pPr>
              <w:spacing w:after="0"/>
              <w:rPr>
                <w:sz w:val="19"/>
                <w:szCs w:val="19"/>
                <w:color w:val="auto"/>
              </w:rPr>
            </w:pPr>
          </w:p>
        </w:tc>
        <w:tc>
          <w:tcPr>
            <w:tcW w:w="1380" w:type="dxa"/>
            <w:vAlign w:val="bottom"/>
            <w:tcBorders>
              <w:bottom w:val="single" w:sz="8" w:color="0C479D"/>
            </w:tcBorders>
          </w:tcPr>
          <w:p>
            <w:pPr>
              <w:jc w:val="right"/>
              <w:ind w:right="60"/>
              <w:spacing w:after="0"/>
              <w:rPr>
                <w:sz w:val="20"/>
                <w:szCs w:val="20"/>
                <w:color w:val="auto"/>
              </w:rPr>
            </w:pPr>
            <w:r>
              <w:rPr>
                <w:rFonts w:ascii="Times New Roman" w:cs="Times New Roman" w:eastAsia="Times New Roman" w:hAnsi="Times New Roman"/>
                <w:sz w:val="16"/>
                <w:szCs w:val="16"/>
                <w:color w:val="auto"/>
              </w:rPr>
              <w:t>10</w:t>
            </w:r>
          </w:p>
        </w:tc>
        <w:tc>
          <w:tcPr>
            <w:tcW w:w="1000" w:type="dxa"/>
            <w:vAlign w:val="bottom"/>
            <w:tcBorders>
              <w:bottom w:val="single" w:sz="8" w:color="0C479D"/>
            </w:tcBorders>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0C479D"/>
            </w:tcBorders>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c>
          <w:tcPr>
            <w:tcW w:w="100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color w:val="auto"/>
              </w:rPr>
              <w:t>7</w:t>
            </w:r>
          </w:p>
        </w:tc>
        <w:tc>
          <w:tcPr>
            <w:tcW w:w="880" w:type="dxa"/>
            <w:vAlign w:val="bottom"/>
            <w:tcBorders>
              <w:bottom w:val="single" w:sz="8" w:color="0C479D"/>
            </w:tcBorders>
          </w:tcPr>
          <w:p>
            <w:pPr>
              <w:jc w:val="right"/>
              <w:ind w:right="59"/>
              <w:spacing w:after="0"/>
              <w:rPr>
                <w:sz w:val="20"/>
                <w:szCs w:val="20"/>
                <w:color w:val="auto"/>
              </w:rPr>
            </w:pPr>
            <w:r>
              <w:rPr>
                <w:rFonts w:ascii="Times New Roman" w:cs="Times New Roman" w:eastAsia="Times New Roman" w:hAnsi="Times New Roman"/>
                <w:sz w:val="16"/>
                <w:szCs w:val="16"/>
                <w:color w:val="auto"/>
              </w:rPr>
              <w:t>1,488</w:t>
            </w:r>
          </w:p>
        </w:tc>
        <w:tc>
          <w:tcPr>
            <w:tcW w:w="1060" w:type="dxa"/>
            <w:vAlign w:val="bottom"/>
            <w:tcBorders>
              <w:bottom w:val="single" w:sz="8" w:color="0C479D"/>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1,510</w:t>
            </w:r>
          </w:p>
        </w:tc>
        <w:tc>
          <w:tcPr>
            <w:tcW w:w="0" w:type="dxa"/>
            <w:vAlign w:val="bottom"/>
          </w:tcPr>
          <w:p>
            <w:pPr>
              <w:spacing w:after="0"/>
              <w:rPr>
                <w:sz w:val="1"/>
                <w:szCs w:val="1"/>
                <w:color w:val="auto"/>
              </w:rPr>
            </w:pPr>
          </w:p>
        </w:tc>
      </w:tr>
      <w:tr>
        <w:trPr>
          <w:trHeight w:val="220"/>
        </w:trPr>
        <w:tc>
          <w:tcPr>
            <w:tcW w:w="4040" w:type="dxa"/>
            <w:vAlign w:val="bottom"/>
            <w:tcBorders>
              <w:bottom w:val="single" w:sz="8" w:color="0C479D"/>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costs incurred for equity companies</w:t>
            </w:r>
          </w:p>
        </w:tc>
        <w:tc>
          <w:tcPr>
            <w:tcW w:w="1380" w:type="dxa"/>
            <w:vAlign w:val="bottom"/>
            <w:tcBorders>
              <w:bottom w:val="single" w:sz="8" w:color="0C479D"/>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10</w:t>
            </w:r>
          </w:p>
        </w:tc>
        <w:tc>
          <w:tcPr>
            <w:tcW w:w="1000" w:type="dxa"/>
            <w:vAlign w:val="bottom"/>
            <w:tcBorders>
              <w:bottom w:val="single" w:sz="8" w:color="0C479D"/>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Borders>
              <w:bottom w:val="single" w:sz="8" w:color="0C479D"/>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5</w:t>
            </w:r>
          </w:p>
        </w:tc>
        <w:tc>
          <w:tcPr>
            <w:tcW w:w="100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7</w:t>
            </w:r>
          </w:p>
        </w:tc>
        <w:tc>
          <w:tcPr>
            <w:tcW w:w="880" w:type="dxa"/>
            <w:vAlign w:val="bottom"/>
            <w:tcBorders>
              <w:bottom w:val="single" w:sz="8" w:color="0C479D"/>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1,488</w:t>
            </w:r>
          </w:p>
        </w:tc>
        <w:tc>
          <w:tcPr>
            <w:tcW w:w="1060" w:type="dxa"/>
            <w:vAlign w:val="bottom"/>
            <w:tcBorders>
              <w:bottom w:val="single" w:sz="8" w:color="0C479D"/>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1,510</w:t>
            </w:r>
          </w:p>
        </w:tc>
        <w:tc>
          <w:tcPr>
            <w:tcW w:w="0" w:type="dxa"/>
            <w:vAlign w:val="bottom"/>
          </w:tcPr>
          <w:p>
            <w:pPr>
              <w:spacing w:after="0"/>
              <w:rPr>
                <w:sz w:val="1"/>
                <w:szCs w:val="1"/>
                <w:color w:val="auto"/>
              </w:rPr>
            </w:pPr>
          </w:p>
        </w:tc>
      </w:tr>
      <w:tr>
        <w:trPr>
          <w:trHeight w:val="466"/>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0C479D"/>
              </w:rPr>
              <w:t>During 2022</w:t>
            </w:r>
          </w:p>
        </w:tc>
        <w:tc>
          <w:tcPr>
            <w:tcW w:w="2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0C479D"/>
              </w:rPr>
              <w:t>Consolidated Subsidiaries</w:t>
            </w:r>
          </w:p>
        </w:tc>
        <w:tc>
          <w:tcPr>
            <w:tcW w:w="20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acquisition costs</w:t>
            </w:r>
          </w:p>
        </w:tc>
        <w:tc>
          <w:tcPr>
            <w:tcW w:w="2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 Proved</w:t>
            </w:r>
          </w:p>
        </w:tc>
        <w:tc>
          <w:tcPr>
            <w:tcW w:w="13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10</w:t>
            </w:r>
          </w:p>
        </w:tc>
        <w:tc>
          <w:tcPr>
            <w:tcW w:w="10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11</w:t>
            </w: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151</w:t>
            </w: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32</w:t>
            </w: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2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 Unproved</w:t>
            </w:r>
          </w:p>
        </w:tc>
        <w:tc>
          <w:tcPr>
            <w:tcW w:w="13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19</w:t>
            </w:r>
          </w:p>
        </w:tc>
        <w:tc>
          <w:tcPr>
            <w:tcW w:w="10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7</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6"/>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Exploration costs</w:t>
            </w:r>
          </w:p>
        </w:tc>
        <w:tc>
          <w:tcPr>
            <w:tcW w:w="2060" w:type="dxa"/>
            <w:vAlign w:val="bottom"/>
          </w:tcPr>
          <w:p>
            <w:pPr>
              <w:spacing w:after="0"/>
              <w:rPr>
                <w:sz w:val="18"/>
                <w:szCs w:val="18"/>
                <w:color w:val="auto"/>
              </w:rPr>
            </w:pPr>
          </w:p>
        </w:tc>
        <w:tc>
          <w:tcPr>
            <w:tcW w:w="13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27</w:t>
            </w:r>
          </w:p>
        </w:tc>
        <w:tc>
          <w:tcPr>
            <w:tcW w:w="10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736</w:t>
            </w: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71</w:t>
            </w: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145</w:t>
            </w: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38</w:t>
            </w: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62</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0" w:type="dxa"/>
            <w:vAlign w:val="bottom"/>
          </w:tcPr>
          <w:p>
            <w:pPr>
              <w:spacing w:after="0"/>
              <w:rPr>
                <w:sz w:val="1"/>
                <w:szCs w:val="1"/>
                <w:color w:val="auto"/>
              </w:rPr>
            </w:pPr>
          </w:p>
        </w:tc>
      </w:tr>
      <w:tr>
        <w:trPr>
          <w:trHeight w:val="219"/>
        </w:trPr>
        <w:tc>
          <w:tcPr>
            <w:tcW w:w="198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color w:val="auto"/>
              </w:rPr>
              <w:t>Development costs</w:t>
            </w:r>
          </w:p>
        </w:tc>
        <w:tc>
          <w:tcPr>
            <w:tcW w:w="2060" w:type="dxa"/>
            <w:vAlign w:val="bottom"/>
            <w:tcBorders>
              <w:bottom w:val="single" w:sz="8" w:color="0C479D"/>
            </w:tcBorders>
          </w:tcPr>
          <w:p>
            <w:pPr>
              <w:spacing w:after="0"/>
              <w:rPr>
                <w:sz w:val="19"/>
                <w:szCs w:val="19"/>
                <w:color w:val="auto"/>
              </w:rPr>
            </w:pPr>
          </w:p>
        </w:tc>
        <w:tc>
          <w:tcPr>
            <w:tcW w:w="1380" w:type="dxa"/>
            <w:vAlign w:val="bottom"/>
            <w:tcBorders>
              <w:bottom w:val="single" w:sz="8" w:color="0C479D"/>
            </w:tcBorders>
          </w:tcPr>
          <w:p>
            <w:pPr>
              <w:jc w:val="right"/>
              <w:ind w:right="60"/>
              <w:spacing w:after="0"/>
              <w:rPr>
                <w:sz w:val="20"/>
                <w:szCs w:val="20"/>
                <w:color w:val="auto"/>
              </w:rPr>
            </w:pPr>
            <w:r>
              <w:rPr>
                <w:rFonts w:ascii="Times New Roman" w:cs="Times New Roman" w:eastAsia="Times New Roman" w:hAnsi="Times New Roman"/>
                <w:sz w:val="16"/>
                <w:szCs w:val="16"/>
                <w:color w:val="auto"/>
              </w:rPr>
              <w:t>5,821</w:t>
            </w:r>
          </w:p>
        </w:tc>
        <w:tc>
          <w:tcPr>
            <w:tcW w:w="1000" w:type="dxa"/>
            <w:vAlign w:val="bottom"/>
            <w:tcBorders>
              <w:bottom w:val="single" w:sz="8" w:color="0C479D"/>
            </w:tcBorders>
          </w:tcPr>
          <w:p>
            <w:pPr>
              <w:jc w:val="right"/>
              <w:ind w:right="100"/>
              <w:spacing w:after="0"/>
              <w:rPr>
                <w:sz w:val="20"/>
                <w:szCs w:val="20"/>
                <w:color w:val="auto"/>
              </w:rPr>
            </w:pPr>
            <w:r>
              <w:rPr>
                <w:rFonts w:ascii="Times New Roman" w:cs="Times New Roman" w:eastAsia="Times New Roman" w:hAnsi="Times New Roman"/>
                <w:sz w:val="16"/>
                <w:szCs w:val="16"/>
                <w:color w:val="auto"/>
              </w:rPr>
              <w:t>4,759</w:t>
            </w:r>
          </w:p>
        </w:tc>
        <w:tc>
          <w:tcPr>
            <w:tcW w:w="1000" w:type="dxa"/>
            <w:vAlign w:val="bottom"/>
            <w:tcBorders>
              <w:bottom w:val="single" w:sz="8" w:color="0C479D"/>
            </w:tcBorders>
          </w:tcPr>
          <w:p>
            <w:pPr>
              <w:jc w:val="right"/>
              <w:ind w:right="119"/>
              <w:spacing w:after="0"/>
              <w:rPr>
                <w:sz w:val="20"/>
                <w:szCs w:val="20"/>
                <w:color w:val="auto"/>
              </w:rPr>
            </w:pPr>
            <w:r>
              <w:rPr>
                <w:rFonts w:ascii="Times New Roman" w:cs="Times New Roman" w:eastAsia="Times New Roman" w:hAnsi="Times New Roman"/>
                <w:sz w:val="16"/>
                <w:szCs w:val="16"/>
                <w:color w:val="auto"/>
              </w:rPr>
              <w:t>161</w:t>
            </w:r>
          </w:p>
        </w:tc>
        <w:tc>
          <w:tcPr>
            <w:tcW w:w="100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color w:val="auto"/>
              </w:rPr>
              <w:t>533</w:t>
            </w:r>
          </w:p>
        </w:tc>
        <w:tc>
          <w:tcPr>
            <w:tcW w:w="880" w:type="dxa"/>
            <w:vAlign w:val="bottom"/>
            <w:tcBorders>
              <w:bottom w:val="single" w:sz="8" w:color="0C479D"/>
            </w:tcBorders>
          </w:tcPr>
          <w:p>
            <w:pPr>
              <w:jc w:val="right"/>
              <w:ind w:right="59"/>
              <w:spacing w:after="0"/>
              <w:rPr>
                <w:sz w:val="20"/>
                <w:szCs w:val="20"/>
                <w:color w:val="auto"/>
              </w:rPr>
            </w:pPr>
            <w:r>
              <w:rPr>
                <w:rFonts w:ascii="Times New Roman" w:cs="Times New Roman" w:eastAsia="Times New Roman" w:hAnsi="Times New Roman"/>
                <w:sz w:val="16"/>
                <w:szCs w:val="16"/>
                <w:color w:val="auto"/>
              </w:rPr>
              <w:t>1,490</w:t>
            </w:r>
          </w:p>
        </w:tc>
        <w:tc>
          <w:tcPr>
            <w:tcW w:w="1060" w:type="dxa"/>
            <w:vAlign w:val="bottom"/>
            <w:tcBorders>
              <w:bottom w:val="single" w:sz="8" w:color="0C479D"/>
            </w:tcBorders>
          </w:tcPr>
          <w:p>
            <w:pPr>
              <w:jc w:val="right"/>
              <w:ind w:right="140"/>
              <w:spacing w:after="0"/>
              <w:rPr>
                <w:sz w:val="20"/>
                <w:szCs w:val="20"/>
                <w:color w:val="auto"/>
              </w:rPr>
            </w:pPr>
            <w:r>
              <w:rPr>
                <w:rFonts w:ascii="Times New Roman" w:cs="Times New Roman" w:eastAsia="Times New Roman" w:hAnsi="Times New Roman"/>
                <w:sz w:val="16"/>
                <w:szCs w:val="16"/>
                <w:color w:val="auto"/>
              </w:rPr>
              <w:t>440</w:t>
            </w:r>
          </w:p>
        </w:tc>
        <w:tc>
          <w:tcPr>
            <w:tcW w:w="8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13,204</w:t>
            </w:r>
          </w:p>
        </w:tc>
        <w:tc>
          <w:tcPr>
            <w:tcW w:w="0" w:type="dxa"/>
            <w:vAlign w:val="bottom"/>
          </w:tcPr>
          <w:p>
            <w:pPr>
              <w:spacing w:after="0"/>
              <w:rPr>
                <w:sz w:val="1"/>
                <w:szCs w:val="1"/>
                <w:color w:val="auto"/>
              </w:rPr>
            </w:pPr>
          </w:p>
        </w:tc>
      </w:tr>
      <w:tr>
        <w:trPr>
          <w:trHeight w:val="220"/>
        </w:trPr>
        <w:tc>
          <w:tcPr>
            <w:tcW w:w="4040" w:type="dxa"/>
            <w:vAlign w:val="bottom"/>
            <w:tcBorders>
              <w:bottom w:val="single" w:sz="8" w:color="0C479D"/>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costs incurred for consolidated subsidiaries</w:t>
            </w:r>
          </w:p>
        </w:tc>
        <w:tc>
          <w:tcPr>
            <w:tcW w:w="1380" w:type="dxa"/>
            <w:vAlign w:val="bottom"/>
            <w:tcBorders>
              <w:bottom w:val="single" w:sz="8" w:color="0C479D"/>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5,877</w:t>
            </w:r>
          </w:p>
        </w:tc>
        <w:tc>
          <w:tcPr>
            <w:tcW w:w="1000" w:type="dxa"/>
            <w:vAlign w:val="bottom"/>
            <w:tcBorders>
              <w:bottom w:val="single" w:sz="8" w:color="0C479D"/>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5,506</w:t>
            </w:r>
          </w:p>
        </w:tc>
        <w:tc>
          <w:tcPr>
            <w:tcW w:w="1000" w:type="dxa"/>
            <w:vAlign w:val="bottom"/>
            <w:tcBorders>
              <w:bottom w:val="single" w:sz="8" w:color="0C479D"/>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232</w:t>
            </w:r>
          </w:p>
        </w:tc>
        <w:tc>
          <w:tcPr>
            <w:tcW w:w="100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829</w:t>
            </w:r>
          </w:p>
        </w:tc>
        <w:tc>
          <w:tcPr>
            <w:tcW w:w="880" w:type="dxa"/>
            <w:vAlign w:val="bottom"/>
            <w:tcBorders>
              <w:bottom w:val="single" w:sz="8" w:color="0C479D"/>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1,560</w:t>
            </w:r>
          </w:p>
        </w:tc>
        <w:tc>
          <w:tcPr>
            <w:tcW w:w="1060" w:type="dxa"/>
            <w:vAlign w:val="bottom"/>
            <w:tcBorders>
              <w:bottom w:val="single" w:sz="8" w:color="0C479D"/>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509</w:t>
            </w:r>
          </w:p>
        </w:tc>
        <w:tc>
          <w:tcPr>
            <w:tcW w:w="8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14,513</w:t>
            </w:r>
          </w:p>
        </w:tc>
        <w:tc>
          <w:tcPr>
            <w:tcW w:w="0" w:type="dxa"/>
            <w:vAlign w:val="bottom"/>
          </w:tcPr>
          <w:p>
            <w:pPr>
              <w:spacing w:after="0"/>
              <w:rPr>
                <w:sz w:val="1"/>
                <w:szCs w:val="1"/>
                <w:color w:val="auto"/>
              </w:rPr>
            </w:pPr>
          </w:p>
        </w:tc>
      </w:tr>
      <w:tr>
        <w:trPr>
          <w:trHeight w:val="291"/>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0C479D"/>
              </w:rPr>
              <w:t>Equity Companies</w:t>
            </w:r>
          </w:p>
        </w:tc>
        <w:tc>
          <w:tcPr>
            <w:tcW w:w="2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acquisition costs</w:t>
            </w:r>
          </w:p>
        </w:tc>
        <w:tc>
          <w:tcPr>
            <w:tcW w:w="2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 Proved</w:t>
            </w:r>
          </w:p>
        </w:tc>
        <w:tc>
          <w:tcPr>
            <w:tcW w:w="13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2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 Unproved</w:t>
            </w:r>
          </w:p>
        </w:tc>
        <w:tc>
          <w:tcPr>
            <w:tcW w:w="13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Exploration costs</w:t>
            </w:r>
          </w:p>
        </w:tc>
        <w:tc>
          <w:tcPr>
            <w:tcW w:w="2060" w:type="dxa"/>
            <w:vAlign w:val="bottom"/>
          </w:tcPr>
          <w:p>
            <w:pPr>
              <w:spacing w:after="0"/>
              <w:rPr>
                <w:sz w:val="18"/>
                <w:szCs w:val="18"/>
                <w:color w:val="auto"/>
              </w:rPr>
            </w:pPr>
          </w:p>
        </w:tc>
        <w:tc>
          <w:tcPr>
            <w:tcW w:w="13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9"/>
        </w:trPr>
        <w:tc>
          <w:tcPr>
            <w:tcW w:w="198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color w:val="auto"/>
              </w:rPr>
              <w:t>Development costs</w:t>
            </w:r>
          </w:p>
        </w:tc>
        <w:tc>
          <w:tcPr>
            <w:tcW w:w="2060" w:type="dxa"/>
            <w:vAlign w:val="bottom"/>
            <w:tcBorders>
              <w:bottom w:val="single" w:sz="8" w:color="0C479D"/>
            </w:tcBorders>
          </w:tcPr>
          <w:p>
            <w:pPr>
              <w:spacing w:after="0"/>
              <w:rPr>
                <w:sz w:val="19"/>
                <w:szCs w:val="19"/>
                <w:color w:val="auto"/>
              </w:rPr>
            </w:pPr>
          </w:p>
        </w:tc>
        <w:tc>
          <w:tcPr>
            <w:tcW w:w="1380" w:type="dxa"/>
            <w:vAlign w:val="bottom"/>
            <w:tcBorders>
              <w:bottom w:val="single" w:sz="8" w:color="0C479D"/>
            </w:tcBorders>
          </w:tcPr>
          <w:p>
            <w:pPr>
              <w:jc w:val="right"/>
              <w:ind w:right="60"/>
              <w:spacing w:after="0"/>
              <w:rPr>
                <w:sz w:val="20"/>
                <w:szCs w:val="20"/>
                <w:color w:val="auto"/>
              </w:rPr>
            </w:pPr>
            <w:r>
              <w:rPr>
                <w:rFonts w:ascii="Times New Roman" w:cs="Times New Roman" w:eastAsia="Times New Roman" w:hAnsi="Times New Roman"/>
                <w:sz w:val="16"/>
                <w:szCs w:val="16"/>
                <w:color w:val="auto"/>
              </w:rPr>
              <w:t>95</w:t>
            </w:r>
          </w:p>
        </w:tc>
        <w:tc>
          <w:tcPr>
            <w:tcW w:w="1000" w:type="dxa"/>
            <w:vAlign w:val="bottom"/>
            <w:tcBorders>
              <w:bottom w:val="single" w:sz="8" w:color="0C479D"/>
            </w:tcBorders>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0C479D"/>
            </w:tcBorders>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c>
          <w:tcPr>
            <w:tcW w:w="100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color w:val="auto"/>
              </w:rPr>
              <w:t>22</w:t>
            </w:r>
          </w:p>
        </w:tc>
        <w:tc>
          <w:tcPr>
            <w:tcW w:w="880" w:type="dxa"/>
            <w:vAlign w:val="bottom"/>
            <w:tcBorders>
              <w:bottom w:val="single" w:sz="8" w:color="0C479D"/>
            </w:tcBorders>
          </w:tcPr>
          <w:p>
            <w:pPr>
              <w:jc w:val="right"/>
              <w:ind w:right="59"/>
              <w:spacing w:after="0"/>
              <w:rPr>
                <w:sz w:val="20"/>
                <w:szCs w:val="20"/>
                <w:color w:val="auto"/>
              </w:rPr>
            </w:pPr>
            <w:r>
              <w:rPr>
                <w:rFonts w:ascii="Times New Roman" w:cs="Times New Roman" w:eastAsia="Times New Roman" w:hAnsi="Times New Roman"/>
                <w:sz w:val="16"/>
                <w:szCs w:val="16"/>
                <w:color w:val="auto"/>
              </w:rPr>
              <w:t>1,638</w:t>
            </w:r>
          </w:p>
        </w:tc>
        <w:tc>
          <w:tcPr>
            <w:tcW w:w="1060" w:type="dxa"/>
            <w:vAlign w:val="bottom"/>
            <w:tcBorders>
              <w:bottom w:val="single" w:sz="8" w:color="0C479D"/>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1,768</w:t>
            </w:r>
          </w:p>
        </w:tc>
        <w:tc>
          <w:tcPr>
            <w:tcW w:w="0" w:type="dxa"/>
            <w:vAlign w:val="bottom"/>
          </w:tcPr>
          <w:p>
            <w:pPr>
              <w:spacing w:after="0"/>
              <w:rPr>
                <w:sz w:val="1"/>
                <w:szCs w:val="1"/>
                <w:color w:val="auto"/>
              </w:rPr>
            </w:pPr>
          </w:p>
        </w:tc>
      </w:tr>
      <w:tr>
        <w:trPr>
          <w:trHeight w:val="219"/>
        </w:trPr>
        <w:tc>
          <w:tcPr>
            <w:tcW w:w="4040" w:type="dxa"/>
            <w:vAlign w:val="bottom"/>
            <w:tcBorders>
              <w:bottom w:val="single" w:sz="8" w:color="0C479D"/>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costs incurred for equity companies</w:t>
            </w:r>
          </w:p>
        </w:tc>
        <w:tc>
          <w:tcPr>
            <w:tcW w:w="1380" w:type="dxa"/>
            <w:vAlign w:val="bottom"/>
            <w:tcBorders>
              <w:bottom w:val="single" w:sz="8" w:color="0C479D"/>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95</w:t>
            </w:r>
          </w:p>
        </w:tc>
        <w:tc>
          <w:tcPr>
            <w:tcW w:w="1000" w:type="dxa"/>
            <w:vAlign w:val="bottom"/>
            <w:tcBorders>
              <w:bottom w:val="single" w:sz="8" w:color="0C479D"/>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Borders>
              <w:bottom w:val="single" w:sz="8" w:color="0C479D"/>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14</w:t>
            </w:r>
          </w:p>
        </w:tc>
        <w:tc>
          <w:tcPr>
            <w:tcW w:w="100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22</w:t>
            </w:r>
          </w:p>
        </w:tc>
        <w:tc>
          <w:tcPr>
            <w:tcW w:w="880" w:type="dxa"/>
            <w:vAlign w:val="bottom"/>
            <w:tcBorders>
              <w:bottom w:val="single" w:sz="8" w:color="0C479D"/>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1,638</w:t>
            </w:r>
          </w:p>
        </w:tc>
        <w:tc>
          <w:tcPr>
            <w:tcW w:w="1060" w:type="dxa"/>
            <w:vAlign w:val="bottom"/>
            <w:tcBorders>
              <w:bottom w:val="single" w:sz="8" w:color="0C479D"/>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1,769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color w:val="0C479D"/>
        </w:rPr>
        <w:t>Oil and Gas Reserves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describes changes during the years and balances of proved oil and gas reserves at year-end 2022, 2023, and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definitions used are in accordance with the Securities and Exchange Commission’s Rule 4-10 (a) of Regulation S-X.</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Proved oil and natural gas reserves are those quantities of oil and natural gas, which, by analysis of geoscience and engineering data, can be estimated with reasonable certainty to be economically producible – from a given date forward, from known reservoirs, and under existing economic conditions, operating methods and government regulations – prior to the time at which contracts providing the right to operate expire, unless evidence indicates that renewal is reasonably certain. In some cases, substantial new investments in additional wells and related facilities will be required to recover these proved reserves.</w:t>
      </w:r>
    </w:p>
    <w:p>
      <w:pPr>
        <w:spacing w:after="0" w:line="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the Securities and Exchange Commission’s (SEC) rules, the Corporation’s year-end reserves volumes, as well as the reserves change categories shown in the following tables, are required to be calculated on the basis of average prices during the 12-month period prior to the ending date of the period covered by this report, determined as an unweighted arithmetic average of the first-day-of-the-month price for each month within such period. These reserves quantities are also used in calculating unit-of-production depreciation rates and in calculating the standardized measure of discounted net cash flows.</w:t>
      </w:r>
    </w:p>
    <w:p>
      <w:pPr>
        <w:spacing w:after="0" w:line="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Revisions can include upward or downward changes in previously estimated volumes of proved reserves for existing fields due to the evaluation or re-evaluation of (1) already available geologic, reservoir or production data, (2) new geologic, reservoir or production data or (3) changes in the average of first-of-month oil and natural gas prices and/or costs that are used in the estimation of reserves. Revisions can also result from significant changes in either development strategy or production equipment/facility capacity.</w:t>
      </w:r>
    </w:p>
    <w:p>
      <w:pPr>
        <w:spacing w:after="0" w:line="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Proved reserves include 100 percent of each majority-owned affiliate’s participation in proved reserves and ExxonMobil’s ownership percentage of the proved reserves of equity companies, but exclude royalties and quantities due others. Natural gas reserves exclude the gaseous equivalent of liquids expected to be removed from the natural gas on leases, at field facilities and at gas processing plants. These liquids are included in net proved reserves of crude oil and natural gas liquids.</w:t>
      </w:r>
    </w:p>
    <w:p>
      <w:pPr>
        <w:spacing w:after="0" w:line="5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proved reserves tables, consolidated reserves and equity company reserves are reported separately. However, the Corporation does not view equity company reserves any differently than those from consolidated companies.</w:t>
      </w:r>
    </w:p>
    <w:p>
      <w:pPr>
        <w:spacing w:after="0" w:line="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Reserves reported under production sharing and other nonconcessionary agreements are based on the economic interest as defined by the specific fiscal terms in the agreement. The production and reserves reported for these types of arrangements typically vary inversely with oil and natural gas price changes. As oil and natural gas prices increase, the cash flow and value received by the Company increase; however, the production volumes and reserves required to achieve this value will typically be lower because of the higher prices. When prices decrease, the opposite effect generally occurs. The percentage of total proved reserves (consolidated subsidiaries plus equity companies) at year-end 2024 that were associated with production sharing contract arrangements was 11 percent on an oil-equivalent basis (natural gas is converted to an oil-equivalent basis at six billion cubic feet per one million barrels).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proved developed reserves are those volumes that are expected to be recovered through existing wells with existing equipment and operating methods or in which the cost of the required equipment is relatively minor compared to the cost of a new well. Net proved undeveloped reserves are those volumes that are expected to be recovered from new wells on undrilled acreage, or from existing wells where a relatively major expenditure is required for recompletion.</w:t>
      </w:r>
    </w:p>
    <w:p>
      <w:pPr>
        <w:spacing w:after="0" w:line="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Crude oil, natural gas liquids, and natural gas production quantities shown are the net volumes withdrawn from ExxonMobil’s oil and natural gas reserves. The natural gas quantities differ from the quantities of natural gas delivered for sale by the producing function as reported in the Upstream Operational Results due to volumes consumed or flared and inventory changes.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changes between 2024 year-end proved reserves and 2023 year-end proved reserves include worldwide production of 1.6 billion oil-equivalent barrels (GOEB) and asset sales of 0.1 GOEB primarily in Nigeria. Additions to proved reserves include 2.3 GOEB related to the Pioneer acquisition, 1.9 GOEB from extensions and discoveries primarily in the United States and Guyana, and net revisions of 0.6 GOEB primarily attributed to the United Arab Emirates, United States, Canada, and Guyana.</w:t>
      </w:r>
    </w:p>
    <w:p>
      <w:pPr>
        <w:spacing w:after="0" w:line="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changes between 2023 year-end proved reserves and 2022 year-end proved reserves include worldwide production of 1.4 billion GOEB, asset sales of 0.2 GOEB primarily in the United States, and downward revisions of 0.4 GOEB. Additions to proved reserves include 1.1 GOEB from extensions and discoveries primarily in the United States and Guyana and 0.2 GOEB related to the Denbury acquisition.</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changes between 2022 year-end proved reserves and 2021 year-end proved reserves include worldwide production of 1.4 GOEB, asset sales of 0.4 GOEB primarily in the United States, and other downward revisions of 1.2 GOEB including the impact of the Russia expropriation (0.2 GOEB). Additions to proved reserves include 0.7 GOEB from purchases in Asia and 1.4 GOEB from extensions and discoveries primarily in the United States and Guyana.</w:t>
      </w:r>
    </w:p>
    <w:p>
      <w:pPr>
        <w:sectPr>
          <w:pgSz w:w="11900" w:h="16838" w:orient="portrait"/>
          <w:cols w:equalWidth="0" w:num="1">
            <w:col w:w="11240"/>
          </w:cols>
          <w:pgMar w:left="320" w:top="9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type w:val="continuous"/>
        </w:sectPr>
      </w:pPr>
    </w:p>
    <w:bookmarkStart w:id="127" w:name="page128"/>
    <w:bookmarkEnd w:id="127"/>
    <w:p>
      <w:pPr>
        <w:ind w:left="20"/>
        <w:spacing w:after="0"/>
        <w:rPr>
          <w:sz w:val="20"/>
          <w:szCs w:val="20"/>
          <w:color w:val="auto"/>
        </w:rPr>
      </w:pPr>
      <w:r>
        <w:rPr>
          <w:rFonts w:ascii="Times New Roman" w:cs="Times New Roman" w:eastAsia="Times New Roman" w:hAnsi="Times New Roman"/>
          <w:sz w:val="16"/>
          <w:szCs w:val="16"/>
          <w:b w:val="1"/>
          <w:bCs w:val="1"/>
          <w:color w:val="0C479D"/>
        </w:rPr>
        <w:t>Crude Oil, Natural Gas Liquids, Bitumen and Synthetic Oil Proved Reserves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580" w:type="dxa"/>
            <w:vAlign w:val="bottom"/>
            <w:tcBorders>
              <w:top w:val="single" w:sz="8" w:color="auto"/>
            </w:tcBorders>
            <w:shd w:val="clear" w:color="auto" w:fill="0C479D"/>
          </w:tcPr>
          <w:p>
            <w:pPr>
              <w:spacing w:after="0"/>
              <w:rPr>
                <w:sz w:val="23"/>
                <w:szCs w:val="23"/>
                <w:color w:val="auto"/>
              </w:rPr>
            </w:pPr>
          </w:p>
        </w:tc>
        <w:tc>
          <w:tcPr>
            <w:tcW w:w="760" w:type="dxa"/>
            <w:vAlign w:val="bottom"/>
            <w:tcBorders>
              <w:top w:val="single" w:sz="8" w:color="auto"/>
            </w:tcBorders>
            <w:shd w:val="clear" w:color="auto" w:fill="0C479D"/>
          </w:tcPr>
          <w:p>
            <w:pPr>
              <w:spacing w:after="0"/>
              <w:rPr>
                <w:sz w:val="23"/>
                <w:szCs w:val="23"/>
                <w:color w:val="auto"/>
              </w:rPr>
            </w:pPr>
          </w:p>
        </w:tc>
        <w:tc>
          <w:tcPr>
            <w:tcW w:w="820" w:type="dxa"/>
            <w:vAlign w:val="bottom"/>
            <w:tcBorders>
              <w:top w:val="single" w:sz="8" w:color="auto"/>
            </w:tcBorders>
            <w:shd w:val="clear" w:color="auto" w:fill="0C479D"/>
          </w:tcPr>
          <w:p>
            <w:pPr>
              <w:spacing w:after="0"/>
              <w:rPr>
                <w:sz w:val="23"/>
                <w:szCs w:val="23"/>
                <w:color w:val="auto"/>
              </w:rPr>
            </w:pPr>
          </w:p>
        </w:tc>
        <w:tc>
          <w:tcPr>
            <w:tcW w:w="720" w:type="dxa"/>
            <w:vAlign w:val="bottom"/>
            <w:tcBorders>
              <w:top w:val="single" w:sz="8" w:color="auto"/>
            </w:tcBorders>
            <w:shd w:val="clear" w:color="auto" w:fill="0C479D"/>
          </w:tcPr>
          <w:p>
            <w:pPr>
              <w:spacing w:after="0"/>
              <w:rPr>
                <w:sz w:val="23"/>
                <w:szCs w:val="23"/>
                <w:color w:val="auto"/>
              </w:rPr>
            </w:pPr>
          </w:p>
        </w:tc>
        <w:tc>
          <w:tcPr>
            <w:tcW w:w="840" w:type="dxa"/>
            <w:vAlign w:val="bottom"/>
            <w:tcBorders>
              <w:top w:val="single" w:sz="8" w:color="auto"/>
            </w:tcBorders>
            <w:vMerge w:val="restart"/>
            <w:shd w:val="clear" w:color="auto" w:fill="0C479D"/>
          </w:tcPr>
          <w:p>
            <w:pPr>
              <w:jc w:val="right"/>
              <w:ind w:right="100"/>
              <w:spacing w:after="0"/>
              <w:rPr>
                <w:sz w:val="20"/>
                <w:szCs w:val="20"/>
                <w:color w:val="auto"/>
              </w:rPr>
            </w:pPr>
            <w:r>
              <w:rPr>
                <w:rFonts w:ascii="Times New Roman" w:cs="Times New Roman" w:eastAsia="Times New Roman" w:hAnsi="Times New Roman"/>
                <w:sz w:val="14"/>
                <w:szCs w:val="14"/>
                <w:color w:val="FFFFFF"/>
              </w:rPr>
              <w:t>Crude Oil</w:t>
            </w:r>
          </w:p>
        </w:tc>
        <w:tc>
          <w:tcPr>
            <w:tcW w:w="700" w:type="dxa"/>
            <w:vAlign w:val="bottom"/>
            <w:tcBorders>
              <w:top w:val="single" w:sz="8" w:color="auto"/>
            </w:tcBorders>
            <w:shd w:val="clear" w:color="auto" w:fill="0C479D"/>
          </w:tcPr>
          <w:p>
            <w:pPr>
              <w:spacing w:after="0"/>
              <w:rPr>
                <w:sz w:val="23"/>
                <w:szCs w:val="23"/>
                <w:color w:val="auto"/>
              </w:rPr>
            </w:pPr>
          </w:p>
        </w:tc>
        <w:tc>
          <w:tcPr>
            <w:tcW w:w="880" w:type="dxa"/>
            <w:vAlign w:val="bottom"/>
            <w:tcBorders>
              <w:top w:val="single" w:sz="8" w:color="auto"/>
            </w:tcBorders>
            <w:shd w:val="clear" w:color="auto" w:fill="0C479D"/>
          </w:tcPr>
          <w:p>
            <w:pPr>
              <w:spacing w:after="0"/>
              <w:rPr>
                <w:sz w:val="23"/>
                <w:szCs w:val="23"/>
                <w:color w:val="auto"/>
              </w:rPr>
            </w:pPr>
          </w:p>
        </w:tc>
        <w:tc>
          <w:tcPr>
            <w:tcW w:w="700" w:type="dxa"/>
            <w:vAlign w:val="bottom"/>
            <w:tcBorders>
              <w:top w:val="single" w:sz="8" w:color="auto"/>
            </w:tcBorders>
            <w:shd w:val="clear" w:color="auto" w:fill="0C479D"/>
          </w:tcPr>
          <w:p>
            <w:pPr>
              <w:spacing w:after="0"/>
              <w:rPr>
                <w:sz w:val="23"/>
                <w:szCs w:val="23"/>
                <w:color w:val="auto"/>
              </w:rPr>
            </w:pPr>
          </w:p>
        </w:tc>
        <w:tc>
          <w:tcPr>
            <w:tcW w:w="960" w:type="dxa"/>
            <w:vAlign w:val="bottom"/>
            <w:tcBorders>
              <w:top w:val="single" w:sz="8" w:color="auto"/>
            </w:tcBorders>
            <w:shd w:val="clear" w:color="auto" w:fill="0C479D"/>
          </w:tcPr>
          <w:p>
            <w:pPr>
              <w:jc w:val="center"/>
              <w:spacing w:after="0"/>
              <w:rPr>
                <w:sz w:val="20"/>
                <w:szCs w:val="20"/>
                <w:color w:val="auto"/>
              </w:rPr>
            </w:pPr>
            <w:r>
              <w:rPr>
                <w:rFonts w:ascii="Times New Roman" w:cs="Times New Roman" w:eastAsia="Times New Roman" w:hAnsi="Times New Roman"/>
                <w:sz w:val="14"/>
                <w:szCs w:val="14"/>
                <w:color w:val="FFFFFF"/>
              </w:rPr>
              <w:t>Natural Gas</w:t>
            </w:r>
          </w:p>
        </w:tc>
        <w:tc>
          <w:tcPr>
            <w:tcW w:w="820" w:type="dxa"/>
            <w:vAlign w:val="bottom"/>
            <w:tcBorders>
              <w:top w:val="single" w:sz="8" w:color="auto"/>
            </w:tcBorders>
            <w:vMerge w:val="restart"/>
            <w:shd w:val="clear" w:color="auto" w:fill="0C479D"/>
          </w:tcPr>
          <w:p>
            <w:pPr>
              <w:jc w:val="center"/>
              <w:ind w:right="1"/>
              <w:spacing w:after="0"/>
              <w:rPr>
                <w:sz w:val="20"/>
                <w:szCs w:val="20"/>
                <w:color w:val="auto"/>
              </w:rPr>
            </w:pPr>
            <w:r>
              <w:rPr>
                <w:rFonts w:ascii="Times New Roman" w:cs="Times New Roman" w:eastAsia="Times New Roman" w:hAnsi="Times New Roman"/>
                <w:sz w:val="14"/>
                <w:szCs w:val="14"/>
                <w:color w:val="FFFFFF"/>
              </w:rPr>
              <w:t>Bitumen</w:t>
            </w:r>
          </w:p>
        </w:tc>
        <w:tc>
          <w:tcPr>
            <w:tcW w:w="820" w:type="dxa"/>
            <w:vAlign w:val="bottom"/>
            <w:tcBorders>
              <w:top w:val="single" w:sz="8" w:color="auto"/>
            </w:tcBorders>
            <w:shd w:val="clear" w:color="auto" w:fill="0C479D"/>
          </w:tcPr>
          <w:p>
            <w:pPr>
              <w:jc w:val="center"/>
              <w:ind w:right="1"/>
              <w:spacing w:after="0"/>
              <w:rPr>
                <w:sz w:val="20"/>
                <w:szCs w:val="20"/>
                <w:color w:val="auto"/>
              </w:rPr>
            </w:pPr>
            <w:r>
              <w:rPr>
                <w:rFonts w:ascii="Times New Roman" w:cs="Times New Roman" w:eastAsia="Times New Roman" w:hAnsi="Times New Roman"/>
                <w:sz w:val="14"/>
                <w:szCs w:val="14"/>
                <w:color w:val="FFFFFF"/>
              </w:rPr>
              <w:t>Synthetic</w:t>
            </w:r>
          </w:p>
        </w:tc>
        <w:tc>
          <w:tcPr>
            <w:tcW w:w="640" w:type="dxa"/>
            <w:vAlign w:val="bottom"/>
            <w:tcBorders>
              <w:top w:val="single" w:sz="8" w:color="auto"/>
            </w:tcBorders>
            <w:shd w:val="clear" w:color="auto" w:fill="0C479D"/>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2580" w:type="dxa"/>
            <w:vAlign w:val="bottom"/>
            <w:shd w:val="clear" w:color="auto" w:fill="0C479D"/>
          </w:tcPr>
          <w:p>
            <w:pPr>
              <w:spacing w:after="0"/>
              <w:rPr>
                <w:sz w:val="16"/>
                <w:szCs w:val="16"/>
                <w:color w:val="auto"/>
              </w:rPr>
            </w:pPr>
          </w:p>
        </w:tc>
        <w:tc>
          <w:tcPr>
            <w:tcW w:w="760" w:type="dxa"/>
            <w:vAlign w:val="bottom"/>
            <w:shd w:val="clear" w:color="auto" w:fill="0C479D"/>
          </w:tcPr>
          <w:p>
            <w:pPr>
              <w:spacing w:after="0"/>
              <w:rPr>
                <w:sz w:val="16"/>
                <w:szCs w:val="16"/>
                <w:color w:val="auto"/>
              </w:rPr>
            </w:pPr>
          </w:p>
        </w:tc>
        <w:tc>
          <w:tcPr>
            <w:tcW w:w="820" w:type="dxa"/>
            <w:vAlign w:val="bottom"/>
            <w:shd w:val="clear" w:color="auto" w:fill="0C479D"/>
          </w:tcPr>
          <w:p>
            <w:pPr>
              <w:spacing w:after="0"/>
              <w:rPr>
                <w:sz w:val="16"/>
                <w:szCs w:val="16"/>
                <w:color w:val="auto"/>
              </w:rPr>
            </w:pPr>
          </w:p>
        </w:tc>
        <w:tc>
          <w:tcPr>
            <w:tcW w:w="720" w:type="dxa"/>
            <w:vAlign w:val="bottom"/>
            <w:shd w:val="clear" w:color="auto" w:fill="0C479D"/>
          </w:tcPr>
          <w:p>
            <w:pPr>
              <w:spacing w:after="0"/>
              <w:rPr>
                <w:sz w:val="16"/>
                <w:szCs w:val="16"/>
                <w:color w:val="auto"/>
              </w:rPr>
            </w:pPr>
          </w:p>
        </w:tc>
        <w:tc>
          <w:tcPr>
            <w:tcW w:w="840" w:type="dxa"/>
            <w:vAlign w:val="bottom"/>
            <w:vMerge w:val="continue"/>
            <w:shd w:val="clear" w:color="auto" w:fill="0C479D"/>
          </w:tcPr>
          <w:p>
            <w:pPr>
              <w:spacing w:after="0"/>
              <w:rPr>
                <w:sz w:val="16"/>
                <w:szCs w:val="16"/>
                <w:color w:val="auto"/>
              </w:rPr>
            </w:pPr>
          </w:p>
        </w:tc>
        <w:tc>
          <w:tcPr>
            <w:tcW w:w="700" w:type="dxa"/>
            <w:vAlign w:val="bottom"/>
            <w:shd w:val="clear" w:color="auto" w:fill="0C479D"/>
          </w:tcPr>
          <w:p>
            <w:pPr>
              <w:spacing w:after="0"/>
              <w:rPr>
                <w:sz w:val="16"/>
                <w:szCs w:val="16"/>
                <w:color w:val="auto"/>
              </w:rPr>
            </w:pPr>
          </w:p>
        </w:tc>
        <w:tc>
          <w:tcPr>
            <w:tcW w:w="880" w:type="dxa"/>
            <w:vAlign w:val="bottom"/>
            <w:shd w:val="clear" w:color="auto" w:fill="0C479D"/>
          </w:tcPr>
          <w:p>
            <w:pPr>
              <w:spacing w:after="0"/>
              <w:rPr>
                <w:sz w:val="16"/>
                <w:szCs w:val="16"/>
                <w:color w:val="auto"/>
              </w:rPr>
            </w:pPr>
          </w:p>
        </w:tc>
        <w:tc>
          <w:tcPr>
            <w:tcW w:w="700" w:type="dxa"/>
            <w:vAlign w:val="bottom"/>
            <w:shd w:val="clear" w:color="auto" w:fill="0C479D"/>
          </w:tcPr>
          <w:p>
            <w:pPr>
              <w:spacing w:after="0"/>
              <w:rPr>
                <w:sz w:val="16"/>
                <w:szCs w:val="16"/>
                <w:color w:val="auto"/>
              </w:rPr>
            </w:pPr>
          </w:p>
        </w:tc>
        <w:tc>
          <w:tcPr>
            <w:tcW w:w="96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color w:val="FFFFFF"/>
              </w:rPr>
              <w:t>Liquids</w:t>
            </w:r>
          </w:p>
        </w:tc>
        <w:tc>
          <w:tcPr>
            <w:tcW w:w="820" w:type="dxa"/>
            <w:vAlign w:val="bottom"/>
            <w:vMerge w:val="continue"/>
            <w:shd w:val="clear" w:color="auto" w:fill="0C479D"/>
          </w:tcPr>
          <w:p>
            <w:pPr>
              <w:spacing w:after="0"/>
              <w:rPr>
                <w:sz w:val="16"/>
                <w:szCs w:val="16"/>
                <w:color w:val="auto"/>
              </w:rPr>
            </w:pPr>
          </w:p>
        </w:tc>
        <w:tc>
          <w:tcPr>
            <w:tcW w:w="820" w:type="dxa"/>
            <w:vAlign w:val="bottom"/>
            <w:shd w:val="clear" w:color="auto" w:fill="0C479D"/>
          </w:tcPr>
          <w:p>
            <w:pPr>
              <w:jc w:val="center"/>
              <w:ind w:right="1"/>
              <w:spacing w:after="0"/>
              <w:rPr>
                <w:sz w:val="20"/>
                <w:szCs w:val="20"/>
                <w:color w:val="auto"/>
              </w:rPr>
            </w:pPr>
            <w:r>
              <w:rPr>
                <w:rFonts w:ascii="Times New Roman" w:cs="Times New Roman" w:eastAsia="Times New Roman" w:hAnsi="Times New Roman"/>
                <w:sz w:val="14"/>
                <w:szCs w:val="14"/>
                <w:color w:val="FFFFFF"/>
              </w:rPr>
              <w:t>Oil</w:t>
            </w:r>
          </w:p>
        </w:tc>
        <w:tc>
          <w:tcPr>
            <w:tcW w:w="640" w:type="dxa"/>
            <w:vAlign w:val="bottom"/>
            <w:shd w:val="clear" w:color="auto" w:fill="0C479D"/>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580" w:type="dxa"/>
            <w:vAlign w:val="bottom"/>
            <w:shd w:val="clear" w:color="auto" w:fill="0C479D"/>
          </w:tcPr>
          <w:p>
            <w:pPr>
              <w:spacing w:after="0"/>
              <w:rPr>
                <w:sz w:val="14"/>
                <w:szCs w:val="14"/>
                <w:color w:val="auto"/>
              </w:rPr>
            </w:pPr>
          </w:p>
        </w:tc>
        <w:tc>
          <w:tcPr>
            <w:tcW w:w="760" w:type="dxa"/>
            <w:vAlign w:val="bottom"/>
            <w:vMerge w:val="restart"/>
            <w:shd w:val="clear" w:color="auto" w:fill="0C479D"/>
          </w:tcPr>
          <w:p>
            <w:pPr>
              <w:jc w:val="right"/>
              <w:ind w:right="140"/>
              <w:spacing w:after="0"/>
              <w:rPr>
                <w:sz w:val="20"/>
                <w:szCs w:val="20"/>
                <w:color w:val="auto"/>
              </w:rPr>
            </w:pPr>
            <w:r>
              <w:rPr>
                <w:rFonts w:ascii="Times New Roman" w:cs="Times New Roman" w:eastAsia="Times New Roman" w:hAnsi="Times New Roman"/>
                <w:sz w:val="14"/>
                <w:szCs w:val="14"/>
                <w:color w:val="FFFFFF"/>
              </w:rPr>
              <w:t>United</w:t>
            </w:r>
          </w:p>
        </w:tc>
        <w:tc>
          <w:tcPr>
            <w:tcW w:w="820" w:type="dxa"/>
            <w:vAlign w:val="bottom"/>
            <w:shd w:val="clear" w:color="auto" w:fill="0C479D"/>
          </w:tcPr>
          <w:p>
            <w:pPr>
              <w:jc w:val="center"/>
              <w:ind w:right="1"/>
              <w:spacing w:after="0"/>
              <w:rPr>
                <w:sz w:val="20"/>
                <w:szCs w:val="20"/>
                <w:color w:val="auto"/>
              </w:rPr>
            </w:pPr>
            <w:r>
              <w:rPr>
                <w:rFonts w:ascii="Times New Roman" w:cs="Times New Roman" w:eastAsia="Times New Roman" w:hAnsi="Times New Roman"/>
                <w:sz w:val="14"/>
                <w:szCs w:val="14"/>
                <w:color w:val="FFFFFF"/>
              </w:rPr>
              <w:t>Canada/</w:t>
            </w:r>
          </w:p>
        </w:tc>
        <w:tc>
          <w:tcPr>
            <w:tcW w:w="720" w:type="dxa"/>
            <w:vAlign w:val="bottom"/>
            <w:shd w:val="clear" w:color="auto" w:fill="0C479D"/>
          </w:tcPr>
          <w:p>
            <w:pPr>
              <w:spacing w:after="0"/>
              <w:rPr>
                <w:sz w:val="14"/>
                <w:szCs w:val="14"/>
                <w:color w:val="auto"/>
              </w:rPr>
            </w:pPr>
          </w:p>
        </w:tc>
        <w:tc>
          <w:tcPr>
            <w:tcW w:w="840" w:type="dxa"/>
            <w:vAlign w:val="bottom"/>
            <w:shd w:val="clear" w:color="auto" w:fill="0C479D"/>
          </w:tcPr>
          <w:p>
            <w:pPr>
              <w:spacing w:after="0"/>
              <w:rPr>
                <w:sz w:val="14"/>
                <w:szCs w:val="14"/>
                <w:color w:val="auto"/>
              </w:rPr>
            </w:pPr>
          </w:p>
        </w:tc>
        <w:tc>
          <w:tcPr>
            <w:tcW w:w="700" w:type="dxa"/>
            <w:vAlign w:val="bottom"/>
            <w:shd w:val="clear" w:color="auto" w:fill="0C479D"/>
          </w:tcPr>
          <w:p>
            <w:pPr>
              <w:spacing w:after="0"/>
              <w:rPr>
                <w:sz w:val="14"/>
                <w:szCs w:val="14"/>
                <w:color w:val="auto"/>
              </w:rPr>
            </w:pPr>
          </w:p>
        </w:tc>
        <w:tc>
          <w:tcPr>
            <w:tcW w:w="880" w:type="dxa"/>
            <w:vAlign w:val="bottom"/>
            <w:vMerge w:val="restart"/>
            <w:shd w:val="clear" w:color="auto" w:fill="0C479D"/>
          </w:tcPr>
          <w:p>
            <w:pPr>
              <w:jc w:val="right"/>
              <w:ind w:right="140"/>
              <w:spacing w:after="0"/>
              <w:rPr>
                <w:sz w:val="20"/>
                <w:szCs w:val="20"/>
                <w:color w:val="auto"/>
              </w:rPr>
            </w:pPr>
            <w:r>
              <w:rPr>
                <w:rFonts w:ascii="Times New Roman" w:cs="Times New Roman" w:eastAsia="Times New Roman" w:hAnsi="Times New Roman"/>
                <w:sz w:val="14"/>
                <w:szCs w:val="14"/>
                <w:color w:val="FFFFFF"/>
              </w:rPr>
              <w:t>Australia/</w:t>
            </w:r>
          </w:p>
        </w:tc>
        <w:tc>
          <w:tcPr>
            <w:tcW w:w="700" w:type="dxa"/>
            <w:vAlign w:val="bottom"/>
            <w:shd w:val="clear" w:color="auto" w:fill="0C479D"/>
          </w:tcPr>
          <w:p>
            <w:pPr>
              <w:spacing w:after="0"/>
              <w:rPr>
                <w:sz w:val="14"/>
                <w:szCs w:val="14"/>
                <w:color w:val="auto"/>
              </w:rPr>
            </w:pPr>
          </w:p>
        </w:tc>
        <w:tc>
          <w:tcPr>
            <w:tcW w:w="960" w:type="dxa"/>
            <w:vAlign w:val="bottom"/>
            <w:shd w:val="clear" w:color="auto" w:fill="0C479D"/>
          </w:tcPr>
          <w:p>
            <w:pPr>
              <w:spacing w:after="0"/>
              <w:rPr>
                <w:sz w:val="14"/>
                <w:szCs w:val="14"/>
                <w:color w:val="auto"/>
              </w:rPr>
            </w:pPr>
          </w:p>
        </w:tc>
        <w:tc>
          <w:tcPr>
            <w:tcW w:w="820" w:type="dxa"/>
            <w:vAlign w:val="bottom"/>
            <w:shd w:val="clear" w:color="auto" w:fill="0C479D"/>
          </w:tcPr>
          <w:p>
            <w:pPr>
              <w:jc w:val="center"/>
              <w:ind w:right="1"/>
              <w:spacing w:after="0"/>
              <w:rPr>
                <w:sz w:val="20"/>
                <w:szCs w:val="20"/>
                <w:color w:val="auto"/>
              </w:rPr>
            </w:pPr>
            <w:r>
              <w:rPr>
                <w:rFonts w:ascii="Times New Roman" w:cs="Times New Roman" w:eastAsia="Times New Roman" w:hAnsi="Times New Roman"/>
                <w:sz w:val="14"/>
                <w:szCs w:val="14"/>
                <w:color w:val="FFFFFF"/>
              </w:rPr>
              <w:t>Canada/</w:t>
            </w:r>
          </w:p>
        </w:tc>
        <w:tc>
          <w:tcPr>
            <w:tcW w:w="820" w:type="dxa"/>
            <w:vAlign w:val="bottom"/>
            <w:shd w:val="clear" w:color="auto" w:fill="0C479D"/>
          </w:tcPr>
          <w:p>
            <w:pPr>
              <w:jc w:val="center"/>
              <w:ind w:right="1"/>
              <w:spacing w:after="0"/>
              <w:rPr>
                <w:sz w:val="20"/>
                <w:szCs w:val="20"/>
                <w:color w:val="auto"/>
              </w:rPr>
            </w:pPr>
            <w:r>
              <w:rPr>
                <w:rFonts w:ascii="Times New Roman" w:cs="Times New Roman" w:eastAsia="Times New Roman" w:hAnsi="Times New Roman"/>
                <w:sz w:val="14"/>
                <w:szCs w:val="14"/>
                <w:color w:val="FFFFFF"/>
              </w:rPr>
              <w:t>Canada/</w:t>
            </w:r>
          </w:p>
        </w:tc>
        <w:tc>
          <w:tcPr>
            <w:tcW w:w="640" w:type="dxa"/>
            <w:vAlign w:val="bottom"/>
            <w:shd w:val="clear" w:color="auto" w:fill="0C479D"/>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80" w:type="dxa"/>
            <w:vAlign w:val="bottom"/>
            <w:vMerge w:val="restart"/>
            <w:shd w:val="clear" w:color="auto" w:fill="0C479D"/>
          </w:tcPr>
          <w:p>
            <w:pPr>
              <w:ind w:left="60"/>
              <w:spacing w:after="0"/>
              <w:rPr>
                <w:sz w:val="20"/>
                <w:szCs w:val="20"/>
                <w:color w:val="auto"/>
              </w:rPr>
            </w:pPr>
            <w:r>
              <w:rPr>
                <w:rFonts w:ascii="Times New Roman" w:cs="Times New Roman" w:eastAsia="Times New Roman" w:hAnsi="Times New Roman"/>
                <w:sz w:val="14"/>
                <w:szCs w:val="14"/>
                <w:i w:val="1"/>
                <w:iCs w:val="1"/>
                <w:color w:val="FFFFFF"/>
              </w:rPr>
              <w:t>(millions of barrels)</w:t>
            </w:r>
          </w:p>
        </w:tc>
        <w:tc>
          <w:tcPr>
            <w:tcW w:w="760" w:type="dxa"/>
            <w:vAlign w:val="bottom"/>
            <w:vMerge w:val="continue"/>
            <w:shd w:val="clear" w:color="auto" w:fill="0C479D"/>
          </w:tcPr>
          <w:p>
            <w:pPr>
              <w:spacing w:after="0"/>
              <w:rPr>
                <w:sz w:val="12"/>
                <w:szCs w:val="12"/>
                <w:color w:val="auto"/>
              </w:rPr>
            </w:pPr>
          </w:p>
        </w:tc>
        <w:tc>
          <w:tcPr>
            <w:tcW w:w="820" w:type="dxa"/>
            <w:vAlign w:val="bottom"/>
            <w:shd w:val="clear" w:color="auto" w:fill="0C479D"/>
          </w:tcPr>
          <w:p>
            <w:pPr>
              <w:jc w:val="center"/>
              <w:ind w:right="1"/>
              <w:spacing w:after="0" w:line="149" w:lineRule="exact"/>
              <w:rPr>
                <w:sz w:val="20"/>
                <w:szCs w:val="20"/>
                <w:color w:val="auto"/>
              </w:rPr>
            </w:pPr>
            <w:r>
              <w:rPr>
                <w:rFonts w:ascii="Times New Roman" w:cs="Times New Roman" w:eastAsia="Times New Roman" w:hAnsi="Times New Roman"/>
                <w:sz w:val="14"/>
                <w:szCs w:val="14"/>
                <w:color w:val="FFFFFF"/>
              </w:rPr>
              <w:t>Other</w:t>
            </w:r>
          </w:p>
        </w:tc>
        <w:tc>
          <w:tcPr>
            <w:tcW w:w="720" w:type="dxa"/>
            <w:vAlign w:val="bottom"/>
            <w:vMerge w:val="restart"/>
            <w:shd w:val="clear" w:color="auto" w:fill="0C479D"/>
          </w:tcPr>
          <w:p>
            <w:pPr>
              <w:jc w:val="right"/>
              <w:ind w:right="100"/>
              <w:spacing w:after="0"/>
              <w:rPr>
                <w:sz w:val="20"/>
                <w:szCs w:val="20"/>
                <w:color w:val="auto"/>
              </w:rPr>
            </w:pPr>
            <w:r>
              <w:rPr>
                <w:rFonts w:ascii="Times New Roman" w:cs="Times New Roman" w:eastAsia="Times New Roman" w:hAnsi="Times New Roman"/>
                <w:sz w:val="14"/>
                <w:szCs w:val="14"/>
                <w:color w:val="FFFFFF"/>
              </w:rPr>
              <w:t>Europe</w:t>
            </w:r>
          </w:p>
        </w:tc>
        <w:tc>
          <w:tcPr>
            <w:tcW w:w="840" w:type="dxa"/>
            <w:vAlign w:val="bottom"/>
            <w:vMerge w:val="restart"/>
            <w:shd w:val="clear" w:color="auto" w:fill="0C479D"/>
          </w:tcPr>
          <w:p>
            <w:pPr>
              <w:jc w:val="right"/>
              <w:ind w:right="220"/>
              <w:spacing w:after="0"/>
              <w:rPr>
                <w:sz w:val="20"/>
                <w:szCs w:val="20"/>
                <w:color w:val="auto"/>
              </w:rPr>
            </w:pPr>
            <w:r>
              <w:rPr>
                <w:rFonts w:ascii="Times New Roman" w:cs="Times New Roman" w:eastAsia="Times New Roman" w:hAnsi="Times New Roman"/>
                <w:sz w:val="14"/>
                <w:szCs w:val="14"/>
                <w:color w:val="FFFFFF"/>
              </w:rPr>
              <w:t>Africa</w:t>
            </w:r>
          </w:p>
        </w:tc>
        <w:tc>
          <w:tcPr>
            <w:tcW w:w="700" w:type="dxa"/>
            <w:vAlign w:val="bottom"/>
            <w:vMerge w:val="restart"/>
            <w:shd w:val="clear" w:color="auto" w:fill="0C479D"/>
          </w:tcPr>
          <w:p>
            <w:pPr>
              <w:jc w:val="right"/>
              <w:ind w:right="200"/>
              <w:spacing w:after="0"/>
              <w:rPr>
                <w:sz w:val="20"/>
                <w:szCs w:val="20"/>
                <w:color w:val="auto"/>
              </w:rPr>
            </w:pPr>
            <w:r>
              <w:rPr>
                <w:rFonts w:ascii="Times New Roman" w:cs="Times New Roman" w:eastAsia="Times New Roman" w:hAnsi="Times New Roman"/>
                <w:sz w:val="14"/>
                <w:szCs w:val="14"/>
                <w:color w:val="FFFFFF"/>
              </w:rPr>
              <w:t>Asia</w:t>
            </w:r>
          </w:p>
        </w:tc>
        <w:tc>
          <w:tcPr>
            <w:tcW w:w="880" w:type="dxa"/>
            <w:vAlign w:val="bottom"/>
            <w:vMerge w:val="continue"/>
            <w:shd w:val="clear" w:color="auto" w:fill="0C479D"/>
          </w:tcPr>
          <w:p>
            <w:pPr>
              <w:spacing w:after="0"/>
              <w:rPr>
                <w:sz w:val="12"/>
                <w:szCs w:val="12"/>
                <w:color w:val="auto"/>
              </w:rPr>
            </w:pPr>
          </w:p>
        </w:tc>
        <w:tc>
          <w:tcPr>
            <w:tcW w:w="700" w:type="dxa"/>
            <w:vAlign w:val="bottom"/>
            <w:vMerge w:val="restart"/>
            <w:shd w:val="clear" w:color="auto" w:fill="0C479D"/>
          </w:tcPr>
          <w:p>
            <w:pPr>
              <w:jc w:val="right"/>
              <w:ind w:right="180"/>
              <w:spacing w:after="0"/>
              <w:rPr>
                <w:sz w:val="20"/>
                <w:szCs w:val="20"/>
                <w:color w:val="auto"/>
              </w:rPr>
            </w:pPr>
            <w:r>
              <w:rPr>
                <w:rFonts w:ascii="Times New Roman" w:cs="Times New Roman" w:eastAsia="Times New Roman" w:hAnsi="Times New Roman"/>
                <w:sz w:val="14"/>
                <w:szCs w:val="14"/>
                <w:color w:val="FFFFFF"/>
              </w:rPr>
              <w:t>Total</w:t>
            </w:r>
          </w:p>
        </w:tc>
        <w:tc>
          <w:tcPr>
            <w:tcW w:w="960" w:type="dxa"/>
            <w:vAlign w:val="bottom"/>
            <w:vMerge w:val="restart"/>
            <w:shd w:val="clear" w:color="auto" w:fill="0C479D"/>
          </w:tcPr>
          <w:p>
            <w:pPr>
              <w:jc w:val="center"/>
              <w:spacing w:after="0"/>
              <w:rPr>
                <w:sz w:val="20"/>
                <w:szCs w:val="20"/>
                <w:color w:val="auto"/>
              </w:rPr>
            </w:pPr>
            <w:r>
              <w:rPr>
                <w:rFonts w:ascii="Times New Roman" w:cs="Times New Roman" w:eastAsia="Times New Roman" w:hAnsi="Times New Roman"/>
                <w:sz w:val="14"/>
                <w:szCs w:val="14"/>
                <w:color w:val="FFFFFF"/>
              </w:rPr>
              <w:t>Worldwide</w:t>
            </w:r>
          </w:p>
        </w:tc>
        <w:tc>
          <w:tcPr>
            <w:tcW w:w="820" w:type="dxa"/>
            <w:vAlign w:val="bottom"/>
            <w:shd w:val="clear" w:color="auto" w:fill="0C479D"/>
          </w:tcPr>
          <w:p>
            <w:pPr>
              <w:jc w:val="center"/>
              <w:ind w:right="1"/>
              <w:spacing w:after="0" w:line="149" w:lineRule="exact"/>
              <w:rPr>
                <w:sz w:val="20"/>
                <w:szCs w:val="20"/>
                <w:color w:val="auto"/>
              </w:rPr>
            </w:pPr>
            <w:r>
              <w:rPr>
                <w:rFonts w:ascii="Times New Roman" w:cs="Times New Roman" w:eastAsia="Times New Roman" w:hAnsi="Times New Roman"/>
                <w:sz w:val="14"/>
                <w:szCs w:val="14"/>
                <w:color w:val="FFFFFF"/>
              </w:rPr>
              <w:t>Other</w:t>
            </w:r>
          </w:p>
        </w:tc>
        <w:tc>
          <w:tcPr>
            <w:tcW w:w="820" w:type="dxa"/>
            <w:vAlign w:val="bottom"/>
            <w:shd w:val="clear" w:color="auto" w:fill="0C479D"/>
          </w:tcPr>
          <w:p>
            <w:pPr>
              <w:jc w:val="center"/>
              <w:ind w:right="1"/>
              <w:spacing w:after="0" w:line="149" w:lineRule="exact"/>
              <w:rPr>
                <w:sz w:val="20"/>
                <w:szCs w:val="20"/>
                <w:color w:val="auto"/>
              </w:rPr>
            </w:pPr>
            <w:r>
              <w:rPr>
                <w:rFonts w:ascii="Times New Roman" w:cs="Times New Roman" w:eastAsia="Times New Roman" w:hAnsi="Times New Roman"/>
                <w:sz w:val="14"/>
                <w:szCs w:val="14"/>
                <w:color w:val="FFFFFF"/>
              </w:rPr>
              <w:t>Other</w:t>
            </w:r>
          </w:p>
        </w:tc>
        <w:tc>
          <w:tcPr>
            <w:tcW w:w="640" w:type="dxa"/>
            <w:vAlign w:val="bottom"/>
            <w:vMerge w:val="restart"/>
            <w:shd w:val="clear" w:color="auto" w:fill="0C479D"/>
          </w:tcPr>
          <w:p>
            <w:pPr>
              <w:jc w:val="right"/>
              <w:ind w:right="100"/>
              <w:spacing w:after="0"/>
              <w:rPr>
                <w:sz w:val="20"/>
                <w:szCs w:val="20"/>
                <w:color w:val="auto"/>
              </w:rPr>
            </w:pPr>
            <w:r>
              <w:rPr>
                <w:rFonts w:ascii="Times New Roman" w:cs="Times New Roman" w:eastAsia="Times New Roman" w:hAnsi="Times New Roman"/>
                <w:sz w:val="14"/>
                <w:szCs w:val="14"/>
                <w:color w:val="FFFFFF"/>
              </w:rPr>
              <w:t>Total</w:t>
            </w:r>
          </w:p>
        </w:tc>
        <w:tc>
          <w:tcPr>
            <w:tcW w:w="0" w:type="dxa"/>
            <w:vAlign w:val="bottom"/>
          </w:tcPr>
          <w:p>
            <w:pPr>
              <w:spacing w:after="0"/>
              <w:rPr>
                <w:sz w:val="1"/>
                <w:szCs w:val="1"/>
                <w:color w:val="auto"/>
              </w:rPr>
            </w:pPr>
          </w:p>
        </w:tc>
      </w:tr>
      <w:tr>
        <w:trPr>
          <w:trHeight w:val="198"/>
        </w:trPr>
        <w:tc>
          <w:tcPr>
            <w:tcW w:w="2580" w:type="dxa"/>
            <w:vAlign w:val="bottom"/>
            <w:vMerge w:val="continue"/>
            <w:shd w:val="clear" w:color="auto" w:fill="0C479D"/>
          </w:tcPr>
          <w:p>
            <w:pPr>
              <w:spacing w:after="0"/>
              <w:rPr>
                <w:sz w:val="17"/>
                <w:szCs w:val="17"/>
                <w:color w:val="auto"/>
              </w:rPr>
            </w:pPr>
          </w:p>
        </w:tc>
        <w:tc>
          <w:tcPr>
            <w:tcW w:w="760" w:type="dxa"/>
            <w:vAlign w:val="bottom"/>
            <w:shd w:val="clear" w:color="auto" w:fill="0C479D"/>
          </w:tcPr>
          <w:p>
            <w:pPr>
              <w:jc w:val="right"/>
              <w:ind w:right="160"/>
              <w:spacing w:after="0"/>
              <w:rPr>
                <w:sz w:val="20"/>
                <w:szCs w:val="20"/>
                <w:color w:val="auto"/>
              </w:rPr>
            </w:pPr>
            <w:r>
              <w:rPr>
                <w:rFonts w:ascii="Times New Roman" w:cs="Times New Roman" w:eastAsia="Times New Roman" w:hAnsi="Times New Roman"/>
                <w:sz w:val="14"/>
                <w:szCs w:val="14"/>
                <w:color w:val="FFFFFF"/>
              </w:rPr>
              <w:t>States</w:t>
            </w:r>
          </w:p>
        </w:tc>
        <w:tc>
          <w:tcPr>
            <w:tcW w:w="820" w:type="dxa"/>
            <w:vAlign w:val="bottom"/>
            <w:shd w:val="clear" w:color="auto" w:fill="0C479D"/>
          </w:tcPr>
          <w:p>
            <w:pPr>
              <w:jc w:val="center"/>
              <w:ind w:right="1"/>
              <w:spacing w:after="0"/>
              <w:rPr>
                <w:sz w:val="20"/>
                <w:szCs w:val="20"/>
                <w:color w:val="auto"/>
              </w:rPr>
            </w:pPr>
            <w:r>
              <w:rPr>
                <w:rFonts w:ascii="Times New Roman" w:cs="Times New Roman" w:eastAsia="Times New Roman" w:hAnsi="Times New Roman"/>
                <w:sz w:val="14"/>
                <w:szCs w:val="14"/>
                <w:color w:val="FFFFFF"/>
              </w:rPr>
              <w:t>Americas</w:t>
            </w:r>
          </w:p>
        </w:tc>
        <w:tc>
          <w:tcPr>
            <w:tcW w:w="720" w:type="dxa"/>
            <w:vAlign w:val="bottom"/>
            <w:vMerge w:val="continue"/>
            <w:shd w:val="clear" w:color="auto" w:fill="0C479D"/>
          </w:tcPr>
          <w:p>
            <w:pPr>
              <w:spacing w:after="0"/>
              <w:rPr>
                <w:sz w:val="17"/>
                <w:szCs w:val="17"/>
                <w:color w:val="auto"/>
              </w:rPr>
            </w:pPr>
          </w:p>
        </w:tc>
        <w:tc>
          <w:tcPr>
            <w:tcW w:w="840" w:type="dxa"/>
            <w:vAlign w:val="bottom"/>
            <w:vMerge w:val="continue"/>
            <w:shd w:val="clear" w:color="auto" w:fill="0C479D"/>
          </w:tcPr>
          <w:p>
            <w:pPr>
              <w:spacing w:after="0"/>
              <w:rPr>
                <w:sz w:val="17"/>
                <w:szCs w:val="17"/>
                <w:color w:val="auto"/>
              </w:rPr>
            </w:pPr>
          </w:p>
        </w:tc>
        <w:tc>
          <w:tcPr>
            <w:tcW w:w="700" w:type="dxa"/>
            <w:vAlign w:val="bottom"/>
            <w:vMerge w:val="continue"/>
            <w:shd w:val="clear" w:color="auto" w:fill="0C479D"/>
          </w:tcPr>
          <w:p>
            <w:pPr>
              <w:spacing w:after="0"/>
              <w:rPr>
                <w:sz w:val="17"/>
                <w:szCs w:val="17"/>
                <w:color w:val="auto"/>
              </w:rPr>
            </w:pPr>
          </w:p>
        </w:tc>
        <w:tc>
          <w:tcPr>
            <w:tcW w:w="880" w:type="dxa"/>
            <w:vAlign w:val="bottom"/>
            <w:shd w:val="clear" w:color="auto" w:fill="0C479D"/>
          </w:tcPr>
          <w:p>
            <w:pPr>
              <w:jc w:val="right"/>
              <w:ind w:right="180"/>
              <w:spacing w:after="0"/>
              <w:rPr>
                <w:sz w:val="20"/>
                <w:szCs w:val="20"/>
                <w:color w:val="auto"/>
              </w:rPr>
            </w:pPr>
            <w:r>
              <w:rPr>
                <w:rFonts w:ascii="Times New Roman" w:cs="Times New Roman" w:eastAsia="Times New Roman" w:hAnsi="Times New Roman"/>
                <w:sz w:val="14"/>
                <w:szCs w:val="14"/>
                <w:color w:val="FFFFFF"/>
              </w:rPr>
              <w:t>Oceania</w:t>
            </w:r>
          </w:p>
        </w:tc>
        <w:tc>
          <w:tcPr>
            <w:tcW w:w="700" w:type="dxa"/>
            <w:vAlign w:val="bottom"/>
            <w:vMerge w:val="continue"/>
            <w:shd w:val="clear" w:color="auto" w:fill="0C479D"/>
          </w:tcPr>
          <w:p>
            <w:pPr>
              <w:spacing w:after="0"/>
              <w:rPr>
                <w:sz w:val="17"/>
                <w:szCs w:val="17"/>
                <w:color w:val="auto"/>
              </w:rPr>
            </w:pPr>
          </w:p>
        </w:tc>
        <w:tc>
          <w:tcPr>
            <w:tcW w:w="960" w:type="dxa"/>
            <w:vAlign w:val="bottom"/>
            <w:vMerge w:val="continue"/>
            <w:shd w:val="clear" w:color="auto" w:fill="0C479D"/>
          </w:tcPr>
          <w:p>
            <w:pPr>
              <w:spacing w:after="0"/>
              <w:rPr>
                <w:sz w:val="17"/>
                <w:szCs w:val="17"/>
                <w:color w:val="auto"/>
              </w:rPr>
            </w:pPr>
          </w:p>
        </w:tc>
        <w:tc>
          <w:tcPr>
            <w:tcW w:w="820" w:type="dxa"/>
            <w:vAlign w:val="bottom"/>
            <w:shd w:val="clear" w:color="auto" w:fill="0C479D"/>
          </w:tcPr>
          <w:p>
            <w:pPr>
              <w:jc w:val="center"/>
              <w:ind w:right="1"/>
              <w:spacing w:after="0"/>
              <w:rPr>
                <w:sz w:val="20"/>
                <w:szCs w:val="20"/>
                <w:color w:val="auto"/>
              </w:rPr>
            </w:pPr>
            <w:r>
              <w:rPr>
                <w:rFonts w:ascii="Times New Roman" w:cs="Times New Roman" w:eastAsia="Times New Roman" w:hAnsi="Times New Roman"/>
                <w:sz w:val="14"/>
                <w:szCs w:val="14"/>
                <w:color w:val="FFFFFF"/>
              </w:rPr>
              <w:t>Americas</w:t>
            </w:r>
          </w:p>
        </w:tc>
        <w:tc>
          <w:tcPr>
            <w:tcW w:w="820" w:type="dxa"/>
            <w:vAlign w:val="bottom"/>
            <w:shd w:val="clear" w:color="auto" w:fill="0C479D"/>
          </w:tcPr>
          <w:p>
            <w:pPr>
              <w:jc w:val="center"/>
              <w:ind w:right="1"/>
              <w:spacing w:after="0"/>
              <w:rPr>
                <w:sz w:val="20"/>
                <w:szCs w:val="20"/>
                <w:color w:val="auto"/>
              </w:rPr>
            </w:pPr>
            <w:r>
              <w:rPr>
                <w:rFonts w:ascii="Times New Roman" w:cs="Times New Roman" w:eastAsia="Times New Roman" w:hAnsi="Times New Roman"/>
                <w:sz w:val="14"/>
                <w:szCs w:val="14"/>
                <w:color w:val="FFFFFF"/>
              </w:rPr>
              <w:t>Americas</w:t>
            </w:r>
          </w:p>
        </w:tc>
        <w:tc>
          <w:tcPr>
            <w:tcW w:w="640" w:type="dxa"/>
            <w:vAlign w:val="bottom"/>
            <w:vMerge w:val="continue"/>
            <w:shd w:val="clear" w:color="auto" w:fill="0C479D"/>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0C479D"/>
              </w:rPr>
              <w:t>Net proved developed and</w:t>
            </w:r>
          </w:p>
        </w:tc>
        <w:tc>
          <w:tcPr>
            <w:tcW w:w="7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258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b w:val="1"/>
                <w:bCs w:val="1"/>
                <w:color w:val="0C479D"/>
              </w:rPr>
              <w:t>undeveloped reserves of</w:t>
            </w: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5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0C479D"/>
              </w:rPr>
              <w:t>consolidated subsidiaries</w:t>
            </w: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January 1, 2022</w:t>
            </w: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2,307</w:t>
            </w:r>
          </w:p>
        </w:tc>
        <w:tc>
          <w:tcPr>
            <w:tcW w:w="8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769</w:t>
            </w: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w:t>
            </w:r>
          </w:p>
        </w:tc>
        <w:tc>
          <w:tcPr>
            <w:tcW w:w="8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335</w:t>
            </w:r>
          </w:p>
        </w:tc>
        <w:tc>
          <w:tcPr>
            <w:tcW w:w="7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3,037</w:t>
            </w:r>
          </w:p>
        </w:tc>
        <w:tc>
          <w:tcPr>
            <w:tcW w:w="8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74</w:t>
            </w:r>
          </w:p>
        </w:tc>
        <w:tc>
          <w:tcPr>
            <w:tcW w:w="7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6,525</w:t>
            </w: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1,136</w:t>
            </w:r>
          </w:p>
        </w:tc>
        <w:tc>
          <w:tcPr>
            <w:tcW w:w="8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2,894</w:t>
            </w:r>
          </w:p>
        </w:tc>
        <w:tc>
          <w:tcPr>
            <w:tcW w:w="8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438</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10,993</w:t>
            </w:r>
          </w:p>
        </w:tc>
        <w:tc>
          <w:tcPr>
            <w:tcW w:w="0" w:type="dxa"/>
            <w:vAlign w:val="bottom"/>
          </w:tcPr>
          <w:p>
            <w:pPr>
              <w:spacing w:after="0"/>
              <w:rPr>
                <w:sz w:val="1"/>
                <w:szCs w:val="1"/>
                <w:color w:val="auto"/>
              </w:rPr>
            </w:pPr>
          </w:p>
        </w:tc>
      </w:tr>
      <w:tr>
        <w:trPr>
          <w:trHeight w:val="222"/>
        </w:trPr>
        <w:tc>
          <w:tcPr>
            <w:tcW w:w="2580" w:type="dxa"/>
            <w:vAlign w:val="bottom"/>
          </w:tcPr>
          <w:p>
            <w:pPr>
              <w:ind w:left="140"/>
              <w:spacing w:after="0" w:line="222" w:lineRule="exact"/>
              <w:rPr>
                <w:sz w:val="20"/>
                <w:szCs w:val="20"/>
                <w:color w:val="auto"/>
              </w:rPr>
            </w:pPr>
            <w:r>
              <w:rPr>
                <w:rFonts w:ascii="Times New Roman" w:cs="Times New Roman" w:eastAsia="Times New Roman" w:hAnsi="Times New Roman"/>
                <w:sz w:val="16"/>
                <w:szCs w:val="16"/>
                <w:color w:val="auto"/>
              </w:rPr>
              <w:t xml:space="preserve">Revisions </w:t>
            </w:r>
            <w:r>
              <w:rPr>
                <w:rFonts w:ascii="Times New Roman" w:cs="Times New Roman" w:eastAsia="Times New Roman" w:hAnsi="Times New Roman"/>
                <w:sz w:val="21"/>
                <w:szCs w:val="21"/>
                <w:i w:val="1"/>
                <w:iCs w:val="1"/>
                <w:color w:val="auto"/>
                <w:vertAlign w:val="superscript"/>
              </w:rPr>
              <w:t>(1)</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(375)</w:t>
            </w:r>
          </w:p>
        </w:tc>
        <w:tc>
          <w:tcPr>
            <w:tcW w:w="8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52</w:t>
            </w: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w:t>
            </w:r>
          </w:p>
        </w:tc>
        <w:tc>
          <w:tcPr>
            <w:tcW w:w="8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38</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(95)</w:t>
            </w:r>
          </w:p>
        </w:tc>
        <w:tc>
          <w:tcPr>
            <w:tcW w:w="8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(375)</w:t>
            </w: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(85)</w:t>
            </w:r>
          </w:p>
        </w:tc>
        <w:tc>
          <w:tcPr>
            <w:tcW w:w="8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(422)</w:t>
            </w:r>
          </w:p>
        </w:tc>
        <w:tc>
          <w:tcPr>
            <w:tcW w:w="8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(62)</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w:t>
            </w:r>
          </w:p>
        </w:tc>
        <w:tc>
          <w:tcPr>
            <w:tcW w:w="0" w:type="dxa"/>
            <w:vAlign w:val="bottom"/>
          </w:tcPr>
          <w:p>
            <w:pPr>
              <w:spacing w:after="0"/>
              <w:rPr>
                <w:sz w:val="1"/>
                <w:szCs w:val="1"/>
                <w:color w:val="auto"/>
              </w:rPr>
            </w:pPr>
          </w:p>
        </w:tc>
      </w:tr>
      <w:tr>
        <w:trPr>
          <w:trHeight w:val="210"/>
        </w:trPr>
        <w:tc>
          <w:tcPr>
            <w:tcW w:w="2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Improved recovery</w:t>
            </w: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w:t>
            </w: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c>
          <w:tcPr>
            <w:tcW w:w="8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6"/>
        </w:trPr>
        <w:tc>
          <w:tcPr>
            <w:tcW w:w="2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Sales</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8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(12)</w:t>
            </w: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(17)</w:t>
            </w:r>
          </w:p>
        </w:tc>
        <w:tc>
          <w:tcPr>
            <w:tcW w:w="7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(32)</w:t>
            </w: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(20)</w:t>
            </w:r>
          </w:p>
        </w:tc>
        <w:tc>
          <w:tcPr>
            <w:tcW w:w="8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16"/>
        </w:trPr>
        <w:tc>
          <w:tcPr>
            <w:tcW w:w="2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Extensions/discoveries</w:t>
            </w: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465</w:t>
            </w:r>
          </w:p>
        </w:tc>
        <w:tc>
          <w:tcPr>
            <w:tcW w:w="8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208</w:t>
            </w: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673</w:t>
            </w: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235</w:t>
            </w:r>
          </w:p>
        </w:tc>
        <w:tc>
          <w:tcPr>
            <w:tcW w:w="8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67</w:t>
            </w:r>
          </w:p>
        </w:tc>
        <w:tc>
          <w:tcPr>
            <w:tcW w:w="8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0" w:type="dxa"/>
            <w:vAlign w:val="bottom"/>
          </w:tcPr>
          <w:p>
            <w:pPr>
              <w:spacing w:after="0"/>
              <w:rPr>
                <w:sz w:val="1"/>
                <w:szCs w:val="1"/>
                <w:color w:val="auto"/>
              </w:rPr>
            </w:pPr>
          </w:p>
        </w:tc>
      </w:tr>
      <w:tr>
        <w:trPr>
          <w:trHeight w:val="219"/>
        </w:trPr>
        <w:tc>
          <w:tcPr>
            <w:tcW w:w="2580" w:type="dxa"/>
            <w:vAlign w:val="bottom"/>
            <w:tcBorders>
              <w:bottom w:val="single" w:sz="8" w:color="0C479D"/>
            </w:tcBorders>
          </w:tcPr>
          <w:p>
            <w:pPr>
              <w:ind w:left="140"/>
              <w:spacing w:after="0"/>
              <w:rPr>
                <w:sz w:val="20"/>
                <w:szCs w:val="20"/>
                <w:color w:val="auto"/>
              </w:rPr>
            </w:pPr>
            <w:r>
              <w:rPr>
                <w:rFonts w:ascii="Times New Roman" w:cs="Times New Roman" w:eastAsia="Times New Roman" w:hAnsi="Times New Roman"/>
                <w:sz w:val="16"/>
                <w:szCs w:val="16"/>
                <w:color w:val="auto"/>
              </w:rPr>
              <w:t>Production</w:t>
            </w:r>
          </w:p>
        </w:tc>
        <w:tc>
          <w:tcPr>
            <w:tcW w:w="76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color w:val="auto"/>
              </w:rPr>
              <w:t>(191)</w:t>
            </w:r>
          </w:p>
        </w:tc>
        <w:tc>
          <w:tcPr>
            <w:tcW w:w="820" w:type="dxa"/>
            <w:vAlign w:val="bottom"/>
            <w:tcBorders>
              <w:bottom w:val="single" w:sz="8" w:color="0C479D"/>
            </w:tcBorders>
          </w:tcPr>
          <w:p>
            <w:pPr>
              <w:jc w:val="right"/>
              <w:ind w:right="41"/>
              <w:spacing w:after="0"/>
              <w:rPr>
                <w:sz w:val="20"/>
                <w:szCs w:val="20"/>
                <w:color w:val="auto"/>
              </w:rPr>
            </w:pPr>
            <w:r>
              <w:rPr>
                <w:rFonts w:ascii="Times New Roman" w:cs="Times New Roman" w:eastAsia="Times New Roman" w:hAnsi="Times New Roman"/>
                <w:sz w:val="16"/>
                <w:szCs w:val="16"/>
                <w:color w:val="auto"/>
              </w:rPr>
              <w:t>(72)</w:t>
            </w:r>
          </w:p>
        </w:tc>
        <w:tc>
          <w:tcPr>
            <w:tcW w:w="7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40" w:type="dxa"/>
            <w:vAlign w:val="bottom"/>
            <w:tcBorders>
              <w:bottom w:val="single" w:sz="8" w:color="0C479D"/>
            </w:tcBorders>
          </w:tcPr>
          <w:p>
            <w:pPr>
              <w:jc w:val="right"/>
              <w:ind w:right="80"/>
              <w:spacing w:after="0"/>
              <w:rPr>
                <w:sz w:val="20"/>
                <w:szCs w:val="20"/>
                <w:color w:val="auto"/>
              </w:rPr>
            </w:pPr>
            <w:r>
              <w:rPr>
                <w:rFonts w:ascii="Times New Roman" w:cs="Times New Roman" w:eastAsia="Times New Roman" w:hAnsi="Times New Roman"/>
                <w:sz w:val="16"/>
                <w:szCs w:val="16"/>
                <w:color w:val="auto"/>
              </w:rPr>
              <w:t>(85)</w:t>
            </w:r>
          </w:p>
        </w:tc>
        <w:tc>
          <w:tcPr>
            <w:tcW w:w="70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color w:val="auto"/>
              </w:rPr>
              <w:t>(148)</w:t>
            </w:r>
          </w:p>
        </w:tc>
        <w:tc>
          <w:tcPr>
            <w:tcW w:w="880" w:type="dxa"/>
            <w:vAlign w:val="bottom"/>
            <w:tcBorders>
              <w:bottom w:val="single" w:sz="8" w:color="0C479D"/>
            </w:tcBorders>
          </w:tcPr>
          <w:p>
            <w:pPr>
              <w:jc w:val="right"/>
              <w:ind w:right="60"/>
              <w:spacing w:after="0"/>
              <w:rPr>
                <w:sz w:val="20"/>
                <w:szCs w:val="20"/>
                <w:color w:val="auto"/>
              </w:rPr>
            </w:pPr>
            <w:r>
              <w:rPr>
                <w:rFonts w:ascii="Times New Roman" w:cs="Times New Roman" w:eastAsia="Times New Roman" w:hAnsi="Times New Roman"/>
                <w:sz w:val="16"/>
                <w:szCs w:val="16"/>
                <w:color w:val="auto"/>
              </w:rPr>
              <w:t>(10)</w:t>
            </w:r>
          </w:p>
        </w:tc>
        <w:tc>
          <w:tcPr>
            <w:tcW w:w="70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color w:val="auto"/>
              </w:rPr>
              <w:t>(507)</w:t>
            </w:r>
          </w:p>
        </w:tc>
        <w:tc>
          <w:tcPr>
            <w:tcW w:w="96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color w:val="auto"/>
              </w:rPr>
              <w:t>(90)</w:t>
            </w:r>
          </w:p>
        </w:tc>
        <w:tc>
          <w:tcPr>
            <w:tcW w:w="820" w:type="dxa"/>
            <w:vAlign w:val="bottom"/>
            <w:tcBorders>
              <w:bottom w:val="single" w:sz="8" w:color="0C479D"/>
            </w:tcBorders>
          </w:tcPr>
          <w:p>
            <w:pPr>
              <w:jc w:val="right"/>
              <w:ind w:right="21"/>
              <w:spacing w:after="0"/>
              <w:rPr>
                <w:sz w:val="20"/>
                <w:szCs w:val="20"/>
                <w:color w:val="auto"/>
              </w:rPr>
            </w:pPr>
            <w:r>
              <w:rPr>
                <w:rFonts w:ascii="Times New Roman" w:cs="Times New Roman" w:eastAsia="Times New Roman" w:hAnsi="Times New Roman"/>
                <w:sz w:val="16"/>
                <w:szCs w:val="16"/>
                <w:color w:val="auto"/>
              </w:rPr>
              <w:t>(119)</w:t>
            </w:r>
          </w:p>
        </w:tc>
        <w:tc>
          <w:tcPr>
            <w:tcW w:w="820" w:type="dxa"/>
            <w:vAlign w:val="bottom"/>
            <w:tcBorders>
              <w:bottom w:val="single" w:sz="8" w:color="0C479D"/>
            </w:tcBorders>
          </w:tcPr>
          <w:p>
            <w:pPr>
              <w:jc w:val="right"/>
              <w:ind w:right="21"/>
              <w:spacing w:after="0"/>
              <w:rPr>
                <w:sz w:val="20"/>
                <w:szCs w:val="20"/>
                <w:color w:val="auto"/>
              </w:rPr>
            </w:pPr>
            <w:r>
              <w:rPr>
                <w:rFonts w:ascii="Times New Roman" w:cs="Times New Roman" w:eastAsia="Times New Roman" w:hAnsi="Times New Roman"/>
                <w:sz w:val="16"/>
                <w:szCs w:val="16"/>
                <w:color w:val="auto"/>
              </w:rPr>
              <w:t>(23)</w:t>
            </w:r>
          </w:p>
        </w:tc>
        <w:tc>
          <w:tcPr>
            <w:tcW w:w="6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0" w:type="dxa"/>
            <w:vAlign w:val="bottom"/>
          </w:tcPr>
          <w:p>
            <w:pPr>
              <w:spacing w:after="0"/>
              <w:rPr>
                <w:sz w:val="1"/>
                <w:szCs w:val="1"/>
                <w:color w:val="auto"/>
              </w:rPr>
            </w:pPr>
          </w:p>
        </w:tc>
      </w:tr>
      <w:tr>
        <w:trPr>
          <w:trHeight w:val="219"/>
        </w:trPr>
        <w:tc>
          <w:tcPr>
            <w:tcW w:w="258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760" w:type="dxa"/>
            <w:vAlign w:val="bottom"/>
            <w:tcBorders>
              <w:bottom w:val="single" w:sz="8" w:color="0C479D"/>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2,204</w:t>
            </w:r>
          </w:p>
        </w:tc>
        <w:tc>
          <w:tcPr>
            <w:tcW w:w="820" w:type="dxa"/>
            <w:vAlign w:val="bottom"/>
            <w:tcBorders>
              <w:bottom w:val="single" w:sz="8" w:color="0C479D"/>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945</w:t>
            </w:r>
          </w:p>
        </w:tc>
        <w:tc>
          <w:tcPr>
            <w:tcW w:w="720" w:type="dxa"/>
            <w:vAlign w:val="bottom"/>
            <w:tcBorders>
              <w:bottom w:val="single" w:sz="8" w:color="0C479D"/>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5</w:t>
            </w:r>
          </w:p>
        </w:tc>
        <w:tc>
          <w:tcPr>
            <w:tcW w:w="840" w:type="dxa"/>
            <w:vAlign w:val="bottom"/>
            <w:tcBorders>
              <w:bottom w:val="single" w:sz="8" w:color="0C479D"/>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271</w:t>
            </w:r>
          </w:p>
        </w:tc>
        <w:tc>
          <w:tcPr>
            <w:tcW w:w="700" w:type="dxa"/>
            <w:vAlign w:val="bottom"/>
            <w:tcBorders>
              <w:bottom w:val="single" w:sz="8" w:color="0C479D"/>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2,794</w:t>
            </w:r>
          </w:p>
        </w:tc>
        <w:tc>
          <w:tcPr>
            <w:tcW w:w="880" w:type="dxa"/>
            <w:vAlign w:val="bottom"/>
            <w:tcBorders>
              <w:bottom w:val="single" w:sz="8" w:color="0C479D"/>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66</w:t>
            </w:r>
          </w:p>
        </w:tc>
        <w:tc>
          <w:tcPr>
            <w:tcW w:w="700" w:type="dxa"/>
            <w:vAlign w:val="bottom"/>
            <w:tcBorders>
              <w:bottom w:val="single" w:sz="8" w:color="0C479D"/>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6,285</w:t>
            </w:r>
          </w:p>
        </w:tc>
        <w:tc>
          <w:tcPr>
            <w:tcW w:w="960" w:type="dxa"/>
            <w:vAlign w:val="bottom"/>
            <w:tcBorders>
              <w:bottom w:val="single" w:sz="8" w:color="0C479D"/>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1,176</w:t>
            </w:r>
          </w:p>
        </w:tc>
        <w:tc>
          <w:tcPr>
            <w:tcW w:w="820" w:type="dxa"/>
            <w:vAlign w:val="bottom"/>
            <w:tcBorders>
              <w:bottom w:val="single" w:sz="8" w:color="0C479D"/>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2,420</w:t>
            </w:r>
          </w:p>
        </w:tc>
        <w:tc>
          <w:tcPr>
            <w:tcW w:w="820" w:type="dxa"/>
            <w:vAlign w:val="bottom"/>
            <w:tcBorders>
              <w:bottom w:val="single" w:sz="8" w:color="0C479D"/>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353</w:t>
            </w:r>
          </w:p>
        </w:tc>
        <w:tc>
          <w:tcPr>
            <w:tcW w:w="6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10,234</w:t>
            </w:r>
          </w:p>
        </w:tc>
        <w:tc>
          <w:tcPr>
            <w:tcW w:w="0" w:type="dxa"/>
            <w:vAlign w:val="bottom"/>
          </w:tcPr>
          <w:p>
            <w:pPr>
              <w:spacing w:after="0"/>
              <w:rPr>
                <w:sz w:val="1"/>
                <w:szCs w:val="1"/>
                <w:color w:val="auto"/>
              </w:rPr>
            </w:pPr>
          </w:p>
        </w:tc>
      </w:tr>
      <w:tr>
        <w:trPr>
          <w:trHeight w:val="190"/>
        </w:trPr>
        <w:tc>
          <w:tcPr>
            <w:tcW w:w="25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Attributable to noncontrolling interests</w:t>
            </w:r>
          </w:p>
        </w:tc>
        <w:tc>
          <w:tcPr>
            <w:tcW w:w="760" w:type="dxa"/>
            <w:vAlign w:val="bottom"/>
          </w:tcPr>
          <w:p>
            <w:pPr>
              <w:spacing w:after="0"/>
              <w:rPr>
                <w:sz w:val="16"/>
                <w:szCs w:val="16"/>
                <w:color w:val="auto"/>
              </w:rPr>
            </w:pPr>
          </w:p>
        </w:tc>
        <w:tc>
          <w:tcPr>
            <w:tcW w:w="820" w:type="dxa"/>
            <w:vAlign w:val="bottom"/>
          </w:tcPr>
          <w:p>
            <w:pPr>
              <w:jc w:val="right"/>
              <w:ind w:right="81"/>
              <w:spacing w:after="0"/>
              <w:rPr>
                <w:sz w:val="20"/>
                <w:szCs w:val="20"/>
                <w:color w:val="auto"/>
              </w:rPr>
            </w:pPr>
            <w:r>
              <w:rPr>
                <w:rFonts w:ascii="Times New Roman" w:cs="Times New Roman" w:eastAsia="Times New Roman" w:hAnsi="Times New Roman"/>
                <w:sz w:val="14"/>
                <w:szCs w:val="14"/>
                <w:i w:val="1"/>
                <w:iCs w:val="1"/>
                <w:color w:val="auto"/>
              </w:rPr>
              <w:t>14</w:t>
            </w:r>
          </w:p>
        </w:tc>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tcPr>
          <w:p>
            <w:pPr>
              <w:jc w:val="right"/>
              <w:ind w:right="61"/>
              <w:spacing w:after="0"/>
              <w:rPr>
                <w:sz w:val="20"/>
                <w:szCs w:val="20"/>
                <w:color w:val="auto"/>
              </w:rPr>
            </w:pPr>
            <w:r>
              <w:rPr>
                <w:rFonts w:ascii="Times New Roman" w:cs="Times New Roman" w:eastAsia="Times New Roman" w:hAnsi="Times New Roman"/>
                <w:sz w:val="14"/>
                <w:szCs w:val="14"/>
                <w:i w:val="1"/>
                <w:iCs w:val="1"/>
                <w:color w:val="auto"/>
              </w:rPr>
              <w:t>554</w:t>
            </w:r>
          </w:p>
        </w:tc>
        <w:tc>
          <w:tcPr>
            <w:tcW w:w="820" w:type="dxa"/>
            <w:vAlign w:val="bottom"/>
          </w:tcPr>
          <w:p>
            <w:pPr>
              <w:jc w:val="right"/>
              <w:ind w:right="61"/>
              <w:spacing w:after="0"/>
              <w:rPr>
                <w:sz w:val="20"/>
                <w:szCs w:val="20"/>
                <w:color w:val="auto"/>
              </w:rPr>
            </w:pPr>
            <w:r>
              <w:rPr>
                <w:rFonts w:ascii="Times New Roman" w:cs="Times New Roman" w:eastAsia="Times New Roman" w:hAnsi="Times New Roman"/>
                <w:sz w:val="14"/>
                <w:szCs w:val="14"/>
                <w:i w:val="1"/>
                <w:iCs w:val="1"/>
                <w:color w:val="auto"/>
              </w:rPr>
              <w:t>107</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4"/>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0C479D"/>
              </w:rPr>
              <w:t>Proportional interest in proved</w:t>
            </w: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5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0C479D"/>
              </w:rPr>
              <w:t>reserves of equity companies</w:t>
            </w:r>
          </w:p>
        </w:tc>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January 1, 2022</w:t>
            </w: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155</w:t>
            </w:r>
          </w:p>
        </w:tc>
        <w:tc>
          <w:tcPr>
            <w:tcW w:w="8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w:t>
            </w:r>
          </w:p>
        </w:tc>
        <w:tc>
          <w:tcPr>
            <w:tcW w:w="8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w:t>
            </w:r>
          </w:p>
        </w:tc>
        <w:tc>
          <w:tcPr>
            <w:tcW w:w="7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741</w:t>
            </w:r>
          </w:p>
        </w:tc>
        <w:tc>
          <w:tcPr>
            <w:tcW w:w="8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911</w:t>
            </w: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270</w:t>
            </w:r>
          </w:p>
        </w:tc>
        <w:tc>
          <w:tcPr>
            <w:tcW w:w="8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1,181</w:t>
            </w:r>
          </w:p>
        </w:tc>
        <w:tc>
          <w:tcPr>
            <w:tcW w:w="0" w:type="dxa"/>
            <w:vAlign w:val="bottom"/>
          </w:tcPr>
          <w:p>
            <w:pPr>
              <w:spacing w:after="0"/>
              <w:rPr>
                <w:sz w:val="1"/>
                <w:szCs w:val="1"/>
                <w:color w:val="auto"/>
              </w:rPr>
            </w:pPr>
          </w:p>
        </w:tc>
      </w:tr>
      <w:tr>
        <w:trPr>
          <w:trHeight w:val="216"/>
        </w:trPr>
        <w:tc>
          <w:tcPr>
            <w:tcW w:w="2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Revisions</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(21)</w:t>
            </w:r>
          </w:p>
        </w:tc>
        <w:tc>
          <w:tcPr>
            <w:tcW w:w="8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(17)</w:t>
            </w:r>
          </w:p>
        </w:tc>
        <w:tc>
          <w:tcPr>
            <w:tcW w:w="8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(45)</w:t>
            </w: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w:t>
            </w:r>
          </w:p>
        </w:tc>
        <w:tc>
          <w:tcPr>
            <w:tcW w:w="8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16"/>
        </w:trPr>
        <w:tc>
          <w:tcPr>
            <w:tcW w:w="2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Improved recovery</w:t>
            </w: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w:t>
            </w: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110</w:t>
            </w:r>
          </w:p>
        </w:tc>
        <w:tc>
          <w:tcPr>
            <w:tcW w:w="8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110</w:t>
            </w: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117</w:t>
            </w:r>
          </w:p>
        </w:tc>
        <w:tc>
          <w:tcPr>
            <w:tcW w:w="8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0" w:type="dxa"/>
            <w:vAlign w:val="bottom"/>
          </w:tcPr>
          <w:p>
            <w:pPr>
              <w:spacing w:after="0"/>
              <w:rPr>
                <w:sz w:val="1"/>
                <w:szCs w:val="1"/>
                <w:color w:val="auto"/>
              </w:rPr>
            </w:pPr>
          </w:p>
        </w:tc>
      </w:tr>
      <w:tr>
        <w:trPr>
          <w:trHeight w:val="216"/>
        </w:trPr>
        <w:tc>
          <w:tcPr>
            <w:tcW w:w="2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Sales</w:t>
            </w: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Extensions/discoveries</w:t>
            </w: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580" w:type="dxa"/>
            <w:vAlign w:val="bottom"/>
            <w:tcBorders>
              <w:bottom w:val="single" w:sz="8" w:color="0C479D"/>
            </w:tcBorders>
          </w:tcPr>
          <w:p>
            <w:pPr>
              <w:ind w:left="140"/>
              <w:spacing w:after="0"/>
              <w:rPr>
                <w:sz w:val="20"/>
                <w:szCs w:val="20"/>
                <w:color w:val="auto"/>
              </w:rPr>
            </w:pPr>
            <w:r>
              <w:rPr>
                <w:rFonts w:ascii="Times New Roman" w:cs="Times New Roman" w:eastAsia="Times New Roman" w:hAnsi="Times New Roman"/>
                <w:sz w:val="16"/>
                <w:szCs w:val="16"/>
                <w:color w:val="auto"/>
              </w:rPr>
              <w:t>Production</w:t>
            </w:r>
          </w:p>
        </w:tc>
        <w:tc>
          <w:tcPr>
            <w:tcW w:w="76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color w:val="auto"/>
              </w:rPr>
              <w:t>(15)</w:t>
            </w:r>
          </w:p>
        </w:tc>
        <w:tc>
          <w:tcPr>
            <w:tcW w:w="820" w:type="dxa"/>
            <w:vAlign w:val="bottom"/>
            <w:tcBorders>
              <w:bottom w:val="single" w:sz="8" w:color="0C479D"/>
            </w:tcBorders>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40" w:type="dxa"/>
            <w:vAlign w:val="bottom"/>
            <w:tcBorders>
              <w:bottom w:val="single" w:sz="8" w:color="0C479D"/>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color w:val="auto"/>
              </w:rPr>
              <w:t>(78)</w:t>
            </w:r>
          </w:p>
        </w:tc>
        <w:tc>
          <w:tcPr>
            <w:tcW w:w="880" w:type="dxa"/>
            <w:vAlign w:val="bottom"/>
            <w:tcBorders>
              <w:bottom w:val="single" w:sz="8" w:color="0C479D"/>
            </w:tcBorders>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color w:val="auto"/>
              </w:rPr>
              <w:t>(94)</w:t>
            </w:r>
          </w:p>
        </w:tc>
        <w:tc>
          <w:tcPr>
            <w:tcW w:w="96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color w:val="auto"/>
              </w:rPr>
              <w:t>(22)</w:t>
            </w:r>
          </w:p>
        </w:tc>
        <w:tc>
          <w:tcPr>
            <w:tcW w:w="820" w:type="dxa"/>
            <w:vAlign w:val="bottom"/>
            <w:tcBorders>
              <w:bottom w:val="single" w:sz="8" w:color="0C479D"/>
            </w:tcBorders>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0C479D"/>
            </w:tcBorders>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211"/>
        </w:trPr>
        <w:tc>
          <w:tcPr>
            <w:tcW w:w="258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760" w:type="dxa"/>
            <w:vAlign w:val="bottom"/>
            <w:tcBorders>
              <w:bottom w:val="single" w:sz="8" w:color="0C479D"/>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119</w:t>
            </w:r>
          </w:p>
        </w:tc>
        <w:tc>
          <w:tcPr>
            <w:tcW w:w="820" w:type="dxa"/>
            <w:vAlign w:val="bottom"/>
            <w:tcBorders>
              <w:bottom w:val="single" w:sz="8" w:color="0C479D"/>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tcBorders>
              <w:bottom w:val="single" w:sz="8" w:color="0C479D"/>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w:t>
            </w:r>
          </w:p>
        </w:tc>
        <w:tc>
          <w:tcPr>
            <w:tcW w:w="840" w:type="dxa"/>
            <w:vAlign w:val="bottom"/>
            <w:tcBorders>
              <w:bottom w:val="single" w:sz="8" w:color="0C479D"/>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5</w:t>
            </w:r>
          </w:p>
        </w:tc>
        <w:tc>
          <w:tcPr>
            <w:tcW w:w="700" w:type="dxa"/>
            <w:vAlign w:val="bottom"/>
            <w:tcBorders>
              <w:bottom w:val="single" w:sz="8" w:color="0C479D"/>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756</w:t>
            </w:r>
          </w:p>
        </w:tc>
        <w:tc>
          <w:tcPr>
            <w:tcW w:w="880" w:type="dxa"/>
            <w:vAlign w:val="bottom"/>
            <w:tcBorders>
              <w:bottom w:val="single" w:sz="8" w:color="0C479D"/>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Borders>
              <w:bottom w:val="single" w:sz="8" w:color="0C479D"/>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882</w:t>
            </w:r>
          </w:p>
        </w:tc>
        <w:tc>
          <w:tcPr>
            <w:tcW w:w="960" w:type="dxa"/>
            <w:vAlign w:val="bottom"/>
            <w:tcBorders>
              <w:bottom w:val="single" w:sz="8" w:color="0C479D"/>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355</w:t>
            </w:r>
          </w:p>
        </w:tc>
        <w:tc>
          <w:tcPr>
            <w:tcW w:w="820" w:type="dxa"/>
            <w:vAlign w:val="bottom"/>
            <w:tcBorders>
              <w:bottom w:val="single" w:sz="8" w:color="0C479D"/>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w:t>
            </w:r>
          </w:p>
        </w:tc>
        <w:tc>
          <w:tcPr>
            <w:tcW w:w="820" w:type="dxa"/>
            <w:vAlign w:val="bottom"/>
            <w:tcBorders>
              <w:bottom w:val="single" w:sz="8" w:color="0C479D"/>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1,237</w:t>
            </w:r>
          </w:p>
        </w:tc>
        <w:tc>
          <w:tcPr>
            <w:tcW w:w="0" w:type="dxa"/>
            <w:vAlign w:val="bottom"/>
          </w:tcPr>
          <w:p>
            <w:pPr>
              <w:spacing w:after="0"/>
              <w:rPr>
                <w:sz w:val="1"/>
                <w:szCs w:val="1"/>
                <w:color w:val="auto"/>
              </w:rPr>
            </w:pPr>
          </w:p>
        </w:tc>
      </w:tr>
      <w:tr>
        <w:trPr>
          <w:trHeight w:val="157"/>
        </w:trPr>
        <w:tc>
          <w:tcPr>
            <w:tcW w:w="258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Total liquids proved reserves at</w:t>
            </w:r>
          </w:p>
        </w:tc>
        <w:tc>
          <w:tcPr>
            <w:tcW w:w="760" w:type="dxa"/>
            <w:vAlign w:val="bottom"/>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2,323</w:t>
            </w:r>
          </w:p>
        </w:tc>
        <w:tc>
          <w:tcPr>
            <w:tcW w:w="8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945</w:t>
            </w:r>
          </w:p>
        </w:tc>
        <w:tc>
          <w:tcPr>
            <w:tcW w:w="72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7</w:t>
            </w:r>
          </w:p>
        </w:tc>
        <w:tc>
          <w:tcPr>
            <w:tcW w:w="840" w:type="dxa"/>
            <w:vAlign w:val="bottom"/>
            <w:vMerge w:val="restart"/>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276</w:t>
            </w:r>
          </w:p>
        </w:tc>
        <w:tc>
          <w:tcPr>
            <w:tcW w:w="700" w:type="dxa"/>
            <w:vAlign w:val="bottom"/>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3,550</w:t>
            </w:r>
          </w:p>
        </w:tc>
        <w:tc>
          <w:tcPr>
            <w:tcW w:w="880" w:type="dxa"/>
            <w:vAlign w:val="bottom"/>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66</w:t>
            </w:r>
          </w:p>
        </w:tc>
        <w:tc>
          <w:tcPr>
            <w:tcW w:w="700" w:type="dxa"/>
            <w:vAlign w:val="bottom"/>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7,167</w:t>
            </w:r>
          </w:p>
        </w:tc>
        <w:tc>
          <w:tcPr>
            <w:tcW w:w="960" w:type="dxa"/>
            <w:vAlign w:val="bottom"/>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1,531</w:t>
            </w:r>
          </w:p>
        </w:tc>
        <w:tc>
          <w:tcPr>
            <w:tcW w:w="82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2,420</w:t>
            </w:r>
          </w:p>
        </w:tc>
        <w:tc>
          <w:tcPr>
            <w:tcW w:w="82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353</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11,471</w:t>
            </w:r>
          </w:p>
        </w:tc>
        <w:tc>
          <w:tcPr>
            <w:tcW w:w="0" w:type="dxa"/>
            <w:vAlign w:val="bottom"/>
          </w:tcPr>
          <w:p>
            <w:pPr>
              <w:spacing w:after="0"/>
              <w:rPr>
                <w:sz w:val="1"/>
                <w:szCs w:val="1"/>
                <w:color w:val="auto"/>
              </w:rPr>
            </w:pPr>
          </w:p>
        </w:tc>
      </w:tr>
      <w:tr>
        <w:trPr>
          <w:trHeight w:val="212"/>
        </w:trPr>
        <w:tc>
          <w:tcPr>
            <w:tcW w:w="25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76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1642110</wp:posOffset>
            </wp:positionH>
            <wp:positionV relativeFrom="paragraph">
              <wp:posOffset>-3734435</wp:posOffset>
            </wp:positionV>
            <wp:extent cx="504063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040630" cy="8255"/>
                    </a:xfrm>
                    <a:prstGeom prst="rect">
                      <a:avLst/>
                    </a:prstGeom>
                    <a:noFill/>
                  </pic:spPr>
                </pic:pic>
              </a:graphicData>
            </a:graphic>
          </wp:anchor>
        </w:drawing>
      </w:r>
    </w:p>
    <w:p>
      <w:pPr>
        <w:ind w:left="180" w:hanging="154"/>
        <w:spacing w:after="0"/>
        <w:tabs>
          <w:tab w:leader="none" w:pos="180" w:val="left"/>
        </w:tabs>
        <w:numPr>
          <w:ilvl w:val="0"/>
          <w:numId w:val="69"/>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 xml:space="preserve">Includes (118) million barrels in Russia which were expropriated. See </w:t>
      </w:r>
      <w:r>
        <w:rPr>
          <w:rFonts w:ascii="Times New Roman" w:cs="Times New Roman" w:eastAsia="Times New Roman" w:hAnsi="Times New Roman"/>
          <w:sz w:val="14"/>
          <w:szCs w:val="14"/>
          <w:i w:val="1"/>
          <w:iCs w:val="1"/>
          <w:color w:val="0000FF"/>
        </w:rPr>
        <w:t>Note 2</w:t>
      </w:r>
      <w:r>
        <w:rPr>
          <w:rFonts w:ascii="Times New Roman" w:cs="Times New Roman" w:eastAsia="Times New Roman" w:hAnsi="Times New Roman"/>
          <w:sz w:val="14"/>
          <w:szCs w:val="14"/>
          <w:i w:val="1"/>
          <w:iCs w:val="1"/>
          <w:color w:val="auto"/>
        </w:rPr>
        <w:t>.</w:t>
      </w:r>
    </w:p>
    <w:p>
      <w:pPr>
        <w:spacing w:after="0" w:line="3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0C479D"/>
        </w:rPr>
        <w:t>Net proved developed and</w:t>
      </w:r>
    </w:p>
    <w:p>
      <w:pPr>
        <w:ind w:left="100"/>
        <w:spacing w:after="0" w:line="211" w:lineRule="auto"/>
        <w:rPr>
          <w:sz w:val="20"/>
          <w:szCs w:val="20"/>
          <w:color w:val="auto"/>
        </w:rPr>
      </w:pPr>
      <w:r>
        <w:rPr>
          <w:rFonts w:ascii="Times New Roman" w:cs="Times New Roman" w:eastAsia="Times New Roman" w:hAnsi="Times New Roman"/>
          <w:sz w:val="16"/>
          <w:szCs w:val="16"/>
          <w:b w:val="1"/>
          <w:bCs w:val="1"/>
          <w:color w:val="0C479D"/>
        </w:rPr>
        <w:t>undeveloped reserves of</w:t>
      </w:r>
    </w:p>
    <w:tbl>
      <w:tblPr>
        <w:tblLayout w:type="fixed"/>
        <w:tblInd w:w="0" w:type="dxa"/>
        <w:tblCellMar>
          <w:top w:w="0" w:type="dxa"/>
          <w:left w:w="0" w:type="dxa"/>
          <w:bottom w:w="0" w:type="dxa"/>
          <w:right w:w="0" w:type="dxa"/>
        </w:tblCellMar>
      </w:tblPr>
      <w:tr>
        <w:trPr>
          <w:trHeight w:val="198"/>
        </w:trPr>
        <w:tc>
          <w:tcPr>
            <w:tcW w:w="25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0C479D"/>
              </w:rPr>
              <w:t>consolidated subsidiaries</w:t>
            </w:r>
          </w:p>
        </w:tc>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January 1, 2023</w:t>
            </w: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2,204</w:t>
            </w:r>
          </w:p>
        </w:tc>
        <w:tc>
          <w:tcPr>
            <w:tcW w:w="82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rPr>
              <w:t>945</w:t>
            </w:r>
          </w:p>
        </w:tc>
        <w:tc>
          <w:tcPr>
            <w:tcW w:w="7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5</w:t>
            </w:r>
          </w:p>
        </w:tc>
        <w:tc>
          <w:tcPr>
            <w:tcW w:w="7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271</w:t>
            </w:r>
          </w:p>
        </w:tc>
        <w:tc>
          <w:tcPr>
            <w:tcW w:w="9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2,794</w:t>
            </w:r>
          </w:p>
        </w:tc>
        <w:tc>
          <w:tcPr>
            <w:tcW w:w="7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66</w:t>
            </w:r>
          </w:p>
        </w:tc>
        <w:tc>
          <w:tcPr>
            <w:tcW w:w="8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6,285</w:t>
            </w:r>
          </w:p>
        </w:tc>
        <w:tc>
          <w:tcPr>
            <w:tcW w:w="8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1,176</w:t>
            </w:r>
          </w:p>
        </w:tc>
        <w:tc>
          <w:tcPr>
            <w:tcW w:w="8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2,420</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353</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10,234</w:t>
            </w:r>
          </w:p>
        </w:tc>
        <w:tc>
          <w:tcPr>
            <w:tcW w:w="0" w:type="dxa"/>
            <w:vAlign w:val="bottom"/>
          </w:tcPr>
          <w:p>
            <w:pPr>
              <w:spacing w:after="0"/>
              <w:rPr>
                <w:sz w:val="1"/>
                <w:szCs w:val="1"/>
                <w:color w:val="auto"/>
              </w:rPr>
            </w:pPr>
          </w:p>
        </w:tc>
      </w:tr>
      <w:tr>
        <w:trPr>
          <w:trHeight w:val="216"/>
        </w:trPr>
        <w:tc>
          <w:tcPr>
            <w:tcW w:w="2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Revisions</w:t>
            </w:r>
          </w:p>
        </w:tc>
        <w:tc>
          <w:tcPr>
            <w:tcW w:w="9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(398)</w:t>
            </w:r>
          </w:p>
        </w:tc>
        <w:tc>
          <w:tcPr>
            <w:tcW w:w="82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rPr>
              <w:t>32</w:t>
            </w:r>
          </w:p>
        </w:tc>
        <w:tc>
          <w:tcPr>
            <w:tcW w:w="7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31</w:t>
            </w:r>
          </w:p>
        </w:tc>
        <w:tc>
          <w:tcPr>
            <w:tcW w:w="9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30</w:t>
            </w:r>
          </w:p>
        </w:tc>
        <w:tc>
          <w:tcPr>
            <w:tcW w:w="7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w:t>
            </w:r>
          </w:p>
        </w:tc>
        <w:tc>
          <w:tcPr>
            <w:tcW w:w="8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(302)</w:t>
            </w: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(110)</w:t>
            </w:r>
          </w:p>
        </w:tc>
        <w:tc>
          <w:tcPr>
            <w:tcW w:w="8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123</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26</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0" w:type="dxa"/>
            <w:vAlign w:val="bottom"/>
          </w:tcPr>
          <w:p>
            <w:pPr>
              <w:spacing w:after="0"/>
              <w:rPr>
                <w:sz w:val="1"/>
                <w:szCs w:val="1"/>
                <w:color w:val="auto"/>
              </w:rPr>
            </w:pPr>
          </w:p>
        </w:tc>
      </w:tr>
      <w:tr>
        <w:trPr>
          <w:trHeight w:val="216"/>
        </w:trPr>
        <w:tc>
          <w:tcPr>
            <w:tcW w:w="2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Improved recovery</w:t>
            </w: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w:t>
            </w: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156</w:t>
            </w:r>
          </w:p>
        </w:tc>
        <w:tc>
          <w:tcPr>
            <w:tcW w:w="82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156</w:t>
            </w:r>
          </w:p>
        </w:tc>
        <w:tc>
          <w:tcPr>
            <w:tcW w:w="8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w:t>
            </w:r>
          </w:p>
        </w:tc>
        <w:tc>
          <w:tcPr>
            <w:tcW w:w="8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0" w:type="dxa"/>
            <w:vAlign w:val="bottom"/>
          </w:tcPr>
          <w:p>
            <w:pPr>
              <w:spacing w:after="0"/>
              <w:rPr>
                <w:sz w:val="1"/>
                <w:szCs w:val="1"/>
                <w:color w:val="auto"/>
              </w:rPr>
            </w:pPr>
          </w:p>
        </w:tc>
      </w:tr>
      <w:tr>
        <w:trPr>
          <w:trHeight w:val="216"/>
        </w:trPr>
        <w:tc>
          <w:tcPr>
            <w:tcW w:w="2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Sales</w:t>
            </w:r>
          </w:p>
        </w:tc>
        <w:tc>
          <w:tcPr>
            <w:tcW w:w="9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(12)</w:t>
            </w:r>
          </w:p>
        </w:tc>
        <w:tc>
          <w:tcPr>
            <w:tcW w:w="82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(4)</w:t>
            </w:r>
          </w:p>
        </w:tc>
        <w:tc>
          <w:tcPr>
            <w:tcW w:w="7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(16)</w:t>
            </w: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w:t>
            </w:r>
          </w:p>
        </w:tc>
        <w:tc>
          <w:tcPr>
            <w:tcW w:w="8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6"/>
        </w:trPr>
        <w:tc>
          <w:tcPr>
            <w:tcW w:w="2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Extensions/discoveries</w:t>
            </w: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355</w:t>
            </w:r>
          </w:p>
        </w:tc>
        <w:tc>
          <w:tcPr>
            <w:tcW w:w="82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rPr>
              <w:t>105</w:t>
            </w:r>
          </w:p>
        </w:tc>
        <w:tc>
          <w:tcPr>
            <w:tcW w:w="7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460</w:t>
            </w:r>
          </w:p>
        </w:tc>
        <w:tc>
          <w:tcPr>
            <w:tcW w:w="8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272</w:t>
            </w:r>
          </w:p>
        </w:tc>
        <w:tc>
          <w:tcPr>
            <w:tcW w:w="8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0" w:type="dxa"/>
            <w:vAlign w:val="bottom"/>
          </w:tcPr>
          <w:p>
            <w:pPr>
              <w:spacing w:after="0"/>
              <w:rPr>
                <w:sz w:val="1"/>
                <w:szCs w:val="1"/>
                <w:color w:val="auto"/>
              </w:rPr>
            </w:pPr>
          </w:p>
        </w:tc>
      </w:tr>
      <w:tr>
        <w:trPr>
          <w:trHeight w:val="219"/>
        </w:trPr>
        <w:tc>
          <w:tcPr>
            <w:tcW w:w="2560" w:type="dxa"/>
            <w:vAlign w:val="bottom"/>
            <w:tcBorders>
              <w:bottom w:val="single" w:sz="8" w:color="0C479D"/>
            </w:tcBorders>
          </w:tcPr>
          <w:p>
            <w:pPr>
              <w:ind w:left="140"/>
              <w:spacing w:after="0"/>
              <w:rPr>
                <w:sz w:val="20"/>
                <w:szCs w:val="20"/>
                <w:color w:val="auto"/>
              </w:rPr>
            </w:pPr>
            <w:r>
              <w:rPr>
                <w:rFonts w:ascii="Times New Roman" w:cs="Times New Roman" w:eastAsia="Times New Roman" w:hAnsi="Times New Roman"/>
                <w:sz w:val="16"/>
                <w:szCs w:val="16"/>
                <w:color w:val="auto"/>
              </w:rPr>
              <w:t>Production</w:t>
            </w:r>
          </w:p>
        </w:tc>
        <w:tc>
          <w:tcPr>
            <w:tcW w:w="940" w:type="dxa"/>
            <w:vAlign w:val="bottom"/>
            <w:tcBorders>
              <w:bottom w:val="single" w:sz="8" w:color="0C479D"/>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(203)</w:t>
            </w:r>
          </w:p>
        </w:tc>
        <w:tc>
          <w:tcPr>
            <w:tcW w:w="820" w:type="dxa"/>
            <w:vAlign w:val="bottom"/>
            <w:tcBorders>
              <w:bottom w:val="single" w:sz="8" w:color="0C479D"/>
            </w:tcBorders>
          </w:tcPr>
          <w:p>
            <w:pPr>
              <w:jc w:val="right"/>
              <w:ind w:right="200"/>
              <w:spacing w:after="0"/>
              <w:rPr>
                <w:sz w:val="20"/>
                <w:szCs w:val="20"/>
                <w:color w:val="auto"/>
              </w:rPr>
            </w:pPr>
            <w:r>
              <w:rPr>
                <w:rFonts w:ascii="Times New Roman" w:cs="Times New Roman" w:eastAsia="Times New Roman" w:hAnsi="Times New Roman"/>
                <w:sz w:val="16"/>
                <w:szCs w:val="16"/>
                <w:color w:val="auto"/>
              </w:rPr>
              <w:t>(88)</w:t>
            </w:r>
          </w:p>
        </w:tc>
        <w:tc>
          <w:tcPr>
            <w:tcW w:w="72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color w:val="auto"/>
              </w:rPr>
              <w:t>(1)</w:t>
            </w:r>
          </w:p>
        </w:tc>
        <w:tc>
          <w:tcPr>
            <w:tcW w:w="700" w:type="dxa"/>
            <w:vAlign w:val="bottom"/>
            <w:tcBorders>
              <w:bottom w:val="single" w:sz="8" w:color="0C479D"/>
            </w:tcBorders>
          </w:tcPr>
          <w:p>
            <w:pPr>
              <w:jc w:val="right"/>
              <w:ind w:right="99"/>
              <w:spacing w:after="0"/>
              <w:rPr>
                <w:sz w:val="20"/>
                <w:szCs w:val="20"/>
                <w:color w:val="auto"/>
              </w:rPr>
            </w:pPr>
            <w:r>
              <w:rPr>
                <w:rFonts w:ascii="Times New Roman" w:cs="Times New Roman" w:eastAsia="Times New Roman" w:hAnsi="Times New Roman"/>
                <w:sz w:val="16"/>
                <w:szCs w:val="16"/>
                <w:color w:val="auto"/>
              </w:rPr>
              <w:t>(78)</w:t>
            </w:r>
          </w:p>
        </w:tc>
        <w:tc>
          <w:tcPr>
            <w:tcW w:w="900" w:type="dxa"/>
            <w:vAlign w:val="bottom"/>
            <w:tcBorders>
              <w:bottom w:val="single" w:sz="8" w:color="0C479D"/>
            </w:tcBorders>
          </w:tcPr>
          <w:p>
            <w:pPr>
              <w:jc w:val="right"/>
              <w:ind w:right="239"/>
              <w:spacing w:after="0"/>
              <w:rPr>
                <w:sz w:val="20"/>
                <w:szCs w:val="20"/>
                <w:color w:val="auto"/>
              </w:rPr>
            </w:pPr>
            <w:r>
              <w:rPr>
                <w:rFonts w:ascii="Times New Roman" w:cs="Times New Roman" w:eastAsia="Times New Roman" w:hAnsi="Times New Roman"/>
                <w:sz w:val="16"/>
                <w:szCs w:val="16"/>
                <w:color w:val="auto"/>
              </w:rPr>
              <w:t>(153)</w:t>
            </w:r>
          </w:p>
        </w:tc>
        <w:tc>
          <w:tcPr>
            <w:tcW w:w="700" w:type="dxa"/>
            <w:vAlign w:val="bottom"/>
            <w:tcBorders>
              <w:bottom w:val="single" w:sz="8" w:color="0C479D"/>
            </w:tcBorders>
          </w:tcPr>
          <w:p>
            <w:pPr>
              <w:jc w:val="right"/>
              <w:ind w:right="99"/>
              <w:spacing w:after="0"/>
              <w:rPr>
                <w:sz w:val="20"/>
                <w:szCs w:val="20"/>
                <w:color w:val="auto"/>
              </w:rPr>
            </w:pPr>
            <w:r>
              <w:rPr>
                <w:rFonts w:ascii="Times New Roman" w:cs="Times New Roman" w:eastAsia="Times New Roman" w:hAnsi="Times New Roman"/>
                <w:sz w:val="16"/>
                <w:szCs w:val="16"/>
                <w:color w:val="auto"/>
              </w:rPr>
              <w:t>(8)</w:t>
            </w:r>
          </w:p>
        </w:tc>
        <w:tc>
          <w:tcPr>
            <w:tcW w:w="840" w:type="dxa"/>
            <w:vAlign w:val="bottom"/>
            <w:tcBorders>
              <w:bottom w:val="single" w:sz="8" w:color="0C479D"/>
            </w:tcBorders>
          </w:tcPr>
          <w:p>
            <w:pPr>
              <w:jc w:val="right"/>
              <w:ind w:right="199"/>
              <w:spacing w:after="0"/>
              <w:rPr>
                <w:sz w:val="20"/>
                <w:szCs w:val="20"/>
                <w:color w:val="auto"/>
              </w:rPr>
            </w:pPr>
            <w:r>
              <w:rPr>
                <w:rFonts w:ascii="Times New Roman" w:cs="Times New Roman" w:eastAsia="Times New Roman" w:hAnsi="Times New Roman"/>
                <w:sz w:val="16"/>
                <w:szCs w:val="16"/>
                <w:color w:val="auto"/>
              </w:rPr>
              <w:t>(531)</w:t>
            </w:r>
          </w:p>
        </w:tc>
        <w:tc>
          <w:tcPr>
            <w:tcW w:w="880" w:type="dxa"/>
            <w:vAlign w:val="bottom"/>
            <w:tcBorders>
              <w:bottom w:val="single" w:sz="8" w:color="0C479D"/>
            </w:tcBorders>
          </w:tcPr>
          <w:p>
            <w:pPr>
              <w:jc w:val="right"/>
              <w:ind w:right="119"/>
              <w:spacing w:after="0"/>
              <w:rPr>
                <w:sz w:val="20"/>
                <w:szCs w:val="20"/>
                <w:color w:val="auto"/>
              </w:rPr>
            </w:pPr>
            <w:r>
              <w:rPr>
                <w:rFonts w:ascii="Times New Roman" w:cs="Times New Roman" w:eastAsia="Times New Roman" w:hAnsi="Times New Roman"/>
                <w:sz w:val="16"/>
                <w:szCs w:val="16"/>
                <w:color w:val="auto"/>
              </w:rPr>
              <w:t>(99)</w:t>
            </w:r>
          </w:p>
        </w:tc>
        <w:tc>
          <w:tcPr>
            <w:tcW w:w="880" w:type="dxa"/>
            <w:vAlign w:val="bottom"/>
            <w:tcBorders>
              <w:bottom w:val="single" w:sz="8" w:color="0C479D"/>
            </w:tcBorders>
          </w:tcPr>
          <w:p>
            <w:pPr>
              <w:jc w:val="right"/>
              <w:ind w:right="180"/>
              <w:spacing w:after="0"/>
              <w:rPr>
                <w:sz w:val="20"/>
                <w:szCs w:val="20"/>
                <w:color w:val="auto"/>
              </w:rPr>
            </w:pPr>
            <w:r>
              <w:rPr>
                <w:rFonts w:ascii="Times New Roman" w:cs="Times New Roman" w:eastAsia="Times New Roman" w:hAnsi="Times New Roman"/>
                <w:sz w:val="16"/>
                <w:szCs w:val="16"/>
                <w:color w:val="auto"/>
              </w:rPr>
              <w:t>(129)</w:t>
            </w:r>
          </w:p>
        </w:tc>
        <w:tc>
          <w:tcPr>
            <w:tcW w:w="680" w:type="dxa"/>
            <w:vAlign w:val="bottom"/>
            <w:tcBorders>
              <w:bottom w:val="single" w:sz="8" w:color="0C479D"/>
            </w:tcBorders>
          </w:tcPr>
          <w:p>
            <w:pPr>
              <w:jc w:val="right"/>
              <w:ind w:right="40"/>
              <w:spacing w:after="0"/>
              <w:rPr>
                <w:sz w:val="20"/>
                <w:szCs w:val="20"/>
                <w:color w:val="auto"/>
              </w:rPr>
            </w:pPr>
            <w:r>
              <w:rPr>
                <w:rFonts w:ascii="Times New Roman" w:cs="Times New Roman" w:eastAsia="Times New Roman" w:hAnsi="Times New Roman"/>
                <w:sz w:val="16"/>
                <w:szCs w:val="16"/>
                <w:color w:val="auto"/>
              </w:rPr>
              <w:t>(25)</w:t>
            </w:r>
          </w:p>
        </w:tc>
        <w:tc>
          <w:tcPr>
            <w:tcW w:w="6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(784)</w:t>
            </w:r>
          </w:p>
        </w:tc>
        <w:tc>
          <w:tcPr>
            <w:tcW w:w="0" w:type="dxa"/>
            <w:vAlign w:val="bottom"/>
          </w:tcPr>
          <w:p>
            <w:pPr>
              <w:spacing w:after="0"/>
              <w:rPr>
                <w:sz w:val="1"/>
                <w:szCs w:val="1"/>
                <w:color w:val="auto"/>
              </w:rPr>
            </w:pPr>
          </w:p>
        </w:tc>
      </w:tr>
      <w:tr>
        <w:trPr>
          <w:trHeight w:val="211"/>
        </w:trPr>
        <w:tc>
          <w:tcPr>
            <w:tcW w:w="256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940" w:type="dxa"/>
            <w:vAlign w:val="bottom"/>
            <w:tcBorders>
              <w:bottom w:val="single" w:sz="8" w:color="0C479D"/>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2,102</w:t>
            </w:r>
          </w:p>
        </w:tc>
        <w:tc>
          <w:tcPr>
            <w:tcW w:w="820" w:type="dxa"/>
            <w:vAlign w:val="bottom"/>
            <w:tcBorders>
              <w:bottom w:val="single" w:sz="8" w:color="0C479D"/>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994</w:t>
            </w:r>
          </w:p>
        </w:tc>
        <w:tc>
          <w:tcPr>
            <w:tcW w:w="720" w:type="dxa"/>
            <w:vAlign w:val="bottom"/>
            <w:tcBorders>
              <w:bottom w:val="single" w:sz="8" w:color="0C479D"/>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4</w:t>
            </w:r>
          </w:p>
        </w:tc>
        <w:tc>
          <w:tcPr>
            <w:tcW w:w="700" w:type="dxa"/>
            <w:vAlign w:val="bottom"/>
            <w:tcBorders>
              <w:bottom w:val="single" w:sz="8" w:color="0C479D"/>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224</w:t>
            </w:r>
          </w:p>
        </w:tc>
        <w:tc>
          <w:tcPr>
            <w:tcW w:w="900" w:type="dxa"/>
            <w:vAlign w:val="bottom"/>
            <w:tcBorders>
              <w:bottom w:val="single" w:sz="8" w:color="0C479D"/>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2,667</w:t>
            </w:r>
          </w:p>
        </w:tc>
        <w:tc>
          <w:tcPr>
            <w:tcW w:w="700" w:type="dxa"/>
            <w:vAlign w:val="bottom"/>
            <w:tcBorders>
              <w:bottom w:val="single" w:sz="8" w:color="0C479D"/>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61</w:t>
            </w:r>
          </w:p>
        </w:tc>
        <w:tc>
          <w:tcPr>
            <w:tcW w:w="840" w:type="dxa"/>
            <w:vAlign w:val="bottom"/>
            <w:tcBorders>
              <w:bottom w:val="single" w:sz="8" w:color="0C479D"/>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6,052</w:t>
            </w:r>
          </w:p>
        </w:tc>
        <w:tc>
          <w:tcPr>
            <w:tcW w:w="88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1,236</w:t>
            </w:r>
          </w:p>
        </w:tc>
        <w:tc>
          <w:tcPr>
            <w:tcW w:w="880" w:type="dxa"/>
            <w:vAlign w:val="bottom"/>
            <w:tcBorders>
              <w:bottom w:val="single" w:sz="8" w:color="0C479D"/>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2,414</w:t>
            </w:r>
          </w:p>
        </w:tc>
        <w:tc>
          <w:tcPr>
            <w:tcW w:w="680" w:type="dxa"/>
            <w:vAlign w:val="bottom"/>
            <w:tcBorders>
              <w:bottom w:val="single" w:sz="8" w:color="0C479D"/>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354</w:t>
            </w:r>
          </w:p>
        </w:tc>
        <w:tc>
          <w:tcPr>
            <w:tcW w:w="6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10,056</w:t>
            </w:r>
          </w:p>
        </w:tc>
        <w:tc>
          <w:tcPr>
            <w:tcW w:w="0" w:type="dxa"/>
            <w:vAlign w:val="bottom"/>
          </w:tcPr>
          <w:p>
            <w:pPr>
              <w:spacing w:after="0"/>
              <w:rPr>
                <w:sz w:val="1"/>
                <w:szCs w:val="1"/>
                <w:color w:val="auto"/>
              </w:rPr>
            </w:pPr>
          </w:p>
        </w:tc>
      </w:tr>
      <w:tr>
        <w:trPr>
          <w:trHeight w:val="186"/>
        </w:trPr>
        <w:tc>
          <w:tcPr>
            <w:tcW w:w="25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Attributable to noncontrolling interests</w:t>
            </w:r>
          </w:p>
        </w:tc>
        <w:tc>
          <w:tcPr>
            <w:tcW w:w="940" w:type="dxa"/>
            <w:vAlign w:val="bottom"/>
          </w:tcPr>
          <w:p>
            <w:pPr>
              <w:spacing w:after="0"/>
              <w:rPr>
                <w:sz w:val="16"/>
                <w:szCs w:val="16"/>
                <w:color w:val="auto"/>
              </w:rPr>
            </w:pPr>
          </w:p>
        </w:tc>
        <w:tc>
          <w:tcPr>
            <w:tcW w:w="820" w:type="dxa"/>
            <w:vAlign w:val="bottom"/>
          </w:tcPr>
          <w:p>
            <w:pPr>
              <w:jc w:val="right"/>
              <w:ind w:right="240"/>
              <w:spacing w:after="0"/>
              <w:rPr>
                <w:sz w:val="20"/>
                <w:szCs w:val="20"/>
                <w:color w:val="auto"/>
              </w:rPr>
            </w:pPr>
            <w:r>
              <w:rPr>
                <w:rFonts w:ascii="Times New Roman" w:cs="Times New Roman" w:eastAsia="Times New Roman" w:hAnsi="Times New Roman"/>
                <w:sz w:val="14"/>
                <w:szCs w:val="14"/>
                <w:i w:val="1"/>
                <w:iCs w:val="1"/>
                <w:color w:val="auto"/>
              </w:rPr>
              <w:t>1</w:t>
            </w: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jc w:val="right"/>
              <w:ind w:right="220"/>
              <w:spacing w:after="0"/>
              <w:rPr>
                <w:sz w:val="20"/>
                <w:szCs w:val="20"/>
                <w:color w:val="auto"/>
              </w:rPr>
            </w:pPr>
            <w:r>
              <w:rPr>
                <w:rFonts w:ascii="Times New Roman" w:cs="Times New Roman" w:eastAsia="Times New Roman" w:hAnsi="Times New Roman"/>
                <w:sz w:val="14"/>
                <w:szCs w:val="14"/>
                <w:i w:val="1"/>
                <w:iCs w:val="1"/>
                <w:color w:val="auto"/>
              </w:rPr>
              <w:t>551</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4"/>
                <w:szCs w:val="14"/>
                <w:i w:val="1"/>
                <w:iCs w:val="1"/>
                <w:color w:val="auto"/>
              </w:rPr>
              <w:t>108</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4"/>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0C479D"/>
              </w:rPr>
              <w:t>Proportional interest in proved</w:t>
            </w: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56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0C479D"/>
              </w:rPr>
              <w:t>reserves of equity companies</w:t>
            </w: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January 1, 2023</w:t>
            </w: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119</w:t>
            </w:r>
          </w:p>
        </w:tc>
        <w:tc>
          <w:tcPr>
            <w:tcW w:w="82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w:t>
            </w:r>
          </w:p>
        </w:tc>
        <w:tc>
          <w:tcPr>
            <w:tcW w:w="7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w:t>
            </w:r>
          </w:p>
        </w:tc>
        <w:tc>
          <w:tcPr>
            <w:tcW w:w="9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756</w:t>
            </w:r>
          </w:p>
        </w:tc>
        <w:tc>
          <w:tcPr>
            <w:tcW w:w="7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882</w:t>
            </w:r>
          </w:p>
        </w:tc>
        <w:tc>
          <w:tcPr>
            <w:tcW w:w="8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355</w:t>
            </w:r>
          </w:p>
        </w:tc>
        <w:tc>
          <w:tcPr>
            <w:tcW w:w="8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w:t>
            </w:r>
          </w:p>
        </w:tc>
        <w:tc>
          <w:tcPr>
            <w:tcW w:w="0" w:type="dxa"/>
            <w:vAlign w:val="bottom"/>
          </w:tcPr>
          <w:p>
            <w:pPr>
              <w:spacing w:after="0"/>
              <w:rPr>
                <w:sz w:val="1"/>
                <w:szCs w:val="1"/>
                <w:color w:val="auto"/>
              </w:rPr>
            </w:pPr>
          </w:p>
        </w:tc>
      </w:tr>
      <w:tr>
        <w:trPr>
          <w:trHeight w:val="216"/>
        </w:trPr>
        <w:tc>
          <w:tcPr>
            <w:tcW w:w="2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Revisions</w:t>
            </w: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w:t>
            </w:r>
          </w:p>
        </w:tc>
        <w:tc>
          <w:tcPr>
            <w:tcW w:w="7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103</w:t>
            </w:r>
          </w:p>
        </w:tc>
        <w:tc>
          <w:tcPr>
            <w:tcW w:w="7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104</w:t>
            </w:r>
          </w:p>
        </w:tc>
        <w:tc>
          <w:tcPr>
            <w:tcW w:w="8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1</w:t>
            </w:r>
          </w:p>
        </w:tc>
        <w:tc>
          <w:tcPr>
            <w:tcW w:w="8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16"/>
        </w:trPr>
        <w:tc>
          <w:tcPr>
            <w:tcW w:w="2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Improved recovery</w:t>
            </w: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w:t>
            </w: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Sales</w:t>
            </w:r>
          </w:p>
        </w:tc>
        <w:tc>
          <w:tcPr>
            <w:tcW w:w="9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(108)</w:t>
            </w:r>
          </w:p>
        </w:tc>
        <w:tc>
          <w:tcPr>
            <w:tcW w:w="82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(108)</w:t>
            </w: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8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216"/>
        </w:trPr>
        <w:tc>
          <w:tcPr>
            <w:tcW w:w="2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Extensions/discoveries</w:t>
            </w:r>
          </w:p>
        </w:tc>
        <w:tc>
          <w:tcPr>
            <w:tcW w:w="94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560" w:type="dxa"/>
            <w:vAlign w:val="bottom"/>
            <w:tcBorders>
              <w:bottom w:val="single" w:sz="8" w:color="0C479D"/>
            </w:tcBorders>
          </w:tcPr>
          <w:p>
            <w:pPr>
              <w:ind w:left="140"/>
              <w:spacing w:after="0"/>
              <w:rPr>
                <w:sz w:val="20"/>
                <w:szCs w:val="20"/>
                <w:color w:val="auto"/>
              </w:rPr>
            </w:pPr>
            <w:r>
              <w:rPr>
                <w:rFonts w:ascii="Times New Roman" w:cs="Times New Roman" w:eastAsia="Times New Roman" w:hAnsi="Times New Roman"/>
                <w:sz w:val="16"/>
                <w:szCs w:val="16"/>
                <w:color w:val="auto"/>
              </w:rPr>
              <w:t>Production</w:t>
            </w:r>
          </w:p>
        </w:tc>
        <w:tc>
          <w:tcPr>
            <w:tcW w:w="940" w:type="dxa"/>
            <w:vAlign w:val="bottom"/>
            <w:tcBorders>
              <w:bottom w:val="single" w:sz="8" w:color="0C479D"/>
            </w:tcBorders>
          </w:tcPr>
          <w:p>
            <w:pPr>
              <w:jc w:val="right"/>
              <w:ind w:right="179"/>
              <w:spacing w:after="0"/>
              <w:rPr>
                <w:sz w:val="20"/>
                <w:szCs w:val="20"/>
                <w:color w:val="auto"/>
              </w:rPr>
            </w:pPr>
            <w:r>
              <w:rPr>
                <w:rFonts w:ascii="Times New Roman" w:cs="Times New Roman" w:eastAsia="Times New Roman" w:hAnsi="Times New Roman"/>
                <w:sz w:val="16"/>
                <w:szCs w:val="16"/>
                <w:color w:val="auto"/>
              </w:rPr>
              <w:t>(4)</w:t>
            </w:r>
          </w:p>
        </w:tc>
        <w:tc>
          <w:tcPr>
            <w:tcW w:w="820" w:type="dxa"/>
            <w:vAlign w:val="bottom"/>
            <w:tcBorders>
              <w:bottom w:val="single" w:sz="8" w:color="0C479D"/>
            </w:tcBorders>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0C479D"/>
            </w:tcBorders>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0C479D"/>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0C479D"/>
            </w:tcBorders>
          </w:tcPr>
          <w:p>
            <w:pPr>
              <w:jc w:val="right"/>
              <w:ind w:right="239"/>
              <w:spacing w:after="0"/>
              <w:rPr>
                <w:sz w:val="20"/>
                <w:szCs w:val="20"/>
                <w:color w:val="auto"/>
              </w:rPr>
            </w:pPr>
            <w:r>
              <w:rPr>
                <w:rFonts w:ascii="Times New Roman" w:cs="Times New Roman" w:eastAsia="Times New Roman" w:hAnsi="Times New Roman"/>
                <w:sz w:val="16"/>
                <w:szCs w:val="16"/>
                <w:color w:val="auto"/>
              </w:rPr>
              <w:t>(79)</w:t>
            </w:r>
          </w:p>
        </w:tc>
        <w:tc>
          <w:tcPr>
            <w:tcW w:w="700" w:type="dxa"/>
            <w:vAlign w:val="bottom"/>
            <w:tcBorders>
              <w:bottom w:val="single" w:sz="8" w:color="0C479D"/>
            </w:tcBorders>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0C479D"/>
            </w:tcBorders>
          </w:tcPr>
          <w:p>
            <w:pPr>
              <w:jc w:val="right"/>
              <w:ind w:right="199"/>
              <w:spacing w:after="0"/>
              <w:rPr>
                <w:sz w:val="20"/>
                <w:szCs w:val="20"/>
                <w:color w:val="auto"/>
              </w:rPr>
            </w:pPr>
            <w:r>
              <w:rPr>
                <w:rFonts w:ascii="Times New Roman" w:cs="Times New Roman" w:eastAsia="Times New Roman" w:hAnsi="Times New Roman"/>
                <w:sz w:val="16"/>
                <w:szCs w:val="16"/>
                <w:color w:val="auto"/>
              </w:rPr>
              <w:t>(83)</w:t>
            </w:r>
          </w:p>
        </w:tc>
        <w:tc>
          <w:tcPr>
            <w:tcW w:w="880" w:type="dxa"/>
            <w:vAlign w:val="bottom"/>
            <w:tcBorders>
              <w:bottom w:val="single" w:sz="8" w:color="0C479D"/>
            </w:tcBorders>
          </w:tcPr>
          <w:p>
            <w:pPr>
              <w:jc w:val="right"/>
              <w:ind w:right="119"/>
              <w:spacing w:after="0"/>
              <w:rPr>
                <w:sz w:val="20"/>
                <w:szCs w:val="20"/>
                <w:color w:val="auto"/>
              </w:rPr>
            </w:pPr>
            <w:r>
              <w:rPr>
                <w:rFonts w:ascii="Times New Roman" w:cs="Times New Roman" w:eastAsia="Times New Roman" w:hAnsi="Times New Roman"/>
                <w:sz w:val="16"/>
                <w:szCs w:val="16"/>
                <w:color w:val="auto"/>
              </w:rPr>
              <w:t>(22)</w:t>
            </w:r>
          </w:p>
        </w:tc>
        <w:tc>
          <w:tcPr>
            <w:tcW w:w="880" w:type="dxa"/>
            <w:vAlign w:val="bottom"/>
            <w:tcBorders>
              <w:bottom w:val="single" w:sz="8" w:color="0C479D"/>
            </w:tcBorders>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0C479D"/>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11"/>
        </w:trPr>
        <w:tc>
          <w:tcPr>
            <w:tcW w:w="256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940" w:type="dxa"/>
            <w:vAlign w:val="bottom"/>
            <w:tcBorders>
              <w:bottom w:val="single" w:sz="8" w:color="0C479D"/>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7</w:t>
            </w:r>
          </w:p>
        </w:tc>
        <w:tc>
          <w:tcPr>
            <w:tcW w:w="820" w:type="dxa"/>
            <w:vAlign w:val="bottom"/>
            <w:tcBorders>
              <w:bottom w:val="single" w:sz="8" w:color="0C479D"/>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tcBorders>
              <w:bottom w:val="single" w:sz="8" w:color="0C479D"/>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3</w:t>
            </w:r>
          </w:p>
        </w:tc>
        <w:tc>
          <w:tcPr>
            <w:tcW w:w="700" w:type="dxa"/>
            <w:vAlign w:val="bottom"/>
            <w:tcBorders>
              <w:bottom w:val="single" w:sz="8" w:color="0C479D"/>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5</w:t>
            </w:r>
          </w:p>
        </w:tc>
        <w:tc>
          <w:tcPr>
            <w:tcW w:w="900" w:type="dxa"/>
            <w:vAlign w:val="bottom"/>
            <w:tcBorders>
              <w:bottom w:val="single" w:sz="8" w:color="0C479D"/>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780</w:t>
            </w:r>
          </w:p>
        </w:tc>
        <w:tc>
          <w:tcPr>
            <w:tcW w:w="700" w:type="dxa"/>
            <w:vAlign w:val="bottom"/>
            <w:tcBorders>
              <w:bottom w:val="single" w:sz="8" w:color="0C479D"/>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Borders>
              <w:bottom w:val="single" w:sz="8" w:color="0C479D"/>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795</w:t>
            </w:r>
          </w:p>
        </w:tc>
        <w:tc>
          <w:tcPr>
            <w:tcW w:w="880" w:type="dxa"/>
            <w:vAlign w:val="bottom"/>
            <w:tcBorders>
              <w:bottom w:val="single" w:sz="8" w:color="0C479D"/>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333</w:t>
            </w:r>
          </w:p>
        </w:tc>
        <w:tc>
          <w:tcPr>
            <w:tcW w:w="880" w:type="dxa"/>
            <w:vAlign w:val="bottom"/>
            <w:tcBorders>
              <w:bottom w:val="single" w:sz="8" w:color="0C479D"/>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Borders>
              <w:bottom w:val="single" w:sz="8" w:color="0C479D"/>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1,128</w:t>
            </w:r>
          </w:p>
        </w:tc>
        <w:tc>
          <w:tcPr>
            <w:tcW w:w="0" w:type="dxa"/>
            <w:vAlign w:val="bottom"/>
          </w:tcPr>
          <w:p>
            <w:pPr>
              <w:spacing w:after="0"/>
              <w:rPr>
                <w:sz w:val="1"/>
                <w:szCs w:val="1"/>
                <w:color w:val="auto"/>
              </w:rPr>
            </w:pPr>
          </w:p>
        </w:tc>
      </w:tr>
      <w:tr>
        <w:trPr>
          <w:trHeight w:val="157"/>
        </w:trPr>
        <w:tc>
          <w:tcPr>
            <w:tcW w:w="256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Total liquids proved reserves at</w:t>
            </w:r>
          </w:p>
        </w:tc>
        <w:tc>
          <w:tcPr>
            <w:tcW w:w="94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2,109</w:t>
            </w:r>
          </w:p>
        </w:tc>
        <w:tc>
          <w:tcPr>
            <w:tcW w:w="820" w:type="dxa"/>
            <w:vAlign w:val="bottom"/>
            <w:vMerge w:val="restart"/>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994</w:t>
            </w:r>
          </w:p>
        </w:tc>
        <w:tc>
          <w:tcPr>
            <w:tcW w:w="72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7</w:t>
            </w:r>
          </w:p>
        </w:tc>
        <w:tc>
          <w:tcPr>
            <w:tcW w:w="70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229</w:t>
            </w:r>
          </w:p>
        </w:tc>
        <w:tc>
          <w:tcPr>
            <w:tcW w:w="90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3,447</w:t>
            </w:r>
          </w:p>
        </w:tc>
        <w:tc>
          <w:tcPr>
            <w:tcW w:w="70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61</w:t>
            </w:r>
          </w:p>
        </w:tc>
        <w:tc>
          <w:tcPr>
            <w:tcW w:w="84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6,847</w:t>
            </w:r>
          </w:p>
        </w:tc>
        <w:tc>
          <w:tcPr>
            <w:tcW w:w="88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1,569</w:t>
            </w:r>
          </w:p>
        </w:tc>
        <w:tc>
          <w:tcPr>
            <w:tcW w:w="880" w:type="dxa"/>
            <w:vAlign w:val="bottom"/>
            <w:vMerge w:val="restart"/>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2,414</w:t>
            </w:r>
          </w:p>
        </w:tc>
        <w:tc>
          <w:tcPr>
            <w:tcW w:w="680" w:type="dxa"/>
            <w:vAlign w:val="bottom"/>
            <w:vMerge w:val="restart"/>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354</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11,184</w:t>
            </w:r>
          </w:p>
        </w:tc>
        <w:tc>
          <w:tcPr>
            <w:tcW w:w="0" w:type="dxa"/>
            <w:vAlign w:val="bottom"/>
          </w:tcPr>
          <w:p>
            <w:pPr>
              <w:spacing w:after="0"/>
              <w:rPr>
                <w:sz w:val="1"/>
                <w:szCs w:val="1"/>
                <w:color w:val="auto"/>
              </w:rPr>
            </w:pPr>
          </w:p>
        </w:tc>
      </w:tr>
      <w:tr>
        <w:trPr>
          <w:trHeight w:val="223"/>
        </w:trPr>
        <w:tc>
          <w:tcPr>
            <w:tcW w:w="2560" w:type="dxa"/>
            <w:vAlign w:val="bottom"/>
            <w:tcBorders>
              <w:bottom w:val="single" w:sz="8" w:color="0C479D"/>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940" w:type="dxa"/>
            <w:vAlign w:val="bottom"/>
            <w:tcBorders>
              <w:bottom w:val="single" w:sz="8" w:color="0C479D"/>
            </w:tcBorders>
            <w:vMerge w:val="continue"/>
          </w:tcPr>
          <w:p>
            <w:pPr>
              <w:spacing w:after="0"/>
              <w:rPr>
                <w:sz w:val="19"/>
                <w:szCs w:val="19"/>
                <w:color w:val="auto"/>
              </w:rPr>
            </w:pPr>
          </w:p>
        </w:tc>
        <w:tc>
          <w:tcPr>
            <w:tcW w:w="820" w:type="dxa"/>
            <w:vAlign w:val="bottom"/>
            <w:tcBorders>
              <w:bottom w:val="single" w:sz="8" w:color="0C479D"/>
            </w:tcBorders>
            <w:vMerge w:val="continue"/>
          </w:tcPr>
          <w:p>
            <w:pPr>
              <w:spacing w:after="0"/>
              <w:rPr>
                <w:sz w:val="19"/>
                <w:szCs w:val="19"/>
                <w:color w:val="auto"/>
              </w:rPr>
            </w:pPr>
          </w:p>
        </w:tc>
        <w:tc>
          <w:tcPr>
            <w:tcW w:w="720" w:type="dxa"/>
            <w:vAlign w:val="bottom"/>
            <w:tcBorders>
              <w:bottom w:val="single" w:sz="8" w:color="0C479D"/>
            </w:tcBorders>
            <w:vMerge w:val="continue"/>
          </w:tcPr>
          <w:p>
            <w:pPr>
              <w:spacing w:after="0"/>
              <w:rPr>
                <w:sz w:val="19"/>
                <w:szCs w:val="19"/>
                <w:color w:val="auto"/>
              </w:rPr>
            </w:pPr>
          </w:p>
        </w:tc>
        <w:tc>
          <w:tcPr>
            <w:tcW w:w="700" w:type="dxa"/>
            <w:vAlign w:val="bottom"/>
            <w:tcBorders>
              <w:bottom w:val="single" w:sz="8" w:color="0C479D"/>
            </w:tcBorders>
            <w:vMerge w:val="continue"/>
          </w:tcPr>
          <w:p>
            <w:pPr>
              <w:spacing w:after="0"/>
              <w:rPr>
                <w:sz w:val="19"/>
                <w:szCs w:val="19"/>
                <w:color w:val="auto"/>
              </w:rPr>
            </w:pPr>
          </w:p>
        </w:tc>
        <w:tc>
          <w:tcPr>
            <w:tcW w:w="900" w:type="dxa"/>
            <w:vAlign w:val="bottom"/>
            <w:tcBorders>
              <w:bottom w:val="single" w:sz="8" w:color="0C479D"/>
            </w:tcBorders>
            <w:vMerge w:val="continue"/>
          </w:tcPr>
          <w:p>
            <w:pPr>
              <w:spacing w:after="0"/>
              <w:rPr>
                <w:sz w:val="19"/>
                <w:szCs w:val="19"/>
                <w:color w:val="auto"/>
              </w:rPr>
            </w:pPr>
          </w:p>
        </w:tc>
        <w:tc>
          <w:tcPr>
            <w:tcW w:w="700" w:type="dxa"/>
            <w:vAlign w:val="bottom"/>
            <w:tcBorders>
              <w:bottom w:val="single" w:sz="8" w:color="0C479D"/>
            </w:tcBorders>
            <w:vMerge w:val="continue"/>
          </w:tcPr>
          <w:p>
            <w:pPr>
              <w:spacing w:after="0"/>
              <w:rPr>
                <w:sz w:val="19"/>
                <w:szCs w:val="19"/>
                <w:color w:val="auto"/>
              </w:rPr>
            </w:pPr>
          </w:p>
        </w:tc>
        <w:tc>
          <w:tcPr>
            <w:tcW w:w="840" w:type="dxa"/>
            <w:vAlign w:val="bottom"/>
            <w:tcBorders>
              <w:bottom w:val="single" w:sz="8" w:color="0C479D"/>
            </w:tcBorders>
            <w:vMerge w:val="continue"/>
          </w:tcPr>
          <w:p>
            <w:pPr>
              <w:spacing w:after="0"/>
              <w:rPr>
                <w:sz w:val="19"/>
                <w:szCs w:val="19"/>
                <w:color w:val="auto"/>
              </w:rPr>
            </w:pPr>
          </w:p>
        </w:tc>
        <w:tc>
          <w:tcPr>
            <w:tcW w:w="880" w:type="dxa"/>
            <w:vAlign w:val="bottom"/>
            <w:tcBorders>
              <w:bottom w:val="single" w:sz="8" w:color="0C479D"/>
            </w:tcBorders>
            <w:vMerge w:val="continue"/>
          </w:tcPr>
          <w:p>
            <w:pPr>
              <w:spacing w:after="0"/>
              <w:rPr>
                <w:sz w:val="19"/>
                <w:szCs w:val="19"/>
                <w:color w:val="auto"/>
              </w:rPr>
            </w:pPr>
          </w:p>
        </w:tc>
        <w:tc>
          <w:tcPr>
            <w:tcW w:w="880" w:type="dxa"/>
            <w:vAlign w:val="bottom"/>
            <w:tcBorders>
              <w:bottom w:val="single" w:sz="8" w:color="0C479D"/>
            </w:tcBorders>
            <w:vMerge w:val="continue"/>
          </w:tcPr>
          <w:p>
            <w:pPr>
              <w:spacing w:after="0"/>
              <w:rPr>
                <w:sz w:val="19"/>
                <w:szCs w:val="19"/>
                <w:color w:val="auto"/>
              </w:rPr>
            </w:pPr>
          </w:p>
        </w:tc>
        <w:tc>
          <w:tcPr>
            <w:tcW w:w="680" w:type="dxa"/>
            <w:vAlign w:val="bottom"/>
            <w:tcBorders>
              <w:bottom w:val="single" w:sz="8" w:color="0C479D"/>
            </w:tcBorders>
            <w:vMerge w:val="continue"/>
          </w:tcPr>
          <w:p>
            <w:pPr>
              <w:spacing w:after="0"/>
              <w:rPr>
                <w:sz w:val="19"/>
                <w:szCs w:val="19"/>
                <w:color w:val="auto"/>
              </w:rPr>
            </w:pPr>
          </w:p>
        </w:tc>
        <w:tc>
          <w:tcPr>
            <w:tcW w:w="620" w:type="dxa"/>
            <w:vAlign w:val="bottom"/>
            <w:tcBorders>
              <w:bottom w:val="single" w:sz="8" w:color="0C479D"/>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88" w:right="339" w:bottom="1440" w:gutter="0" w:footer="0" w:header="0"/>
        </w:sect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type w:val="continuous"/>
        </w:sectPr>
      </w:pPr>
    </w:p>
    <w:bookmarkStart w:id="128" w:name="page129"/>
    <w:bookmarkEnd w:id="128"/>
    <w:p>
      <w:pPr>
        <w:ind w:left="20"/>
        <w:spacing w:after="0"/>
        <w:rPr>
          <w:sz w:val="20"/>
          <w:szCs w:val="20"/>
          <w:color w:val="auto"/>
        </w:rPr>
      </w:pPr>
      <w:r>
        <w:rPr>
          <w:rFonts w:ascii="Times New Roman" w:cs="Times New Roman" w:eastAsia="Times New Roman" w:hAnsi="Times New Roman"/>
          <w:sz w:val="16"/>
          <w:szCs w:val="16"/>
          <w:b w:val="1"/>
          <w:bCs w:val="1"/>
          <w:color w:val="0C479D"/>
        </w:rPr>
        <w:t>Crude Oil, Natural Gas Liquids, Bitumen and Synthetic Oil Proved Reserves (continued)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600" w:type="dxa"/>
            <w:vAlign w:val="bottom"/>
            <w:tcBorders>
              <w:top w:val="single" w:sz="8" w:color="auto"/>
            </w:tcBorders>
            <w:shd w:val="clear" w:color="auto" w:fill="0C479D"/>
          </w:tcPr>
          <w:p>
            <w:pPr>
              <w:spacing w:after="0"/>
              <w:rPr>
                <w:sz w:val="23"/>
                <w:szCs w:val="23"/>
                <w:color w:val="auto"/>
              </w:rPr>
            </w:pPr>
          </w:p>
        </w:tc>
        <w:tc>
          <w:tcPr>
            <w:tcW w:w="760" w:type="dxa"/>
            <w:vAlign w:val="bottom"/>
            <w:tcBorders>
              <w:top w:val="single" w:sz="8" w:color="auto"/>
            </w:tcBorders>
            <w:shd w:val="clear" w:color="auto" w:fill="0C479D"/>
          </w:tcPr>
          <w:p>
            <w:pPr>
              <w:spacing w:after="0"/>
              <w:rPr>
                <w:sz w:val="23"/>
                <w:szCs w:val="23"/>
                <w:color w:val="auto"/>
              </w:rPr>
            </w:pPr>
          </w:p>
        </w:tc>
        <w:tc>
          <w:tcPr>
            <w:tcW w:w="840" w:type="dxa"/>
            <w:vAlign w:val="bottom"/>
            <w:tcBorders>
              <w:top w:val="single" w:sz="8" w:color="auto"/>
            </w:tcBorders>
            <w:shd w:val="clear" w:color="auto" w:fill="0C479D"/>
          </w:tcPr>
          <w:p>
            <w:pPr>
              <w:spacing w:after="0"/>
              <w:rPr>
                <w:sz w:val="23"/>
                <w:szCs w:val="23"/>
                <w:color w:val="auto"/>
              </w:rPr>
            </w:pPr>
          </w:p>
        </w:tc>
        <w:tc>
          <w:tcPr>
            <w:tcW w:w="680" w:type="dxa"/>
            <w:vAlign w:val="bottom"/>
            <w:tcBorders>
              <w:top w:val="single" w:sz="8" w:color="auto"/>
            </w:tcBorders>
            <w:shd w:val="clear" w:color="auto" w:fill="0C479D"/>
          </w:tcPr>
          <w:p>
            <w:pPr>
              <w:spacing w:after="0"/>
              <w:rPr>
                <w:sz w:val="23"/>
                <w:szCs w:val="23"/>
                <w:color w:val="auto"/>
              </w:rPr>
            </w:pPr>
          </w:p>
        </w:tc>
        <w:tc>
          <w:tcPr>
            <w:tcW w:w="780" w:type="dxa"/>
            <w:vAlign w:val="bottom"/>
            <w:tcBorders>
              <w:top w:val="single" w:sz="8" w:color="auto"/>
            </w:tcBorders>
            <w:vMerge w:val="restart"/>
            <w:shd w:val="clear" w:color="auto" w:fill="0C479D"/>
          </w:tcPr>
          <w:p>
            <w:pPr>
              <w:jc w:val="right"/>
              <w:ind w:right="60"/>
              <w:spacing w:after="0"/>
              <w:rPr>
                <w:sz w:val="20"/>
                <w:szCs w:val="20"/>
                <w:color w:val="auto"/>
              </w:rPr>
            </w:pPr>
            <w:r>
              <w:rPr>
                <w:rFonts w:ascii="Times New Roman" w:cs="Times New Roman" w:eastAsia="Times New Roman" w:hAnsi="Times New Roman"/>
                <w:sz w:val="14"/>
                <w:szCs w:val="14"/>
                <w:color w:val="FFFFFF"/>
              </w:rPr>
              <w:t>Crude Oil</w:t>
            </w:r>
          </w:p>
        </w:tc>
        <w:tc>
          <w:tcPr>
            <w:tcW w:w="680" w:type="dxa"/>
            <w:vAlign w:val="bottom"/>
            <w:tcBorders>
              <w:top w:val="single" w:sz="8" w:color="auto"/>
            </w:tcBorders>
            <w:shd w:val="clear" w:color="auto" w:fill="0C479D"/>
          </w:tcPr>
          <w:p>
            <w:pPr>
              <w:spacing w:after="0"/>
              <w:rPr>
                <w:sz w:val="23"/>
                <w:szCs w:val="23"/>
                <w:color w:val="auto"/>
              </w:rPr>
            </w:pPr>
          </w:p>
        </w:tc>
        <w:tc>
          <w:tcPr>
            <w:tcW w:w="900" w:type="dxa"/>
            <w:vAlign w:val="bottom"/>
            <w:tcBorders>
              <w:top w:val="single" w:sz="8" w:color="auto"/>
            </w:tcBorders>
            <w:shd w:val="clear" w:color="auto" w:fill="0C479D"/>
          </w:tcPr>
          <w:p>
            <w:pPr>
              <w:spacing w:after="0"/>
              <w:rPr>
                <w:sz w:val="23"/>
                <w:szCs w:val="23"/>
                <w:color w:val="auto"/>
              </w:rPr>
            </w:pPr>
          </w:p>
        </w:tc>
        <w:tc>
          <w:tcPr>
            <w:tcW w:w="680" w:type="dxa"/>
            <w:vAlign w:val="bottom"/>
            <w:tcBorders>
              <w:top w:val="single" w:sz="8" w:color="auto"/>
            </w:tcBorders>
            <w:shd w:val="clear" w:color="auto" w:fill="0C479D"/>
          </w:tcPr>
          <w:p>
            <w:pPr>
              <w:spacing w:after="0"/>
              <w:rPr>
                <w:sz w:val="23"/>
                <w:szCs w:val="23"/>
                <w:color w:val="auto"/>
              </w:rPr>
            </w:pPr>
          </w:p>
        </w:tc>
        <w:tc>
          <w:tcPr>
            <w:tcW w:w="960" w:type="dxa"/>
            <w:vAlign w:val="bottom"/>
            <w:tcBorders>
              <w:top w:val="single" w:sz="8" w:color="auto"/>
            </w:tcBorders>
            <w:shd w:val="clear" w:color="auto" w:fill="0C479D"/>
          </w:tcPr>
          <w:p>
            <w:pPr>
              <w:jc w:val="center"/>
              <w:spacing w:after="0"/>
              <w:rPr>
                <w:sz w:val="20"/>
                <w:szCs w:val="20"/>
                <w:color w:val="auto"/>
              </w:rPr>
            </w:pPr>
            <w:r>
              <w:rPr>
                <w:rFonts w:ascii="Times New Roman" w:cs="Times New Roman" w:eastAsia="Times New Roman" w:hAnsi="Times New Roman"/>
                <w:sz w:val="14"/>
                <w:szCs w:val="14"/>
                <w:color w:val="FFFFFF"/>
              </w:rPr>
              <w:t>Natural Gas</w:t>
            </w:r>
          </w:p>
        </w:tc>
        <w:tc>
          <w:tcPr>
            <w:tcW w:w="840" w:type="dxa"/>
            <w:vAlign w:val="bottom"/>
            <w:tcBorders>
              <w:top w:val="single" w:sz="8" w:color="auto"/>
            </w:tcBorders>
            <w:vMerge w:val="restart"/>
            <w:shd w:val="clear" w:color="auto" w:fill="0C479D"/>
          </w:tcPr>
          <w:p>
            <w:pPr>
              <w:jc w:val="center"/>
              <w:spacing w:after="0"/>
              <w:rPr>
                <w:sz w:val="20"/>
                <w:szCs w:val="20"/>
                <w:color w:val="auto"/>
              </w:rPr>
            </w:pPr>
            <w:r>
              <w:rPr>
                <w:rFonts w:ascii="Times New Roman" w:cs="Times New Roman" w:eastAsia="Times New Roman" w:hAnsi="Times New Roman"/>
                <w:sz w:val="14"/>
                <w:szCs w:val="14"/>
                <w:color w:val="FFFFFF"/>
              </w:rPr>
              <w:t>Bitumen</w:t>
            </w:r>
          </w:p>
        </w:tc>
        <w:tc>
          <w:tcPr>
            <w:tcW w:w="840" w:type="dxa"/>
            <w:vAlign w:val="bottom"/>
            <w:tcBorders>
              <w:top w:val="single" w:sz="8" w:color="auto"/>
            </w:tcBorders>
            <w:shd w:val="clear" w:color="auto" w:fill="0C479D"/>
          </w:tcPr>
          <w:p>
            <w:pPr>
              <w:jc w:val="center"/>
              <w:ind w:right="1"/>
              <w:spacing w:after="0"/>
              <w:rPr>
                <w:sz w:val="20"/>
                <w:szCs w:val="20"/>
                <w:color w:val="auto"/>
              </w:rPr>
            </w:pPr>
            <w:r>
              <w:rPr>
                <w:rFonts w:ascii="Times New Roman" w:cs="Times New Roman" w:eastAsia="Times New Roman" w:hAnsi="Times New Roman"/>
                <w:sz w:val="14"/>
                <w:szCs w:val="14"/>
                <w:color w:val="FFFFFF"/>
              </w:rPr>
              <w:t>Synthetic</w:t>
            </w:r>
          </w:p>
        </w:tc>
        <w:tc>
          <w:tcPr>
            <w:tcW w:w="640" w:type="dxa"/>
            <w:vAlign w:val="bottom"/>
            <w:tcBorders>
              <w:top w:val="single" w:sz="8" w:color="auto"/>
            </w:tcBorders>
            <w:shd w:val="clear" w:color="auto" w:fill="0C479D"/>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2600" w:type="dxa"/>
            <w:vAlign w:val="bottom"/>
            <w:shd w:val="clear" w:color="auto" w:fill="0C479D"/>
          </w:tcPr>
          <w:p>
            <w:pPr>
              <w:spacing w:after="0"/>
              <w:rPr>
                <w:sz w:val="16"/>
                <w:szCs w:val="16"/>
                <w:color w:val="auto"/>
              </w:rPr>
            </w:pPr>
          </w:p>
        </w:tc>
        <w:tc>
          <w:tcPr>
            <w:tcW w:w="760" w:type="dxa"/>
            <w:vAlign w:val="bottom"/>
            <w:shd w:val="clear" w:color="auto" w:fill="0C479D"/>
          </w:tcPr>
          <w:p>
            <w:pPr>
              <w:spacing w:after="0"/>
              <w:rPr>
                <w:sz w:val="16"/>
                <w:szCs w:val="16"/>
                <w:color w:val="auto"/>
              </w:rPr>
            </w:pPr>
          </w:p>
        </w:tc>
        <w:tc>
          <w:tcPr>
            <w:tcW w:w="840" w:type="dxa"/>
            <w:vAlign w:val="bottom"/>
            <w:shd w:val="clear" w:color="auto" w:fill="0C479D"/>
          </w:tcPr>
          <w:p>
            <w:pPr>
              <w:spacing w:after="0"/>
              <w:rPr>
                <w:sz w:val="16"/>
                <w:szCs w:val="16"/>
                <w:color w:val="auto"/>
              </w:rPr>
            </w:pPr>
          </w:p>
        </w:tc>
        <w:tc>
          <w:tcPr>
            <w:tcW w:w="680" w:type="dxa"/>
            <w:vAlign w:val="bottom"/>
            <w:shd w:val="clear" w:color="auto" w:fill="0C479D"/>
          </w:tcPr>
          <w:p>
            <w:pPr>
              <w:spacing w:after="0"/>
              <w:rPr>
                <w:sz w:val="16"/>
                <w:szCs w:val="16"/>
                <w:color w:val="auto"/>
              </w:rPr>
            </w:pPr>
          </w:p>
        </w:tc>
        <w:tc>
          <w:tcPr>
            <w:tcW w:w="780" w:type="dxa"/>
            <w:vAlign w:val="bottom"/>
            <w:vMerge w:val="continue"/>
            <w:shd w:val="clear" w:color="auto" w:fill="0C479D"/>
          </w:tcPr>
          <w:p>
            <w:pPr>
              <w:spacing w:after="0"/>
              <w:rPr>
                <w:sz w:val="16"/>
                <w:szCs w:val="16"/>
                <w:color w:val="auto"/>
              </w:rPr>
            </w:pPr>
          </w:p>
        </w:tc>
        <w:tc>
          <w:tcPr>
            <w:tcW w:w="680" w:type="dxa"/>
            <w:vAlign w:val="bottom"/>
            <w:shd w:val="clear" w:color="auto" w:fill="0C479D"/>
          </w:tcPr>
          <w:p>
            <w:pPr>
              <w:spacing w:after="0"/>
              <w:rPr>
                <w:sz w:val="16"/>
                <w:szCs w:val="16"/>
                <w:color w:val="auto"/>
              </w:rPr>
            </w:pPr>
          </w:p>
        </w:tc>
        <w:tc>
          <w:tcPr>
            <w:tcW w:w="900" w:type="dxa"/>
            <w:vAlign w:val="bottom"/>
            <w:shd w:val="clear" w:color="auto" w:fill="0C479D"/>
          </w:tcPr>
          <w:p>
            <w:pPr>
              <w:spacing w:after="0"/>
              <w:rPr>
                <w:sz w:val="16"/>
                <w:szCs w:val="16"/>
                <w:color w:val="auto"/>
              </w:rPr>
            </w:pPr>
          </w:p>
        </w:tc>
        <w:tc>
          <w:tcPr>
            <w:tcW w:w="680" w:type="dxa"/>
            <w:vAlign w:val="bottom"/>
            <w:shd w:val="clear" w:color="auto" w:fill="0C479D"/>
          </w:tcPr>
          <w:p>
            <w:pPr>
              <w:spacing w:after="0"/>
              <w:rPr>
                <w:sz w:val="16"/>
                <w:szCs w:val="16"/>
                <w:color w:val="auto"/>
              </w:rPr>
            </w:pPr>
          </w:p>
        </w:tc>
        <w:tc>
          <w:tcPr>
            <w:tcW w:w="96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color w:val="FFFFFF"/>
              </w:rPr>
              <w:t>Liquids</w:t>
            </w:r>
          </w:p>
        </w:tc>
        <w:tc>
          <w:tcPr>
            <w:tcW w:w="840" w:type="dxa"/>
            <w:vAlign w:val="bottom"/>
            <w:vMerge w:val="continue"/>
            <w:shd w:val="clear" w:color="auto" w:fill="0C479D"/>
          </w:tcPr>
          <w:p>
            <w:pPr>
              <w:spacing w:after="0"/>
              <w:rPr>
                <w:sz w:val="16"/>
                <w:szCs w:val="16"/>
                <w:color w:val="auto"/>
              </w:rPr>
            </w:pPr>
          </w:p>
        </w:tc>
        <w:tc>
          <w:tcPr>
            <w:tcW w:w="840" w:type="dxa"/>
            <w:vAlign w:val="bottom"/>
            <w:shd w:val="clear" w:color="auto" w:fill="0C479D"/>
          </w:tcPr>
          <w:p>
            <w:pPr>
              <w:jc w:val="center"/>
              <w:ind w:right="1"/>
              <w:spacing w:after="0"/>
              <w:rPr>
                <w:sz w:val="20"/>
                <w:szCs w:val="20"/>
                <w:color w:val="auto"/>
              </w:rPr>
            </w:pPr>
            <w:r>
              <w:rPr>
                <w:rFonts w:ascii="Times New Roman" w:cs="Times New Roman" w:eastAsia="Times New Roman" w:hAnsi="Times New Roman"/>
                <w:sz w:val="14"/>
                <w:szCs w:val="14"/>
                <w:color w:val="FFFFFF"/>
              </w:rPr>
              <w:t>Oil</w:t>
            </w:r>
          </w:p>
        </w:tc>
        <w:tc>
          <w:tcPr>
            <w:tcW w:w="640" w:type="dxa"/>
            <w:vAlign w:val="bottom"/>
            <w:shd w:val="clear" w:color="auto" w:fill="0C479D"/>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600" w:type="dxa"/>
            <w:vAlign w:val="bottom"/>
            <w:shd w:val="clear" w:color="auto" w:fill="0C479D"/>
          </w:tcPr>
          <w:p>
            <w:pPr>
              <w:spacing w:after="0"/>
              <w:rPr>
                <w:sz w:val="14"/>
                <w:szCs w:val="14"/>
                <w:color w:val="auto"/>
              </w:rPr>
            </w:pPr>
          </w:p>
        </w:tc>
        <w:tc>
          <w:tcPr>
            <w:tcW w:w="760" w:type="dxa"/>
            <w:vAlign w:val="bottom"/>
            <w:vMerge w:val="restart"/>
            <w:shd w:val="clear" w:color="auto" w:fill="0C479D"/>
          </w:tcPr>
          <w:p>
            <w:pPr>
              <w:jc w:val="right"/>
              <w:ind w:right="140"/>
              <w:spacing w:after="0"/>
              <w:rPr>
                <w:sz w:val="20"/>
                <w:szCs w:val="20"/>
                <w:color w:val="auto"/>
              </w:rPr>
            </w:pPr>
            <w:r>
              <w:rPr>
                <w:rFonts w:ascii="Times New Roman" w:cs="Times New Roman" w:eastAsia="Times New Roman" w:hAnsi="Times New Roman"/>
                <w:sz w:val="14"/>
                <w:szCs w:val="14"/>
                <w:color w:val="FFFFFF"/>
              </w:rPr>
              <w:t>United</w:t>
            </w:r>
          </w:p>
        </w:tc>
        <w:tc>
          <w:tcPr>
            <w:tcW w:w="84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color w:val="FFFFFF"/>
              </w:rPr>
              <w:t>Canada/</w:t>
            </w:r>
          </w:p>
        </w:tc>
        <w:tc>
          <w:tcPr>
            <w:tcW w:w="680" w:type="dxa"/>
            <w:vAlign w:val="bottom"/>
            <w:shd w:val="clear" w:color="auto" w:fill="0C479D"/>
          </w:tcPr>
          <w:p>
            <w:pPr>
              <w:spacing w:after="0"/>
              <w:rPr>
                <w:sz w:val="14"/>
                <w:szCs w:val="14"/>
                <w:color w:val="auto"/>
              </w:rPr>
            </w:pPr>
          </w:p>
        </w:tc>
        <w:tc>
          <w:tcPr>
            <w:tcW w:w="780" w:type="dxa"/>
            <w:vAlign w:val="bottom"/>
            <w:shd w:val="clear" w:color="auto" w:fill="0C479D"/>
          </w:tcPr>
          <w:p>
            <w:pPr>
              <w:spacing w:after="0"/>
              <w:rPr>
                <w:sz w:val="14"/>
                <w:szCs w:val="14"/>
                <w:color w:val="auto"/>
              </w:rPr>
            </w:pPr>
          </w:p>
        </w:tc>
        <w:tc>
          <w:tcPr>
            <w:tcW w:w="680" w:type="dxa"/>
            <w:vAlign w:val="bottom"/>
            <w:shd w:val="clear" w:color="auto" w:fill="0C479D"/>
          </w:tcPr>
          <w:p>
            <w:pPr>
              <w:spacing w:after="0"/>
              <w:rPr>
                <w:sz w:val="14"/>
                <w:szCs w:val="14"/>
                <w:color w:val="auto"/>
              </w:rPr>
            </w:pPr>
          </w:p>
        </w:tc>
        <w:tc>
          <w:tcPr>
            <w:tcW w:w="900" w:type="dxa"/>
            <w:vAlign w:val="bottom"/>
            <w:vMerge w:val="restart"/>
            <w:shd w:val="clear" w:color="auto" w:fill="0C479D"/>
          </w:tcPr>
          <w:p>
            <w:pPr>
              <w:jc w:val="right"/>
              <w:ind w:right="160"/>
              <w:spacing w:after="0"/>
              <w:rPr>
                <w:sz w:val="20"/>
                <w:szCs w:val="20"/>
                <w:color w:val="auto"/>
              </w:rPr>
            </w:pPr>
            <w:r>
              <w:rPr>
                <w:rFonts w:ascii="Times New Roman" w:cs="Times New Roman" w:eastAsia="Times New Roman" w:hAnsi="Times New Roman"/>
                <w:sz w:val="14"/>
                <w:szCs w:val="14"/>
                <w:color w:val="FFFFFF"/>
              </w:rPr>
              <w:t>Australia/</w:t>
            </w:r>
          </w:p>
        </w:tc>
        <w:tc>
          <w:tcPr>
            <w:tcW w:w="680" w:type="dxa"/>
            <w:vAlign w:val="bottom"/>
            <w:shd w:val="clear" w:color="auto" w:fill="0C479D"/>
          </w:tcPr>
          <w:p>
            <w:pPr>
              <w:spacing w:after="0"/>
              <w:rPr>
                <w:sz w:val="14"/>
                <w:szCs w:val="14"/>
                <w:color w:val="auto"/>
              </w:rPr>
            </w:pPr>
          </w:p>
        </w:tc>
        <w:tc>
          <w:tcPr>
            <w:tcW w:w="960" w:type="dxa"/>
            <w:vAlign w:val="bottom"/>
            <w:shd w:val="clear" w:color="auto" w:fill="0C479D"/>
          </w:tcPr>
          <w:p>
            <w:pPr>
              <w:spacing w:after="0"/>
              <w:rPr>
                <w:sz w:val="14"/>
                <w:szCs w:val="14"/>
                <w:color w:val="auto"/>
              </w:rPr>
            </w:pPr>
          </w:p>
        </w:tc>
        <w:tc>
          <w:tcPr>
            <w:tcW w:w="840" w:type="dxa"/>
            <w:vAlign w:val="bottom"/>
            <w:shd w:val="clear" w:color="auto" w:fill="0C479D"/>
          </w:tcPr>
          <w:p>
            <w:pPr>
              <w:jc w:val="center"/>
              <w:ind w:right="1"/>
              <w:spacing w:after="0"/>
              <w:rPr>
                <w:sz w:val="20"/>
                <w:szCs w:val="20"/>
                <w:color w:val="auto"/>
              </w:rPr>
            </w:pPr>
            <w:r>
              <w:rPr>
                <w:rFonts w:ascii="Times New Roman" w:cs="Times New Roman" w:eastAsia="Times New Roman" w:hAnsi="Times New Roman"/>
                <w:sz w:val="14"/>
                <w:szCs w:val="14"/>
                <w:color w:val="FFFFFF"/>
              </w:rPr>
              <w:t>Canada/</w:t>
            </w:r>
          </w:p>
        </w:tc>
        <w:tc>
          <w:tcPr>
            <w:tcW w:w="840" w:type="dxa"/>
            <w:vAlign w:val="bottom"/>
            <w:shd w:val="clear" w:color="auto" w:fill="0C479D"/>
          </w:tcPr>
          <w:p>
            <w:pPr>
              <w:jc w:val="center"/>
              <w:ind w:right="1"/>
              <w:spacing w:after="0"/>
              <w:rPr>
                <w:sz w:val="20"/>
                <w:szCs w:val="20"/>
                <w:color w:val="auto"/>
              </w:rPr>
            </w:pPr>
            <w:r>
              <w:rPr>
                <w:rFonts w:ascii="Times New Roman" w:cs="Times New Roman" w:eastAsia="Times New Roman" w:hAnsi="Times New Roman"/>
                <w:sz w:val="14"/>
                <w:szCs w:val="14"/>
                <w:color w:val="FFFFFF"/>
              </w:rPr>
              <w:t>Canada/</w:t>
            </w:r>
          </w:p>
        </w:tc>
        <w:tc>
          <w:tcPr>
            <w:tcW w:w="640" w:type="dxa"/>
            <w:vAlign w:val="bottom"/>
            <w:shd w:val="clear" w:color="auto" w:fill="0C479D"/>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00" w:type="dxa"/>
            <w:vAlign w:val="bottom"/>
            <w:vMerge w:val="restart"/>
            <w:shd w:val="clear" w:color="auto" w:fill="0C479D"/>
          </w:tcPr>
          <w:p>
            <w:pPr>
              <w:ind w:left="60"/>
              <w:spacing w:after="0"/>
              <w:rPr>
                <w:sz w:val="20"/>
                <w:szCs w:val="20"/>
                <w:color w:val="auto"/>
              </w:rPr>
            </w:pPr>
            <w:r>
              <w:rPr>
                <w:rFonts w:ascii="Times New Roman" w:cs="Times New Roman" w:eastAsia="Times New Roman" w:hAnsi="Times New Roman"/>
                <w:sz w:val="14"/>
                <w:szCs w:val="14"/>
                <w:i w:val="1"/>
                <w:iCs w:val="1"/>
                <w:color w:val="FFFFFF"/>
              </w:rPr>
              <w:t>(millions of barrels)</w:t>
            </w:r>
          </w:p>
        </w:tc>
        <w:tc>
          <w:tcPr>
            <w:tcW w:w="760" w:type="dxa"/>
            <w:vAlign w:val="bottom"/>
            <w:vMerge w:val="continue"/>
            <w:shd w:val="clear" w:color="auto" w:fill="0C479D"/>
          </w:tcPr>
          <w:p>
            <w:pPr>
              <w:spacing w:after="0"/>
              <w:rPr>
                <w:sz w:val="12"/>
                <w:szCs w:val="12"/>
                <w:color w:val="auto"/>
              </w:rPr>
            </w:pPr>
          </w:p>
        </w:tc>
        <w:tc>
          <w:tcPr>
            <w:tcW w:w="840" w:type="dxa"/>
            <w:vAlign w:val="bottom"/>
            <w:shd w:val="clear" w:color="auto" w:fill="0C479D"/>
          </w:tcPr>
          <w:p>
            <w:pPr>
              <w:jc w:val="center"/>
              <w:spacing w:after="0" w:line="149" w:lineRule="exact"/>
              <w:rPr>
                <w:sz w:val="20"/>
                <w:szCs w:val="20"/>
                <w:color w:val="auto"/>
              </w:rPr>
            </w:pPr>
            <w:r>
              <w:rPr>
                <w:rFonts w:ascii="Times New Roman" w:cs="Times New Roman" w:eastAsia="Times New Roman" w:hAnsi="Times New Roman"/>
                <w:sz w:val="14"/>
                <w:szCs w:val="14"/>
                <w:color w:val="FFFFFF"/>
              </w:rPr>
              <w:t>Other</w:t>
            </w:r>
          </w:p>
        </w:tc>
        <w:tc>
          <w:tcPr>
            <w:tcW w:w="680" w:type="dxa"/>
            <w:vAlign w:val="bottom"/>
            <w:vMerge w:val="restart"/>
            <w:shd w:val="clear" w:color="auto" w:fill="0C479D"/>
          </w:tcPr>
          <w:p>
            <w:pPr>
              <w:jc w:val="right"/>
              <w:ind w:right="80"/>
              <w:spacing w:after="0"/>
              <w:rPr>
                <w:sz w:val="20"/>
                <w:szCs w:val="20"/>
                <w:color w:val="auto"/>
              </w:rPr>
            </w:pPr>
            <w:r>
              <w:rPr>
                <w:rFonts w:ascii="Times New Roman" w:cs="Times New Roman" w:eastAsia="Times New Roman" w:hAnsi="Times New Roman"/>
                <w:sz w:val="14"/>
                <w:szCs w:val="14"/>
                <w:color w:val="FFFFFF"/>
              </w:rPr>
              <w:t>Europe</w:t>
            </w:r>
          </w:p>
        </w:tc>
        <w:tc>
          <w:tcPr>
            <w:tcW w:w="780" w:type="dxa"/>
            <w:vAlign w:val="bottom"/>
            <w:vMerge w:val="restart"/>
            <w:shd w:val="clear" w:color="auto" w:fill="0C479D"/>
          </w:tcPr>
          <w:p>
            <w:pPr>
              <w:jc w:val="right"/>
              <w:ind w:right="180"/>
              <w:spacing w:after="0"/>
              <w:rPr>
                <w:sz w:val="20"/>
                <w:szCs w:val="20"/>
                <w:color w:val="auto"/>
              </w:rPr>
            </w:pPr>
            <w:r>
              <w:rPr>
                <w:rFonts w:ascii="Times New Roman" w:cs="Times New Roman" w:eastAsia="Times New Roman" w:hAnsi="Times New Roman"/>
                <w:sz w:val="14"/>
                <w:szCs w:val="14"/>
                <w:color w:val="FFFFFF"/>
              </w:rPr>
              <w:t>Africa</w:t>
            </w:r>
          </w:p>
        </w:tc>
        <w:tc>
          <w:tcPr>
            <w:tcW w:w="680" w:type="dxa"/>
            <w:vAlign w:val="bottom"/>
            <w:vMerge w:val="restart"/>
            <w:shd w:val="clear" w:color="auto" w:fill="0C479D"/>
          </w:tcPr>
          <w:p>
            <w:pPr>
              <w:jc w:val="right"/>
              <w:ind w:right="220"/>
              <w:spacing w:after="0"/>
              <w:rPr>
                <w:sz w:val="20"/>
                <w:szCs w:val="20"/>
                <w:color w:val="auto"/>
              </w:rPr>
            </w:pPr>
            <w:r>
              <w:rPr>
                <w:rFonts w:ascii="Times New Roman" w:cs="Times New Roman" w:eastAsia="Times New Roman" w:hAnsi="Times New Roman"/>
                <w:sz w:val="14"/>
                <w:szCs w:val="14"/>
                <w:color w:val="FFFFFF"/>
              </w:rPr>
              <w:t>Asia</w:t>
            </w:r>
          </w:p>
        </w:tc>
        <w:tc>
          <w:tcPr>
            <w:tcW w:w="900" w:type="dxa"/>
            <w:vAlign w:val="bottom"/>
            <w:vMerge w:val="continue"/>
            <w:shd w:val="clear" w:color="auto" w:fill="0C479D"/>
          </w:tcPr>
          <w:p>
            <w:pPr>
              <w:spacing w:after="0"/>
              <w:rPr>
                <w:sz w:val="12"/>
                <w:szCs w:val="12"/>
                <w:color w:val="auto"/>
              </w:rPr>
            </w:pPr>
          </w:p>
        </w:tc>
        <w:tc>
          <w:tcPr>
            <w:tcW w:w="680" w:type="dxa"/>
            <w:vAlign w:val="bottom"/>
            <w:vMerge w:val="restart"/>
            <w:shd w:val="clear" w:color="auto" w:fill="0C479D"/>
          </w:tcPr>
          <w:p>
            <w:pPr>
              <w:jc w:val="right"/>
              <w:ind w:right="160"/>
              <w:spacing w:after="0"/>
              <w:rPr>
                <w:sz w:val="20"/>
                <w:szCs w:val="20"/>
                <w:color w:val="auto"/>
              </w:rPr>
            </w:pPr>
            <w:r>
              <w:rPr>
                <w:rFonts w:ascii="Times New Roman" w:cs="Times New Roman" w:eastAsia="Times New Roman" w:hAnsi="Times New Roman"/>
                <w:sz w:val="14"/>
                <w:szCs w:val="14"/>
                <w:color w:val="FFFFFF"/>
              </w:rPr>
              <w:t>Total</w:t>
            </w:r>
          </w:p>
        </w:tc>
        <w:tc>
          <w:tcPr>
            <w:tcW w:w="960" w:type="dxa"/>
            <w:vAlign w:val="bottom"/>
            <w:vMerge w:val="restart"/>
            <w:shd w:val="clear" w:color="auto" w:fill="0C479D"/>
          </w:tcPr>
          <w:p>
            <w:pPr>
              <w:jc w:val="center"/>
              <w:spacing w:after="0"/>
              <w:rPr>
                <w:sz w:val="20"/>
                <w:szCs w:val="20"/>
                <w:color w:val="auto"/>
              </w:rPr>
            </w:pPr>
            <w:r>
              <w:rPr>
                <w:rFonts w:ascii="Times New Roman" w:cs="Times New Roman" w:eastAsia="Times New Roman" w:hAnsi="Times New Roman"/>
                <w:sz w:val="14"/>
                <w:szCs w:val="14"/>
                <w:color w:val="FFFFFF"/>
                <w:w w:val="98"/>
              </w:rPr>
              <w:t>Worldwide</w:t>
            </w:r>
          </w:p>
        </w:tc>
        <w:tc>
          <w:tcPr>
            <w:tcW w:w="840" w:type="dxa"/>
            <w:vAlign w:val="bottom"/>
            <w:shd w:val="clear" w:color="auto" w:fill="0C479D"/>
          </w:tcPr>
          <w:p>
            <w:pPr>
              <w:jc w:val="center"/>
              <w:ind w:right="1"/>
              <w:spacing w:after="0" w:line="149" w:lineRule="exact"/>
              <w:rPr>
                <w:sz w:val="20"/>
                <w:szCs w:val="20"/>
                <w:color w:val="auto"/>
              </w:rPr>
            </w:pPr>
            <w:r>
              <w:rPr>
                <w:rFonts w:ascii="Times New Roman" w:cs="Times New Roman" w:eastAsia="Times New Roman" w:hAnsi="Times New Roman"/>
                <w:sz w:val="14"/>
                <w:szCs w:val="14"/>
                <w:color w:val="FFFFFF"/>
              </w:rPr>
              <w:t>Other</w:t>
            </w:r>
          </w:p>
        </w:tc>
        <w:tc>
          <w:tcPr>
            <w:tcW w:w="840" w:type="dxa"/>
            <w:vAlign w:val="bottom"/>
            <w:shd w:val="clear" w:color="auto" w:fill="0C479D"/>
          </w:tcPr>
          <w:p>
            <w:pPr>
              <w:jc w:val="center"/>
              <w:ind w:right="1"/>
              <w:spacing w:after="0" w:line="149" w:lineRule="exact"/>
              <w:rPr>
                <w:sz w:val="20"/>
                <w:szCs w:val="20"/>
                <w:color w:val="auto"/>
              </w:rPr>
            </w:pPr>
            <w:r>
              <w:rPr>
                <w:rFonts w:ascii="Times New Roman" w:cs="Times New Roman" w:eastAsia="Times New Roman" w:hAnsi="Times New Roman"/>
                <w:sz w:val="14"/>
                <w:szCs w:val="14"/>
                <w:color w:val="FFFFFF"/>
              </w:rPr>
              <w:t>Other</w:t>
            </w:r>
          </w:p>
        </w:tc>
        <w:tc>
          <w:tcPr>
            <w:tcW w:w="640" w:type="dxa"/>
            <w:vAlign w:val="bottom"/>
            <w:vMerge w:val="restart"/>
            <w:shd w:val="clear" w:color="auto" w:fill="0C479D"/>
          </w:tcPr>
          <w:p>
            <w:pPr>
              <w:jc w:val="right"/>
              <w:ind w:right="100"/>
              <w:spacing w:after="0"/>
              <w:rPr>
                <w:sz w:val="20"/>
                <w:szCs w:val="20"/>
                <w:color w:val="auto"/>
              </w:rPr>
            </w:pPr>
            <w:r>
              <w:rPr>
                <w:rFonts w:ascii="Times New Roman" w:cs="Times New Roman" w:eastAsia="Times New Roman" w:hAnsi="Times New Roman"/>
                <w:sz w:val="14"/>
                <w:szCs w:val="14"/>
                <w:color w:val="FFFFFF"/>
              </w:rPr>
              <w:t>Total</w:t>
            </w:r>
          </w:p>
        </w:tc>
        <w:tc>
          <w:tcPr>
            <w:tcW w:w="0" w:type="dxa"/>
            <w:vAlign w:val="bottom"/>
          </w:tcPr>
          <w:p>
            <w:pPr>
              <w:spacing w:after="0"/>
              <w:rPr>
                <w:sz w:val="1"/>
                <w:szCs w:val="1"/>
                <w:color w:val="auto"/>
              </w:rPr>
            </w:pPr>
          </w:p>
        </w:tc>
      </w:tr>
      <w:tr>
        <w:trPr>
          <w:trHeight w:val="198"/>
        </w:trPr>
        <w:tc>
          <w:tcPr>
            <w:tcW w:w="2600" w:type="dxa"/>
            <w:vAlign w:val="bottom"/>
            <w:vMerge w:val="continue"/>
            <w:shd w:val="clear" w:color="auto" w:fill="0C479D"/>
          </w:tcPr>
          <w:p>
            <w:pPr>
              <w:spacing w:after="0"/>
              <w:rPr>
                <w:sz w:val="17"/>
                <w:szCs w:val="17"/>
                <w:color w:val="auto"/>
              </w:rPr>
            </w:pPr>
          </w:p>
        </w:tc>
        <w:tc>
          <w:tcPr>
            <w:tcW w:w="760" w:type="dxa"/>
            <w:vAlign w:val="bottom"/>
            <w:shd w:val="clear" w:color="auto" w:fill="0C479D"/>
          </w:tcPr>
          <w:p>
            <w:pPr>
              <w:jc w:val="right"/>
              <w:ind w:right="160"/>
              <w:spacing w:after="0"/>
              <w:rPr>
                <w:sz w:val="20"/>
                <w:szCs w:val="20"/>
                <w:color w:val="auto"/>
              </w:rPr>
            </w:pPr>
            <w:r>
              <w:rPr>
                <w:rFonts w:ascii="Times New Roman" w:cs="Times New Roman" w:eastAsia="Times New Roman" w:hAnsi="Times New Roman"/>
                <w:sz w:val="14"/>
                <w:szCs w:val="14"/>
                <w:color w:val="FFFFFF"/>
              </w:rPr>
              <w:t>States</w:t>
            </w:r>
          </w:p>
        </w:tc>
        <w:tc>
          <w:tcPr>
            <w:tcW w:w="840" w:type="dxa"/>
            <w:vAlign w:val="bottom"/>
            <w:shd w:val="clear" w:color="auto" w:fill="0C479D"/>
          </w:tcPr>
          <w:p>
            <w:pPr>
              <w:jc w:val="center"/>
              <w:ind w:right="20"/>
              <w:spacing w:after="0"/>
              <w:rPr>
                <w:sz w:val="20"/>
                <w:szCs w:val="20"/>
                <w:color w:val="auto"/>
              </w:rPr>
            </w:pPr>
            <w:r>
              <w:rPr>
                <w:rFonts w:ascii="Times New Roman" w:cs="Times New Roman" w:eastAsia="Times New Roman" w:hAnsi="Times New Roman"/>
                <w:sz w:val="14"/>
                <w:szCs w:val="14"/>
                <w:color w:val="FFFFFF"/>
              </w:rPr>
              <w:t>Americas</w:t>
            </w:r>
          </w:p>
        </w:tc>
        <w:tc>
          <w:tcPr>
            <w:tcW w:w="680" w:type="dxa"/>
            <w:vAlign w:val="bottom"/>
            <w:vMerge w:val="continue"/>
            <w:shd w:val="clear" w:color="auto" w:fill="0C479D"/>
          </w:tcPr>
          <w:p>
            <w:pPr>
              <w:spacing w:after="0"/>
              <w:rPr>
                <w:sz w:val="17"/>
                <w:szCs w:val="17"/>
                <w:color w:val="auto"/>
              </w:rPr>
            </w:pPr>
          </w:p>
        </w:tc>
        <w:tc>
          <w:tcPr>
            <w:tcW w:w="780" w:type="dxa"/>
            <w:vAlign w:val="bottom"/>
            <w:vMerge w:val="continue"/>
            <w:shd w:val="clear" w:color="auto" w:fill="0C479D"/>
          </w:tcPr>
          <w:p>
            <w:pPr>
              <w:spacing w:after="0"/>
              <w:rPr>
                <w:sz w:val="17"/>
                <w:szCs w:val="17"/>
                <w:color w:val="auto"/>
              </w:rPr>
            </w:pPr>
          </w:p>
        </w:tc>
        <w:tc>
          <w:tcPr>
            <w:tcW w:w="680" w:type="dxa"/>
            <w:vAlign w:val="bottom"/>
            <w:vMerge w:val="continue"/>
            <w:shd w:val="clear" w:color="auto" w:fill="0C479D"/>
          </w:tcPr>
          <w:p>
            <w:pPr>
              <w:spacing w:after="0"/>
              <w:rPr>
                <w:sz w:val="17"/>
                <w:szCs w:val="17"/>
                <w:color w:val="auto"/>
              </w:rPr>
            </w:pPr>
          </w:p>
        </w:tc>
        <w:tc>
          <w:tcPr>
            <w:tcW w:w="900" w:type="dxa"/>
            <w:vAlign w:val="bottom"/>
            <w:shd w:val="clear" w:color="auto" w:fill="0C479D"/>
          </w:tcPr>
          <w:p>
            <w:pPr>
              <w:jc w:val="right"/>
              <w:ind w:right="200"/>
              <w:spacing w:after="0"/>
              <w:rPr>
                <w:sz w:val="20"/>
                <w:szCs w:val="20"/>
                <w:color w:val="auto"/>
              </w:rPr>
            </w:pPr>
            <w:r>
              <w:rPr>
                <w:rFonts w:ascii="Times New Roman" w:cs="Times New Roman" w:eastAsia="Times New Roman" w:hAnsi="Times New Roman"/>
                <w:sz w:val="14"/>
                <w:szCs w:val="14"/>
                <w:color w:val="FFFFFF"/>
              </w:rPr>
              <w:t>Oceania</w:t>
            </w:r>
          </w:p>
        </w:tc>
        <w:tc>
          <w:tcPr>
            <w:tcW w:w="680" w:type="dxa"/>
            <w:vAlign w:val="bottom"/>
            <w:vMerge w:val="continue"/>
            <w:shd w:val="clear" w:color="auto" w:fill="0C479D"/>
          </w:tcPr>
          <w:p>
            <w:pPr>
              <w:spacing w:after="0"/>
              <w:rPr>
                <w:sz w:val="17"/>
                <w:szCs w:val="17"/>
                <w:color w:val="auto"/>
              </w:rPr>
            </w:pPr>
          </w:p>
        </w:tc>
        <w:tc>
          <w:tcPr>
            <w:tcW w:w="960" w:type="dxa"/>
            <w:vAlign w:val="bottom"/>
            <w:vMerge w:val="continue"/>
            <w:shd w:val="clear" w:color="auto" w:fill="0C479D"/>
          </w:tcPr>
          <w:p>
            <w:pPr>
              <w:spacing w:after="0"/>
              <w:rPr>
                <w:sz w:val="17"/>
                <w:szCs w:val="17"/>
                <w:color w:val="auto"/>
              </w:rPr>
            </w:pPr>
          </w:p>
        </w:tc>
        <w:tc>
          <w:tcPr>
            <w:tcW w:w="840" w:type="dxa"/>
            <w:vAlign w:val="bottom"/>
            <w:shd w:val="clear" w:color="auto" w:fill="0C479D"/>
          </w:tcPr>
          <w:p>
            <w:pPr>
              <w:jc w:val="center"/>
              <w:ind w:right="1"/>
              <w:spacing w:after="0"/>
              <w:rPr>
                <w:sz w:val="20"/>
                <w:szCs w:val="20"/>
                <w:color w:val="auto"/>
              </w:rPr>
            </w:pPr>
            <w:r>
              <w:rPr>
                <w:rFonts w:ascii="Times New Roman" w:cs="Times New Roman" w:eastAsia="Times New Roman" w:hAnsi="Times New Roman"/>
                <w:sz w:val="14"/>
                <w:szCs w:val="14"/>
                <w:color w:val="FFFFFF"/>
              </w:rPr>
              <w:t>Americas</w:t>
            </w:r>
          </w:p>
        </w:tc>
        <w:tc>
          <w:tcPr>
            <w:tcW w:w="840" w:type="dxa"/>
            <w:vAlign w:val="bottom"/>
            <w:shd w:val="clear" w:color="auto" w:fill="0C479D"/>
          </w:tcPr>
          <w:p>
            <w:pPr>
              <w:jc w:val="center"/>
              <w:ind w:right="1"/>
              <w:spacing w:after="0"/>
              <w:rPr>
                <w:sz w:val="20"/>
                <w:szCs w:val="20"/>
                <w:color w:val="auto"/>
              </w:rPr>
            </w:pPr>
            <w:r>
              <w:rPr>
                <w:rFonts w:ascii="Times New Roman" w:cs="Times New Roman" w:eastAsia="Times New Roman" w:hAnsi="Times New Roman"/>
                <w:sz w:val="14"/>
                <w:szCs w:val="14"/>
                <w:color w:val="FFFFFF"/>
              </w:rPr>
              <w:t>Americas</w:t>
            </w:r>
          </w:p>
        </w:tc>
        <w:tc>
          <w:tcPr>
            <w:tcW w:w="640" w:type="dxa"/>
            <w:vAlign w:val="bottom"/>
            <w:vMerge w:val="continue"/>
            <w:shd w:val="clear" w:color="auto" w:fill="0C479D"/>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2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0C479D"/>
              </w:rPr>
              <w:t>Net proved developed and</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600" w:type="dxa"/>
            <w:vAlign w:val="bottom"/>
          </w:tcPr>
          <w:p>
            <w:pPr>
              <w:ind w:left="100"/>
              <w:spacing w:after="0" w:line="162" w:lineRule="exact"/>
              <w:rPr>
                <w:sz w:val="20"/>
                <w:szCs w:val="20"/>
                <w:color w:val="auto"/>
              </w:rPr>
            </w:pPr>
            <w:r>
              <w:rPr>
                <w:rFonts w:ascii="Times New Roman" w:cs="Times New Roman" w:eastAsia="Times New Roman" w:hAnsi="Times New Roman"/>
                <w:sz w:val="16"/>
                <w:szCs w:val="16"/>
                <w:b w:val="1"/>
                <w:bCs w:val="1"/>
                <w:color w:val="0C479D"/>
              </w:rPr>
              <w:t>undeveloped reserves of</w:t>
            </w: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6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0C479D"/>
              </w:rPr>
              <w:t>consolidated subsidiaries</w:t>
            </w: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January 1, 2024</w:t>
            </w: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2,102</w:t>
            </w: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994</w:t>
            </w: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w:t>
            </w:r>
          </w:p>
        </w:tc>
        <w:tc>
          <w:tcPr>
            <w:tcW w:w="7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224</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2,667</w:t>
            </w:r>
          </w:p>
        </w:tc>
        <w:tc>
          <w:tcPr>
            <w:tcW w:w="9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61</w:t>
            </w:r>
          </w:p>
        </w:tc>
        <w:tc>
          <w:tcPr>
            <w:tcW w:w="6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6,052</w:t>
            </w: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1,236</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2,414</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354</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10,056</w:t>
            </w:r>
          </w:p>
        </w:tc>
        <w:tc>
          <w:tcPr>
            <w:tcW w:w="0" w:type="dxa"/>
            <w:vAlign w:val="bottom"/>
          </w:tcPr>
          <w:p>
            <w:pPr>
              <w:spacing w:after="0"/>
              <w:rPr>
                <w:sz w:val="1"/>
                <w:szCs w:val="1"/>
                <w:color w:val="auto"/>
              </w:rPr>
            </w:pPr>
          </w:p>
        </w:tc>
      </w:tr>
      <w:tr>
        <w:trPr>
          <w:trHeight w:val="216"/>
        </w:trPr>
        <w:tc>
          <w:tcPr>
            <w:tcW w:w="2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Revisions</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(176)</w:t>
            </w: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116</w:t>
            </w: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62</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603</w:t>
            </w:r>
          </w:p>
        </w:tc>
        <w:tc>
          <w:tcPr>
            <w:tcW w:w="9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6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606</w:t>
            </w: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(128)</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152</w:t>
            </w:r>
          </w:p>
        </w:tc>
        <w:tc>
          <w:tcPr>
            <w:tcW w:w="8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(35)</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0" w:type="dxa"/>
            <w:vAlign w:val="bottom"/>
          </w:tcPr>
          <w:p>
            <w:pPr>
              <w:spacing w:after="0"/>
              <w:rPr>
                <w:sz w:val="1"/>
                <w:szCs w:val="1"/>
                <w:color w:val="auto"/>
              </w:rPr>
            </w:pPr>
          </w:p>
        </w:tc>
      </w:tr>
      <w:tr>
        <w:trPr>
          <w:trHeight w:val="216"/>
        </w:trPr>
        <w:tc>
          <w:tcPr>
            <w:tcW w:w="2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Improved recovery</w:t>
            </w: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Purchases</w:t>
            </w: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877</w:t>
            </w: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877</w:t>
            </w: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730</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1,607</w:t>
            </w:r>
          </w:p>
        </w:tc>
        <w:tc>
          <w:tcPr>
            <w:tcW w:w="0" w:type="dxa"/>
            <w:vAlign w:val="bottom"/>
          </w:tcPr>
          <w:p>
            <w:pPr>
              <w:spacing w:after="0"/>
              <w:rPr>
                <w:sz w:val="1"/>
                <w:szCs w:val="1"/>
                <w:color w:val="auto"/>
              </w:rPr>
            </w:pPr>
          </w:p>
        </w:tc>
      </w:tr>
      <w:tr>
        <w:trPr>
          <w:trHeight w:val="216"/>
        </w:trPr>
        <w:tc>
          <w:tcPr>
            <w:tcW w:w="2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Sales</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(18)</w:t>
            </w: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w:t>
            </w: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(45)</w:t>
            </w:r>
          </w:p>
        </w:tc>
        <w:tc>
          <w:tcPr>
            <w:tcW w:w="6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w:t>
            </w:r>
          </w:p>
        </w:tc>
        <w:tc>
          <w:tcPr>
            <w:tcW w:w="9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16"/>
        </w:trPr>
        <w:tc>
          <w:tcPr>
            <w:tcW w:w="2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Extensions/discoveries</w:t>
            </w: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804</w:t>
            </w: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138</w:t>
            </w: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25</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967</w:t>
            </w: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489</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1,456</w:t>
            </w:r>
          </w:p>
        </w:tc>
        <w:tc>
          <w:tcPr>
            <w:tcW w:w="0" w:type="dxa"/>
            <w:vAlign w:val="bottom"/>
          </w:tcPr>
          <w:p>
            <w:pPr>
              <w:spacing w:after="0"/>
              <w:rPr>
                <w:sz w:val="1"/>
                <w:szCs w:val="1"/>
                <w:color w:val="auto"/>
              </w:rPr>
            </w:pPr>
          </w:p>
        </w:tc>
      </w:tr>
      <w:tr>
        <w:trPr>
          <w:trHeight w:val="219"/>
        </w:trPr>
        <w:tc>
          <w:tcPr>
            <w:tcW w:w="2600" w:type="dxa"/>
            <w:vAlign w:val="bottom"/>
            <w:tcBorders>
              <w:bottom w:val="single" w:sz="8" w:color="0C479D"/>
            </w:tcBorders>
          </w:tcPr>
          <w:p>
            <w:pPr>
              <w:ind w:left="120"/>
              <w:spacing w:after="0"/>
              <w:rPr>
                <w:sz w:val="20"/>
                <w:szCs w:val="20"/>
                <w:color w:val="auto"/>
              </w:rPr>
            </w:pPr>
            <w:r>
              <w:rPr>
                <w:rFonts w:ascii="Times New Roman" w:cs="Times New Roman" w:eastAsia="Times New Roman" w:hAnsi="Times New Roman"/>
                <w:sz w:val="16"/>
                <w:szCs w:val="16"/>
                <w:color w:val="auto"/>
              </w:rPr>
              <w:t>Production</w:t>
            </w:r>
          </w:p>
        </w:tc>
        <w:tc>
          <w:tcPr>
            <w:tcW w:w="76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color w:val="auto"/>
              </w:rPr>
              <w:t>(316)</w:t>
            </w:r>
          </w:p>
        </w:tc>
        <w:tc>
          <w:tcPr>
            <w:tcW w:w="840" w:type="dxa"/>
            <w:vAlign w:val="bottom"/>
            <w:tcBorders>
              <w:bottom w:val="single" w:sz="8" w:color="0C479D"/>
            </w:tcBorders>
          </w:tcPr>
          <w:p>
            <w:pPr>
              <w:jc w:val="right"/>
              <w:ind w:right="40"/>
              <w:spacing w:after="0"/>
              <w:rPr>
                <w:sz w:val="20"/>
                <w:szCs w:val="20"/>
                <w:color w:val="auto"/>
              </w:rPr>
            </w:pPr>
            <w:r>
              <w:rPr>
                <w:rFonts w:ascii="Times New Roman" w:cs="Times New Roman" w:eastAsia="Times New Roman" w:hAnsi="Times New Roman"/>
                <w:sz w:val="16"/>
                <w:szCs w:val="16"/>
                <w:color w:val="auto"/>
              </w:rPr>
              <w:t>(126)</w:t>
            </w:r>
          </w:p>
        </w:tc>
        <w:tc>
          <w:tcPr>
            <w:tcW w:w="6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780" w:type="dxa"/>
            <w:vAlign w:val="bottom"/>
            <w:tcBorders>
              <w:bottom w:val="single" w:sz="8" w:color="0C479D"/>
            </w:tcBorders>
          </w:tcPr>
          <w:p>
            <w:pPr>
              <w:jc w:val="right"/>
              <w:ind w:right="120"/>
              <w:spacing w:after="0"/>
              <w:rPr>
                <w:sz w:val="20"/>
                <w:szCs w:val="20"/>
                <w:color w:val="auto"/>
              </w:rPr>
            </w:pPr>
            <w:r>
              <w:rPr>
                <w:rFonts w:ascii="Times New Roman" w:cs="Times New Roman" w:eastAsia="Times New Roman" w:hAnsi="Times New Roman"/>
                <w:sz w:val="16"/>
                <w:szCs w:val="16"/>
                <w:color w:val="auto"/>
              </w:rPr>
              <w:t>(75)</w:t>
            </w:r>
          </w:p>
        </w:tc>
        <w:tc>
          <w:tcPr>
            <w:tcW w:w="680" w:type="dxa"/>
            <w:vAlign w:val="bottom"/>
            <w:tcBorders>
              <w:bottom w:val="single" w:sz="8" w:color="0C479D"/>
            </w:tcBorders>
          </w:tcPr>
          <w:p>
            <w:pPr>
              <w:jc w:val="right"/>
              <w:ind w:right="40"/>
              <w:spacing w:after="0"/>
              <w:rPr>
                <w:sz w:val="20"/>
                <w:szCs w:val="20"/>
                <w:color w:val="auto"/>
              </w:rPr>
            </w:pPr>
            <w:r>
              <w:rPr>
                <w:rFonts w:ascii="Times New Roman" w:cs="Times New Roman" w:eastAsia="Times New Roman" w:hAnsi="Times New Roman"/>
                <w:sz w:val="16"/>
                <w:szCs w:val="16"/>
                <w:color w:val="auto"/>
              </w:rPr>
              <w:t>(154)</w:t>
            </w:r>
          </w:p>
        </w:tc>
        <w:tc>
          <w:tcPr>
            <w:tcW w:w="900" w:type="dxa"/>
            <w:vAlign w:val="bottom"/>
            <w:tcBorders>
              <w:bottom w:val="single" w:sz="8" w:color="0C479D"/>
            </w:tcBorders>
          </w:tcPr>
          <w:p>
            <w:pPr>
              <w:jc w:val="right"/>
              <w:ind w:right="80"/>
              <w:spacing w:after="0"/>
              <w:rPr>
                <w:sz w:val="20"/>
                <w:szCs w:val="20"/>
                <w:color w:val="auto"/>
              </w:rPr>
            </w:pPr>
            <w:r>
              <w:rPr>
                <w:rFonts w:ascii="Times New Roman" w:cs="Times New Roman" w:eastAsia="Times New Roman" w:hAnsi="Times New Roman"/>
                <w:sz w:val="16"/>
                <w:szCs w:val="16"/>
                <w:color w:val="auto"/>
              </w:rPr>
              <w:t>(7)</w:t>
            </w:r>
          </w:p>
        </w:tc>
        <w:tc>
          <w:tcPr>
            <w:tcW w:w="6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(679)</w:t>
            </w:r>
          </w:p>
        </w:tc>
        <w:tc>
          <w:tcPr>
            <w:tcW w:w="96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color w:val="auto"/>
              </w:rPr>
              <w:t>(148)</w:t>
            </w:r>
          </w:p>
        </w:tc>
        <w:tc>
          <w:tcPr>
            <w:tcW w:w="840" w:type="dxa"/>
            <w:vAlign w:val="bottom"/>
            <w:tcBorders>
              <w:bottom w:val="single" w:sz="8" w:color="0C479D"/>
            </w:tcBorders>
          </w:tcPr>
          <w:p>
            <w:pPr>
              <w:jc w:val="right"/>
              <w:ind w:right="21"/>
              <w:spacing w:after="0"/>
              <w:rPr>
                <w:sz w:val="20"/>
                <w:szCs w:val="20"/>
                <w:color w:val="auto"/>
              </w:rPr>
            </w:pPr>
            <w:r>
              <w:rPr>
                <w:rFonts w:ascii="Times New Roman" w:cs="Times New Roman" w:eastAsia="Times New Roman" w:hAnsi="Times New Roman"/>
                <w:sz w:val="16"/>
                <w:szCs w:val="16"/>
                <w:color w:val="auto"/>
              </w:rPr>
              <w:t>(137)</w:t>
            </w:r>
          </w:p>
        </w:tc>
        <w:tc>
          <w:tcPr>
            <w:tcW w:w="840" w:type="dxa"/>
            <w:vAlign w:val="bottom"/>
            <w:tcBorders>
              <w:bottom w:val="single" w:sz="8" w:color="0C479D"/>
            </w:tcBorders>
          </w:tcPr>
          <w:p>
            <w:pPr>
              <w:jc w:val="right"/>
              <w:ind w:right="21"/>
              <w:spacing w:after="0"/>
              <w:rPr>
                <w:sz w:val="20"/>
                <w:szCs w:val="20"/>
                <w:color w:val="auto"/>
              </w:rPr>
            </w:pPr>
            <w:r>
              <w:rPr>
                <w:rFonts w:ascii="Times New Roman" w:cs="Times New Roman" w:eastAsia="Times New Roman" w:hAnsi="Times New Roman"/>
                <w:sz w:val="16"/>
                <w:szCs w:val="16"/>
                <w:color w:val="auto"/>
              </w:rPr>
              <w:t>(23)</w:t>
            </w:r>
          </w:p>
        </w:tc>
        <w:tc>
          <w:tcPr>
            <w:tcW w:w="6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(987)</w:t>
            </w:r>
          </w:p>
        </w:tc>
        <w:tc>
          <w:tcPr>
            <w:tcW w:w="0" w:type="dxa"/>
            <w:vAlign w:val="bottom"/>
          </w:tcPr>
          <w:p>
            <w:pPr>
              <w:spacing w:after="0"/>
              <w:rPr>
                <w:sz w:val="1"/>
                <w:szCs w:val="1"/>
                <w:color w:val="auto"/>
              </w:rPr>
            </w:pPr>
          </w:p>
        </w:tc>
      </w:tr>
      <w:tr>
        <w:trPr>
          <w:trHeight w:val="211"/>
        </w:trPr>
        <w:tc>
          <w:tcPr>
            <w:tcW w:w="260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760" w:type="dxa"/>
            <w:vAlign w:val="bottom"/>
            <w:tcBorders>
              <w:bottom w:val="single" w:sz="8" w:color="0C479D"/>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3,273</w:t>
            </w:r>
          </w:p>
        </w:tc>
        <w:tc>
          <w:tcPr>
            <w:tcW w:w="840" w:type="dxa"/>
            <w:vAlign w:val="bottom"/>
            <w:tcBorders>
              <w:bottom w:val="single" w:sz="8" w:color="0C479D"/>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1,118</w:t>
            </w:r>
          </w:p>
        </w:tc>
        <w:tc>
          <w:tcPr>
            <w:tcW w:w="68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3</w:t>
            </w:r>
          </w:p>
        </w:tc>
        <w:tc>
          <w:tcPr>
            <w:tcW w:w="780" w:type="dxa"/>
            <w:vAlign w:val="bottom"/>
            <w:tcBorders>
              <w:bottom w:val="single" w:sz="8" w:color="0C479D"/>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191</w:t>
            </w:r>
          </w:p>
        </w:tc>
        <w:tc>
          <w:tcPr>
            <w:tcW w:w="680" w:type="dxa"/>
            <w:vAlign w:val="bottom"/>
            <w:tcBorders>
              <w:bottom w:val="single" w:sz="8" w:color="0C479D"/>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3,109</w:t>
            </w:r>
          </w:p>
        </w:tc>
        <w:tc>
          <w:tcPr>
            <w:tcW w:w="900" w:type="dxa"/>
            <w:vAlign w:val="bottom"/>
            <w:tcBorders>
              <w:bottom w:val="single" w:sz="8" w:color="0C479D"/>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55</w:t>
            </w:r>
          </w:p>
        </w:tc>
        <w:tc>
          <w:tcPr>
            <w:tcW w:w="680" w:type="dxa"/>
            <w:vAlign w:val="bottom"/>
            <w:tcBorders>
              <w:bottom w:val="single" w:sz="8" w:color="0C479D"/>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7,749</w:t>
            </w:r>
          </w:p>
        </w:tc>
        <w:tc>
          <w:tcPr>
            <w:tcW w:w="960" w:type="dxa"/>
            <w:vAlign w:val="bottom"/>
            <w:tcBorders>
              <w:bottom w:val="single" w:sz="8" w:color="0C479D"/>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2,164</w:t>
            </w:r>
          </w:p>
        </w:tc>
        <w:tc>
          <w:tcPr>
            <w:tcW w:w="840" w:type="dxa"/>
            <w:vAlign w:val="bottom"/>
            <w:tcBorders>
              <w:bottom w:val="single" w:sz="8" w:color="0C479D"/>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2,429</w:t>
            </w:r>
          </w:p>
        </w:tc>
        <w:tc>
          <w:tcPr>
            <w:tcW w:w="840" w:type="dxa"/>
            <w:vAlign w:val="bottom"/>
            <w:tcBorders>
              <w:bottom w:val="single" w:sz="8" w:color="0C479D"/>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296</w:t>
            </w:r>
          </w:p>
        </w:tc>
        <w:tc>
          <w:tcPr>
            <w:tcW w:w="6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12,638</w:t>
            </w:r>
          </w:p>
        </w:tc>
        <w:tc>
          <w:tcPr>
            <w:tcW w:w="0" w:type="dxa"/>
            <w:vAlign w:val="bottom"/>
          </w:tcPr>
          <w:p>
            <w:pPr>
              <w:spacing w:after="0"/>
              <w:rPr>
                <w:sz w:val="1"/>
                <w:szCs w:val="1"/>
                <w:color w:val="auto"/>
              </w:rPr>
            </w:pPr>
          </w:p>
        </w:tc>
      </w:tr>
      <w:tr>
        <w:trPr>
          <w:trHeight w:val="186"/>
        </w:trPr>
        <w:tc>
          <w:tcPr>
            <w:tcW w:w="2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Attributable to noncontrolling interests</w:t>
            </w: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14"/>
                <w:szCs w:val="14"/>
                <w:i w:val="1"/>
                <w:iCs w:val="1"/>
                <w:color w:val="auto"/>
              </w:rPr>
              <w:t>552</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14"/>
                <w:szCs w:val="14"/>
                <w:i w:val="1"/>
                <w:iCs w:val="1"/>
                <w:color w:val="auto"/>
              </w:rPr>
              <w:t>90</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4"/>
        </w:trPr>
        <w:tc>
          <w:tcPr>
            <w:tcW w:w="2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0C479D"/>
              </w:rPr>
              <w:t>Proportional interest in proved</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6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0C479D"/>
              </w:rPr>
              <w:t>reserves of equity companies</w:t>
            </w: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January 1, 2024</w:t>
            </w: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7</w:t>
            </w: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7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5</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780</w:t>
            </w:r>
          </w:p>
        </w:tc>
        <w:tc>
          <w:tcPr>
            <w:tcW w:w="9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795</w:t>
            </w: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333</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1,128</w:t>
            </w:r>
          </w:p>
        </w:tc>
        <w:tc>
          <w:tcPr>
            <w:tcW w:w="0" w:type="dxa"/>
            <w:vAlign w:val="bottom"/>
          </w:tcPr>
          <w:p>
            <w:pPr>
              <w:spacing w:after="0"/>
              <w:rPr>
                <w:sz w:val="1"/>
                <w:szCs w:val="1"/>
                <w:color w:val="auto"/>
              </w:rPr>
            </w:pPr>
          </w:p>
        </w:tc>
      </w:tr>
      <w:tr>
        <w:trPr>
          <w:trHeight w:val="216"/>
        </w:trPr>
        <w:tc>
          <w:tcPr>
            <w:tcW w:w="2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Revisions</w:t>
            </w: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2</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19</w:t>
            </w:r>
          </w:p>
        </w:tc>
        <w:tc>
          <w:tcPr>
            <w:tcW w:w="9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21</w:t>
            </w: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6"/>
        </w:trPr>
        <w:tc>
          <w:tcPr>
            <w:tcW w:w="2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Improved recovery</w:t>
            </w: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Purchases</w:t>
            </w: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Sales</w:t>
            </w: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Extensions/discoveries</w:t>
            </w:r>
          </w:p>
        </w:tc>
        <w:tc>
          <w:tcPr>
            <w:tcW w:w="7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600" w:type="dxa"/>
            <w:vAlign w:val="bottom"/>
            <w:tcBorders>
              <w:bottom w:val="single" w:sz="8" w:color="0C479D"/>
            </w:tcBorders>
          </w:tcPr>
          <w:p>
            <w:pPr>
              <w:ind w:left="120"/>
              <w:spacing w:after="0"/>
              <w:rPr>
                <w:sz w:val="20"/>
                <w:szCs w:val="20"/>
                <w:color w:val="auto"/>
              </w:rPr>
            </w:pPr>
            <w:r>
              <w:rPr>
                <w:rFonts w:ascii="Times New Roman" w:cs="Times New Roman" w:eastAsia="Times New Roman" w:hAnsi="Times New Roman"/>
                <w:sz w:val="16"/>
                <w:szCs w:val="16"/>
                <w:color w:val="auto"/>
              </w:rPr>
              <w:t>Production</w:t>
            </w:r>
          </w:p>
        </w:tc>
        <w:tc>
          <w:tcPr>
            <w:tcW w:w="76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840" w:type="dxa"/>
            <w:vAlign w:val="bottom"/>
            <w:tcBorders>
              <w:bottom w:val="single" w:sz="8" w:color="0C479D"/>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780" w:type="dxa"/>
            <w:vAlign w:val="bottom"/>
            <w:tcBorders>
              <w:bottom w:val="single" w:sz="8" w:color="0C479D"/>
            </w:tcBorders>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0C479D"/>
            </w:tcBorders>
          </w:tcPr>
          <w:p>
            <w:pPr>
              <w:jc w:val="right"/>
              <w:ind w:right="40"/>
              <w:spacing w:after="0"/>
              <w:rPr>
                <w:sz w:val="20"/>
                <w:szCs w:val="20"/>
                <w:color w:val="auto"/>
              </w:rPr>
            </w:pPr>
            <w:r>
              <w:rPr>
                <w:rFonts w:ascii="Times New Roman" w:cs="Times New Roman" w:eastAsia="Times New Roman" w:hAnsi="Times New Roman"/>
                <w:sz w:val="16"/>
                <w:szCs w:val="16"/>
                <w:color w:val="auto"/>
              </w:rPr>
              <w:t>(75)</w:t>
            </w:r>
          </w:p>
        </w:tc>
        <w:tc>
          <w:tcPr>
            <w:tcW w:w="900" w:type="dxa"/>
            <w:vAlign w:val="bottom"/>
            <w:tcBorders>
              <w:bottom w:val="single" w:sz="8" w:color="0C479D"/>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96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color w:val="auto"/>
              </w:rPr>
              <w:t>(22)</w:t>
            </w:r>
          </w:p>
        </w:tc>
        <w:tc>
          <w:tcPr>
            <w:tcW w:w="840" w:type="dxa"/>
            <w:vAlign w:val="bottom"/>
            <w:tcBorders>
              <w:bottom w:val="single" w:sz="8" w:color="0C479D"/>
            </w:tcBorders>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bottom w:val="single" w:sz="8" w:color="0C479D"/>
            </w:tcBorders>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11"/>
        </w:trPr>
        <w:tc>
          <w:tcPr>
            <w:tcW w:w="260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760" w:type="dxa"/>
            <w:vAlign w:val="bottom"/>
            <w:tcBorders>
              <w:bottom w:val="single" w:sz="8" w:color="0C479D"/>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6</w:t>
            </w:r>
          </w:p>
        </w:tc>
        <w:tc>
          <w:tcPr>
            <w:tcW w:w="840" w:type="dxa"/>
            <w:vAlign w:val="bottom"/>
            <w:tcBorders>
              <w:bottom w:val="single" w:sz="8" w:color="0C479D"/>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w:t>
            </w:r>
          </w:p>
        </w:tc>
        <w:tc>
          <w:tcPr>
            <w:tcW w:w="780" w:type="dxa"/>
            <w:vAlign w:val="bottom"/>
            <w:tcBorders>
              <w:bottom w:val="single" w:sz="8" w:color="0C479D"/>
            </w:tcBorders>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7</w:t>
            </w:r>
          </w:p>
        </w:tc>
        <w:tc>
          <w:tcPr>
            <w:tcW w:w="680" w:type="dxa"/>
            <w:vAlign w:val="bottom"/>
            <w:tcBorders>
              <w:bottom w:val="single" w:sz="8" w:color="0C479D"/>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724</w:t>
            </w:r>
          </w:p>
        </w:tc>
        <w:tc>
          <w:tcPr>
            <w:tcW w:w="900" w:type="dxa"/>
            <w:vAlign w:val="bottom"/>
            <w:tcBorders>
              <w:bottom w:val="single" w:sz="8" w:color="0C479D"/>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Borders>
              <w:bottom w:val="single" w:sz="8" w:color="0C479D"/>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739</w:t>
            </w:r>
          </w:p>
        </w:tc>
        <w:tc>
          <w:tcPr>
            <w:tcW w:w="960" w:type="dxa"/>
            <w:vAlign w:val="bottom"/>
            <w:tcBorders>
              <w:bottom w:val="single" w:sz="8" w:color="0C479D"/>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314</w:t>
            </w:r>
          </w:p>
        </w:tc>
        <w:tc>
          <w:tcPr>
            <w:tcW w:w="840" w:type="dxa"/>
            <w:vAlign w:val="bottom"/>
            <w:tcBorders>
              <w:bottom w:val="single" w:sz="8" w:color="0C479D"/>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Borders>
              <w:bottom w:val="single" w:sz="8" w:color="0C479D"/>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1,053</w:t>
            </w:r>
          </w:p>
        </w:tc>
        <w:tc>
          <w:tcPr>
            <w:tcW w:w="0" w:type="dxa"/>
            <w:vAlign w:val="bottom"/>
          </w:tcPr>
          <w:p>
            <w:pPr>
              <w:spacing w:after="0"/>
              <w:rPr>
                <w:sz w:val="1"/>
                <w:szCs w:val="1"/>
                <w:color w:val="auto"/>
              </w:rPr>
            </w:pPr>
          </w:p>
        </w:tc>
      </w:tr>
      <w:tr>
        <w:trPr>
          <w:trHeight w:val="157"/>
        </w:trPr>
        <w:tc>
          <w:tcPr>
            <w:tcW w:w="2600" w:type="dxa"/>
            <w:vAlign w:val="bottom"/>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Total liquids proved reserves at</w:t>
            </w:r>
          </w:p>
        </w:tc>
        <w:tc>
          <w:tcPr>
            <w:tcW w:w="760" w:type="dxa"/>
            <w:vAlign w:val="bottom"/>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3,279</w:t>
            </w:r>
          </w:p>
        </w:tc>
        <w:tc>
          <w:tcPr>
            <w:tcW w:w="840" w:type="dxa"/>
            <w:vAlign w:val="bottom"/>
            <w:vMerge w:val="restart"/>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1,118</w:t>
            </w:r>
          </w:p>
        </w:tc>
        <w:tc>
          <w:tcPr>
            <w:tcW w:w="68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5</w:t>
            </w:r>
          </w:p>
        </w:tc>
        <w:tc>
          <w:tcPr>
            <w:tcW w:w="780" w:type="dxa"/>
            <w:vAlign w:val="bottom"/>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198</w:t>
            </w:r>
          </w:p>
        </w:tc>
        <w:tc>
          <w:tcPr>
            <w:tcW w:w="680" w:type="dxa"/>
            <w:vAlign w:val="bottom"/>
            <w:vMerge w:val="restart"/>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3,833</w:t>
            </w:r>
          </w:p>
        </w:tc>
        <w:tc>
          <w:tcPr>
            <w:tcW w:w="900" w:type="dxa"/>
            <w:vAlign w:val="bottom"/>
            <w:vMerge w:val="restart"/>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55</w:t>
            </w:r>
          </w:p>
        </w:tc>
        <w:tc>
          <w:tcPr>
            <w:tcW w:w="68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8,488</w:t>
            </w:r>
          </w:p>
        </w:tc>
        <w:tc>
          <w:tcPr>
            <w:tcW w:w="960" w:type="dxa"/>
            <w:vAlign w:val="bottom"/>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2,478</w:t>
            </w:r>
          </w:p>
        </w:tc>
        <w:tc>
          <w:tcPr>
            <w:tcW w:w="84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2,429</w:t>
            </w:r>
          </w:p>
        </w:tc>
        <w:tc>
          <w:tcPr>
            <w:tcW w:w="84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296</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13,691</w:t>
            </w:r>
          </w:p>
        </w:tc>
        <w:tc>
          <w:tcPr>
            <w:tcW w:w="0" w:type="dxa"/>
            <w:vAlign w:val="bottom"/>
          </w:tcPr>
          <w:p>
            <w:pPr>
              <w:spacing w:after="0"/>
              <w:rPr>
                <w:sz w:val="1"/>
                <w:szCs w:val="1"/>
                <w:color w:val="auto"/>
              </w:rPr>
            </w:pPr>
          </w:p>
        </w:tc>
      </w:tr>
      <w:tr>
        <w:trPr>
          <w:trHeight w:val="223"/>
        </w:trPr>
        <w:tc>
          <w:tcPr>
            <w:tcW w:w="2600" w:type="dxa"/>
            <w:vAlign w:val="bottom"/>
            <w:tcBorders>
              <w:bottom w:val="single" w:sz="8" w:color="0C479D"/>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760" w:type="dxa"/>
            <w:vAlign w:val="bottom"/>
            <w:tcBorders>
              <w:bottom w:val="single" w:sz="8" w:color="0C479D"/>
            </w:tcBorders>
            <w:vMerge w:val="continue"/>
          </w:tcPr>
          <w:p>
            <w:pPr>
              <w:spacing w:after="0"/>
              <w:rPr>
                <w:sz w:val="19"/>
                <w:szCs w:val="19"/>
                <w:color w:val="auto"/>
              </w:rPr>
            </w:pPr>
          </w:p>
        </w:tc>
        <w:tc>
          <w:tcPr>
            <w:tcW w:w="840" w:type="dxa"/>
            <w:vAlign w:val="bottom"/>
            <w:tcBorders>
              <w:bottom w:val="single" w:sz="8" w:color="0C479D"/>
            </w:tcBorders>
            <w:vMerge w:val="continue"/>
          </w:tcPr>
          <w:p>
            <w:pPr>
              <w:spacing w:after="0"/>
              <w:rPr>
                <w:sz w:val="19"/>
                <w:szCs w:val="19"/>
                <w:color w:val="auto"/>
              </w:rPr>
            </w:pPr>
          </w:p>
        </w:tc>
        <w:tc>
          <w:tcPr>
            <w:tcW w:w="680" w:type="dxa"/>
            <w:vAlign w:val="bottom"/>
            <w:tcBorders>
              <w:bottom w:val="single" w:sz="8" w:color="0C479D"/>
            </w:tcBorders>
            <w:vMerge w:val="continue"/>
          </w:tcPr>
          <w:p>
            <w:pPr>
              <w:spacing w:after="0"/>
              <w:rPr>
                <w:sz w:val="19"/>
                <w:szCs w:val="19"/>
                <w:color w:val="auto"/>
              </w:rPr>
            </w:pPr>
          </w:p>
        </w:tc>
        <w:tc>
          <w:tcPr>
            <w:tcW w:w="780" w:type="dxa"/>
            <w:vAlign w:val="bottom"/>
            <w:tcBorders>
              <w:bottom w:val="single" w:sz="8" w:color="0C479D"/>
            </w:tcBorders>
            <w:vMerge w:val="continue"/>
          </w:tcPr>
          <w:p>
            <w:pPr>
              <w:spacing w:after="0"/>
              <w:rPr>
                <w:sz w:val="19"/>
                <w:szCs w:val="19"/>
                <w:color w:val="auto"/>
              </w:rPr>
            </w:pPr>
          </w:p>
        </w:tc>
        <w:tc>
          <w:tcPr>
            <w:tcW w:w="680" w:type="dxa"/>
            <w:vAlign w:val="bottom"/>
            <w:tcBorders>
              <w:bottom w:val="single" w:sz="8" w:color="0C479D"/>
            </w:tcBorders>
            <w:vMerge w:val="continue"/>
          </w:tcPr>
          <w:p>
            <w:pPr>
              <w:spacing w:after="0"/>
              <w:rPr>
                <w:sz w:val="19"/>
                <w:szCs w:val="19"/>
                <w:color w:val="auto"/>
              </w:rPr>
            </w:pPr>
          </w:p>
        </w:tc>
        <w:tc>
          <w:tcPr>
            <w:tcW w:w="900" w:type="dxa"/>
            <w:vAlign w:val="bottom"/>
            <w:tcBorders>
              <w:bottom w:val="single" w:sz="8" w:color="0C479D"/>
            </w:tcBorders>
            <w:vMerge w:val="continue"/>
          </w:tcPr>
          <w:p>
            <w:pPr>
              <w:spacing w:after="0"/>
              <w:rPr>
                <w:sz w:val="19"/>
                <w:szCs w:val="19"/>
                <w:color w:val="auto"/>
              </w:rPr>
            </w:pPr>
          </w:p>
        </w:tc>
        <w:tc>
          <w:tcPr>
            <w:tcW w:w="680" w:type="dxa"/>
            <w:vAlign w:val="bottom"/>
            <w:tcBorders>
              <w:bottom w:val="single" w:sz="8" w:color="0C479D"/>
            </w:tcBorders>
            <w:vMerge w:val="continue"/>
          </w:tcPr>
          <w:p>
            <w:pPr>
              <w:spacing w:after="0"/>
              <w:rPr>
                <w:sz w:val="19"/>
                <w:szCs w:val="19"/>
                <w:color w:val="auto"/>
              </w:rPr>
            </w:pPr>
          </w:p>
        </w:tc>
        <w:tc>
          <w:tcPr>
            <w:tcW w:w="960" w:type="dxa"/>
            <w:vAlign w:val="bottom"/>
            <w:tcBorders>
              <w:bottom w:val="single" w:sz="8" w:color="0C479D"/>
            </w:tcBorders>
            <w:vMerge w:val="continue"/>
          </w:tcPr>
          <w:p>
            <w:pPr>
              <w:spacing w:after="0"/>
              <w:rPr>
                <w:sz w:val="19"/>
                <w:szCs w:val="19"/>
                <w:color w:val="auto"/>
              </w:rPr>
            </w:pPr>
          </w:p>
        </w:tc>
        <w:tc>
          <w:tcPr>
            <w:tcW w:w="840" w:type="dxa"/>
            <w:vAlign w:val="bottom"/>
            <w:tcBorders>
              <w:bottom w:val="single" w:sz="8" w:color="0C479D"/>
            </w:tcBorders>
            <w:vMerge w:val="continue"/>
          </w:tcPr>
          <w:p>
            <w:pPr>
              <w:spacing w:after="0"/>
              <w:rPr>
                <w:sz w:val="19"/>
                <w:szCs w:val="19"/>
                <w:color w:val="auto"/>
              </w:rPr>
            </w:pPr>
          </w:p>
        </w:tc>
        <w:tc>
          <w:tcPr>
            <w:tcW w:w="840" w:type="dxa"/>
            <w:vAlign w:val="bottom"/>
            <w:tcBorders>
              <w:bottom w:val="single" w:sz="8" w:color="0C479D"/>
            </w:tcBorders>
            <w:vMerge w:val="continue"/>
          </w:tcPr>
          <w:p>
            <w:pPr>
              <w:spacing w:after="0"/>
              <w:rPr>
                <w:sz w:val="19"/>
                <w:szCs w:val="19"/>
                <w:color w:val="auto"/>
              </w:rPr>
            </w:pPr>
          </w:p>
        </w:tc>
        <w:tc>
          <w:tcPr>
            <w:tcW w:w="640" w:type="dxa"/>
            <w:vAlign w:val="bottom"/>
            <w:tcBorders>
              <w:bottom w:val="single" w:sz="8" w:color="0C479D"/>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1655445</wp:posOffset>
            </wp:positionH>
            <wp:positionV relativeFrom="paragraph">
              <wp:posOffset>-3822700</wp:posOffset>
            </wp:positionV>
            <wp:extent cx="499745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9974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88" w:right="3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6"/>
          <w:szCs w:val="16"/>
          <w:b w:val="1"/>
          <w:bCs w:val="1"/>
          <w:color w:val="0C479D"/>
        </w:rPr>
        <w:t>Crude Oil, Natural Gas Liquids, Bitumen and Synthetic Oil Proved Reserves (continued)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327"/>
        </w:trPr>
        <w:tc>
          <w:tcPr>
            <w:tcW w:w="2660" w:type="dxa"/>
            <w:vAlign w:val="bottom"/>
            <w:tcBorders>
              <w:top w:val="single" w:sz="8" w:color="auto"/>
            </w:tcBorders>
            <w:shd w:val="clear" w:color="auto" w:fill="0C479D"/>
          </w:tcPr>
          <w:p>
            <w:pPr>
              <w:spacing w:after="0"/>
              <w:rPr>
                <w:sz w:val="24"/>
                <w:szCs w:val="24"/>
                <w:color w:val="auto"/>
              </w:rPr>
            </w:pPr>
          </w:p>
        </w:tc>
        <w:tc>
          <w:tcPr>
            <w:tcW w:w="740" w:type="dxa"/>
            <w:vAlign w:val="bottom"/>
            <w:tcBorders>
              <w:top w:val="single" w:sz="8" w:color="auto"/>
            </w:tcBorders>
            <w:shd w:val="clear" w:color="auto" w:fill="0C479D"/>
          </w:tcPr>
          <w:p>
            <w:pPr>
              <w:spacing w:after="0"/>
              <w:rPr>
                <w:sz w:val="24"/>
                <w:szCs w:val="24"/>
                <w:color w:val="auto"/>
              </w:rPr>
            </w:pPr>
          </w:p>
        </w:tc>
        <w:tc>
          <w:tcPr>
            <w:tcW w:w="860" w:type="dxa"/>
            <w:vAlign w:val="bottom"/>
            <w:tcBorders>
              <w:top w:val="single" w:sz="8" w:color="auto"/>
            </w:tcBorders>
            <w:shd w:val="clear" w:color="auto" w:fill="0C479D"/>
          </w:tcPr>
          <w:p>
            <w:pPr>
              <w:spacing w:after="0"/>
              <w:rPr>
                <w:sz w:val="24"/>
                <w:szCs w:val="24"/>
                <w:color w:val="auto"/>
              </w:rPr>
            </w:pPr>
          </w:p>
        </w:tc>
        <w:tc>
          <w:tcPr>
            <w:tcW w:w="2320" w:type="dxa"/>
            <w:vAlign w:val="bottom"/>
            <w:tcBorders>
              <w:top w:val="single" w:sz="8" w:color="auto"/>
            </w:tcBorders>
            <w:gridSpan w:val="3"/>
            <w:shd w:val="clear" w:color="auto" w:fill="0C479D"/>
          </w:tcPr>
          <w:p>
            <w:pPr>
              <w:jc w:val="right"/>
              <w:ind w:right="40"/>
              <w:spacing w:after="0"/>
              <w:rPr>
                <w:sz w:val="20"/>
                <w:szCs w:val="20"/>
                <w:color w:val="auto"/>
              </w:rPr>
            </w:pPr>
            <w:r>
              <w:rPr>
                <w:rFonts w:ascii="Times New Roman" w:cs="Times New Roman" w:eastAsia="Times New Roman" w:hAnsi="Times New Roman"/>
                <w:sz w:val="14"/>
                <w:szCs w:val="14"/>
                <w:color w:val="FFFFFF"/>
              </w:rPr>
              <w:t>Crude Oil and Natural Gas Liquids</w:t>
            </w:r>
          </w:p>
        </w:tc>
        <w:tc>
          <w:tcPr>
            <w:tcW w:w="920" w:type="dxa"/>
            <w:vAlign w:val="bottom"/>
            <w:tcBorders>
              <w:top w:val="single" w:sz="8" w:color="auto"/>
            </w:tcBorders>
            <w:shd w:val="clear" w:color="auto" w:fill="0C479D"/>
          </w:tcPr>
          <w:p>
            <w:pPr>
              <w:spacing w:after="0"/>
              <w:rPr>
                <w:sz w:val="24"/>
                <w:szCs w:val="24"/>
                <w:color w:val="auto"/>
              </w:rPr>
            </w:pPr>
          </w:p>
        </w:tc>
        <w:tc>
          <w:tcPr>
            <w:tcW w:w="720" w:type="dxa"/>
            <w:vAlign w:val="bottom"/>
            <w:tcBorders>
              <w:top w:val="single" w:sz="8" w:color="auto"/>
            </w:tcBorders>
            <w:shd w:val="clear" w:color="auto" w:fill="0C479D"/>
          </w:tcPr>
          <w:p>
            <w:pPr>
              <w:spacing w:after="0"/>
              <w:rPr>
                <w:sz w:val="24"/>
                <w:szCs w:val="24"/>
                <w:color w:val="auto"/>
              </w:rPr>
            </w:pPr>
          </w:p>
        </w:tc>
        <w:tc>
          <w:tcPr>
            <w:tcW w:w="1120" w:type="dxa"/>
            <w:vAlign w:val="bottom"/>
            <w:tcBorders>
              <w:top w:val="single" w:sz="8" w:color="auto"/>
            </w:tcBorders>
            <w:shd w:val="clear" w:color="auto" w:fill="0C479D"/>
          </w:tcPr>
          <w:p>
            <w:pPr>
              <w:jc w:val="center"/>
              <w:ind w:left="263"/>
              <w:spacing w:after="0"/>
              <w:rPr>
                <w:sz w:val="20"/>
                <w:szCs w:val="20"/>
                <w:color w:val="auto"/>
              </w:rPr>
            </w:pPr>
            <w:r>
              <w:rPr>
                <w:rFonts w:ascii="Times New Roman" w:cs="Times New Roman" w:eastAsia="Times New Roman" w:hAnsi="Times New Roman"/>
                <w:sz w:val="14"/>
                <w:szCs w:val="14"/>
                <w:color w:val="FFFFFF"/>
              </w:rPr>
              <w:t>Bitumen</w:t>
            </w:r>
          </w:p>
        </w:tc>
        <w:tc>
          <w:tcPr>
            <w:tcW w:w="960" w:type="dxa"/>
            <w:vAlign w:val="bottom"/>
            <w:tcBorders>
              <w:top w:val="single" w:sz="8" w:color="auto"/>
            </w:tcBorders>
            <w:shd w:val="clear" w:color="auto" w:fill="0C479D"/>
          </w:tcPr>
          <w:p>
            <w:pPr>
              <w:jc w:val="center"/>
              <w:spacing w:after="0"/>
              <w:rPr>
                <w:sz w:val="20"/>
                <w:szCs w:val="20"/>
                <w:color w:val="auto"/>
              </w:rPr>
            </w:pPr>
            <w:r>
              <w:rPr>
                <w:rFonts w:ascii="Times New Roman" w:cs="Times New Roman" w:eastAsia="Times New Roman" w:hAnsi="Times New Roman"/>
                <w:sz w:val="14"/>
                <w:szCs w:val="14"/>
                <w:color w:val="FFFFFF"/>
              </w:rPr>
              <w:t>Synthetic Oil</w:t>
            </w:r>
          </w:p>
        </w:tc>
        <w:tc>
          <w:tcPr>
            <w:tcW w:w="800" w:type="dxa"/>
            <w:vAlign w:val="bottom"/>
            <w:tcBorders>
              <w:top w:val="single" w:sz="8" w:color="auto"/>
            </w:tcBorders>
            <w:shd w:val="clear" w:color="auto" w:fill="0C479D"/>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660" w:type="dxa"/>
            <w:vAlign w:val="bottom"/>
            <w:shd w:val="clear" w:color="auto" w:fill="0C479D"/>
          </w:tcPr>
          <w:p>
            <w:pPr>
              <w:spacing w:after="0"/>
              <w:rPr>
                <w:sz w:val="15"/>
                <w:szCs w:val="15"/>
                <w:color w:val="auto"/>
              </w:rPr>
            </w:pPr>
          </w:p>
        </w:tc>
        <w:tc>
          <w:tcPr>
            <w:tcW w:w="740" w:type="dxa"/>
            <w:vAlign w:val="bottom"/>
            <w:vMerge w:val="restart"/>
            <w:shd w:val="clear" w:color="auto" w:fill="0C479D"/>
          </w:tcPr>
          <w:p>
            <w:pPr>
              <w:jc w:val="right"/>
              <w:ind w:right="140"/>
              <w:spacing w:after="0"/>
              <w:rPr>
                <w:sz w:val="20"/>
                <w:szCs w:val="20"/>
                <w:color w:val="auto"/>
              </w:rPr>
            </w:pPr>
            <w:r>
              <w:rPr>
                <w:rFonts w:ascii="Times New Roman" w:cs="Times New Roman" w:eastAsia="Times New Roman" w:hAnsi="Times New Roman"/>
                <w:sz w:val="14"/>
                <w:szCs w:val="14"/>
                <w:color w:val="FFFFFF"/>
              </w:rPr>
              <w:t>United</w:t>
            </w:r>
          </w:p>
        </w:tc>
        <w:tc>
          <w:tcPr>
            <w:tcW w:w="86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color w:val="FFFFFF"/>
              </w:rPr>
              <w:t>Canada/</w:t>
            </w:r>
          </w:p>
        </w:tc>
        <w:tc>
          <w:tcPr>
            <w:tcW w:w="780" w:type="dxa"/>
            <w:vAlign w:val="bottom"/>
            <w:shd w:val="clear" w:color="auto" w:fill="0C479D"/>
          </w:tcPr>
          <w:p>
            <w:pPr>
              <w:spacing w:after="0"/>
              <w:rPr>
                <w:sz w:val="15"/>
                <w:szCs w:val="15"/>
                <w:color w:val="auto"/>
              </w:rPr>
            </w:pPr>
          </w:p>
        </w:tc>
        <w:tc>
          <w:tcPr>
            <w:tcW w:w="800" w:type="dxa"/>
            <w:vAlign w:val="bottom"/>
            <w:shd w:val="clear" w:color="auto" w:fill="0C479D"/>
          </w:tcPr>
          <w:p>
            <w:pPr>
              <w:spacing w:after="0"/>
              <w:rPr>
                <w:sz w:val="15"/>
                <w:szCs w:val="15"/>
                <w:color w:val="auto"/>
              </w:rPr>
            </w:pPr>
          </w:p>
        </w:tc>
        <w:tc>
          <w:tcPr>
            <w:tcW w:w="740" w:type="dxa"/>
            <w:vAlign w:val="bottom"/>
            <w:shd w:val="clear" w:color="auto" w:fill="0C479D"/>
          </w:tcPr>
          <w:p>
            <w:pPr>
              <w:spacing w:after="0"/>
              <w:rPr>
                <w:sz w:val="15"/>
                <w:szCs w:val="15"/>
                <w:color w:val="auto"/>
              </w:rPr>
            </w:pPr>
          </w:p>
        </w:tc>
        <w:tc>
          <w:tcPr>
            <w:tcW w:w="920" w:type="dxa"/>
            <w:vAlign w:val="bottom"/>
            <w:vMerge w:val="restart"/>
            <w:shd w:val="clear" w:color="auto" w:fill="0C479D"/>
          </w:tcPr>
          <w:p>
            <w:pPr>
              <w:jc w:val="right"/>
              <w:ind w:right="160"/>
              <w:spacing w:after="0"/>
              <w:rPr>
                <w:sz w:val="20"/>
                <w:szCs w:val="20"/>
                <w:color w:val="auto"/>
              </w:rPr>
            </w:pPr>
            <w:r>
              <w:rPr>
                <w:rFonts w:ascii="Times New Roman" w:cs="Times New Roman" w:eastAsia="Times New Roman" w:hAnsi="Times New Roman"/>
                <w:sz w:val="14"/>
                <w:szCs w:val="14"/>
                <w:color w:val="FFFFFF"/>
              </w:rPr>
              <w:t>Australia/</w:t>
            </w:r>
          </w:p>
        </w:tc>
        <w:tc>
          <w:tcPr>
            <w:tcW w:w="720" w:type="dxa"/>
            <w:vAlign w:val="bottom"/>
            <w:shd w:val="clear" w:color="auto" w:fill="0C479D"/>
          </w:tcPr>
          <w:p>
            <w:pPr>
              <w:spacing w:after="0"/>
              <w:rPr>
                <w:sz w:val="15"/>
                <w:szCs w:val="15"/>
                <w:color w:val="auto"/>
              </w:rPr>
            </w:pPr>
          </w:p>
        </w:tc>
        <w:tc>
          <w:tcPr>
            <w:tcW w:w="1120" w:type="dxa"/>
            <w:vAlign w:val="bottom"/>
            <w:shd w:val="clear" w:color="auto" w:fill="0C479D"/>
          </w:tcPr>
          <w:p>
            <w:pPr>
              <w:jc w:val="center"/>
              <w:ind w:left="263"/>
              <w:spacing w:after="0"/>
              <w:rPr>
                <w:sz w:val="20"/>
                <w:szCs w:val="20"/>
                <w:color w:val="auto"/>
              </w:rPr>
            </w:pPr>
            <w:r>
              <w:rPr>
                <w:rFonts w:ascii="Times New Roman" w:cs="Times New Roman" w:eastAsia="Times New Roman" w:hAnsi="Times New Roman"/>
                <w:sz w:val="14"/>
                <w:szCs w:val="14"/>
                <w:color w:val="FFFFFF"/>
              </w:rPr>
              <w:t>Canada/</w:t>
            </w:r>
          </w:p>
        </w:tc>
        <w:tc>
          <w:tcPr>
            <w:tcW w:w="96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color w:val="FFFFFF"/>
              </w:rPr>
              <w:t>Canada/</w:t>
            </w:r>
          </w:p>
        </w:tc>
        <w:tc>
          <w:tcPr>
            <w:tcW w:w="800" w:type="dxa"/>
            <w:vAlign w:val="bottom"/>
            <w:shd w:val="clear" w:color="auto" w:fill="0C479D"/>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660" w:type="dxa"/>
            <w:vAlign w:val="bottom"/>
            <w:vMerge w:val="restart"/>
            <w:shd w:val="clear" w:color="auto" w:fill="0C479D"/>
          </w:tcPr>
          <w:p>
            <w:pPr>
              <w:spacing w:after="0"/>
              <w:rPr>
                <w:sz w:val="20"/>
                <w:szCs w:val="20"/>
                <w:color w:val="auto"/>
              </w:rPr>
            </w:pPr>
            <w:r>
              <w:rPr>
                <w:rFonts w:ascii="Times New Roman" w:cs="Times New Roman" w:eastAsia="Times New Roman" w:hAnsi="Times New Roman"/>
                <w:sz w:val="14"/>
                <w:szCs w:val="14"/>
                <w:i w:val="1"/>
                <w:iCs w:val="1"/>
                <w:color w:val="FFFFFF"/>
              </w:rPr>
              <w:t>(millions of barrels)</w:t>
            </w:r>
          </w:p>
        </w:tc>
        <w:tc>
          <w:tcPr>
            <w:tcW w:w="740" w:type="dxa"/>
            <w:vAlign w:val="bottom"/>
            <w:vMerge w:val="continue"/>
            <w:shd w:val="clear" w:color="auto" w:fill="0C479D"/>
          </w:tcPr>
          <w:p>
            <w:pPr>
              <w:spacing w:after="0"/>
              <w:rPr>
                <w:sz w:val="12"/>
                <w:szCs w:val="12"/>
                <w:color w:val="auto"/>
              </w:rPr>
            </w:pPr>
          </w:p>
        </w:tc>
        <w:tc>
          <w:tcPr>
            <w:tcW w:w="860" w:type="dxa"/>
            <w:vAlign w:val="bottom"/>
            <w:shd w:val="clear" w:color="auto" w:fill="0C479D"/>
          </w:tcPr>
          <w:p>
            <w:pPr>
              <w:jc w:val="center"/>
              <w:spacing w:after="0" w:line="149" w:lineRule="exact"/>
              <w:rPr>
                <w:sz w:val="20"/>
                <w:szCs w:val="20"/>
                <w:color w:val="auto"/>
              </w:rPr>
            </w:pPr>
            <w:r>
              <w:rPr>
                <w:rFonts w:ascii="Times New Roman" w:cs="Times New Roman" w:eastAsia="Times New Roman" w:hAnsi="Times New Roman"/>
                <w:sz w:val="14"/>
                <w:szCs w:val="14"/>
                <w:color w:val="FFFFFF"/>
              </w:rPr>
              <w:t>Other</w:t>
            </w:r>
          </w:p>
        </w:tc>
        <w:tc>
          <w:tcPr>
            <w:tcW w:w="780" w:type="dxa"/>
            <w:vAlign w:val="bottom"/>
            <w:vMerge w:val="restart"/>
            <w:shd w:val="clear" w:color="auto" w:fill="0C479D"/>
          </w:tcPr>
          <w:p>
            <w:pPr>
              <w:jc w:val="right"/>
              <w:ind w:right="140"/>
              <w:spacing w:after="0"/>
              <w:rPr>
                <w:sz w:val="20"/>
                <w:szCs w:val="20"/>
                <w:color w:val="auto"/>
              </w:rPr>
            </w:pPr>
            <w:r>
              <w:rPr>
                <w:rFonts w:ascii="Times New Roman" w:cs="Times New Roman" w:eastAsia="Times New Roman" w:hAnsi="Times New Roman"/>
                <w:sz w:val="14"/>
                <w:szCs w:val="14"/>
                <w:color w:val="FFFFFF"/>
              </w:rPr>
              <w:t>Europe</w:t>
            </w:r>
          </w:p>
        </w:tc>
        <w:tc>
          <w:tcPr>
            <w:tcW w:w="800" w:type="dxa"/>
            <w:vAlign w:val="bottom"/>
            <w:vMerge w:val="restart"/>
            <w:shd w:val="clear" w:color="auto" w:fill="0C479D"/>
          </w:tcPr>
          <w:p>
            <w:pPr>
              <w:jc w:val="right"/>
              <w:ind w:right="200"/>
              <w:spacing w:after="0"/>
              <w:rPr>
                <w:sz w:val="20"/>
                <w:szCs w:val="20"/>
                <w:color w:val="auto"/>
              </w:rPr>
            </w:pPr>
            <w:r>
              <w:rPr>
                <w:rFonts w:ascii="Times New Roman" w:cs="Times New Roman" w:eastAsia="Times New Roman" w:hAnsi="Times New Roman"/>
                <w:sz w:val="14"/>
                <w:szCs w:val="14"/>
                <w:color w:val="FFFFFF"/>
              </w:rPr>
              <w:t>Africa</w:t>
            </w:r>
          </w:p>
        </w:tc>
        <w:tc>
          <w:tcPr>
            <w:tcW w:w="740" w:type="dxa"/>
            <w:vAlign w:val="bottom"/>
            <w:vMerge w:val="restart"/>
            <w:shd w:val="clear" w:color="auto" w:fill="0C479D"/>
          </w:tcPr>
          <w:p>
            <w:pPr>
              <w:jc w:val="right"/>
              <w:ind w:right="220"/>
              <w:spacing w:after="0"/>
              <w:rPr>
                <w:sz w:val="20"/>
                <w:szCs w:val="20"/>
                <w:color w:val="auto"/>
              </w:rPr>
            </w:pPr>
            <w:r>
              <w:rPr>
                <w:rFonts w:ascii="Times New Roman" w:cs="Times New Roman" w:eastAsia="Times New Roman" w:hAnsi="Times New Roman"/>
                <w:sz w:val="14"/>
                <w:szCs w:val="14"/>
                <w:color w:val="FFFFFF"/>
              </w:rPr>
              <w:t>Asia</w:t>
            </w:r>
          </w:p>
        </w:tc>
        <w:tc>
          <w:tcPr>
            <w:tcW w:w="920" w:type="dxa"/>
            <w:vAlign w:val="bottom"/>
            <w:vMerge w:val="continue"/>
            <w:shd w:val="clear" w:color="auto" w:fill="0C479D"/>
          </w:tcPr>
          <w:p>
            <w:pPr>
              <w:spacing w:after="0"/>
              <w:rPr>
                <w:sz w:val="12"/>
                <w:szCs w:val="12"/>
                <w:color w:val="auto"/>
              </w:rPr>
            </w:pPr>
          </w:p>
        </w:tc>
        <w:tc>
          <w:tcPr>
            <w:tcW w:w="720" w:type="dxa"/>
            <w:vAlign w:val="bottom"/>
            <w:vMerge w:val="restart"/>
            <w:shd w:val="clear" w:color="auto" w:fill="0C479D"/>
          </w:tcPr>
          <w:p>
            <w:pPr>
              <w:jc w:val="right"/>
              <w:ind w:right="140"/>
              <w:spacing w:after="0"/>
              <w:rPr>
                <w:sz w:val="20"/>
                <w:szCs w:val="20"/>
                <w:color w:val="auto"/>
              </w:rPr>
            </w:pPr>
            <w:r>
              <w:rPr>
                <w:rFonts w:ascii="Times New Roman" w:cs="Times New Roman" w:eastAsia="Times New Roman" w:hAnsi="Times New Roman"/>
                <w:sz w:val="14"/>
                <w:szCs w:val="14"/>
                <w:color w:val="FFFFFF"/>
              </w:rPr>
              <w:t>Total</w:t>
            </w:r>
          </w:p>
        </w:tc>
        <w:tc>
          <w:tcPr>
            <w:tcW w:w="1120" w:type="dxa"/>
            <w:vAlign w:val="bottom"/>
            <w:shd w:val="clear" w:color="auto" w:fill="0C479D"/>
          </w:tcPr>
          <w:p>
            <w:pPr>
              <w:jc w:val="center"/>
              <w:ind w:left="263"/>
              <w:spacing w:after="0" w:line="149" w:lineRule="exact"/>
              <w:rPr>
                <w:sz w:val="20"/>
                <w:szCs w:val="20"/>
                <w:color w:val="auto"/>
              </w:rPr>
            </w:pPr>
            <w:r>
              <w:rPr>
                <w:rFonts w:ascii="Times New Roman" w:cs="Times New Roman" w:eastAsia="Times New Roman" w:hAnsi="Times New Roman"/>
                <w:sz w:val="14"/>
                <w:szCs w:val="14"/>
                <w:color w:val="FFFFFF"/>
              </w:rPr>
              <w:t>Other</w:t>
            </w:r>
          </w:p>
        </w:tc>
        <w:tc>
          <w:tcPr>
            <w:tcW w:w="960" w:type="dxa"/>
            <w:vAlign w:val="bottom"/>
            <w:shd w:val="clear" w:color="auto" w:fill="0C479D"/>
          </w:tcPr>
          <w:p>
            <w:pPr>
              <w:jc w:val="center"/>
              <w:spacing w:after="0" w:line="149" w:lineRule="exact"/>
              <w:rPr>
                <w:sz w:val="20"/>
                <w:szCs w:val="20"/>
                <w:color w:val="auto"/>
              </w:rPr>
            </w:pPr>
            <w:r>
              <w:rPr>
                <w:rFonts w:ascii="Times New Roman" w:cs="Times New Roman" w:eastAsia="Times New Roman" w:hAnsi="Times New Roman"/>
                <w:sz w:val="14"/>
                <w:szCs w:val="14"/>
                <w:color w:val="FFFFFF"/>
              </w:rPr>
              <w:t>Other</w:t>
            </w:r>
          </w:p>
        </w:tc>
        <w:tc>
          <w:tcPr>
            <w:tcW w:w="800" w:type="dxa"/>
            <w:vAlign w:val="bottom"/>
            <w:vMerge w:val="restart"/>
            <w:shd w:val="clear" w:color="auto" w:fill="0C479D"/>
          </w:tcPr>
          <w:p>
            <w:pPr>
              <w:jc w:val="right"/>
              <w:ind w:right="180"/>
              <w:spacing w:after="0"/>
              <w:rPr>
                <w:sz w:val="20"/>
                <w:szCs w:val="20"/>
                <w:color w:val="auto"/>
              </w:rPr>
            </w:pPr>
            <w:r>
              <w:rPr>
                <w:rFonts w:ascii="Times New Roman" w:cs="Times New Roman" w:eastAsia="Times New Roman" w:hAnsi="Times New Roman"/>
                <w:sz w:val="14"/>
                <w:szCs w:val="14"/>
                <w:color w:val="FFFFFF"/>
              </w:rPr>
              <w:t>Total</w:t>
            </w:r>
          </w:p>
        </w:tc>
        <w:tc>
          <w:tcPr>
            <w:tcW w:w="0" w:type="dxa"/>
            <w:vAlign w:val="bottom"/>
          </w:tcPr>
          <w:p>
            <w:pPr>
              <w:spacing w:after="0"/>
              <w:rPr>
                <w:sz w:val="1"/>
                <w:szCs w:val="1"/>
                <w:color w:val="auto"/>
              </w:rPr>
            </w:pPr>
          </w:p>
        </w:tc>
      </w:tr>
      <w:tr>
        <w:trPr>
          <w:trHeight w:val="198"/>
        </w:trPr>
        <w:tc>
          <w:tcPr>
            <w:tcW w:w="2660" w:type="dxa"/>
            <w:vAlign w:val="bottom"/>
            <w:vMerge w:val="continue"/>
            <w:shd w:val="clear" w:color="auto" w:fill="0C479D"/>
          </w:tcPr>
          <w:p>
            <w:pPr>
              <w:spacing w:after="0"/>
              <w:rPr>
                <w:sz w:val="17"/>
                <w:szCs w:val="17"/>
                <w:color w:val="auto"/>
              </w:rPr>
            </w:pPr>
          </w:p>
        </w:tc>
        <w:tc>
          <w:tcPr>
            <w:tcW w:w="740" w:type="dxa"/>
            <w:vAlign w:val="bottom"/>
            <w:shd w:val="clear" w:color="auto" w:fill="0C479D"/>
          </w:tcPr>
          <w:p>
            <w:pPr>
              <w:jc w:val="right"/>
              <w:ind w:right="160"/>
              <w:spacing w:after="0"/>
              <w:rPr>
                <w:sz w:val="20"/>
                <w:szCs w:val="20"/>
                <w:color w:val="auto"/>
              </w:rPr>
            </w:pPr>
            <w:r>
              <w:rPr>
                <w:rFonts w:ascii="Times New Roman" w:cs="Times New Roman" w:eastAsia="Times New Roman" w:hAnsi="Times New Roman"/>
                <w:sz w:val="14"/>
                <w:szCs w:val="14"/>
                <w:color w:val="FFFFFF"/>
              </w:rPr>
              <w:t>States</w:t>
            </w:r>
          </w:p>
        </w:tc>
        <w:tc>
          <w:tcPr>
            <w:tcW w:w="86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color w:val="FFFFFF"/>
              </w:rPr>
              <w:t>Americas</w:t>
            </w:r>
          </w:p>
        </w:tc>
        <w:tc>
          <w:tcPr>
            <w:tcW w:w="780" w:type="dxa"/>
            <w:vAlign w:val="bottom"/>
            <w:vMerge w:val="continue"/>
            <w:shd w:val="clear" w:color="auto" w:fill="0C479D"/>
          </w:tcPr>
          <w:p>
            <w:pPr>
              <w:spacing w:after="0"/>
              <w:rPr>
                <w:sz w:val="17"/>
                <w:szCs w:val="17"/>
                <w:color w:val="auto"/>
              </w:rPr>
            </w:pPr>
          </w:p>
        </w:tc>
        <w:tc>
          <w:tcPr>
            <w:tcW w:w="800" w:type="dxa"/>
            <w:vAlign w:val="bottom"/>
            <w:vMerge w:val="continue"/>
            <w:shd w:val="clear" w:color="auto" w:fill="0C479D"/>
          </w:tcPr>
          <w:p>
            <w:pPr>
              <w:spacing w:after="0"/>
              <w:rPr>
                <w:sz w:val="17"/>
                <w:szCs w:val="17"/>
                <w:color w:val="auto"/>
              </w:rPr>
            </w:pPr>
          </w:p>
        </w:tc>
        <w:tc>
          <w:tcPr>
            <w:tcW w:w="740" w:type="dxa"/>
            <w:vAlign w:val="bottom"/>
            <w:vMerge w:val="continue"/>
            <w:shd w:val="clear" w:color="auto" w:fill="0C479D"/>
          </w:tcPr>
          <w:p>
            <w:pPr>
              <w:spacing w:after="0"/>
              <w:rPr>
                <w:sz w:val="17"/>
                <w:szCs w:val="17"/>
                <w:color w:val="auto"/>
              </w:rPr>
            </w:pPr>
          </w:p>
        </w:tc>
        <w:tc>
          <w:tcPr>
            <w:tcW w:w="920" w:type="dxa"/>
            <w:vAlign w:val="bottom"/>
            <w:shd w:val="clear" w:color="auto" w:fill="0C479D"/>
          </w:tcPr>
          <w:p>
            <w:pPr>
              <w:jc w:val="right"/>
              <w:ind w:right="200"/>
              <w:spacing w:after="0"/>
              <w:rPr>
                <w:sz w:val="20"/>
                <w:szCs w:val="20"/>
                <w:color w:val="auto"/>
              </w:rPr>
            </w:pPr>
            <w:r>
              <w:rPr>
                <w:rFonts w:ascii="Times New Roman" w:cs="Times New Roman" w:eastAsia="Times New Roman" w:hAnsi="Times New Roman"/>
                <w:sz w:val="14"/>
                <w:szCs w:val="14"/>
                <w:color w:val="FFFFFF"/>
              </w:rPr>
              <w:t>Oceania</w:t>
            </w:r>
          </w:p>
        </w:tc>
        <w:tc>
          <w:tcPr>
            <w:tcW w:w="720" w:type="dxa"/>
            <w:vAlign w:val="bottom"/>
            <w:vMerge w:val="continue"/>
            <w:shd w:val="clear" w:color="auto" w:fill="0C479D"/>
          </w:tcPr>
          <w:p>
            <w:pPr>
              <w:spacing w:after="0"/>
              <w:rPr>
                <w:sz w:val="17"/>
                <w:szCs w:val="17"/>
                <w:color w:val="auto"/>
              </w:rPr>
            </w:pPr>
          </w:p>
        </w:tc>
        <w:tc>
          <w:tcPr>
            <w:tcW w:w="1120" w:type="dxa"/>
            <w:vAlign w:val="bottom"/>
            <w:shd w:val="clear" w:color="auto" w:fill="0C479D"/>
          </w:tcPr>
          <w:p>
            <w:pPr>
              <w:jc w:val="center"/>
              <w:ind w:left="263"/>
              <w:spacing w:after="0"/>
              <w:rPr>
                <w:sz w:val="20"/>
                <w:szCs w:val="20"/>
                <w:color w:val="auto"/>
              </w:rPr>
            </w:pPr>
            <w:r>
              <w:rPr>
                <w:rFonts w:ascii="Times New Roman" w:cs="Times New Roman" w:eastAsia="Times New Roman" w:hAnsi="Times New Roman"/>
                <w:sz w:val="14"/>
                <w:szCs w:val="14"/>
                <w:color w:val="FFFFFF"/>
              </w:rPr>
              <w:t>Americas</w:t>
            </w:r>
          </w:p>
        </w:tc>
        <w:tc>
          <w:tcPr>
            <w:tcW w:w="96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color w:val="FFFFFF"/>
              </w:rPr>
              <w:t>Americas</w:t>
            </w:r>
          </w:p>
        </w:tc>
        <w:tc>
          <w:tcPr>
            <w:tcW w:w="800" w:type="dxa"/>
            <w:vAlign w:val="bottom"/>
            <w:vMerge w:val="continue"/>
            <w:shd w:val="clear" w:color="auto" w:fill="0C479D"/>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2660" w:type="dxa"/>
            <w:vAlign w:val="bottom"/>
          </w:tcPr>
          <w:p>
            <w:pPr>
              <w:spacing w:after="0"/>
              <w:rPr>
                <w:sz w:val="20"/>
                <w:szCs w:val="20"/>
                <w:color w:val="auto"/>
              </w:rPr>
            </w:pPr>
            <w:r>
              <w:rPr>
                <w:rFonts w:ascii="Times New Roman" w:cs="Times New Roman" w:eastAsia="Times New Roman" w:hAnsi="Times New Roman"/>
                <w:sz w:val="16"/>
                <w:szCs w:val="16"/>
                <w:b w:val="1"/>
                <w:bCs w:val="1"/>
                <w:color w:val="0C479D"/>
              </w:rPr>
              <w:t>As of December 31, 2022</w:t>
            </w: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Proved developed reserves</w:t>
            </w: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Consolidated subsidiaries</w:t>
            </w:r>
          </w:p>
        </w:tc>
        <w:tc>
          <w:tcPr>
            <w:tcW w:w="7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1,688</w:t>
            </w:r>
          </w:p>
        </w:tc>
        <w:tc>
          <w:tcPr>
            <w:tcW w:w="8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378</w:t>
            </w: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5</w:t>
            </w: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259</w:t>
            </w:r>
          </w:p>
        </w:tc>
        <w:tc>
          <w:tcPr>
            <w:tcW w:w="7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2,067</w:t>
            </w:r>
          </w:p>
        </w:tc>
        <w:tc>
          <w:tcPr>
            <w:tcW w:w="9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50</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4,447</w:t>
            </w: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2,288</w:t>
            </w:r>
          </w:p>
        </w:tc>
        <w:tc>
          <w:tcPr>
            <w:tcW w:w="9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248</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6,983</w:t>
            </w:r>
          </w:p>
        </w:tc>
        <w:tc>
          <w:tcPr>
            <w:tcW w:w="0" w:type="dxa"/>
            <w:vAlign w:val="bottom"/>
          </w:tcPr>
          <w:p>
            <w:pPr>
              <w:spacing w:after="0"/>
              <w:rPr>
                <w:sz w:val="1"/>
                <w:szCs w:val="1"/>
                <w:color w:val="auto"/>
              </w:rPr>
            </w:pPr>
          </w:p>
        </w:tc>
      </w:tr>
      <w:tr>
        <w:trPr>
          <w:trHeight w:val="216"/>
        </w:trPr>
        <w:tc>
          <w:tcPr>
            <w:tcW w:w="2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Equity companies</w:t>
            </w:r>
          </w:p>
        </w:tc>
        <w:tc>
          <w:tcPr>
            <w:tcW w:w="7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126</w:t>
            </w:r>
          </w:p>
        </w:tc>
        <w:tc>
          <w:tcPr>
            <w:tcW w:w="8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w:t>
            </w: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5</w:t>
            </w:r>
          </w:p>
        </w:tc>
        <w:tc>
          <w:tcPr>
            <w:tcW w:w="7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360</w:t>
            </w:r>
          </w:p>
        </w:tc>
        <w:tc>
          <w:tcPr>
            <w:tcW w:w="9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Proved undeveloped reserves</w:t>
            </w: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Consolidated subsidiaries</w:t>
            </w:r>
          </w:p>
        </w:tc>
        <w:tc>
          <w:tcPr>
            <w:tcW w:w="7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1,568</w:t>
            </w:r>
          </w:p>
        </w:tc>
        <w:tc>
          <w:tcPr>
            <w:tcW w:w="8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568</w:t>
            </w: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35</w:t>
            </w:r>
          </w:p>
        </w:tc>
        <w:tc>
          <w:tcPr>
            <w:tcW w:w="7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813</w:t>
            </w:r>
          </w:p>
        </w:tc>
        <w:tc>
          <w:tcPr>
            <w:tcW w:w="9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30</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3,014</w:t>
            </w: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132</w:t>
            </w:r>
          </w:p>
        </w:tc>
        <w:tc>
          <w:tcPr>
            <w:tcW w:w="9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105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3,251</w:t>
            </w:r>
          </w:p>
        </w:tc>
        <w:tc>
          <w:tcPr>
            <w:tcW w:w="0" w:type="dxa"/>
            <w:vAlign w:val="bottom"/>
          </w:tcPr>
          <w:p>
            <w:pPr>
              <w:spacing w:after="0"/>
              <w:rPr>
                <w:sz w:val="1"/>
                <w:szCs w:val="1"/>
                <w:color w:val="auto"/>
              </w:rPr>
            </w:pPr>
          </w:p>
        </w:tc>
      </w:tr>
      <w:tr>
        <w:trPr>
          <w:trHeight w:val="219"/>
        </w:trPr>
        <w:tc>
          <w:tcPr>
            <w:tcW w:w="2660" w:type="dxa"/>
            <w:vAlign w:val="bottom"/>
            <w:tcBorders>
              <w:bottom w:val="single" w:sz="8" w:color="0C479D"/>
            </w:tcBorders>
          </w:tcPr>
          <w:p>
            <w:pPr>
              <w:ind w:left="120"/>
              <w:spacing w:after="0"/>
              <w:rPr>
                <w:sz w:val="20"/>
                <w:szCs w:val="20"/>
                <w:color w:val="auto"/>
              </w:rPr>
            </w:pPr>
            <w:r>
              <w:rPr>
                <w:rFonts w:ascii="Times New Roman" w:cs="Times New Roman" w:eastAsia="Times New Roman" w:hAnsi="Times New Roman"/>
                <w:sz w:val="16"/>
                <w:szCs w:val="16"/>
                <w:color w:val="auto"/>
              </w:rPr>
              <w:t>Equity companies</w:t>
            </w:r>
          </w:p>
        </w:tc>
        <w:tc>
          <w:tcPr>
            <w:tcW w:w="740" w:type="dxa"/>
            <w:vAlign w:val="bottom"/>
            <w:tcBorders>
              <w:bottom w:val="single" w:sz="8" w:color="0C479D"/>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0C479D"/>
            </w:tcBorders>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0C479D"/>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0C479D"/>
            </w:tcBorders>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0C479D"/>
            </w:tcBorders>
          </w:tcPr>
          <w:p>
            <w:pPr>
              <w:jc w:val="right"/>
              <w:ind w:right="80"/>
              <w:spacing w:after="0"/>
              <w:rPr>
                <w:sz w:val="20"/>
                <w:szCs w:val="20"/>
                <w:color w:val="auto"/>
              </w:rPr>
            </w:pPr>
            <w:r>
              <w:rPr>
                <w:rFonts w:ascii="Times New Roman" w:cs="Times New Roman" w:eastAsia="Times New Roman" w:hAnsi="Times New Roman"/>
                <w:sz w:val="16"/>
                <w:szCs w:val="16"/>
                <w:color w:val="auto"/>
              </w:rPr>
              <w:t>744</w:t>
            </w:r>
          </w:p>
        </w:tc>
        <w:tc>
          <w:tcPr>
            <w:tcW w:w="920" w:type="dxa"/>
            <w:vAlign w:val="bottom"/>
            <w:tcBorders>
              <w:bottom w:val="single" w:sz="8" w:color="0C479D"/>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1120" w:type="dxa"/>
            <w:vAlign w:val="bottom"/>
            <w:tcBorders>
              <w:bottom w:val="single" w:sz="8" w:color="0C479D"/>
            </w:tcBorders>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0C479D"/>
            </w:tcBorders>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0" w:type="dxa"/>
            <w:vAlign w:val="bottom"/>
          </w:tcPr>
          <w:p>
            <w:pPr>
              <w:spacing w:after="0"/>
              <w:rPr>
                <w:sz w:val="1"/>
                <w:szCs w:val="1"/>
                <w:color w:val="auto"/>
              </w:rPr>
            </w:pPr>
          </w:p>
        </w:tc>
      </w:tr>
      <w:tr>
        <w:trPr>
          <w:trHeight w:val="159"/>
        </w:trPr>
        <w:tc>
          <w:tcPr>
            <w:tcW w:w="2660" w:type="dxa"/>
            <w:vAlign w:val="bottom"/>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Total liquids proved reserves at</w:t>
            </w:r>
          </w:p>
        </w:tc>
        <w:tc>
          <w:tcPr>
            <w:tcW w:w="740" w:type="dxa"/>
            <w:vAlign w:val="bottom"/>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3,382</w:t>
            </w:r>
          </w:p>
        </w:tc>
        <w:tc>
          <w:tcPr>
            <w:tcW w:w="86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946</w:t>
            </w:r>
          </w:p>
        </w:tc>
        <w:tc>
          <w:tcPr>
            <w:tcW w:w="780" w:type="dxa"/>
            <w:vAlign w:val="bottom"/>
            <w:vMerge w:val="restart"/>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7</w:t>
            </w:r>
          </w:p>
        </w:tc>
        <w:tc>
          <w:tcPr>
            <w:tcW w:w="800" w:type="dxa"/>
            <w:vAlign w:val="bottom"/>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299</w:t>
            </w:r>
          </w:p>
        </w:tc>
        <w:tc>
          <w:tcPr>
            <w:tcW w:w="740" w:type="dxa"/>
            <w:vAlign w:val="bottom"/>
            <w:vMerge w:val="restart"/>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3,984</w:t>
            </w:r>
          </w:p>
        </w:tc>
        <w:tc>
          <w:tcPr>
            <w:tcW w:w="920" w:type="dxa"/>
            <w:vAlign w:val="bottom"/>
            <w:vMerge w:val="restart"/>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80</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8,698</w:t>
            </w:r>
          </w:p>
        </w:tc>
        <w:tc>
          <w:tcPr>
            <w:tcW w:w="11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2,420</w:t>
            </w:r>
          </w:p>
        </w:tc>
        <w:tc>
          <w:tcPr>
            <w:tcW w:w="96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353</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11,471</w:t>
            </w:r>
          </w:p>
        </w:tc>
        <w:tc>
          <w:tcPr>
            <w:tcW w:w="0" w:type="dxa"/>
            <w:vAlign w:val="bottom"/>
          </w:tcPr>
          <w:p>
            <w:pPr>
              <w:spacing w:after="0"/>
              <w:rPr>
                <w:sz w:val="1"/>
                <w:szCs w:val="1"/>
                <w:color w:val="auto"/>
              </w:rPr>
            </w:pPr>
          </w:p>
        </w:tc>
      </w:tr>
      <w:tr>
        <w:trPr>
          <w:trHeight w:val="214"/>
        </w:trPr>
        <w:tc>
          <w:tcPr>
            <w:tcW w:w="2660" w:type="dxa"/>
            <w:vAlign w:val="bottom"/>
            <w:tcBorders>
              <w:bottom w:val="single" w:sz="8" w:color="0C479D"/>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740" w:type="dxa"/>
            <w:vAlign w:val="bottom"/>
            <w:tcBorders>
              <w:bottom w:val="single" w:sz="8" w:color="0C479D"/>
            </w:tcBorders>
            <w:vMerge w:val="continue"/>
          </w:tcPr>
          <w:p>
            <w:pPr>
              <w:spacing w:after="0"/>
              <w:rPr>
                <w:sz w:val="18"/>
                <w:szCs w:val="18"/>
                <w:color w:val="auto"/>
              </w:rPr>
            </w:pPr>
          </w:p>
        </w:tc>
        <w:tc>
          <w:tcPr>
            <w:tcW w:w="860" w:type="dxa"/>
            <w:vAlign w:val="bottom"/>
            <w:tcBorders>
              <w:bottom w:val="single" w:sz="8" w:color="0C479D"/>
            </w:tcBorders>
            <w:vMerge w:val="continue"/>
          </w:tcPr>
          <w:p>
            <w:pPr>
              <w:spacing w:after="0"/>
              <w:rPr>
                <w:sz w:val="18"/>
                <w:szCs w:val="18"/>
                <w:color w:val="auto"/>
              </w:rPr>
            </w:pPr>
          </w:p>
        </w:tc>
        <w:tc>
          <w:tcPr>
            <w:tcW w:w="780" w:type="dxa"/>
            <w:vAlign w:val="bottom"/>
            <w:tcBorders>
              <w:bottom w:val="single" w:sz="8" w:color="0C479D"/>
            </w:tcBorders>
            <w:vMerge w:val="continue"/>
          </w:tcPr>
          <w:p>
            <w:pPr>
              <w:spacing w:after="0"/>
              <w:rPr>
                <w:sz w:val="18"/>
                <w:szCs w:val="18"/>
                <w:color w:val="auto"/>
              </w:rPr>
            </w:pPr>
          </w:p>
        </w:tc>
        <w:tc>
          <w:tcPr>
            <w:tcW w:w="800" w:type="dxa"/>
            <w:vAlign w:val="bottom"/>
            <w:tcBorders>
              <w:bottom w:val="single" w:sz="8" w:color="0C479D"/>
            </w:tcBorders>
            <w:vMerge w:val="continue"/>
          </w:tcPr>
          <w:p>
            <w:pPr>
              <w:spacing w:after="0"/>
              <w:rPr>
                <w:sz w:val="18"/>
                <w:szCs w:val="18"/>
                <w:color w:val="auto"/>
              </w:rPr>
            </w:pPr>
          </w:p>
        </w:tc>
        <w:tc>
          <w:tcPr>
            <w:tcW w:w="740" w:type="dxa"/>
            <w:vAlign w:val="bottom"/>
            <w:tcBorders>
              <w:bottom w:val="single" w:sz="8" w:color="0C479D"/>
            </w:tcBorders>
            <w:vMerge w:val="continue"/>
          </w:tcPr>
          <w:p>
            <w:pPr>
              <w:spacing w:after="0"/>
              <w:rPr>
                <w:sz w:val="18"/>
                <w:szCs w:val="18"/>
                <w:color w:val="auto"/>
              </w:rPr>
            </w:pPr>
          </w:p>
        </w:tc>
        <w:tc>
          <w:tcPr>
            <w:tcW w:w="920" w:type="dxa"/>
            <w:vAlign w:val="bottom"/>
            <w:tcBorders>
              <w:bottom w:val="single" w:sz="8" w:color="0C479D"/>
            </w:tcBorders>
            <w:vMerge w:val="continue"/>
          </w:tcPr>
          <w:p>
            <w:pPr>
              <w:spacing w:after="0"/>
              <w:rPr>
                <w:sz w:val="18"/>
                <w:szCs w:val="18"/>
                <w:color w:val="auto"/>
              </w:rPr>
            </w:pPr>
          </w:p>
        </w:tc>
        <w:tc>
          <w:tcPr>
            <w:tcW w:w="720" w:type="dxa"/>
            <w:vAlign w:val="bottom"/>
            <w:tcBorders>
              <w:bottom w:val="single" w:sz="8" w:color="0C479D"/>
            </w:tcBorders>
            <w:vMerge w:val="continue"/>
          </w:tcPr>
          <w:p>
            <w:pPr>
              <w:spacing w:after="0"/>
              <w:rPr>
                <w:sz w:val="18"/>
                <w:szCs w:val="18"/>
                <w:color w:val="auto"/>
              </w:rPr>
            </w:pPr>
          </w:p>
        </w:tc>
        <w:tc>
          <w:tcPr>
            <w:tcW w:w="1120" w:type="dxa"/>
            <w:vAlign w:val="bottom"/>
            <w:tcBorders>
              <w:bottom w:val="single" w:sz="8" w:color="0C479D"/>
            </w:tcBorders>
            <w:vMerge w:val="continue"/>
          </w:tcPr>
          <w:p>
            <w:pPr>
              <w:spacing w:after="0"/>
              <w:rPr>
                <w:sz w:val="18"/>
                <w:szCs w:val="18"/>
                <w:color w:val="auto"/>
              </w:rPr>
            </w:pPr>
          </w:p>
        </w:tc>
        <w:tc>
          <w:tcPr>
            <w:tcW w:w="960" w:type="dxa"/>
            <w:vAlign w:val="bottom"/>
            <w:tcBorders>
              <w:bottom w:val="single" w:sz="8" w:color="0C479D"/>
            </w:tcBorders>
            <w:vMerge w:val="continue"/>
          </w:tcPr>
          <w:p>
            <w:pPr>
              <w:spacing w:after="0"/>
              <w:rPr>
                <w:sz w:val="18"/>
                <w:szCs w:val="18"/>
                <w:color w:val="auto"/>
              </w:rPr>
            </w:pPr>
          </w:p>
        </w:tc>
        <w:tc>
          <w:tcPr>
            <w:tcW w:w="800" w:type="dxa"/>
            <w:vAlign w:val="bottom"/>
            <w:tcBorders>
              <w:bottom w:val="single" w:sz="8" w:color="0C479D"/>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62"/>
        </w:trPr>
        <w:tc>
          <w:tcPr>
            <w:tcW w:w="2660" w:type="dxa"/>
            <w:vAlign w:val="bottom"/>
          </w:tcPr>
          <w:p>
            <w:pPr>
              <w:spacing w:after="0"/>
              <w:rPr>
                <w:sz w:val="20"/>
                <w:szCs w:val="20"/>
                <w:color w:val="auto"/>
              </w:rPr>
            </w:pPr>
            <w:r>
              <w:rPr>
                <w:rFonts w:ascii="Times New Roman" w:cs="Times New Roman" w:eastAsia="Times New Roman" w:hAnsi="Times New Roman"/>
                <w:sz w:val="16"/>
                <w:szCs w:val="16"/>
                <w:b w:val="1"/>
                <w:bCs w:val="1"/>
                <w:color w:val="0C479D"/>
              </w:rPr>
              <w:t>As of December 31, 2023</w:t>
            </w: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Proved developed reserves</w:t>
            </w: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Consolidated subsidiaries</w:t>
            </w:r>
          </w:p>
        </w:tc>
        <w:tc>
          <w:tcPr>
            <w:tcW w:w="7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1,735</w:t>
            </w:r>
          </w:p>
        </w:tc>
        <w:tc>
          <w:tcPr>
            <w:tcW w:w="8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433</w:t>
            </w: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4</w:t>
            </w: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217</w:t>
            </w:r>
          </w:p>
        </w:tc>
        <w:tc>
          <w:tcPr>
            <w:tcW w:w="7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1,996</w:t>
            </w:r>
          </w:p>
        </w:tc>
        <w:tc>
          <w:tcPr>
            <w:tcW w:w="9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45</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4,430</w:t>
            </w: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2,307</w:t>
            </w:r>
          </w:p>
        </w:tc>
        <w:tc>
          <w:tcPr>
            <w:tcW w:w="9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242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6,979</w:t>
            </w:r>
          </w:p>
        </w:tc>
        <w:tc>
          <w:tcPr>
            <w:tcW w:w="0" w:type="dxa"/>
            <w:vAlign w:val="bottom"/>
          </w:tcPr>
          <w:p>
            <w:pPr>
              <w:spacing w:after="0"/>
              <w:rPr>
                <w:sz w:val="1"/>
                <w:szCs w:val="1"/>
                <w:color w:val="auto"/>
              </w:rPr>
            </w:pPr>
          </w:p>
        </w:tc>
      </w:tr>
      <w:tr>
        <w:trPr>
          <w:trHeight w:val="216"/>
        </w:trPr>
        <w:tc>
          <w:tcPr>
            <w:tcW w:w="2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Equity companies</w:t>
            </w:r>
          </w:p>
        </w:tc>
        <w:tc>
          <w:tcPr>
            <w:tcW w:w="7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11</w:t>
            </w:r>
          </w:p>
        </w:tc>
        <w:tc>
          <w:tcPr>
            <w:tcW w:w="8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w:t>
            </w: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5</w:t>
            </w:r>
          </w:p>
        </w:tc>
        <w:tc>
          <w:tcPr>
            <w:tcW w:w="7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438</w:t>
            </w:r>
          </w:p>
        </w:tc>
        <w:tc>
          <w:tcPr>
            <w:tcW w:w="9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Proved undeveloped reserves</w:t>
            </w: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Consolidated subsidiaries</w:t>
            </w:r>
          </w:p>
        </w:tc>
        <w:tc>
          <w:tcPr>
            <w:tcW w:w="7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1,498</w:t>
            </w:r>
          </w:p>
        </w:tc>
        <w:tc>
          <w:tcPr>
            <w:tcW w:w="8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561</w:t>
            </w: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20</w:t>
            </w:r>
          </w:p>
        </w:tc>
        <w:tc>
          <w:tcPr>
            <w:tcW w:w="7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751</w:t>
            </w:r>
          </w:p>
        </w:tc>
        <w:tc>
          <w:tcPr>
            <w:tcW w:w="9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28</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2,858</w:t>
            </w: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107</w:t>
            </w:r>
          </w:p>
        </w:tc>
        <w:tc>
          <w:tcPr>
            <w:tcW w:w="9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112</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3,077</w:t>
            </w:r>
          </w:p>
        </w:tc>
        <w:tc>
          <w:tcPr>
            <w:tcW w:w="0" w:type="dxa"/>
            <w:vAlign w:val="bottom"/>
          </w:tcPr>
          <w:p>
            <w:pPr>
              <w:spacing w:after="0"/>
              <w:rPr>
                <w:sz w:val="1"/>
                <w:szCs w:val="1"/>
                <w:color w:val="auto"/>
              </w:rPr>
            </w:pPr>
          </w:p>
        </w:tc>
      </w:tr>
      <w:tr>
        <w:trPr>
          <w:trHeight w:val="219"/>
        </w:trPr>
        <w:tc>
          <w:tcPr>
            <w:tcW w:w="2660" w:type="dxa"/>
            <w:vAlign w:val="bottom"/>
            <w:tcBorders>
              <w:bottom w:val="single" w:sz="8" w:color="0C479D"/>
            </w:tcBorders>
          </w:tcPr>
          <w:p>
            <w:pPr>
              <w:ind w:left="120"/>
              <w:spacing w:after="0"/>
              <w:rPr>
                <w:sz w:val="20"/>
                <w:szCs w:val="20"/>
                <w:color w:val="auto"/>
              </w:rPr>
            </w:pPr>
            <w:r>
              <w:rPr>
                <w:rFonts w:ascii="Times New Roman" w:cs="Times New Roman" w:eastAsia="Times New Roman" w:hAnsi="Times New Roman"/>
                <w:sz w:val="16"/>
                <w:szCs w:val="16"/>
                <w:color w:val="auto"/>
              </w:rPr>
              <w:t>Equity companies</w:t>
            </w:r>
          </w:p>
        </w:tc>
        <w:tc>
          <w:tcPr>
            <w:tcW w:w="740" w:type="dxa"/>
            <w:vAlign w:val="bottom"/>
            <w:tcBorders>
              <w:bottom w:val="single" w:sz="8" w:color="0C479D"/>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0C479D"/>
            </w:tcBorders>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0C479D"/>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0C479D"/>
            </w:tcBorders>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0C479D"/>
            </w:tcBorders>
          </w:tcPr>
          <w:p>
            <w:pPr>
              <w:jc w:val="right"/>
              <w:ind w:right="80"/>
              <w:spacing w:after="0"/>
              <w:rPr>
                <w:sz w:val="20"/>
                <w:szCs w:val="20"/>
                <w:color w:val="auto"/>
              </w:rPr>
            </w:pPr>
            <w:r>
              <w:rPr>
                <w:rFonts w:ascii="Times New Roman" w:cs="Times New Roman" w:eastAsia="Times New Roman" w:hAnsi="Times New Roman"/>
                <w:sz w:val="16"/>
                <w:szCs w:val="16"/>
                <w:color w:val="auto"/>
              </w:rPr>
              <w:t>671</w:t>
            </w:r>
          </w:p>
        </w:tc>
        <w:tc>
          <w:tcPr>
            <w:tcW w:w="920" w:type="dxa"/>
            <w:vAlign w:val="bottom"/>
            <w:tcBorders>
              <w:bottom w:val="single" w:sz="8" w:color="0C479D"/>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1120" w:type="dxa"/>
            <w:vAlign w:val="bottom"/>
            <w:tcBorders>
              <w:bottom w:val="single" w:sz="8" w:color="0C479D"/>
            </w:tcBorders>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0C479D"/>
            </w:tcBorders>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0" w:type="dxa"/>
            <w:vAlign w:val="bottom"/>
          </w:tcPr>
          <w:p>
            <w:pPr>
              <w:spacing w:after="0"/>
              <w:rPr>
                <w:sz w:val="1"/>
                <w:szCs w:val="1"/>
                <w:color w:val="auto"/>
              </w:rPr>
            </w:pPr>
          </w:p>
        </w:tc>
      </w:tr>
      <w:tr>
        <w:trPr>
          <w:trHeight w:val="158"/>
        </w:trPr>
        <w:tc>
          <w:tcPr>
            <w:tcW w:w="2660" w:type="dxa"/>
            <w:vAlign w:val="bottom"/>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Total liquids proved reserves at</w:t>
            </w:r>
          </w:p>
        </w:tc>
        <w:tc>
          <w:tcPr>
            <w:tcW w:w="740" w:type="dxa"/>
            <w:vAlign w:val="bottom"/>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3,244</w:t>
            </w:r>
          </w:p>
        </w:tc>
        <w:tc>
          <w:tcPr>
            <w:tcW w:w="86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994</w:t>
            </w:r>
          </w:p>
        </w:tc>
        <w:tc>
          <w:tcPr>
            <w:tcW w:w="780" w:type="dxa"/>
            <w:vAlign w:val="bottom"/>
            <w:vMerge w:val="restart"/>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7</w:t>
            </w:r>
          </w:p>
        </w:tc>
        <w:tc>
          <w:tcPr>
            <w:tcW w:w="800" w:type="dxa"/>
            <w:vAlign w:val="bottom"/>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242</w:t>
            </w:r>
          </w:p>
        </w:tc>
        <w:tc>
          <w:tcPr>
            <w:tcW w:w="740" w:type="dxa"/>
            <w:vAlign w:val="bottom"/>
            <w:vMerge w:val="restart"/>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3,856</w:t>
            </w:r>
          </w:p>
        </w:tc>
        <w:tc>
          <w:tcPr>
            <w:tcW w:w="920" w:type="dxa"/>
            <w:vAlign w:val="bottom"/>
            <w:vMerge w:val="restart"/>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73</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8,416</w:t>
            </w:r>
          </w:p>
        </w:tc>
        <w:tc>
          <w:tcPr>
            <w:tcW w:w="112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2,414</w:t>
            </w:r>
          </w:p>
        </w:tc>
        <w:tc>
          <w:tcPr>
            <w:tcW w:w="96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354</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11,184</w:t>
            </w:r>
          </w:p>
        </w:tc>
        <w:tc>
          <w:tcPr>
            <w:tcW w:w="0" w:type="dxa"/>
            <w:vAlign w:val="bottom"/>
          </w:tcPr>
          <w:p>
            <w:pPr>
              <w:spacing w:after="0"/>
              <w:rPr>
                <w:sz w:val="1"/>
                <w:szCs w:val="1"/>
                <w:color w:val="auto"/>
              </w:rPr>
            </w:pPr>
          </w:p>
        </w:tc>
      </w:tr>
      <w:tr>
        <w:trPr>
          <w:trHeight w:val="214"/>
        </w:trPr>
        <w:tc>
          <w:tcPr>
            <w:tcW w:w="2660" w:type="dxa"/>
            <w:vAlign w:val="bottom"/>
            <w:tcBorders>
              <w:bottom w:val="single" w:sz="8" w:color="0C479D"/>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740" w:type="dxa"/>
            <w:vAlign w:val="bottom"/>
            <w:tcBorders>
              <w:bottom w:val="single" w:sz="8" w:color="0C479D"/>
            </w:tcBorders>
            <w:vMerge w:val="continue"/>
          </w:tcPr>
          <w:p>
            <w:pPr>
              <w:spacing w:after="0"/>
              <w:rPr>
                <w:sz w:val="18"/>
                <w:szCs w:val="18"/>
                <w:color w:val="auto"/>
              </w:rPr>
            </w:pPr>
          </w:p>
        </w:tc>
        <w:tc>
          <w:tcPr>
            <w:tcW w:w="860" w:type="dxa"/>
            <w:vAlign w:val="bottom"/>
            <w:tcBorders>
              <w:bottom w:val="single" w:sz="8" w:color="0C479D"/>
            </w:tcBorders>
            <w:vMerge w:val="continue"/>
          </w:tcPr>
          <w:p>
            <w:pPr>
              <w:spacing w:after="0"/>
              <w:rPr>
                <w:sz w:val="18"/>
                <w:szCs w:val="18"/>
                <w:color w:val="auto"/>
              </w:rPr>
            </w:pPr>
          </w:p>
        </w:tc>
        <w:tc>
          <w:tcPr>
            <w:tcW w:w="780" w:type="dxa"/>
            <w:vAlign w:val="bottom"/>
            <w:tcBorders>
              <w:bottom w:val="single" w:sz="8" w:color="0C479D"/>
            </w:tcBorders>
            <w:vMerge w:val="continue"/>
          </w:tcPr>
          <w:p>
            <w:pPr>
              <w:spacing w:after="0"/>
              <w:rPr>
                <w:sz w:val="18"/>
                <w:szCs w:val="18"/>
                <w:color w:val="auto"/>
              </w:rPr>
            </w:pPr>
          </w:p>
        </w:tc>
        <w:tc>
          <w:tcPr>
            <w:tcW w:w="800" w:type="dxa"/>
            <w:vAlign w:val="bottom"/>
            <w:tcBorders>
              <w:bottom w:val="single" w:sz="8" w:color="0C479D"/>
            </w:tcBorders>
            <w:vMerge w:val="continue"/>
          </w:tcPr>
          <w:p>
            <w:pPr>
              <w:spacing w:after="0"/>
              <w:rPr>
                <w:sz w:val="18"/>
                <w:szCs w:val="18"/>
                <w:color w:val="auto"/>
              </w:rPr>
            </w:pPr>
          </w:p>
        </w:tc>
        <w:tc>
          <w:tcPr>
            <w:tcW w:w="740" w:type="dxa"/>
            <w:vAlign w:val="bottom"/>
            <w:tcBorders>
              <w:bottom w:val="single" w:sz="8" w:color="0C479D"/>
            </w:tcBorders>
            <w:vMerge w:val="continue"/>
          </w:tcPr>
          <w:p>
            <w:pPr>
              <w:spacing w:after="0"/>
              <w:rPr>
                <w:sz w:val="18"/>
                <w:szCs w:val="18"/>
                <w:color w:val="auto"/>
              </w:rPr>
            </w:pPr>
          </w:p>
        </w:tc>
        <w:tc>
          <w:tcPr>
            <w:tcW w:w="920" w:type="dxa"/>
            <w:vAlign w:val="bottom"/>
            <w:tcBorders>
              <w:bottom w:val="single" w:sz="8" w:color="0C479D"/>
            </w:tcBorders>
            <w:vMerge w:val="continue"/>
          </w:tcPr>
          <w:p>
            <w:pPr>
              <w:spacing w:after="0"/>
              <w:rPr>
                <w:sz w:val="18"/>
                <w:szCs w:val="18"/>
                <w:color w:val="auto"/>
              </w:rPr>
            </w:pPr>
          </w:p>
        </w:tc>
        <w:tc>
          <w:tcPr>
            <w:tcW w:w="720" w:type="dxa"/>
            <w:vAlign w:val="bottom"/>
            <w:tcBorders>
              <w:bottom w:val="single" w:sz="8" w:color="0C479D"/>
            </w:tcBorders>
            <w:vMerge w:val="continue"/>
          </w:tcPr>
          <w:p>
            <w:pPr>
              <w:spacing w:after="0"/>
              <w:rPr>
                <w:sz w:val="18"/>
                <w:szCs w:val="18"/>
                <w:color w:val="auto"/>
              </w:rPr>
            </w:pPr>
          </w:p>
        </w:tc>
        <w:tc>
          <w:tcPr>
            <w:tcW w:w="1120" w:type="dxa"/>
            <w:vAlign w:val="bottom"/>
            <w:tcBorders>
              <w:bottom w:val="single" w:sz="8" w:color="0C479D"/>
            </w:tcBorders>
            <w:vMerge w:val="continue"/>
          </w:tcPr>
          <w:p>
            <w:pPr>
              <w:spacing w:after="0"/>
              <w:rPr>
                <w:sz w:val="18"/>
                <w:szCs w:val="18"/>
                <w:color w:val="auto"/>
              </w:rPr>
            </w:pPr>
          </w:p>
        </w:tc>
        <w:tc>
          <w:tcPr>
            <w:tcW w:w="960" w:type="dxa"/>
            <w:vAlign w:val="bottom"/>
            <w:tcBorders>
              <w:bottom w:val="single" w:sz="8" w:color="0C479D"/>
            </w:tcBorders>
            <w:vMerge w:val="continue"/>
          </w:tcPr>
          <w:p>
            <w:pPr>
              <w:spacing w:after="0"/>
              <w:rPr>
                <w:sz w:val="18"/>
                <w:szCs w:val="18"/>
                <w:color w:val="auto"/>
              </w:rPr>
            </w:pPr>
          </w:p>
        </w:tc>
        <w:tc>
          <w:tcPr>
            <w:tcW w:w="800" w:type="dxa"/>
            <w:vAlign w:val="bottom"/>
            <w:tcBorders>
              <w:bottom w:val="single" w:sz="8" w:color="0C479D"/>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62"/>
        </w:trPr>
        <w:tc>
          <w:tcPr>
            <w:tcW w:w="2660" w:type="dxa"/>
            <w:vAlign w:val="bottom"/>
          </w:tcPr>
          <w:p>
            <w:pPr>
              <w:spacing w:after="0"/>
              <w:rPr>
                <w:sz w:val="20"/>
                <w:szCs w:val="20"/>
                <w:color w:val="auto"/>
              </w:rPr>
            </w:pPr>
            <w:r>
              <w:rPr>
                <w:rFonts w:ascii="Times New Roman" w:cs="Times New Roman" w:eastAsia="Times New Roman" w:hAnsi="Times New Roman"/>
                <w:sz w:val="16"/>
                <w:szCs w:val="16"/>
                <w:b w:val="1"/>
                <w:bCs w:val="1"/>
                <w:color w:val="0C479D"/>
              </w:rPr>
              <w:t>As of December 31, 2024</w:t>
            </w: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Proved developed reserves</w:t>
            </w: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Consolidated subsidiaries</w:t>
            </w:r>
          </w:p>
        </w:tc>
        <w:tc>
          <w:tcPr>
            <w:tcW w:w="7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3,053</w:t>
            </w:r>
          </w:p>
        </w:tc>
        <w:tc>
          <w:tcPr>
            <w:tcW w:w="8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473</w:t>
            </w: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3</w:t>
            </w: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153</w:t>
            </w:r>
          </w:p>
        </w:tc>
        <w:tc>
          <w:tcPr>
            <w:tcW w:w="7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1,969</w:t>
            </w:r>
          </w:p>
        </w:tc>
        <w:tc>
          <w:tcPr>
            <w:tcW w:w="9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40</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5,691</w:t>
            </w: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2,308</w:t>
            </w:r>
          </w:p>
        </w:tc>
        <w:tc>
          <w:tcPr>
            <w:tcW w:w="9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190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8,189</w:t>
            </w:r>
          </w:p>
        </w:tc>
        <w:tc>
          <w:tcPr>
            <w:tcW w:w="0" w:type="dxa"/>
            <w:vAlign w:val="bottom"/>
          </w:tcPr>
          <w:p>
            <w:pPr>
              <w:spacing w:after="0"/>
              <w:rPr>
                <w:sz w:val="1"/>
                <w:szCs w:val="1"/>
                <w:color w:val="auto"/>
              </w:rPr>
            </w:pPr>
          </w:p>
        </w:tc>
      </w:tr>
      <w:tr>
        <w:trPr>
          <w:trHeight w:val="216"/>
        </w:trPr>
        <w:tc>
          <w:tcPr>
            <w:tcW w:w="2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Equity companies</w:t>
            </w:r>
          </w:p>
        </w:tc>
        <w:tc>
          <w:tcPr>
            <w:tcW w:w="7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9</w:t>
            </w:r>
          </w:p>
        </w:tc>
        <w:tc>
          <w:tcPr>
            <w:tcW w:w="8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w:t>
            </w: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7</w:t>
            </w:r>
          </w:p>
        </w:tc>
        <w:tc>
          <w:tcPr>
            <w:tcW w:w="7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569</w:t>
            </w:r>
          </w:p>
        </w:tc>
        <w:tc>
          <w:tcPr>
            <w:tcW w:w="9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Proved undeveloped reserves</w:t>
            </w: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Consolidated subsidiaries</w:t>
            </w:r>
          </w:p>
        </w:tc>
        <w:tc>
          <w:tcPr>
            <w:tcW w:w="74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2,308</w:t>
            </w:r>
          </w:p>
        </w:tc>
        <w:tc>
          <w:tcPr>
            <w:tcW w:w="8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646</w:t>
            </w:r>
          </w:p>
        </w:tc>
        <w:tc>
          <w:tcPr>
            <w:tcW w:w="7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38</w:t>
            </w:r>
          </w:p>
        </w:tc>
        <w:tc>
          <w:tcPr>
            <w:tcW w:w="7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1,208</w:t>
            </w:r>
          </w:p>
        </w:tc>
        <w:tc>
          <w:tcPr>
            <w:tcW w:w="9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22</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4,222</w:t>
            </w: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121</w:t>
            </w:r>
          </w:p>
        </w:tc>
        <w:tc>
          <w:tcPr>
            <w:tcW w:w="9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106</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4,449</w:t>
            </w:r>
          </w:p>
        </w:tc>
        <w:tc>
          <w:tcPr>
            <w:tcW w:w="0" w:type="dxa"/>
            <w:vAlign w:val="bottom"/>
          </w:tcPr>
          <w:p>
            <w:pPr>
              <w:spacing w:after="0"/>
              <w:rPr>
                <w:sz w:val="1"/>
                <w:szCs w:val="1"/>
                <w:color w:val="auto"/>
              </w:rPr>
            </w:pPr>
          </w:p>
        </w:tc>
      </w:tr>
      <w:tr>
        <w:trPr>
          <w:trHeight w:val="219"/>
        </w:trPr>
        <w:tc>
          <w:tcPr>
            <w:tcW w:w="2660" w:type="dxa"/>
            <w:vAlign w:val="bottom"/>
            <w:tcBorders>
              <w:bottom w:val="single" w:sz="8" w:color="0C479D"/>
            </w:tcBorders>
          </w:tcPr>
          <w:p>
            <w:pPr>
              <w:ind w:left="120"/>
              <w:spacing w:after="0"/>
              <w:rPr>
                <w:sz w:val="20"/>
                <w:szCs w:val="20"/>
                <w:color w:val="auto"/>
              </w:rPr>
            </w:pPr>
            <w:r>
              <w:rPr>
                <w:rFonts w:ascii="Times New Roman" w:cs="Times New Roman" w:eastAsia="Times New Roman" w:hAnsi="Times New Roman"/>
                <w:sz w:val="16"/>
                <w:szCs w:val="16"/>
                <w:color w:val="auto"/>
              </w:rPr>
              <w:t>Equity companies</w:t>
            </w:r>
          </w:p>
        </w:tc>
        <w:tc>
          <w:tcPr>
            <w:tcW w:w="740" w:type="dxa"/>
            <w:vAlign w:val="bottom"/>
            <w:tcBorders>
              <w:bottom w:val="single" w:sz="8" w:color="0C479D"/>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0C479D"/>
            </w:tcBorders>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0C479D"/>
            </w:tcBorders>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0C479D"/>
            </w:tcBorders>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0C479D"/>
            </w:tcBorders>
          </w:tcPr>
          <w:p>
            <w:pPr>
              <w:jc w:val="right"/>
              <w:ind w:right="80"/>
              <w:spacing w:after="0"/>
              <w:rPr>
                <w:sz w:val="20"/>
                <w:szCs w:val="20"/>
                <w:color w:val="auto"/>
              </w:rPr>
            </w:pPr>
            <w:r>
              <w:rPr>
                <w:rFonts w:ascii="Times New Roman" w:cs="Times New Roman" w:eastAsia="Times New Roman" w:hAnsi="Times New Roman"/>
                <w:sz w:val="16"/>
                <w:szCs w:val="16"/>
                <w:color w:val="auto"/>
              </w:rPr>
              <w:t>466</w:t>
            </w:r>
          </w:p>
        </w:tc>
        <w:tc>
          <w:tcPr>
            <w:tcW w:w="920" w:type="dxa"/>
            <w:vAlign w:val="bottom"/>
            <w:tcBorders>
              <w:bottom w:val="single" w:sz="8" w:color="0C479D"/>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120" w:type="dxa"/>
            <w:vAlign w:val="bottom"/>
            <w:tcBorders>
              <w:bottom w:val="single" w:sz="8" w:color="0C479D"/>
            </w:tcBorders>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0C479D"/>
            </w:tcBorders>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0" w:type="dxa"/>
            <w:vAlign w:val="bottom"/>
          </w:tcPr>
          <w:p>
            <w:pPr>
              <w:spacing w:after="0"/>
              <w:rPr>
                <w:sz w:val="1"/>
                <w:szCs w:val="1"/>
                <w:color w:val="auto"/>
              </w:rPr>
            </w:pPr>
          </w:p>
        </w:tc>
      </w:tr>
      <w:tr>
        <w:trPr>
          <w:trHeight w:val="172"/>
        </w:trPr>
        <w:tc>
          <w:tcPr>
            <w:tcW w:w="2660" w:type="dxa"/>
            <w:vAlign w:val="bottom"/>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Total liquids proved reserves at</w:t>
            </w:r>
          </w:p>
        </w:tc>
        <w:tc>
          <w:tcPr>
            <w:tcW w:w="740" w:type="dxa"/>
            <w:vAlign w:val="bottom"/>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5,370</w:t>
            </w:r>
          </w:p>
        </w:tc>
        <w:tc>
          <w:tcPr>
            <w:tcW w:w="86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1,119</w:t>
            </w:r>
          </w:p>
        </w:tc>
        <w:tc>
          <w:tcPr>
            <w:tcW w:w="780" w:type="dxa"/>
            <w:vAlign w:val="bottom"/>
            <w:vMerge w:val="restart"/>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5</w:t>
            </w:r>
          </w:p>
        </w:tc>
        <w:tc>
          <w:tcPr>
            <w:tcW w:w="800" w:type="dxa"/>
            <w:vAlign w:val="bottom"/>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198</w:t>
            </w:r>
          </w:p>
        </w:tc>
        <w:tc>
          <w:tcPr>
            <w:tcW w:w="740" w:type="dxa"/>
            <w:vAlign w:val="bottom"/>
            <w:vMerge w:val="restart"/>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4,212</w:t>
            </w:r>
          </w:p>
        </w:tc>
        <w:tc>
          <w:tcPr>
            <w:tcW w:w="920" w:type="dxa"/>
            <w:vAlign w:val="bottom"/>
            <w:vMerge w:val="restart"/>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62</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10,966</w:t>
            </w:r>
          </w:p>
        </w:tc>
        <w:tc>
          <w:tcPr>
            <w:tcW w:w="1120" w:type="dxa"/>
            <w:vAlign w:val="bottom"/>
          </w:tcPr>
          <w:p>
            <w:pPr>
              <w:jc w:val="right"/>
              <w:ind w:right="903"/>
              <w:spacing w:after="0"/>
              <w:rPr>
                <w:sz w:val="20"/>
                <w:szCs w:val="20"/>
                <w:color w:val="auto"/>
              </w:rPr>
            </w:pPr>
            <w:r>
              <w:rPr>
                <w:rFonts w:ascii="Times New Roman" w:cs="Times New Roman" w:eastAsia="Times New Roman" w:hAnsi="Times New Roman"/>
                <w:sz w:val="9"/>
                <w:szCs w:val="9"/>
                <w:i w:val="1"/>
                <w:iCs w:val="1"/>
                <w:color w:val="auto"/>
              </w:rPr>
              <w:t>(1)</w:t>
            </w:r>
          </w:p>
        </w:tc>
        <w:tc>
          <w:tcPr>
            <w:tcW w:w="96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296</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13,691</w:t>
            </w:r>
          </w:p>
        </w:tc>
        <w:tc>
          <w:tcPr>
            <w:tcW w:w="0" w:type="dxa"/>
            <w:vAlign w:val="bottom"/>
          </w:tcPr>
          <w:p>
            <w:pPr>
              <w:spacing w:after="0"/>
              <w:rPr>
                <w:sz w:val="1"/>
                <w:szCs w:val="1"/>
                <w:color w:val="auto"/>
              </w:rPr>
            </w:pPr>
          </w:p>
        </w:tc>
      </w:tr>
      <w:tr>
        <w:trPr>
          <w:trHeight w:val="210"/>
        </w:trPr>
        <w:tc>
          <w:tcPr>
            <w:tcW w:w="2660" w:type="dxa"/>
            <w:vAlign w:val="bottom"/>
            <w:tcBorders>
              <w:bottom w:val="single" w:sz="8" w:color="0C479D"/>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740" w:type="dxa"/>
            <w:vAlign w:val="bottom"/>
            <w:tcBorders>
              <w:bottom w:val="single" w:sz="8" w:color="0C479D"/>
            </w:tcBorders>
            <w:vMerge w:val="continue"/>
          </w:tcPr>
          <w:p>
            <w:pPr>
              <w:spacing w:after="0"/>
              <w:rPr>
                <w:sz w:val="18"/>
                <w:szCs w:val="18"/>
                <w:color w:val="auto"/>
              </w:rPr>
            </w:pPr>
          </w:p>
        </w:tc>
        <w:tc>
          <w:tcPr>
            <w:tcW w:w="860" w:type="dxa"/>
            <w:vAlign w:val="bottom"/>
            <w:tcBorders>
              <w:bottom w:val="single" w:sz="8" w:color="0C479D"/>
            </w:tcBorders>
            <w:vMerge w:val="continue"/>
          </w:tcPr>
          <w:p>
            <w:pPr>
              <w:spacing w:after="0"/>
              <w:rPr>
                <w:sz w:val="18"/>
                <w:szCs w:val="18"/>
                <w:color w:val="auto"/>
              </w:rPr>
            </w:pPr>
          </w:p>
        </w:tc>
        <w:tc>
          <w:tcPr>
            <w:tcW w:w="780" w:type="dxa"/>
            <w:vAlign w:val="bottom"/>
            <w:tcBorders>
              <w:bottom w:val="single" w:sz="8" w:color="0C479D"/>
            </w:tcBorders>
            <w:vMerge w:val="continue"/>
          </w:tcPr>
          <w:p>
            <w:pPr>
              <w:spacing w:after="0"/>
              <w:rPr>
                <w:sz w:val="18"/>
                <w:szCs w:val="18"/>
                <w:color w:val="auto"/>
              </w:rPr>
            </w:pPr>
          </w:p>
        </w:tc>
        <w:tc>
          <w:tcPr>
            <w:tcW w:w="800" w:type="dxa"/>
            <w:vAlign w:val="bottom"/>
            <w:tcBorders>
              <w:bottom w:val="single" w:sz="8" w:color="0C479D"/>
            </w:tcBorders>
            <w:vMerge w:val="continue"/>
          </w:tcPr>
          <w:p>
            <w:pPr>
              <w:spacing w:after="0"/>
              <w:rPr>
                <w:sz w:val="18"/>
                <w:szCs w:val="18"/>
                <w:color w:val="auto"/>
              </w:rPr>
            </w:pPr>
          </w:p>
        </w:tc>
        <w:tc>
          <w:tcPr>
            <w:tcW w:w="740" w:type="dxa"/>
            <w:vAlign w:val="bottom"/>
            <w:tcBorders>
              <w:bottom w:val="single" w:sz="8" w:color="0C479D"/>
            </w:tcBorders>
            <w:vMerge w:val="continue"/>
          </w:tcPr>
          <w:p>
            <w:pPr>
              <w:spacing w:after="0"/>
              <w:rPr>
                <w:sz w:val="18"/>
                <w:szCs w:val="18"/>
                <w:color w:val="auto"/>
              </w:rPr>
            </w:pPr>
          </w:p>
        </w:tc>
        <w:tc>
          <w:tcPr>
            <w:tcW w:w="920" w:type="dxa"/>
            <w:vAlign w:val="bottom"/>
            <w:tcBorders>
              <w:bottom w:val="single" w:sz="8" w:color="0C479D"/>
            </w:tcBorders>
            <w:vMerge w:val="continue"/>
          </w:tcPr>
          <w:p>
            <w:pPr>
              <w:spacing w:after="0"/>
              <w:rPr>
                <w:sz w:val="18"/>
                <w:szCs w:val="18"/>
                <w:color w:val="auto"/>
              </w:rPr>
            </w:pPr>
          </w:p>
        </w:tc>
        <w:tc>
          <w:tcPr>
            <w:tcW w:w="720" w:type="dxa"/>
            <w:vAlign w:val="bottom"/>
            <w:tcBorders>
              <w:bottom w:val="single" w:sz="8" w:color="0C479D"/>
            </w:tcBorders>
            <w:vMerge w:val="continue"/>
          </w:tcPr>
          <w:p>
            <w:pPr>
              <w:spacing w:after="0"/>
              <w:rPr>
                <w:sz w:val="18"/>
                <w:szCs w:val="18"/>
                <w:color w:val="auto"/>
              </w:rPr>
            </w:pPr>
          </w:p>
        </w:tc>
        <w:tc>
          <w:tcPr>
            <w:tcW w:w="1120" w:type="dxa"/>
            <w:vAlign w:val="bottom"/>
            <w:tcBorders>
              <w:bottom w:val="single" w:sz="8" w:color="0C479D"/>
            </w:tcBorders>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2,429</w:t>
            </w:r>
          </w:p>
        </w:tc>
        <w:tc>
          <w:tcPr>
            <w:tcW w:w="960" w:type="dxa"/>
            <w:vAlign w:val="bottom"/>
            <w:tcBorders>
              <w:bottom w:val="single" w:sz="8" w:color="0C479D"/>
            </w:tcBorders>
            <w:vMerge w:val="continue"/>
          </w:tcPr>
          <w:p>
            <w:pPr>
              <w:spacing w:after="0"/>
              <w:rPr>
                <w:sz w:val="18"/>
                <w:szCs w:val="18"/>
                <w:color w:val="auto"/>
              </w:rPr>
            </w:pPr>
          </w:p>
        </w:tc>
        <w:tc>
          <w:tcPr>
            <w:tcW w:w="800" w:type="dxa"/>
            <w:vAlign w:val="bottom"/>
            <w:tcBorders>
              <w:bottom w:val="single" w:sz="8" w:color="0C479D"/>
            </w:tcBorders>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-4439920</wp:posOffset>
            </wp:positionV>
            <wp:extent cx="480885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808855" cy="8890"/>
                    </a:xfrm>
                    <a:prstGeom prst="rect">
                      <a:avLst/>
                    </a:prstGeom>
                    <a:noFill/>
                  </pic:spPr>
                </pic:pic>
              </a:graphicData>
            </a:graphic>
          </wp:anchor>
        </w:drawing>
      </w:r>
    </w:p>
    <w:p>
      <w:pPr>
        <w:spacing w:after="0" w:line="63" w:lineRule="exact"/>
        <w:rPr>
          <w:sz w:val="20"/>
          <w:szCs w:val="20"/>
          <w:color w:val="auto"/>
        </w:rPr>
      </w:pPr>
    </w:p>
    <w:p>
      <w:pPr>
        <w:ind w:right="20" w:firstLine="7"/>
        <w:spacing w:after="0" w:line="305" w:lineRule="auto"/>
        <w:tabs>
          <w:tab w:leader="none" w:pos="145" w:val="left"/>
        </w:tabs>
        <w:numPr>
          <w:ilvl w:val="0"/>
          <w:numId w:val="70"/>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 xml:space="preserve">See previous pages for natural gas liquids proved reserves attributable to consolidated subsidiaries and equity companies. For additional information on natural gas liquids proved reserves, see </w:t>
      </w:r>
      <w:r>
        <w:rPr>
          <w:rFonts w:ascii="Times New Roman" w:cs="Times New Roman" w:eastAsia="Times New Roman" w:hAnsi="Times New Roman"/>
          <w:sz w:val="14"/>
          <w:szCs w:val="14"/>
          <w:i w:val="1"/>
          <w:iCs w:val="1"/>
          <w:color w:val="0000FF"/>
        </w:rPr>
        <w:t>Item 2</w:t>
      </w:r>
      <w:r>
        <w:rPr>
          <w:rFonts w:ascii="Times New Roman" w:cs="Times New Roman" w:eastAsia="Times New Roman" w:hAnsi="Times New Roman"/>
          <w:sz w:val="14"/>
          <w:szCs w:val="14"/>
          <w:i w:val="1"/>
          <w:iCs w:val="1"/>
          <w:color w:val="auto"/>
        </w:rPr>
        <w:t xml:space="preserve"> in ExxonMobil’s 2024 Form 10-K.</w:t>
      </w: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1001" w:right="399" w:bottom="1440" w:gutter="0" w:footer="0" w:header="0"/>
        </w:sectPr>
      </w:pPr>
    </w:p>
    <w:bookmarkStart w:id="130" w:name="page131"/>
    <w:bookmarkEnd w:id="130"/>
    <w:p>
      <w:pPr>
        <w:ind w:left="20"/>
        <w:spacing w:after="0"/>
        <w:rPr>
          <w:sz w:val="20"/>
          <w:szCs w:val="20"/>
          <w:color w:val="auto"/>
        </w:rPr>
      </w:pPr>
      <w:r>
        <w:rPr>
          <w:rFonts w:ascii="Times New Roman" w:cs="Times New Roman" w:eastAsia="Times New Roman" w:hAnsi="Times New Roman"/>
          <w:sz w:val="16"/>
          <w:szCs w:val="16"/>
          <w:b w:val="1"/>
          <w:bCs w:val="1"/>
          <w:color w:val="0C479D"/>
        </w:rPr>
        <w:t>Natural Gas and Oil-Equivalent Proved Reserves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shd w:val="clear" w:color="auto" w:fill="0C479D"/>
          </w:tcPr>
          <w:p>
            <w:pPr>
              <w:spacing w:after="0"/>
              <w:rPr>
                <w:sz w:val="13"/>
                <w:szCs w:val="13"/>
                <w:color w:val="auto"/>
              </w:rPr>
            </w:pPr>
          </w:p>
        </w:tc>
        <w:tc>
          <w:tcPr>
            <w:tcW w:w="840" w:type="dxa"/>
            <w:vAlign w:val="bottom"/>
            <w:shd w:val="clear" w:color="auto" w:fill="0C479D"/>
          </w:tcPr>
          <w:p>
            <w:pPr>
              <w:spacing w:after="0"/>
              <w:rPr>
                <w:sz w:val="13"/>
                <w:szCs w:val="13"/>
                <w:color w:val="auto"/>
              </w:rPr>
            </w:pPr>
          </w:p>
        </w:tc>
        <w:tc>
          <w:tcPr>
            <w:tcW w:w="900" w:type="dxa"/>
            <w:vAlign w:val="bottom"/>
            <w:shd w:val="clear" w:color="auto" w:fill="0C479D"/>
          </w:tcPr>
          <w:p>
            <w:pPr>
              <w:spacing w:after="0"/>
              <w:rPr>
                <w:sz w:val="13"/>
                <w:szCs w:val="13"/>
                <w:color w:val="auto"/>
              </w:rPr>
            </w:pPr>
          </w:p>
        </w:tc>
        <w:tc>
          <w:tcPr>
            <w:tcW w:w="760" w:type="dxa"/>
            <w:vAlign w:val="bottom"/>
            <w:shd w:val="clear" w:color="auto" w:fill="0C479D"/>
          </w:tcPr>
          <w:p>
            <w:pPr>
              <w:spacing w:after="0"/>
              <w:rPr>
                <w:sz w:val="13"/>
                <w:szCs w:val="13"/>
                <w:color w:val="auto"/>
              </w:rPr>
            </w:pPr>
          </w:p>
        </w:tc>
        <w:tc>
          <w:tcPr>
            <w:tcW w:w="1100" w:type="dxa"/>
            <w:vAlign w:val="bottom"/>
            <w:vMerge w:val="restart"/>
            <w:shd w:val="clear" w:color="auto" w:fill="0C479D"/>
          </w:tcPr>
          <w:p>
            <w:pPr>
              <w:jc w:val="center"/>
              <w:ind w:right="180"/>
              <w:spacing w:after="0"/>
              <w:rPr>
                <w:sz w:val="20"/>
                <w:szCs w:val="20"/>
                <w:color w:val="auto"/>
              </w:rPr>
            </w:pPr>
            <w:r>
              <w:rPr>
                <w:rFonts w:ascii="Times New Roman" w:cs="Times New Roman" w:eastAsia="Times New Roman" w:hAnsi="Times New Roman"/>
                <w:sz w:val="14"/>
                <w:szCs w:val="14"/>
                <w:b w:val="1"/>
                <w:bCs w:val="1"/>
                <w:color w:val="FFFFFF"/>
              </w:rPr>
              <w:t>Natural Gas</w:t>
            </w:r>
          </w:p>
        </w:tc>
        <w:tc>
          <w:tcPr>
            <w:tcW w:w="620" w:type="dxa"/>
            <w:vAlign w:val="bottom"/>
            <w:shd w:val="clear" w:color="auto" w:fill="0C479D"/>
          </w:tcPr>
          <w:p>
            <w:pPr>
              <w:spacing w:after="0"/>
              <w:rPr>
                <w:sz w:val="13"/>
                <w:szCs w:val="13"/>
                <w:color w:val="auto"/>
              </w:rPr>
            </w:pPr>
          </w:p>
        </w:tc>
        <w:tc>
          <w:tcPr>
            <w:tcW w:w="940" w:type="dxa"/>
            <w:vAlign w:val="bottom"/>
            <w:shd w:val="clear" w:color="auto" w:fill="0C479D"/>
          </w:tcPr>
          <w:p>
            <w:pPr>
              <w:spacing w:after="0"/>
              <w:rPr>
                <w:sz w:val="13"/>
                <w:szCs w:val="13"/>
                <w:color w:val="auto"/>
              </w:rPr>
            </w:pPr>
          </w:p>
        </w:tc>
        <w:tc>
          <w:tcPr>
            <w:tcW w:w="700" w:type="dxa"/>
            <w:vAlign w:val="bottom"/>
            <w:shd w:val="clear" w:color="auto" w:fill="0C479D"/>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Oil-Equivalent</w:t>
            </w:r>
          </w:p>
        </w:tc>
        <w:tc>
          <w:tcPr>
            <w:tcW w:w="0" w:type="dxa"/>
            <w:vAlign w:val="bottom"/>
          </w:tcPr>
          <w:p>
            <w:pPr>
              <w:spacing w:after="0"/>
              <w:rPr>
                <w:sz w:val="1"/>
                <w:szCs w:val="1"/>
                <w:color w:val="auto"/>
              </w:rPr>
            </w:pPr>
          </w:p>
        </w:tc>
      </w:tr>
      <w:tr>
        <w:trPr>
          <w:trHeight w:val="68"/>
        </w:trPr>
        <w:tc>
          <w:tcPr>
            <w:tcW w:w="3720" w:type="dxa"/>
            <w:vAlign w:val="bottom"/>
            <w:shd w:val="clear" w:color="auto" w:fill="0C479D"/>
          </w:tcPr>
          <w:p>
            <w:pPr>
              <w:spacing w:after="0"/>
              <w:rPr>
                <w:sz w:val="5"/>
                <w:szCs w:val="5"/>
                <w:color w:val="auto"/>
              </w:rPr>
            </w:pPr>
          </w:p>
        </w:tc>
        <w:tc>
          <w:tcPr>
            <w:tcW w:w="840" w:type="dxa"/>
            <w:vAlign w:val="bottom"/>
            <w:shd w:val="clear" w:color="auto" w:fill="0C479D"/>
          </w:tcPr>
          <w:p>
            <w:pPr>
              <w:spacing w:after="0"/>
              <w:rPr>
                <w:sz w:val="5"/>
                <w:szCs w:val="5"/>
                <w:color w:val="auto"/>
              </w:rPr>
            </w:pPr>
          </w:p>
        </w:tc>
        <w:tc>
          <w:tcPr>
            <w:tcW w:w="900" w:type="dxa"/>
            <w:vAlign w:val="bottom"/>
            <w:shd w:val="clear" w:color="auto" w:fill="0C479D"/>
          </w:tcPr>
          <w:p>
            <w:pPr>
              <w:spacing w:after="0"/>
              <w:rPr>
                <w:sz w:val="5"/>
                <w:szCs w:val="5"/>
                <w:color w:val="auto"/>
              </w:rPr>
            </w:pPr>
          </w:p>
        </w:tc>
        <w:tc>
          <w:tcPr>
            <w:tcW w:w="760" w:type="dxa"/>
            <w:vAlign w:val="bottom"/>
            <w:shd w:val="clear" w:color="auto" w:fill="0C479D"/>
          </w:tcPr>
          <w:p>
            <w:pPr>
              <w:spacing w:after="0"/>
              <w:rPr>
                <w:sz w:val="5"/>
                <w:szCs w:val="5"/>
                <w:color w:val="auto"/>
              </w:rPr>
            </w:pPr>
          </w:p>
        </w:tc>
        <w:tc>
          <w:tcPr>
            <w:tcW w:w="1100" w:type="dxa"/>
            <w:vAlign w:val="bottom"/>
            <w:vMerge w:val="continue"/>
            <w:shd w:val="clear" w:color="auto" w:fill="0C479D"/>
          </w:tcPr>
          <w:p>
            <w:pPr>
              <w:spacing w:after="0"/>
              <w:rPr>
                <w:sz w:val="5"/>
                <w:szCs w:val="5"/>
                <w:color w:val="auto"/>
              </w:rPr>
            </w:pPr>
          </w:p>
        </w:tc>
        <w:tc>
          <w:tcPr>
            <w:tcW w:w="620" w:type="dxa"/>
            <w:vAlign w:val="bottom"/>
            <w:shd w:val="clear" w:color="auto" w:fill="0C479D"/>
          </w:tcPr>
          <w:p>
            <w:pPr>
              <w:spacing w:after="0"/>
              <w:rPr>
                <w:sz w:val="5"/>
                <w:szCs w:val="5"/>
                <w:color w:val="auto"/>
              </w:rPr>
            </w:pPr>
          </w:p>
        </w:tc>
        <w:tc>
          <w:tcPr>
            <w:tcW w:w="940" w:type="dxa"/>
            <w:vAlign w:val="bottom"/>
            <w:shd w:val="clear" w:color="auto" w:fill="0C479D"/>
          </w:tcPr>
          <w:p>
            <w:pPr>
              <w:spacing w:after="0"/>
              <w:rPr>
                <w:sz w:val="5"/>
                <w:szCs w:val="5"/>
                <w:color w:val="auto"/>
              </w:rPr>
            </w:pPr>
          </w:p>
        </w:tc>
        <w:tc>
          <w:tcPr>
            <w:tcW w:w="700" w:type="dxa"/>
            <w:vAlign w:val="bottom"/>
            <w:shd w:val="clear" w:color="auto" w:fill="0C479D"/>
          </w:tcPr>
          <w:p>
            <w:pPr>
              <w:spacing w:after="0"/>
              <w:rPr>
                <w:sz w:val="5"/>
                <w:szCs w:val="5"/>
                <w:color w:val="auto"/>
              </w:rPr>
            </w:pPr>
          </w:p>
        </w:tc>
        <w:tc>
          <w:tcPr>
            <w:tcW w:w="80" w:type="dxa"/>
            <w:vAlign w:val="bottom"/>
          </w:tcPr>
          <w:p>
            <w:pPr>
              <w:spacing w:after="0"/>
              <w:rPr>
                <w:sz w:val="5"/>
                <w:szCs w:val="5"/>
                <w:color w:val="auto"/>
              </w:rPr>
            </w:pPr>
          </w:p>
        </w:tc>
        <w:tc>
          <w:tcPr>
            <w:tcW w:w="1540" w:type="dxa"/>
            <w:vAlign w:val="bottom"/>
            <w:vMerge w:val="restart"/>
            <w:shd w:val="clear" w:color="auto" w:fill="0C479D"/>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FFFFFF"/>
                <w:w w:val="93"/>
              </w:rPr>
              <w:t>Total</w:t>
            </w:r>
          </w:p>
        </w:tc>
        <w:tc>
          <w:tcPr>
            <w:tcW w:w="0" w:type="dxa"/>
            <w:vAlign w:val="bottom"/>
          </w:tcPr>
          <w:p>
            <w:pPr>
              <w:spacing w:after="0"/>
              <w:rPr>
                <w:sz w:val="1"/>
                <w:szCs w:val="1"/>
                <w:color w:val="auto"/>
              </w:rPr>
            </w:pPr>
          </w:p>
        </w:tc>
      </w:tr>
      <w:tr>
        <w:trPr>
          <w:trHeight w:val="79"/>
        </w:trPr>
        <w:tc>
          <w:tcPr>
            <w:tcW w:w="3720" w:type="dxa"/>
            <w:vAlign w:val="bottom"/>
            <w:shd w:val="clear" w:color="auto" w:fill="0C479D"/>
          </w:tcPr>
          <w:p>
            <w:pPr>
              <w:spacing w:after="0"/>
              <w:rPr>
                <w:sz w:val="6"/>
                <w:szCs w:val="6"/>
                <w:color w:val="auto"/>
              </w:rPr>
            </w:pPr>
          </w:p>
        </w:tc>
        <w:tc>
          <w:tcPr>
            <w:tcW w:w="840" w:type="dxa"/>
            <w:vAlign w:val="bottom"/>
            <w:shd w:val="clear" w:color="auto" w:fill="0C479D"/>
          </w:tcPr>
          <w:p>
            <w:pPr>
              <w:spacing w:after="0"/>
              <w:rPr>
                <w:sz w:val="6"/>
                <w:szCs w:val="6"/>
                <w:color w:val="auto"/>
              </w:rPr>
            </w:pPr>
          </w:p>
        </w:tc>
        <w:tc>
          <w:tcPr>
            <w:tcW w:w="900" w:type="dxa"/>
            <w:vAlign w:val="bottom"/>
            <w:shd w:val="clear" w:color="auto" w:fill="0C479D"/>
          </w:tcPr>
          <w:p>
            <w:pPr>
              <w:spacing w:after="0"/>
              <w:rPr>
                <w:sz w:val="6"/>
                <w:szCs w:val="6"/>
                <w:color w:val="auto"/>
              </w:rPr>
            </w:pPr>
          </w:p>
        </w:tc>
        <w:tc>
          <w:tcPr>
            <w:tcW w:w="1860" w:type="dxa"/>
            <w:vAlign w:val="bottom"/>
            <w:gridSpan w:val="2"/>
            <w:vMerge w:val="restart"/>
            <w:shd w:val="clear" w:color="auto" w:fill="0C479D"/>
          </w:tcPr>
          <w:p>
            <w:pPr>
              <w:jc w:val="center"/>
              <w:ind w:left="440"/>
              <w:spacing w:after="0"/>
              <w:rPr>
                <w:sz w:val="20"/>
                <w:szCs w:val="20"/>
                <w:color w:val="auto"/>
              </w:rPr>
            </w:pPr>
            <w:r>
              <w:rPr>
                <w:rFonts w:ascii="Times New Roman" w:cs="Times New Roman" w:eastAsia="Times New Roman" w:hAnsi="Times New Roman"/>
                <w:sz w:val="14"/>
                <w:szCs w:val="14"/>
                <w:i w:val="1"/>
                <w:iCs w:val="1"/>
                <w:color w:val="FFFFFF"/>
              </w:rPr>
              <w:t>(billions of cubic feet)</w:t>
            </w:r>
          </w:p>
        </w:tc>
        <w:tc>
          <w:tcPr>
            <w:tcW w:w="620" w:type="dxa"/>
            <w:vAlign w:val="bottom"/>
            <w:shd w:val="clear" w:color="auto" w:fill="0C479D"/>
          </w:tcPr>
          <w:p>
            <w:pPr>
              <w:spacing w:after="0"/>
              <w:rPr>
                <w:sz w:val="6"/>
                <w:szCs w:val="6"/>
                <w:color w:val="auto"/>
              </w:rPr>
            </w:pPr>
          </w:p>
        </w:tc>
        <w:tc>
          <w:tcPr>
            <w:tcW w:w="940" w:type="dxa"/>
            <w:vAlign w:val="bottom"/>
            <w:shd w:val="clear" w:color="auto" w:fill="0C479D"/>
          </w:tcPr>
          <w:p>
            <w:pPr>
              <w:spacing w:after="0"/>
              <w:rPr>
                <w:sz w:val="6"/>
                <w:szCs w:val="6"/>
                <w:color w:val="auto"/>
              </w:rPr>
            </w:pPr>
          </w:p>
        </w:tc>
        <w:tc>
          <w:tcPr>
            <w:tcW w:w="700" w:type="dxa"/>
            <w:vAlign w:val="bottom"/>
            <w:shd w:val="clear" w:color="auto" w:fill="0C479D"/>
          </w:tcPr>
          <w:p>
            <w:pPr>
              <w:spacing w:after="0"/>
              <w:rPr>
                <w:sz w:val="6"/>
                <w:szCs w:val="6"/>
                <w:color w:val="auto"/>
              </w:rPr>
            </w:pPr>
          </w:p>
        </w:tc>
        <w:tc>
          <w:tcPr>
            <w:tcW w:w="80" w:type="dxa"/>
            <w:vAlign w:val="bottom"/>
          </w:tcPr>
          <w:p>
            <w:pPr>
              <w:spacing w:after="0"/>
              <w:rPr>
                <w:sz w:val="6"/>
                <w:szCs w:val="6"/>
                <w:color w:val="auto"/>
              </w:rPr>
            </w:pPr>
          </w:p>
        </w:tc>
        <w:tc>
          <w:tcPr>
            <w:tcW w:w="1540" w:type="dxa"/>
            <w:vAlign w:val="bottom"/>
            <w:vMerge w:val="continue"/>
            <w:shd w:val="clear" w:color="auto" w:fill="0C479D"/>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3720" w:type="dxa"/>
            <w:vAlign w:val="bottom"/>
            <w:shd w:val="clear" w:color="auto" w:fill="0C479D"/>
          </w:tcPr>
          <w:p>
            <w:pPr>
              <w:spacing w:after="0"/>
              <w:rPr>
                <w:sz w:val="16"/>
                <w:szCs w:val="16"/>
                <w:color w:val="auto"/>
              </w:rPr>
            </w:pPr>
          </w:p>
        </w:tc>
        <w:tc>
          <w:tcPr>
            <w:tcW w:w="840" w:type="dxa"/>
            <w:vAlign w:val="bottom"/>
            <w:shd w:val="clear" w:color="auto" w:fill="0C479D"/>
          </w:tcPr>
          <w:p>
            <w:pPr>
              <w:spacing w:after="0"/>
              <w:rPr>
                <w:sz w:val="16"/>
                <w:szCs w:val="16"/>
                <w:color w:val="auto"/>
              </w:rPr>
            </w:pPr>
          </w:p>
        </w:tc>
        <w:tc>
          <w:tcPr>
            <w:tcW w:w="900" w:type="dxa"/>
            <w:vAlign w:val="bottom"/>
            <w:shd w:val="clear" w:color="auto" w:fill="0C479D"/>
          </w:tcPr>
          <w:p>
            <w:pPr>
              <w:spacing w:after="0"/>
              <w:rPr>
                <w:sz w:val="16"/>
                <w:szCs w:val="16"/>
                <w:color w:val="auto"/>
              </w:rPr>
            </w:pPr>
          </w:p>
        </w:tc>
        <w:tc>
          <w:tcPr>
            <w:tcW w:w="1860" w:type="dxa"/>
            <w:vAlign w:val="bottom"/>
            <w:gridSpan w:val="2"/>
            <w:vMerge w:val="continue"/>
            <w:shd w:val="clear" w:color="auto" w:fill="0C479D"/>
          </w:tcPr>
          <w:p>
            <w:pPr>
              <w:spacing w:after="0"/>
              <w:rPr>
                <w:sz w:val="16"/>
                <w:szCs w:val="16"/>
                <w:color w:val="auto"/>
              </w:rPr>
            </w:pPr>
          </w:p>
        </w:tc>
        <w:tc>
          <w:tcPr>
            <w:tcW w:w="620" w:type="dxa"/>
            <w:vAlign w:val="bottom"/>
            <w:shd w:val="clear" w:color="auto" w:fill="0C479D"/>
          </w:tcPr>
          <w:p>
            <w:pPr>
              <w:spacing w:after="0"/>
              <w:rPr>
                <w:sz w:val="16"/>
                <w:szCs w:val="16"/>
                <w:color w:val="auto"/>
              </w:rPr>
            </w:pPr>
          </w:p>
        </w:tc>
        <w:tc>
          <w:tcPr>
            <w:tcW w:w="940" w:type="dxa"/>
            <w:vAlign w:val="bottom"/>
            <w:shd w:val="clear" w:color="auto" w:fill="0C479D"/>
          </w:tcPr>
          <w:p>
            <w:pPr>
              <w:spacing w:after="0"/>
              <w:rPr>
                <w:sz w:val="16"/>
                <w:szCs w:val="16"/>
                <w:color w:val="auto"/>
              </w:rPr>
            </w:pPr>
          </w:p>
        </w:tc>
        <w:tc>
          <w:tcPr>
            <w:tcW w:w="700" w:type="dxa"/>
            <w:vAlign w:val="bottom"/>
            <w:shd w:val="clear" w:color="auto" w:fill="0C479D"/>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shd w:val="clear" w:color="auto" w:fill="0C479D"/>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FFFFFF"/>
                <w:w w:val="97"/>
              </w:rPr>
              <w:t xml:space="preserve">All Products </w:t>
            </w:r>
            <w:r>
              <w:rPr>
                <w:rFonts w:ascii="Times New Roman" w:cs="Times New Roman" w:eastAsia="Times New Roman" w:hAnsi="Times New Roman"/>
                <w:sz w:val="18"/>
                <w:szCs w:val="18"/>
                <w:b w:val="1"/>
                <w:bCs w:val="1"/>
                <w:i w:val="1"/>
                <w:iCs w:val="1"/>
                <w:color w:val="FFFFFF"/>
                <w:w w:val="97"/>
                <w:vertAlign w:val="superscript"/>
              </w:rPr>
              <w:t>(1)</w:t>
            </w:r>
          </w:p>
        </w:tc>
        <w:tc>
          <w:tcPr>
            <w:tcW w:w="0" w:type="dxa"/>
            <w:vAlign w:val="bottom"/>
          </w:tcPr>
          <w:p>
            <w:pPr>
              <w:spacing w:after="0"/>
              <w:rPr>
                <w:sz w:val="1"/>
                <w:szCs w:val="1"/>
                <w:color w:val="auto"/>
              </w:rPr>
            </w:pPr>
          </w:p>
        </w:tc>
      </w:tr>
      <w:tr>
        <w:trPr>
          <w:trHeight w:val="193"/>
        </w:trPr>
        <w:tc>
          <w:tcPr>
            <w:tcW w:w="3720" w:type="dxa"/>
            <w:vAlign w:val="bottom"/>
            <w:shd w:val="clear" w:color="auto" w:fill="0C479D"/>
          </w:tcPr>
          <w:p>
            <w:pPr>
              <w:spacing w:after="0"/>
              <w:rPr>
                <w:sz w:val="16"/>
                <w:szCs w:val="16"/>
                <w:color w:val="auto"/>
              </w:rPr>
            </w:pPr>
          </w:p>
        </w:tc>
        <w:tc>
          <w:tcPr>
            <w:tcW w:w="840" w:type="dxa"/>
            <w:vAlign w:val="bottom"/>
            <w:vMerge w:val="restart"/>
            <w:shd w:val="clear" w:color="auto" w:fill="0C479D"/>
          </w:tcPr>
          <w:p>
            <w:pPr>
              <w:jc w:val="right"/>
              <w:ind w:right="200"/>
              <w:spacing w:after="0"/>
              <w:rPr>
                <w:sz w:val="20"/>
                <w:szCs w:val="20"/>
                <w:color w:val="auto"/>
              </w:rPr>
            </w:pPr>
            <w:r>
              <w:rPr>
                <w:rFonts w:ascii="Times New Roman" w:cs="Times New Roman" w:eastAsia="Times New Roman" w:hAnsi="Times New Roman"/>
                <w:sz w:val="14"/>
                <w:szCs w:val="14"/>
                <w:color w:val="FFFFFF"/>
              </w:rPr>
              <w:t>United</w:t>
            </w:r>
          </w:p>
        </w:tc>
        <w:tc>
          <w:tcPr>
            <w:tcW w:w="900" w:type="dxa"/>
            <w:vAlign w:val="bottom"/>
            <w:shd w:val="clear" w:color="auto" w:fill="0C479D"/>
          </w:tcPr>
          <w:p>
            <w:pPr>
              <w:jc w:val="center"/>
              <w:ind w:right="40"/>
              <w:spacing w:after="0"/>
              <w:rPr>
                <w:sz w:val="20"/>
                <w:szCs w:val="20"/>
                <w:color w:val="auto"/>
              </w:rPr>
            </w:pPr>
            <w:r>
              <w:rPr>
                <w:rFonts w:ascii="Times New Roman" w:cs="Times New Roman" w:eastAsia="Times New Roman" w:hAnsi="Times New Roman"/>
                <w:sz w:val="14"/>
                <w:szCs w:val="14"/>
                <w:color w:val="FFFFFF"/>
              </w:rPr>
              <w:t>Canada/</w:t>
            </w:r>
          </w:p>
        </w:tc>
        <w:tc>
          <w:tcPr>
            <w:tcW w:w="760" w:type="dxa"/>
            <w:vAlign w:val="bottom"/>
            <w:shd w:val="clear" w:color="auto" w:fill="0C479D"/>
          </w:tcPr>
          <w:p>
            <w:pPr>
              <w:spacing w:after="0"/>
              <w:rPr>
                <w:sz w:val="16"/>
                <w:szCs w:val="16"/>
                <w:color w:val="auto"/>
              </w:rPr>
            </w:pPr>
          </w:p>
        </w:tc>
        <w:tc>
          <w:tcPr>
            <w:tcW w:w="1100" w:type="dxa"/>
            <w:vAlign w:val="bottom"/>
            <w:shd w:val="clear" w:color="auto" w:fill="0C479D"/>
          </w:tcPr>
          <w:p>
            <w:pPr>
              <w:spacing w:after="0"/>
              <w:rPr>
                <w:sz w:val="16"/>
                <w:szCs w:val="16"/>
                <w:color w:val="auto"/>
              </w:rPr>
            </w:pPr>
          </w:p>
        </w:tc>
        <w:tc>
          <w:tcPr>
            <w:tcW w:w="620" w:type="dxa"/>
            <w:vAlign w:val="bottom"/>
            <w:shd w:val="clear" w:color="auto" w:fill="0C479D"/>
          </w:tcPr>
          <w:p>
            <w:pPr>
              <w:spacing w:after="0"/>
              <w:rPr>
                <w:sz w:val="16"/>
                <w:szCs w:val="16"/>
                <w:color w:val="auto"/>
              </w:rPr>
            </w:pPr>
          </w:p>
        </w:tc>
        <w:tc>
          <w:tcPr>
            <w:tcW w:w="940" w:type="dxa"/>
            <w:vAlign w:val="bottom"/>
            <w:vMerge w:val="restart"/>
            <w:shd w:val="clear" w:color="auto" w:fill="0C479D"/>
          </w:tcPr>
          <w:p>
            <w:pPr>
              <w:jc w:val="right"/>
              <w:ind w:right="180"/>
              <w:spacing w:after="0"/>
              <w:rPr>
                <w:sz w:val="20"/>
                <w:szCs w:val="20"/>
                <w:color w:val="auto"/>
              </w:rPr>
            </w:pPr>
            <w:r>
              <w:rPr>
                <w:rFonts w:ascii="Times New Roman" w:cs="Times New Roman" w:eastAsia="Times New Roman" w:hAnsi="Times New Roman"/>
                <w:sz w:val="14"/>
                <w:szCs w:val="14"/>
                <w:color w:val="FFFFFF"/>
              </w:rPr>
              <w:t>Australia/</w:t>
            </w:r>
          </w:p>
        </w:tc>
        <w:tc>
          <w:tcPr>
            <w:tcW w:w="700" w:type="dxa"/>
            <w:vAlign w:val="bottom"/>
            <w:shd w:val="clear" w:color="auto" w:fill="0C479D"/>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vMerge w:val="restart"/>
            <w:shd w:val="clear" w:color="auto" w:fill="0C479D"/>
          </w:tcPr>
          <w:p>
            <w:pPr>
              <w:jc w:val="center"/>
              <w:spacing w:after="0"/>
              <w:rPr>
                <w:sz w:val="20"/>
                <w:szCs w:val="20"/>
                <w:color w:val="auto"/>
              </w:rPr>
            </w:pPr>
            <w:r>
              <w:rPr>
                <w:rFonts w:ascii="Times New Roman" w:cs="Times New Roman" w:eastAsia="Times New Roman" w:hAnsi="Times New Roman"/>
                <w:sz w:val="14"/>
                <w:szCs w:val="14"/>
                <w:i w:val="1"/>
                <w:iCs w:val="1"/>
                <w:color w:val="FFFFFF"/>
              </w:rPr>
              <w:t>(millions of oil-equivalent</w:t>
            </w:r>
          </w:p>
        </w:tc>
        <w:tc>
          <w:tcPr>
            <w:tcW w:w="0" w:type="dxa"/>
            <w:vAlign w:val="bottom"/>
          </w:tcPr>
          <w:p>
            <w:pPr>
              <w:spacing w:after="0"/>
              <w:rPr>
                <w:sz w:val="1"/>
                <w:szCs w:val="1"/>
                <w:color w:val="auto"/>
              </w:rPr>
            </w:pPr>
          </w:p>
        </w:tc>
      </w:tr>
      <w:tr>
        <w:trPr>
          <w:trHeight w:val="146"/>
        </w:trPr>
        <w:tc>
          <w:tcPr>
            <w:tcW w:w="3720" w:type="dxa"/>
            <w:vAlign w:val="bottom"/>
            <w:shd w:val="clear" w:color="auto" w:fill="0C479D"/>
          </w:tcPr>
          <w:p>
            <w:pPr>
              <w:spacing w:after="0"/>
              <w:rPr>
                <w:sz w:val="12"/>
                <w:szCs w:val="12"/>
                <w:color w:val="auto"/>
              </w:rPr>
            </w:pPr>
          </w:p>
        </w:tc>
        <w:tc>
          <w:tcPr>
            <w:tcW w:w="840" w:type="dxa"/>
            <w:vAlign w:val="bottom"/>
            <w:vMerge w:val="continue"/>
            <w:shd w:val="clear" w:color="auto" w:fill="0C479D"/>
          </w:tcPr>
          <w:p>
            <w:pPr>
              <w:spacing w:after="0"/>
              <w:rPr>
                <w:sz w:val="12"/>
                <w:szCs w:val="12"/>
                <w:color w:val="auto"/>
              </w:rPr>
            </w:pPr>
          </w:p>
        </w:tc>
        <w:tc>
          <w:tcPr>
            <w:tcW w:w="900" w:type="dxa"/>
            <w:vAlign w:val="bottom"/>
            <w:shd w:val="clear" w:color="auto" w:fill="0C479D"/>
          </w:tcPr>
          <w:p>
            <w:pPr>
              <w:jc w:val="center"/>
              <w:ind w:right="40"/>
              <w:spacing w:after="0" w:line="147" w:lineRule="exact"/>
              <w:rPr>
                <w:sz w:val="20"/>
                <w:szCs w:val="20"/>
                <w:color w:val="auto"/>
              </w:rPr>
            </w:pPr>
            <w:r>
              <w:rPr>
                <w:rFonts w:ascii="Times New Roman" w:cs="Times New Roman" w:eastAsia="Times New Roman" w:hAnsi="Times New Roman"/>
                <w:sz w:val="14"/>
                <w:szCs w:val="14"/>
                <w:color w:val="FFFFFF"/>
              </w:rPr>
              <w:t>Other</w:t>
            </w:r>
          </w:p>
        </w:tc>
        <w:tc>
          <w:tcPr>
            <w:tcW w:w="760" w:type="dxa"/>
            <w:vAlign w:val="bottom"/>
            <w:vMerge w:val="restart"/>
            <w:shd w:val="clear" w:color="auto" w:fill="0C479D"/>
          </w:tcPr>
          <w:p>
            <w:pPr>
              <w:jc w:val="right"/>
              <w:ind w:right="120"/>
              <w:spacing w:after="0"/>
              <w:rPr>
                <w:sz w:val="20"/>
                <w:szCs w:val="20"/>
                <w:color w:val="auto"/>
              </w:rPr>
            </w:pPr>
            <w:r>
              <w:rPr>
                <w:rFonts w:ascii="Times New Roman" w:cs="Times New Roman" w:eastAsia="Times New Roman" w:hAnsi="Times New Roman"/>
                <w:sz w:val="14"/>
                <w:szCs w:val="14"/>
                <w:color w:val="FFFFFF"/>
              </w:rPr>
              <w:t>Europe</w:t>
            </w:r>
          </w:p>
        </w:tc>
        <w:tc>
          <w:tcPr>
            <w:tcW w:w="1100" w:type="dxa"/>
            <w:vAlign w:val="bottom"/>
            <w:vMerge w:val="restart"/>
            <w:shd w:val="clear" w:color="auto" w:fill="0C479D"/>
          </w:tcPr>
          <w:p>
            <w:pPr>
              <w:jc w:val="center"/>
              <w:ind w:right="180"/>
              <w:spacing w:after="0"/>
              <w:rPr>
                <w:sz w:val="20"/>
                <w:szCs w:val="20"/>
                <w:color w:val="auto"/>
              </w:rPr>
            </w:pPr>
            <w:r>
              <w:rPr>
                <w:rFonts w:ascii="Times New Roman" w:cs="Times New Roman" w:eastAsia="Times New Roman" w:hAnsi="Times New Roman"/>
                <w:sz w:val="14"/>
                <w:szCs w:val="14"/>
                <w:color w:val="FFFFFF"/>
              </w:rPr>
              <w:t>Africa</w:t>
            </w:r>
          </w:p>
        </w:tc>
        <w:tc>
          <w:tcPr>
            <w:tcW w:w="620" w:type="dxa"/>
            <w:vAlign w:val="bottom"/>
            <w:vMerge w:val="restart"/>
            <w:shd w:val="clear" w:color="auto" w:fill="0C479D"/>
          </w:tcPr>
          <w:p>
            <w:pPr>
              <w:jc w:val="right"/>
              <w:ind w:right="239"/>
              <w:spacing w:after="0"/>
              <w:rPr>
                <w:sz w:val="20"/>
                <w:szCs w:val="20"/>
                <w:color w:val="auto"/>
              </w:rPr>
            </w:pPr>
            <w:r>
              <w:rPr>
                <w:rFonts w:ascii="Times New Roman" w:cs="Times New Roman" w:eastAsia="Times New Roman" w:hAnsi="Times New Roman"/>
                <w:sz w:val="14"/>
                <w:szCs w:val="14"/>
                <w:color w:val="FFFFFF"/>
              </w:rPr>
              <w:t>Asia</w:t>
            </w:r>
          </w:p>
        </w:tc>
        <w:tc>
          <w:tcPr>
            <w:tcW w:w="940" w:type="dxa"/>
            <w:vAlign w:val="bottom"/>
            <w:vMerge w:val="continue"/>
            <w:shd w:val="clear" w:color="auto" w:fill="0C479D"/>
          </w:tcPr>
          <w:p>
            <w:pPr>
              <w:spacing w:after="0"/>
              <w:rPr>
                <w:sz w:val="12"/>
                <w:szCs w:val="12"/>
                <w:color w:val="auto"/>
              </w:rPr>
            </w:pPr>
          </w:p>
        </w:tc>
        <w:tc>
          <w:tcPr>
            <w:tcW w:w="700" w:type="dxa"/>
            <w:vAlign w:val="bottom"/>
            <w:vMerge w:val="restart"/>
            <w:shd w:val="clear" w:color="auto" w:fill="0C479D"/>
          </w:tcPr>
          <w:p>
            <w:pPr>
              <w:jc w:val="right"/>
              <w:ind w:right="159"/>
              <w:spacing w:after="0"/>
              <w:rPr>
                <w:sz w:val="20"/>
                <w:szCs w:val="20"/>
                <w:color w:val="auto"/>
              </w:rPr>
            </w:pPr>
            <w:r>
              <w:rPr>
                <w:rFonts w:ascii="Times New Roman" w:cs="Times New Roman" w:eastAsia="Times New Roman" w:hAnsi="Times New Roman"/>
                <w:sz w:val="14"/>
                <w:szCs w:val="14"/>
                <w:color w:val="FFFFFF"/>
              </w:rPr>
              <w:t>Total</w:t>
            </w:r>
          </w:p>
        </w:tc>
        <w:tc>
          <w:tcPr>
            <w:tcW w:w="80" w:type="dxa"/>
            <w:vAlign w:val="bottom"/>
          </w:tcPr>
          <w:p>
            <w:pPr>
              <w:spacing w:after="0"/>
              <w:rPr>
                <w:sz w:val="12"/>
                <w:szCs w:val="12"/>
                <w:color w:val="auto"/>
              </w:rPr>
            </w:pPr>
          </w:p>
        </w:tc>
        <w:tc>
          <w:tcPr>
            <w:tcW w:w="1540" w:type="dxa"/>
            <w:vAlign w:val="bottom"/>
            <w:vMerge w:val="continue"/>
            <w:shd w:val="clear" w:color="auto" w:fill="0C479D"/>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3720" w:type="dxa"/>
            <w:vAlign w:val="bottom"/>
            <w:shd w:val="clear" w:color="auto" w:fill="0C479D"/>
          </w:tcPr>
          <w:p>
            <w:pPr>
              <w:spacing w:after="0"/>
              <w:rPr>
                <w:sz w:val="17"/>
                <w:szCs w:val="17"/>
                <w:color w:val="auto"/>
              </w:rPr>
            </w:pPr>
          </w:p>
        </w:tc>
        <w:tc>
          <w:tcPr>
            <w:tcW w:w="840" w:type="dxa"/>
            <w:vAlign w:val="bottom"/>
            <w:shd w:val="clear" w:color="auto" w:fill="0C479D"/>
          </w:tcPr>
          <w:p>
            <w:pPr>
              <w:jc w:val="right"/>
              <w:ind w:right="220"/>
              <w:spacing w:after="0"/>
              <w:rPr>
                <w:sz w:val="20"/>
                <w:szCs w:val="20"/>
                <w:color w:val="auto"/>
              </w:rPr>
            </w:pPr>
            <w:r>
              <w:rPr>
                <w:rFonts w:ascii="Times New Roman" w:cs="Times New Roman" w:eastAsia="Times New Roman" w:hAnsi="Times New Roman"/>
                <w:sz w:val="14"/>
                <w:szCs w:val="14"/>
                <w:color w:val="FFFFFF"/>
              </w:rPr>
              <w:t>States</w:t>
            </w:r>
          </w:p>
        </w:tc>
        <w:tc>
          <w:tcPr>
            <w:tcW w:w="900" w:type="dxa"/>
            <w:vAlign w:val="bottom"/>
            <w:shd w:val="clear" w:color="auto" w:fill="0C479D"/>
          </w:tcPr>
          <w:p>
            <w:pPr>
              <w:jc w:val="center"/>
              <w:ind w:right="40"/>
              <w:spacing w:after="0"/>
              <w:rPr>
                <w:sz w:val="20"/>
                <w:szCs w:val="20"/>
                <w:color w:val="auto"/>
              </w:rPr>
            </w:pPr>
            <w:r>
              <w:rPr>
                <w:rFonts w:ascii="Times New Roman" w:cs="Times New Roman" w:eastAsia="Times New Roman" w:hAnsi="Times New Roman"/>
                <w:sz w:val="14"/>
                <w:szCs w:val="14"/>
                <w:color w:val="FFFFFF"/>
              </w:rPr>
              <w:t>Americas</w:t>
            </w:r>
          </w:p>
        </w:tc>
        <w:tc>
          <w:tcPr>
            <w:tcW w:w="760" w:type="dxa"/>
            <w:vAlign w:val="bottom"/>
            <w:vMerge w:val="continue"/>
            <w:shd w:val="clear" w:color="auto" w:fill="0C479D"/>
          </w:tcPr>
          <w:p>
            <w:pPr>
              <w:spacing w:after="0"/>
              <w:rPr>
                <w:sz w:val="17"/>
                <w:szCs w:val="17"/>
                <w:color w:val="auto"/>
              </w:rPr>
            </w:pPr>
          </w:p>
        </w:tc>
        <w:tc>
          <w:tcPr>
            <w:tcW w:w="1100" w:type="dxa"/>
            <w:vAlign w:val="bottom"/>
            <w:vMerge w:val="continue"/>
            <w:shd w:val="clear" w:color="auto" w:fill="0C479D"/>
          </w:tcPr>
          <w:p>
            <w:pPr>
              <w:spacing w:after="0"/>
              <w:rPr>
                <w:sz w:val="17"/>
                <w:szCs w:val="17"/>
                <w:color w:val="auto"/>
              </w:rPr>
            </w:pPr>
          </w:p>
        </w:tc>
        <w:tc>
          <w:tcPr>
            <w:tcW w:w="620" w:type="dxa"/>
            <w:vAlign w:val="bottom"/>
            <w:vMerge w:val="continue"/>
            <w:shd w:val="clear" w:color="auto" w:fill="0C479D"/>
          </w:tcPr>
          <w:p>
            <w:pPr>
              <w:spacing w:after="0"/>
              <w:rPr>
                <w:sz w:val="17"/>
                <w:szCs w:val="17"/>
                <w:color w:val="auto"/>
              </w:rPr>
            </w:pPr>
          </w:p>
        </w:tc>
        <w:tc>
          <w:tcPr>
            <w:tcW w:w="940" w:type="dxa"/>
            <w:vAlign w:val="bottom"/>
            <w:shd w:val="clear" w:color="auto" w:fill="0C479D"/>
          </w:tcPr>
          <w:p>
            <w:pPr>
              <w:jc w:val="right"/>
              <w:ind w:right="220"/>
              <w:spacing w:after="0"/>
              <w:rPr>
                <w:sz w:val="20"/>
                <w:szCs w:val="20"/>
                <w:color w:val="auto"/>
              </w:rPr>
            </w:pPr>
            <w:r>
              <w:rPr>
                <w:rFonts w:ascii="Times New Roman" w:cs="Times New Roman" w:eastAsia="Times New Roman" w:hAnsi="Times New Roman"/>
                <w:sz w:val="14"/>
                <w:szCs w:val="14"/>
                <w:color w:val="FFFFFF"/>
              </w:rPr>
              <w:t>Oceania</w:t>
            </w:r>
          </w:p>
        </w:tc>
        <w:tc>
          <w:tcPr>
            <w:tcW w:w="700" w:type="dxa"/>
            <w:vAlign w:val="bottom"/>
            <w:vMerge w:val="continue"/>
            <w:shd w:val="clear" w:color="auto" w:fill="0C479D"/>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i w:val="1"/>
                <w:iCs w:val="1"/>
                <w:color w:val="FFFFFF"/>
              </w:rPr>
              <w:t>barrels)</w:t>
            </w:r>
          </w:p>
        </w:tc>
        <w:tc>
          <w:tcPr>
            <w:tcW w:w="0" w:type="dxa"/>
            <w:vAlign w:val="bottom"/>
          </w:tcPr>
          <w:p>
            <w:pPr>
              <w:spacing w:after="0"/>
              <w:rPr>
                <w:sz w:val="1"/>
                <w:szCs w:val="1"/>
                <w:color w:val="auto"/>
              </w:rPr>
            </w:pPr>
          </w:p>
        </w:tc>
      </w:tr>
      <w:tr>
        <w:trPr>
          <w:trHeight w:val="378"/>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0C479D"/>
              </w:rPr>
              <w:t>Net proved developed and undeveloped</w:t>
            </w: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0C479D"/>
              </w:rPr>
              <w:t>reserves of consolidated subsidiaries</w:t>
            </w: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January 1, 2022</w:t>
            </w: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14,988</w:t>
            </w:r>
          </w:p>
        </w:tc>
        <w:tc>
          <w:tcPr>
            <w:tcW w:w="9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919</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383</w:t>
            </w:r>
          </w:p>
        </w:tc>
        <w:tc>
          <w:tcPr>
            <w:tcW w:w="110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317</w:t>
            </w:r>
          </w:p>
        </w:tc>
        <w:tc>
          <w:tcPr>
            <w:tcW w:w="6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3,693</w:t>
            </w:r>
          </w:p>
        </w:tc>
        <w:tc>
          <w:tcPr>
            <w:tcW w:w="9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6,363</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26,663</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15,436</w:t>
            </w:r>
          </w:p>
        </w:tc>
        <w:tc>
          <w:tcPr>
            <w:tcW w:w="0" w:type="dxa"/>
            <w:vAlign w:val="bottom"/>
          </w:tcPr>
          <w:p>
            <w:pPr>
              <w:spacing w:after="0"/>
              <w:rPr>
                <w:sz w:val="1"/>
                <w:szCs w:val="1"/>
                <w:color w:val="auto"/>
              </w:rPr>
            </w:pPr>
          </w:p>
        </w:tc>
      </w:tr>
      <w:tr>
        <w:trPr>
          <w:trHeight w:val="216"/>
        </w:trPr>
        <w:tc>
          <w:tcPr>
            <w:tcW w:w="3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 xml:space="preserve">Revisions </w:t>
            </w:r>
            <w:r>
              <w:rPr>
                <w:rFonts w:ascii="Times New Roman" w:cs="Times New Roman" w:eastAsia="Times New Roman" w:hAnsi="Times New Roman"/>
                <w:sz w:val="9"/>
                <w:szCs w:val="9"/>
                <w:i w:val="1"/>
                <w:iCs w:val="1"/>
                <w:color w:val="auto"/>
              </w:rPr>
              <w:t>(2)</w:t>
            </w: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(990)</w:t>
            </w:r>
          </w:p>
        </w:tc>
        <w:tc>
          <w:tcPr>
            <w:tcW w:w="9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(38)</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149</w:t>
            </w:r>
          </w:p>
        </w:tc>
        <w:tc>
          <w:tcPr>
            <w:tcW w:w="110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49</w:t>
            </w: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(307)</w:t>
            </w:r>
          </w:p>
        </w:tc>
        <w:tc>
          <w:tcPr>
            <w:tcW w:w="9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187</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(1,102)</w:t>
            </w:r>
          </w:p>
        </w:tc>
        <w:tc>
          <w:tcPr>
            <w:tcW w:w="0" w:type="dxa"/>
            <w:vAlign w:val="bottom"/>
          </w:tcPr>
          <w:p>
            <w:pPr>
              <w:spacing w:after="0"/>
              <w:rPr>
                <w:sz w:val="1"/>
                <w:szCs w:val="1"/>
                <w:color w:val="auto"/>
              </w:rPr>
            </w:pPr>
          </w:p>
        </w:tc>
      </w:tr>
      <w:tr>
        <w:trPr>
          <w:trHeight w:val="216"/>
        </w:trPr>
        <w:tc>
          <w:tcPr>
            <w:tcW w:w="3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Improved recovery</w:t>
            </w: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Purchases</w:t>
            </w: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w:t>
            </w:r>
          </w:p>
        </w:tc>
        <w:tc>
          <w:tcPr>
            <w:tcW w:w="9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6"/>
        </w:trPr>
        <w:tc>
          <w:tcPr>
            <w:tcW w:w="3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Sales</w:t>
            </w: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(1,551)</w:t>
            </w:r>
          </w:p>
        </w:tc>
        <w:tc>
          <w:tcPr>
            <w:tcW w:w="9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(272)</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rPr>
              <w:t>(1)</w:t>
            </w:r>
          </w:p>
        </w:tc>
        <w:tc>
          <w:tcPr>
            <w:tcW w:w="6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(1,824)</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0" w:type="dxa"/>
            <w:vAlign w:val="bottom"/>
          </w:tcPr>
          <w:p>
            <w:pPr>
              <w:spacing w:after="0"/>
              <w:rPr>
                <w:sz w:val="1"/>
                <w:szCs w:val="1"/>
                <w:color w:val="auto"/>
              </w:rPr>
            </w:pPr>
          </w:p>
        </w:tc>
      </w:tr>
      <w:tr>
        <w:trPr>
          <w:trHeight w:val="216"/>
        </w:trPr>
        <w:tc>
          <w:tcPr>
            <w:tcW w:w="3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Extensions/discoveries</w:t>
            </w: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2,232</w:t>
            </w:r>
          </w:p>
        </w:tc>
        <w:tc>
          <w:tcPr>
            <w:tcW w:w="9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175</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2,407</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1,376</w:t>
            </w:r>
          </w:p>
        </w:tc>
        <w:tc>
          <w:tcPr>
            <w:tcW w:w="0" w:type="dxa"/>
            <w:vAlign w:val="bottom"/>
          </w:tcPr>
          <w:p>
            <w:pPr>
              <w:spacing w:after="0"/>
              <w:rPr>
                <w:sz w:val="1"/>
                <w:szCs w:val="1"/>
                <w:color w:val="auto"/>
              </w:rPr>
            </w:pPr>
          </w:p>
        </w:tc>
      </w:tr>
      <w:tr>
        <w:trPr>
          <w:trHeight w:val="219"/>
        </w:trPr>
        <w:tc>
          <w:tcPr>
            <w:tcW w:w="3720" w:type="dxa"/>
            <w:vAlign w:val="bottom"/>
            <w:tcBorders>
              <w:bottom w:val="single" w:sz="8" w:color="0C479D"/>
            </w:tcBorders>
          </w:tcPr>
          <w:p>
            <w:pPr>
              <w:ind w:left="100"/>
              <w:spacing w:after="0"/>
              <w:rPr>
                <w:sz w:val="20"/>
                <w:szCs w:val="20"/>
                <w:color w:val="auto"/>
              </w:rPr>
            </w:pPr>
            <w:r>
              <w:rPr>
                <w:rFonts w:ascii="Times New Roman" w:cs="Times New Roman" w:eastAsia="Times New Roman" w:hAnsi="Times New Roman"/>
                <w:sz w:val="16"/>
                <w:szCs w:val="16"/>
                <w:color w:val="auto"/>
              </w:rPr>
              <w:t>Production</w:t>
            </w:r>
          </w:p>
        </w:tc>
        <w:tc>
          <w:tcPr>
            <w:tcW w:w="840" w:type="dxa"/>
            <w:vAlign w:val="bottom"/>
            <w:tcBorders>
              <w:bottom w:val="single" w:sz="8" w:color="0C479D"/>
            </w:tcBorders>
          </w:tcPr>
          <w:p>
            <w:pPr>
              <w:jc w:val="right"/>
              <w:ind w:right="40"/>
              <w:spacing w:after="0"/>
              <w:rPr>
                <w:sz w:val="20"/>
                <w:szCs w:val="20"/>
                <w:color w:val="auto"/>
              </w:rPr>
            </w:pPr>
            <w:r>
              <w:rPr>
                <w:rFonts w:ascii="Times New Roman" w:cs="Times New Roman" w:eastAsia="Times New Roman" w:hAnsi="Times New Roman"/>
                <w:sz w:val="16"/>
                <w:szCs w:val="16"/>
                <w:color w:val="auto"/>
              </w:rPr>
              <w:t>(1,036)</w:t>
            </w:r>
          </w:p>
        </w:tc>
        <w:tc>
          <w:tcPr>
            <w:tcW w:w="900" w:type="dxa"/>
            <w:vAlign w:val="bottom"/>
            <w:tcBorders>
              <w:bottom w:val="single" w:sz="8" w:color="0C479D"/>
            </w:tcBorders>
          </w:tcPr>
          <w:p>
            <w:pPr>
              <w:jc w:val="right"/>
              <w:ind w:right="60"/>
              <w:spacing w:after="0"/>
              <w:rPr>
                <w:sz w:val="20"/>
                <w:szCs w:val="20"/>
                <w:color w:val="auto"/>
              </w:rPr>
            </w:pPr>
            <w:r>
              <w:rPr>
                <w:rFonts w:ascii="Times New Roman" w:cs="Times New Roman" w:eastAsia="Times New Roman" w:hAnsi="Times New Roman"/>
                <w:sz w:val="16"/>
                <w:szCs w:val="16"/>
                <w:color w:val="auto"/>
              </w:rPr>
              <w:t>(76)</w:t>
            </w:r>
          </w:p>
        </w:tc>
        <w:tc>
          <w:tcPr>
            <w:tcW w:w="7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100" w:type="dxa"/>
            <w:vAlign w:val="bottom"/>
            <w:tcBorders>
              <w:bottom w:val="single" w:sz="8" w:color="0C479D"/>
            </w:tcBorders>
          </w:tcPr>
          <w:p>
            <w:pPr>
              <w:jc w:val="right"/>
              <w:ind w:right="240"/>
              <w:spacing w:after="0"/>
              <w:rPr>
                <w:sz w:val="20"/>
                <w:szCs w:val="20"/>
                <w:color w:val="auto"/>
              </w:rPr>
            </w:pPr>
            <w:r>
              <w:rPr>
                <w:rFonts w:ascii="Times New Roman" w:cs="Times New Roman" w:eastAsia="Times New Roman" w:hAnsi="Times New Roman"/>
                <w:sz w:val="16"/>
                <w:szCs w:val="16"/>
                <w:color w:val="auto"/>
              </w:rPr>
              <w:t>(53)</w:t>
            </w:r>
          </w:p>
        </w:tc>
        <w:tc>
          <w:tcPr>
            <w:tcW w:w="620" w:type="dxa"/>
            <w:vAlign w:val="bottom"/>
            <w:tcBorders>
              <w:bottom w:val="single" w:sz="8" w:color="0C479D"/>
            </w:tcBorders>
          </w:tcPr>
          <w:p>
            <w:pPr>
              <w:jc w:val="right"/>
              <w:ind w:right="19"/>
              <w:spacing w:after="0"/>
              <w:rPr>
                <w:sz w:val="20"/>
                <w:szCs w:val="20"/>
                <w:color w:val="auto"/>
              </w:rPr>
            </w:pPr>
            <w:r>
              <w:rPr>
                <w:rFonts w:ascii="Times New Roman" w:cs="Times New Roman" w:eastAsia="Times New Roman" w:hAnsi="Times New Roman"/>
                <w:sz w:val="16"/>
                <w:szCs w:val="16"/>
                <w:color w:val="auto"/>
              </w:rPr>
              <w:t>(325)</w:t>
            </w:r>
          </w:p>
        </w:tc>
        <w:tc>
          <w:tcPr>
            <w:tcW w:w="940" w:type="dxa"/>
            <w:vAlign w:val="bottom"/>
            <w:tcBorders>
              <w:bottom w:val="single" w:sz="8" w:color="0C479D"/>
            </w:tcBorders>
          </w:tcPr>
          <w:p>
            <w:pPr>
              <w:jc w:val="right"/>
              <w:ind w:right="100"/>
              <w:spacing w:after="0"/>
              <w:rPr>
                <w:sz w:val="20"/>
                <w:szCs w:val="20"/>
                <w:color w:val="auto"/>
              </w:rPr>
            </w:pPr>
            <w:r>
              <w:rPr>
                <w:rFonts w:ascii="Times New Roman" w:cs="Times New Roman" w:eastAsia="Times New Roman" w:hAnsi="Times New Roman"/>
                <w:sz w:val="16"/>
                <w:szCs w:val="16"/>
                <w:color w:val="auto"/>
              </w:rPr>
              <w:t>(542)</w:t>
            </w:r>
          </w:p>
        </w:tc>
        <w:tc>
          <w:tcPr>
            <w:tcW w:w="7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(2,151)</w:t>
            </w:r>
          </w:p>
        </w:tc>
        <w:tc>
          <w:tcPr>
            <w:tcW w:w="1620" w:type="dxa"/>
            <w:vAlign w:val="bottom"/>
            <w:tcBorders>
              <w:bottom w:val="single" w:sz="8" w:color="0C479D"/>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(1,097)</w:t>
            </w:r>
          </w:p>
        </w:tc>
        <w:tc>
          <w:tcPr>
            <w:tcW w:w="0" w:type="dxa"/>
            <w:vAlign w:val="bottom"/>
          </w:tcPr>
          <w:p>
            <w:pPr>
              <w:spacing w:after="0"/>
              <w:rPr>
                <w:sz w:val="1"/>
                <w:szCs w:val="1"/>
                <w:color w:val="auto"/>
              </w:rPr>
            </w:pPr>
          </w:p>
        </w:tc>
      </w:tr>
      <w:tr>
        <w:trPr>
          <w:trHeight w:val="211"/>
        </w:trPr>
        <w:tc>
          <w:tcPr>
            <w:tcW w:w="372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840" w:type="dxa"/>
            <w:vAlign w:val="bottom"/>
            <w:tcBorders>
              <w:bottom w:val="single" w:sz="8" w:color="0C479D"/>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13,645</w:t>
            </w:r>
          </w:p>
        </w:tc>
        <w:tc>
          <w:tcPr>
            <w:tcW w:w="900" w:type="dxa"/>
            <w:vAlign w:val="bottom"/>
            <w:tcBorders>
              <w:bottom w:val="single" w:sz="8" w:color="0C479D"/>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708</w:t>
            </w:r>
          </w:p>
        </w:tc>
        <w:tc>
          <w:tcPr>
            <w:tcW w:w="76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413</w:t>
            </w:r>
          </w:p>
        </w:tc>
        <w:tc>
          <w:tcPr>
            <w:tcW w:w="1100" w:type="dxa"/>
            <w:vAlign w:val="bottom"/>
            <w:tcBorders>
              <w:bottom w:val="single" w:sz="8" w:color="0C479D"/>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312</w:t>
            </w:r>
          </w:p>
        </w:tc>
        <w:tc>
          <w:tcPr>
            <w:tcW w:w="620" w:type="dxa"/>
            <w:vAlign w:val="bottom"/>
            <w:tcBorders>
              <w:bottom w:val="single" w:sz="8" w:color="0C479D"/>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3,061</w:t>
            </w:r>
          </w:p>
        </w:tc>
        <w:tc>
          <w:tcPr>
            <w:tcW w:w="940" w:type="dxa"/>
            <w:vAlign w:val="bottom"/>
            <w:tcBorders>
              <w:bottom w:val="single" w:sz="8" w:color="0C479D"/>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6,008</w:t>
            </w:r>
          </w:p>
        </w:tc>
        <w:tc>
          <w:tcPr>
            <w:tcW w:w="7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24,147</w:t>
            </w:r>
          </w:p>
        </w:tc>
        <w:tc>
          <w:tcPr>
            <w:tcW w:w="1620" w:type="dxa"/>
            <w:vAlign w:val="bottom"/>
            <w:tcBorders>
              <w:bottom w:val="single" w:sz="8" w:color="0C479D"/>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14,258</w:t>
            </w:r>
          </w:p>
        </w:tc>
        <w:tc>
          <w:tcPr>
            <w:tcW w:w="0" w:type="dxa"/>
            <w:vAlign w:val="bottom"/>
          </w:tcPr>
          <w:p>
            <w:pPr>
              <w:spacing w:after="0"/>
              <w:rPr>
                <w:sz w:val="1"/>
                <w:szCs w:val="1"/>
                <w:color w:val="auto"/>
              </w:rPr>
            </w:pPr>
          </w:p>
        </w:tc>
      </w:tr>
      <w:tr>
        <w:trPr>
          <w:trHeight w:val="186"/>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Attributable to noncontrolling interests</w:t>
            </w:r>
          </w:p>
        </w:tc>
        <w:tc>
          <w:tcPr>
            <w:tcW w:w="840" w:type="dxa"/>
            <w:vAlign w:val="bottom"/>
          </w:tcPr>
          <w:p>
            <w:pPr>
              <w:spacing w:after="0"/>
              <w:rPr>
                <w:sz w:val="16"/>
                <w:szCs w:val="16"/>
                <w:color w:val="auto"/>
              </w:rPr>
            </w:pPr>
          </w:p>
        </w:tc>
        <w:tc>
          <w:tcPr>
            <w:tcW w:w="900" w:type="dxa"/>
            <w:vAlign w:val="bottom"/>
          </w:tcPr>
          <w:p>
            <w:pPr>
              <w:jc w:val="right"/>
              <w:ind w:right="100"/>
              <w:spacing w:after="0"/>
              <w:rPr>
                <w:sz w:val="20"/>
                <w:szCs w:val="20"/>
                <w:color w:val="auto"/>
              </w:rPr>
            </w:pPr>
            <w:r>
              <w:rPr>
                <w:rFonts w:ascii="Times New Roman" w:cs="Times New Roman" w:eastAsia="Times New Roman" w:hAnsi="Times New Roman"/>
                <w:sz w:val="14"/>
                <w:szCs w:val="14"/>
                <w:i w:val="1"/>
                <w:iCs w:val="1"/>
                <w:color w:val="auto"/>
              </w:rPr>
              <w:t>77</w:t>
            </w: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4"/>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0C479D"/>
              </w:rPr>
              <w:t>Proportional interest in proved reserves</w:t>
            </w: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0C479D"/>
              </w:rPr>
              <w:t>of equity companies</w:t>
            </w: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January 1, 2022</w:t>
            </w: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140</w:t>
            </w:r>
          </w:p>
        </w:tc>
        <w:tc>
          <w:tcPr>
            <w:tcW w:w="9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408</w:t>
            </w:r>
          </w:p>
        </w:tc>
        <w:tc>
          <w:tcPr>
            <w:tcW w:w="110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806</w:t>
            </w:r>
          </w:p>
        </w:tc>
        <w:tc>
          <w:tcPr>
            <w:tcW w:w="6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10,158</w:t>
            </w:r>
          </w:p>
        </w:tc>
        <w:tc>
          <w:tcPr>
            <w:tcW w:w="9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11,512</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3,100</w:t>
            </w:r>
          </w:p>
        </w:tc>
        <w:tc>
          <w:tcPr>
            <w:tcW w:w="0" w:type="dxa"/>
            <w:vAlign w:val="bottom"/>
          </w:tcPr>
          <w:p>
            <w:pPr>
              <w:spacing w:after="0"/>
              <w:rPr>
                <w:sz w:val="1"/>
                <w:szCs w:val="1"/>
                <w:color w:val="auto"/>
              </w:rPr>
            </w:pPr>
          </w:p>
        </w:tc>
      </w:tr>
      <w:tr>
        <w:trPr>
          <w:trHeight w:val="216"/>
        </w:trPr>
        <w:tc>
          <w:tcPr>
            <w:tcW w:w="3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Revisions</w:t>
            </w: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w:t>
            </w:r>
          </w:p>
        </w:tc>
        <w:tc>
          <w:tcPr>
            <w:tcW w:w="9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104</w:t>
            </w:r>
          </w:p>
        </w:tc>
        <w:tc>
          <w:tcPr>
            <w:tcW w:w="11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rPr>
              <w:t>(132)</w:t>
            </w:r>
          </w:p>
        </w:tc>
        <w:tc>
          <w:tcPr>
            <w:tcW w:w="6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29</w:t>
            </w:r>
          </w:p>
        </w:tc>
        <w:tc>
          <w:tcPr>
            <w:tcW w:w="9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16"/>
        </w:trPr>
        <w:tc>
          <w:tcPr>
            <w:tcW w:w="3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Improved recovery</w:t>
            </w: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Purchases</w:t>
            </w: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3,101</w:t>
            </w:r>
          </w:p>
        </w:tc>
        <w:tc>
          <w:tcPr>
            <w:tcW w:w="9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3,101</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0" w:type="dxa"/>
            <w:vAlign w:val="bottom"/>
          </w:tcPr>
          <w:p>
            <w:pPr>
              <w:spacing w:after="0"/>
              <w:rPr>
                <w:sz w:val="1"/>
                <w:szCs w:val="1"/>
                <w:color w:val="auto"/>
              </w:rPr>
            </w:pPr>
          </w:p>
        </w:tc>
      </w:tr>
      <w:tr>
        <w:trPr>
          <w:trHeight w:val="216"/>
        </w:trPr>
        <w:tc>
          <w:tcPr>
            <w:tcW w:w="3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Sales</w:t>
            </w: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Extensions/discoveries</w:t>
            </w: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720" w:type="dxa"/>
            <w:vAlign w:val="bottom"/>
            <w:tcBorders>
              <w:bottom w:val="single" w:sz="8" w:color="0C479D"/>
            </w:tcBorders>
          </w:tcPr>
          <w:p>
            <w:pPr>
              <w:ind w:left="100"/>
              <w:spacing w:after="0"/>
              <w:rPr>
                <w:sz w:val="20"/>
                <w:szCs w:val="20"/>
                <w:color w:val="auto"/>
              </w:rPr>
            </w:pPr>
            <w:r>
              <w:rPr>
                <w:rFonts w:ascii="Times New Roman" w:cs="Times New Roman" w:eastAsia="Times New Roman" w:hAnsi="Times New Roman"/>
                <w:sz w:val="16"/>
                <w:szCs w:val="16"/>
                <w:color w:val="auto"/>
              </w:rPr>
              <w:t>Production</w:t>
            </w:r>
          </w:p>
        </w:tc>
        <w:tc>
          <w:tcPr>
            <w:tcW w:w="840" w:type="dxa"/>
            <w:vAlign w:val="bottom"/>
            <w:tcBorders>
              <w:bottom w:val="single" w:sz="8" w:color="0C479D"/>
            </w:tcBorders>
          </w:tcPr>
          <w:p>
            <w:pPr>
              <w:jc w:val="right"/>
              <w:ind w:right="40"/>
              <w:spacing w:after="0"/>
              <w:rPr>
                <w:sz w:val="20"/>
                <w:szCs w:val="20"/>
                <w:color w:val="auto"/>
              </w:rPr>
            </w:pPr>
            <w:r>
              <w:rPr>
                <w:rFonts w:ascii="Times New Roman" w:cs="Times New Roman" w:eastAsia="Times New Roman" w:hAnsi="Times New Roman"/>
                <w:sz w:val="16"/>
                <w:szCs w:val="16"/>
                <w:color w:val="auto"/>
              </w:rPr>
              <w:t>(10)</w:t>
            </w:r>
          </w:p>
        </w:tc>
        <w:tc>
          <w:tcPr>
            <w:tcW w:w="900" w:type="dxa"/>
            <w:vAlign w:val="bottom"/>
            <w:tcBorders>
              <w:bottom w:val="single" w:sz="8" w:color="0C479D"/>
            </w:tcBorders>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100" w:type="dxa"/>
            <w:vAlign w:val="bottom"/>
            <w:tcBorders>
              <w:bottom w:val="single" w:sz="8" w:color="0C479D"/>
            </w:tcBorders>
          </w:tcPr>
          <w:p>
            <w:pPr>
              <w:jc w:val="right"/>
              <w:ind w:right="240"/>
              <w:spacing w:after="0"/>
              <w:rPr>
                <w:sz w:val="20"/>
                <w:szCs w:val="20"/>
                <w:color w:val="auto"/>
              </w:rPr>
            </w:pPr>
            <w:r>
              <w:rPr>
                <w:rFonts w:ascii="Times New Roman" w:cs="Times New Roman" w:eastAsia="Times New Roman" w:hAnsi="Times New Roman"/>
                <w:sz w:val="16"/>
                <w:szCs w:val="16"/>
                <w:color w:val="auto"/>
              </w:rPr>
              <w:t>(11)</w:t>
            </w:r>
          </w:p>
        </w:tc>
        <w:tc>
          <w:tcPr>
            <w:tcW w:w="620" w:type="dxa"/>
            <w:vAlign w:val="bottom"/>
            <w:tcBorders>
              <w:bottom w:val="single" w:sz="8" w:color="0C479D"/>
            </w:tcBorders>
          </w:tcPr>
          <w:p>
            <w:pPr>
              <w:jc w:val="right"/>
              <w:ind w:right="19"/>
              <w:spacing w:after="0"/>
              <w:rPr>
                <w:sz w:val="20"/>
                <w:szCs w:val="20"/>
                <w:color w:val="auto"/>
              </w:rPr>
            </w:pPr>
            <w:r>
              <w:rPr>
                <w:rFonts w:ascii="Times New Roman" w:cs="Times New Roman" w:eastAsia="Times New Roman" w:hAnsi="Times New Roman"/>
                <w:sz w:val="16"/>
                <w:szCs w:val="16"/>
                <w:color w:val="auto"/>
              </w:rPr>
              <w:t>(979)</w:t>
            </w:r>
          </w:p>
        </w:tc>
        <w:tc>
          <w:tcPr>
            <w:tcW w:w="940" w:type="dxa"/>
            <w:vAlign w:val="bottom"/>
            <w:tcBorders>
              <w:bottom w:val="single" w:sz="8" w:color="0C479D"/>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(1,132)</w:t>
            </w:r>
          </w:p>
        </w:tc>
        <w:tc>
          <w:tcPr>
            <w:tcW w:w="1620" w:type="dxa"/>
            <w:vAlign w:val="bottom"/>
            <w:tcBorders>
              <w:bottom w:val="single" w:sz="8" w:color="0C479D"/>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0" w:type="dxa"/>
            <w:vAlign w:val="bottom"/>
          </w:tcPr>
          <w:p>
            <w:pPr>
              <w:spacing w:after="0"/>
              <w:rPr>
                <w:sz w:val="1"/>
                <w:szCs w:val="1"/>
                <w:color w:val="auto"/>
              </w:rPr>
            </w:pPr>
          </w:p>
        </w:tc>
      </w:tr>
      <w:tr>
        <w:trPr>
          <w:trHeight w:val="211"/>
        </w:trPr>
        <w:tc>
          <w:tcPr>
            <w:tcW w:w="372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840" w:type="dxa"/>
            <w:vAlign w:val="bottom"/>
            <w:tcBorders>
              <w:bottom w:val="single" w:sz="8" w:color="0C479D"/>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127</w:t>
            </w:r>
          </w:p>
        </w:tc>
        <w:tc>
          <w:tcPr>
            <w:tcW w:w="900" w:type="dxa"/>
            <w:vAlign w:val="bottom"/>
            <w:tcBorders>
              <w:bottom w:val="single" w:sz="8" w:color="0C479D"/>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380</w:t>
            </w:r>
          </w:p>
        </w:tc>
        <w:tc>
          <w:tcPr>
            <w:tcW w:w="1100" w:type="dxa"/>
            <w:vAlign w:val="bottom"/>
            <w:tcBorders>
              <w:bottom w:val="single" w:sz="8" w:color="0C479D"/>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663</w:t>
            </w:r>
          </w:p>
        </w:tc>
        <w:tc>
          <w:tcPr>
            <w:tcW w:w="620" w:type="dxa"/>
            <w:vAlign w:val="bottom"/>
            <w:tcBorders>
              <w:bottom w:val="single" w:sz="8" w:color="0C479D"/>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12,309</w:t>
            </w:r>
          </w:p>
        </w:tc>
        <w:tc>
          <w:tcPr>
            <w:tcW w:w="940" w:type="dxa"/>
            <w:vAlign w:val="bottom"/>
            <w:tcBorders>
              <w:bottom w:val="single" w:sz="8" w:color="0C479D"/>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13,479</w:t>
            </w:r>
          </w:p>
        </w:tc>
        <w:tc>
          <w:tcPr>
            <w:tcW w:w="1620" w:type="dxa"/>
            <w:vAlign w:val="bottom"/>
            <w:tcBorders>
              <w:bottom w:val="single" w:sz="8" w:color="0C479D"/>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3,484</w:t>
            </w:r>
          </w:p>
        </w:tc>
        <w:tc>
          <w:tcPr>
            <w:tcW w:w="0" w:type="dxa"/>
            <w:vAlign w:val="bottom"/>
          </w:tcPr>
          <w:p>
            <w:pPr>
              <w:spacing w:after="0"/>
              <w:rPr>
                <w:sz w:val="1"/>
                <w:szCs w:val="1"/>
                <w:color w:val="auto"/>
              </w:rPr>
            </w:pPr>
          </w:p>
        </w:tc>
      </w:tr>
      <w:tr>
        <w:trPr>
          <w:trHeight w:val="218"/>
        </w:trPr>
        <w:tc>
          <w:tcPr>
            <w:tcW w:w="372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proved reserves at December 31, 2022</w:t>
            </w:r>
          </w:p>
        </w:tc>
        <w:tc>
          <w:tcPr>
            <w:tcW w:w="840" w:type="dxa"/>
            <w:vAlign w:val="bottom"/>
            <w:tcBorders>
              <w:bottom w:val="single" w:sz="8" w:color="0C479D"/>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13,772</w:t>
            </w:r>
          </w:p>
        </w:tc>
        <w:tc>
          <w:tcPr>
            <w:tcW w:w="900" w:type="dxa"/>
            <w:vAlign w:val="bottom"/>
            <w:tcBorders>
              <w:bottom w:val="single" w:sz="8" w:color="0C479D"/>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708</w:t>
            </w:r>
          </w:p>
        </w:tc>
        <w:tc>
          <w:tcPr>
            <w:tcW w:w="76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793</w:t>
            </w:r>
          </w:p>
        </w:tc>
        <w:tc>
          <w:tcPr>
            <w:tcW w:w="1100" w:type="dxa"/>
            <w:vAlign w:val="bottom"/>
            <w:tcBorders>
              <w:bottom w:val="single" w:sz="8" w:color="0C479D"/>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975</w:t>
            </w:r>
          </w:p>
        </w:tc>
        <w:tc>
          <w:tcPr>
            <w:tcW w:w="620" w:type="dxa"/>
            <w:vAlign w:val="bottom"/>
            <w:tcBorders>
              <w:bottom w:val="single" w:sz="8" w:color="0C479D"/>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15,370</w:t>
            </w:r>
          </w:p>
        </w:tc>
        <w:tc>
          <w:tcPr>
            <w:tcW w:w="940" w:type="dxa"/>
            <w:vAlign w:val="bottom"/>
            <w:tcBorders>
              <w:bottom w:val="single" w:sz="8" w:color="0C479D"/>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6,008</w:t>
            </w:r>
          </w:p>
        </w:tc>
        <w:tc>
          <w:tcPr>
            <w:tcW w:w="7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37,626</w:t>
            </w:r>
          </w:p>
        </w:tc>
        <w:tc>
          <w:tcPr>
            <w:tcW w:w="1620" w:type="dxa"/>
            <w:vAlign w:val="bottom"/>
            <w:tcBorders>
              <w:bottom w:val="single" w:sz="8" w:color="0C479D"/>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17,742</w:t>
            </w:r>
          </w:p>
        </w:tc>
        <w:tc>
          <w:tcPr>
            <w:tcW w:w="0" w:type="dxa"/>
            <w:vAlign w:val="bottom"/>
          </w:tcPr>
          <w:p>
            <w:pPr>
              <w:spacing w:after="0"/>
              <w:rPr>
                <w:sz w:val="1"/>
                <w:szCs w:val="1"/>
                <w:color w:val="auto"/>
              </w:rPr>
            </w:pPr>
          </w:p>
        </w:tc>
      </w:tr>
      <w:tr>
        <w:trPr>
          <w:trHeight w:val="418"/>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0C479D"/>
              </w:rPr>
              <w:t>Net proved developed and undeveloped</w:t>
            </w: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0C479D"/>
              </w:rPr>
              <w:t>reserves of consolidated subsidiaries</w:t>
            </w: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January 1, 2023</w:t>
            </w: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13,645</w:t>
            </w:r>
          </w:p>
        </w:tc>
        <w:tc>
          <w:tcPr>
            <w:tcW w:w="9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708</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413</w:t>
            </w:r>
          </w:p>
        </w:tc>
        <w:tc>
          <w:tcPr>
            <w:tcW w:w="110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312</w:t>
            </w:r>
          </w:p>
        </w:tc>
        <w:tc>
          <w:tcPr>
            <w:tcW w:w="6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3,061</w:t>
            </w:r>
          </w:p>
        </w:tc>
        <w:tc>
          <w:tcPr>
            <w:tcW w:w="9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6,008</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24,147</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14,258</w:t>
            </w:r>
          </w:p>
        </w:tc>
        <w:tc>
          <w:tcPr>
            <w:tcW w:w="0" w:type="dxa"/>
            <w:vAlign w:val="bottom"/>
          </w:tcPr>
          <w:p>
            <w:pPr>
              <w:spacing w:after="0"/>
              <w:rPr>
                <w:sz w:val="1"/>
                <w:szCs w:val="1"/>
                <w:color w:val="auto"/>
              </w:rPr>
            </w:pPr>
          </w:p>
        </w:tc>
      </w:tr>
      <w:tr>
        <w:trPr>
          <w:trHeight w:val="216"/>
        </w:trPr>
        <w:tc>
          <w:tcPr>
            <w:tcW w:w="3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Revisions</w:t>
            </w: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(1,945)</w:t>
            </w:r>
          </w:p>
        </w:tc>
        <w:tc>
          <w:tcPr>
            <w:tcW w:w="9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(201)</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1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rPr>
              <w:t>(49)</w:t>
            </w:r>
          </w:p>
        </w:tc>
        <w:tc>
          <w:tcPr>
            <w:tcW w:w="6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121</w:t>
            </w:r>
          </w:p>
        </w:tc>
        <w:tc>
          <w:tcPr>
            <w:tcW w:w="9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339</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(1,738)</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0" w:type="dxa"/>
            <w:vAlign w:val="bottom"/>
          </w:tcPr>
          <w:p>
            <w:pPr>
              <w:spacing w:after="0"/>
              <w:rPr>
                <w:sz w:val="1"/>
                <w:szCs w:val="1"/>
                <w:color w:val="auto"/>
              </w:rPr>
            </w:pPr>
          </w:p>
        </w:tc>
      </w:tr>
      <w:tr>
        <w:trPr>
          <w:trHeight w:val="216"/>
        </w:trPr>
        <w:tc>
          <w:tcPr>
            <w:tcW w:w="3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Improved recovery</w:t>
            </w: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Purchases</w:t>
            </w: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7</w:t>
            </w:r>
          </w:p>
        </w:tc>
        <w:tc>
          <w:tcPr>
            <w:tcW w:w="9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0" w:type="dxa"/>
            <w:vAlign w:val="bottom"/>
          </w:tcPr>
          <w:p>
            <w:pPr>
              <w:spacing w:after="0"/>
              <w:rPr>
                <w:sz w:val="1"/>
                <w:szCs w:val="1"/>
                <w:color w:val="auto"/>
              </w:rPr>
            </w:pPr>
          </w:p>
        </w:tc>
      </w:tr>
      <w:tr>
        <w:trPr>
          <w:trHeight w:val="216"/>
        </w:trPr>
        <w:tc>
          <w:tcPr>
            <w:tcW w:w="3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Sales</w:t>
            </w: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(417)</w:t>
            </w:r>
          </w:p>
        </w:tc>
        <w:tc>
          <w:tcPr>
            <w:tcW w:w="9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w:t>
            </w:r>
          </w:p>
        </w:tc>
        <w:tc>
          <w:tcPr>
            <w:tcW w:w="9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216"/>
        </w:trPr>
        <w:tc>
          <w:tcPr>
            <w:tcW w:w="3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Extensions/discoveries</w:t>
            </w: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1,930</w:t>
            </w:r>
          </w:p>
        </w:tc>
        <w:tc>
          <w:tcPr>
            <w:tcW w:w="9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67</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1,997</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0" w:type="dxa"/>
            <w:vAlign w:val="bottom"/>
          </w:tcPr>
          <w:p>
            <w:pPr>
              <w:spacing w:after="0"/>
              <w:rPr>
                <w:sz w:val="1"/>
                <w:szCs w:val="1"/>
                <w:color w:val="auto"/>
              </w:rPr>
            </w:pPr>
          </w:p>
        </w:tc>
      </w:tr>
      <w:tr>
        <w:trPr>
          <w:trHeight w:val="219"/>
        </w:trPr>
        <w:tc>
          <w:tcPr>
            <w:tcW w:w="3720" w:type="dxa"/>
            <w:vAlign w:val="bottom"/>
            <w:tcBorders>
              <w:bottom w:val="single" w:sz="8" w:color="0C479D"/>
            </w:tcBorders>
          </w:tcPr>
          <w:p>
            <w:pPr>
              <w:ind w:left="100"/>
              <w:spacing w:after="0"/>
              <w:rPr>
                <w:sz w:val="20"/>
                <w:szCs w:val="20"/>
                <w:color w:val="auto"/>
              </w:rPr>
            </w:pPr>
            <w:r>
              <w:rPr>
                <w:rFonts w:ascii="Times New Roman" w:cs="Times New Roman" w:eastAsia="Times New Roman" w:hAnsi="Times New Roman"/>
                <w:sz w:val="16"/>
                <w:szCs w:val="16"/>
                <w:color w:val="auto"/>
              </w:rPr>
              <w:t>Production</w:t>
            </w:r>
          </w:p>
        </w:tc>
        <w:tc>
          <w:tcPr>
            <w:tcW w:w="840" w:type="dxa"/>
            <w:vAlign w:val="bottom"/>
            <w:tcBorders>
              <w:bottom w:val="single" w:sz="8" w:color="0C479D"/>
            </w:tcBorders>
          </w:tcPr>
          <w:p>
            <w:pPr>
              <w:jc w:val="right"/>
              <w:ind w:right="40"/>
              <w:spacing w:after="0"/>
              <w:rPr>
                <w:sz w:val="20"/>
                <w:szCs w:val="20"/>
                <w:color w:val="auto"/>
              </w:rPr>
            </w:pPr>
            <w:r>
              <w:rPr>
                <w:rFonts w:ascii="Times New Roman" w:cs="Times New Roman" w:eastAsia="Times New Roman" w:hAnsi="Times New Roman"/>
                <w:sz w:val="16"/>
                <w:szCs w:val="16"/>
                <w:color w:val="auto"/>
              </w:rPr>
              <w:t>(957)</w:t>
            </w:r>
          </w:p>
        </w:tc>
        <w:tc>
          <w:tcPr>
            <w:tcW w:w="900" w:type="dxa"/>
            <w:vAlign w:val="bottom"/>
            <w:tcBorders>
              <w:bottom w:val="single" w:sz="8" w:color="0C479D"/>
            </w:tcBorders>
          </w:tcPr>
          <w:p>
            <w:pPr>
              <w:jc w:val="right"/>
              <w:ind w:right="60"/>
              <w:spacing w:after="0"/>
              <w:rPr>
                <w:sz w:val="20"/>
                <w:szCs w:val="20"/>
                <w:color w:val="auto"/>
              </w:rPr>
            </w:pPr>
            <w:r>
              <w:rPr>
                <w:rFonts w:ascii="Times New Roman" w:cs="Times New Roman" w:eastAsia="Times New Roman" w:hAnsi="Times New Roman"/>
                <w:sz w:val="16"/>
                <w:szCs w:val="16"/>
                <w:color w:val="auto"/>
              </w:rPr>
              <w:t>(53)</w:t>
            </w:r>
          </w:p>
        </w:tc>
        <w:tc>
          <w:tcPr>
            <w:tcW w:w="7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100" w:type="dxa"/>
            <w:vAlign w:val="bottom"/>
            <w:tcBorders>
              <w:bottom w:val="single" w:sz="8" w:color="0C479D"/>
            </w:tcBorders>
          </w:tcPr>
          <w:p>
            <w:pPr>
              <w:jc w:val="right"/>
              <w:ind w:right="240"/>
              <w:spacing w:after="0"/>
              <w:rPr>
                <w:sz w:val="20"/>
                <w:szCs w:val="20"/>
                <w:color w:val="auto"/>
              </w:rPr>
            </w:pPr>
            <w:r>
              <w:rPr>
                <w:rFonts w:ascii="Times New Roman" w:cs="Times New Roman" w:eastAsia="Times New Roman" w:hAnsi="Times New Roman"/>
                <w:sz w:val="16"/>
                <w:szCs w:val="16"/>
                <w:color w:val="auto"/>
              </w:rPr>
              <w:t>(43)</w:t>
            </w:r>
          </w:p>
        </w:tc>
        <w:tc>
          <w:tcPr>
            <w:tcW w:w="620" w:type="dxa"/>
            <w:vAlign w:val="bottom"/>
            <w:tcBorders>
              <w:bottom w:val="single" w:sz="8" w:color="0C479D"/>
            </w:tcBorders>
          </w:tcPr>
          <w:p>
            <w:pPr>
              <w:jc w:val="right"/>
              <w:ind w:right="19"/>
              <w:spacing w:after="0"/>
              <w:rPr>
                <w:sz w:val="20"/>
                <w:szCs w:val="20"/>
                <w:color w:val="auto"/>
              </w:rPr>
            </w:pPr>
            <w:r>
              <w:rPr>
                <w:rFonts w:ascii="Times New Roman" w:cs="Times New Roman" w:eastAsia="Times New Roman" w:hAnsi="Times New Roman"/>
                <w:sz w:val="16"/>
                <w:szCs w:val="16"/>
                <w:color w:val="auto"/>
              </w:rPr>
              <w:t>(379)</w:t>
            </w:r>
          </w:p>
        </w:tc>
        <w:tc>
          <w:tcPr>
            <w:tcW w:w="940" w:type="dxa"/>
            <w:vAlign w:val="bottom"/>
            <w:tcBorders>
              <w:bottom w:val="single" w:sz="8" w:color="0C479D"/>
            </w:tcBorders>
          </w:tcPr>
          <w:p>
            <w:pPr>
              <w:jc w:val="right"/>
              <w:ind w:right="100"/>
              <w:spacing w:after="0"/>
              <w:rPr>
                <w:sz w:val="20"/>
                <w:szCs w:val="20"/>
                <w:color w:val="auto"/>
              </w:rPr>
            </w:pPr>
            <w:r>
              <w:rPr>
                <w:rFonts w:ascii="Times New Roman" w:cs="Times New Roman" w:eastAsia="Times New Roman" w:hAnsi="Times New Roman"/>
                <w:sz w:val="16"/>
                <w:szCs w:val="16"/>
                <w:color w:val="auto"/>
              </w:rPr>
              <w:t>(489)</w:t>
            </w:r>
          </w:p>
        </w:tc>
        <w:tc>
          <w:tcPr>
            <w:tcW w:w="7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1620" w:type="dxa"/>
            <w:vAlign w:val="bottom"/>
            <w:tcBorders>
              <w:bottom w:val="single" w:sz="8" w:color="0C479D"/>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(1,121)</w:t>
            </w:r>
          </w:p>
        </w:tc>
        <w:tc>
          <w:tcPr>
            <w:tcW w:w="0" w:type="dxa"/>
            <w:vAlign w:val="bottom"/>
          </w:tcPr>
          <w:p>
            <w:pPr>
              <w:spacing w:after="0"/>
              <w:rPr>
                <w:sz w:val="1"/>
                <w:szCs w:val="1"/>
                <w:color w:val="auto"/>
              </w:rPr>
            </w:pPr>
          </w:p>
        </w:tc>
      </w:tr>
      <w:tr>
        <w:trPr>
          <w:trHeight w:val="211"/>
        </w:trPr>
        <w:tc>
          <w:tcPr>
            <w:tcW w:w="372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840" w:type="dxa"/>
            <w:vAlign w:val="bottom"/>
            <w:tcBorders>
              <w:bottom w:val="single" w:sz="8" w:color="0C479D"/>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12,263</w:t>
            </w:r>
          </w:p>
        </w:tc>
        <w:tc>
          <w:tcPr>
            <w:tcW w:w="900" w:type="dxa"/>
            <w:vAlign w:val="bottom"/>
            <w:tcBorders>
              <w:bottom w:val="single" w:sz="8" w:color="0C479D"/>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520</w:t>
            </w:r>
          </w:p>
        </w:tc>
        <w:tc>
          <w:tcPr>
            <w:tcW w:w="76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307</w:t>
            </w:r>
          </w:p>
        </w:tc>
        <w:tc>
          <w:tcPr>
            <w:tcW w:w="1100" w:type="dxa"/>
            <w:vAlign w:val="bottom"/>
            <w:tcBorders>
              <w:bottom w:val="single" w:sz="8" w:color="0C479D"/>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220</w:t>
            </w:r>
          </w:p>
        </w:tc>
        <w:tc>
          <w:tcPr>
            <w:tcW w:w="620" w:type="dxa"/>
            <w:vAlign w:val="bottom"/>
            <w:tcBorders>
              <w:bottom w:val="single" w:sz="8" w:color="0C479D"/>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2,794</w:t>
            </w:r>
          </w:p>
        </w:tc>
        <w:tc>
          <w:tcPr>
            <w:tcW w:w="940" w:type="dxa"/>
            <w:vAlign w:val="bottom"/>
            <w:tcBorders>
              <w:bottom w:val="single" w:sz="8" w:color="0C479D"/>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5,858</w:t>
            </w:r>
          </w:p>
        </w:tc>
        <w:tc>
          <w:tcPr>
            <w:tcW w:w="7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21,962</w:t>
            </w:r>
          </w:p>
        </w:tc>
        <w:tc>
          <w:tcPr>
            <w:tcW w:w="1620" w:type="dxa"/>
            <w:vAlign w:val="bottom"/>
            <w:tcBorders>
              <w:bottom w:val="single" w:sz="8" w:color="0C479D"/>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13,716</w:t>
            </w:r>
          </w:p>
        </w:tc>
        <w:tc>
          <w:tcPr>
            <w:tcW w:w="0" w:type="dxa"/>
            <w:vAlign w:val="bottom"/>
          </w:tcPr>
          <w:p>
            <w:pPr>
              <w:spacing w:after="0"/>
              <w:rPr>
                <w:sz w:val="1"/>
                <w:szCs w:val="1"/>
                <w:color w:val="auto"/>
              </w:rPr>
            </w:pPr>
          </w:p>
        </w:tc>
      </w:tr>
      <w:tr>
        <w:trPr>
          <w:trHeight w:val="186"/>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Attributable to noncontrolling interests</w:t>
            </w:r>
          </w:p>
        </w:tc>
        <w:tc>
          <w:tcPr>
            <w:tcW w:w="840" w:type="dxa"/>
            <w:vAlign w:val="bottom"/>
          </w:tcPr>
          <w:p>
            <w:pPr>
              <w:spacing w:after="0"/>
              <w:rPr>
                <w:sz w:val="16"/>
                <w:szCs w:val="16"/>
                <w:color w:val="auto"/>
              </w:rPr>
            </w:pPr>
          </w:p>
        </w:tc>
        <w:tc>
          <w:tcPr>
            <w:tcW w:w="900" w:type="dxa"/>
            <w:vAlign w:val="bottom"/>
          </w:tcPr>
          <w:p>
            <w:pPr>
              <w:jc w:val="right"/>
              <w:ind w:right="100"/>
              <w:spacing w:after="0"/>
              <w:rPr>
                <w:sz w:val="20"/>
                <w:szCs w:val="20"/>
                <w:color w:val="auto"/>
              </w:rPr>
            </w:pPr>
            <w:r>
              <w:rPr>
                <w:rFonts w:ascii="Times New Roman" w:cs="Times New Roman" w:eastAsia="Times New Roman" w:hAnsi="Times New Roman"/>
                <w:sz w:val="14"/>
                <w:szCs w:val="14"/>
                <w:i w:val="1"/>
                <w:iCs w:val="1"/>
                <w:color w:val="auto"/>
              </w:rPr>
              <w:t>26</w:t>
            </w: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4"/>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0C479D"/>
              </w:rPr>
              <w:t>Proportional interest in proved reserves</w:t>
            </w: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0C479D"/>
              </w:rPr>
              <w:t>of equity companies</w:t>
            </w: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January 1, 2023</w:t>
            </w: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127</w:t>
            </w:r>
          </w:p>
        </w:tc>
        <w:tc>
          <w:tcPr>
            <w:tcW w:w="9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380</w:t>
            </w:r>
          </w:p>
        </w:tc>
        <w:tc>
          <w:tcPr>
            <w:tcW w:w="110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663</w:t>
            </w:r>
          </w:p>
        </w:tc>
        <w:tc>
          <w:tcPr>
            <w:tcW w:w="6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12,309</w:t>
            </w:r>
          </w:p>
        </w:tc>
        <w:tc>
          <w:tcPr>
            <w:tcW w:w="9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13,479</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3,484</w:t>
            </w:r>
          </w:p>
        </w:tc>
        <w:tc>
          <w:tcPr>
            <w:tcW w:w="0" w:type="dxa"/>
            <w:vAlign w:val="bottom"/>
          </w:tcPr>
          <w:p>
            <w:pPr>
              <w:spacing w:after="0"/>
              <w:rPr>
                <w:sz w:val="1"/>
                <w:szCs w:val="1"/>
                <w:color w:val="auto"/>
              </w:rPr>
            </w:pPr>
          </w:p>
        </w:tc>
      </w:tr>
      <w:tr>
        <w:trPr>
          <w:trHeight w:val="216"/>
        </w:trPr>
        <w:tc>
          <w:tcPr>
            <w:tcW w:w="3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Revisions</w:t>
            </w: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(27)</w:t>
            </w:r>
          </w:p>
        </w:tc>
        <w:tc>
          <w:tcPr>
            <w:tcW w:w="9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18</w:t>
            </w:r>
          </w:p>
        </w:tc>
        <w:tc>
          <w:tcPr>
            <w:tcW w:w="110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157</w:t>
            </w: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w:t>
            </w:r>
          </w:p>
        </w:tc>
        <w:tc>
          <w:tcPr>
            <w:tcW w:w="9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216"/>
        </w:trPr>
        <w:tc>
          <w:tcPr>
            <w:tcW w:w="3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Improved recovery</w:t>
            </w: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Purchases</w:t>
            </w: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Sales</w:t>
            </w:r>
          </w:p>
        </w:tc>
        <w:tc>
          <w:tcPr>
            <w:tcW w:w="8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(35)</w:t>
            </w:r>
          </w:p>
        </w:tc>
        <w:tc>
          <w:tcPr>
            <w:tcW w:w="9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16"/>
        </w:trPr>
        <w:tc>
          <w:tcPr>
            <w:tcW w:w="3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Extensions/discoveries</w:t>
            </w: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720" w:type="dxa"/>
            <w:vAlign w:val="bottom"/>
            <w:tcBorders>
              <w:bottom w:val="single" w:sz="8" w:color="0C479D"/>
            </w:tcBorders>
          </w:tcPr>
          <w:p>
            <w:pPr>
              <w:ind w:left="100"/>
              <w:spacing w:after="0"/>
              <w:rPr>
                <w:sz w:val="20"/>
                <w:szCs w:val="20"/>
                <w:color w:val="auto"/>
              </w:rPr>
            </w:pPr>
            <w:r>
              <w:rPr>
                <w:rFonts w:ascii="Times New Roman" w:cs="Times New Roman" w:eastAsia="Times New Roman" w:hAnsi="Times New Roman"/>
                <w:sz w:val="16"/>
                <w:szCs w:val="16"/>
                <w:color w:val="auto"/>
              </w:rPr>
              <w:t>Production</w:t>
            </w:r>
          </w:p>
        </w:tc>
        <w:tc>
          <w:tcPr>
            <w:tcW w:w="840" w:type="dxa"/>
            <w:vAlign w:val="bottom"/>
            <w:tcBorders>
              <w:bottom w:val="single" w:sz="8" w:color="0C479D"/>
            </w:tcBorders>
          </w:tcPr>
          <w:p>
            <w:pPr>
              <w:jc w:val="right"/>
              <w:ind w:right="40"/>
              <w:spacing w:after="0"/>
              <w:rPr>
                <w:sz w:val="20"/>
                <w:szCs w:val="20"/>
                <w:color w:val="auto"/>
              </w:rPr>
            </w:pPr>
            <w:r>
              <w:rPr>
                <w:rFonts w:ascii="Times New Roman" w:cs="Times New Roman" w:eastAsia="Times New Roman" w:hAnsi="Times New Roman"/>
                <w:sz w:val="16"/>
                <w:szCs w:val="16"/>
                <w:color w:val="auto"/>
              </w:rPr>
              <w:t>(8)</w:t>
            </w:r>
          </w:p>
        </w:tc>
        <w:tc>
          <w:tcPr>
            <w:tcW w:w="900" w:type="dxa"/>
            <w:vAlign w:val="bottom"/>
            <w:tcBorders>
              <w:bottom w:val="single" w:sz="8" w:color="0C479D"/>
            </w:tcBorders>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100" w:type="dxa"/>
            <w:vAlign w:val="bottom"/>
            <w:tcBorders>
              <w:bottom w:val="single" w:sz="8" w:color="0C479D"/>
            </w:tcBorders>
          </w:tcPr>
          <w:p>
            <w:pPr>
              <w:jc w:val="right"/>
              <w:ind w:right="240"/>
              <w:spacing w:after="0"/>
              <w:rPr>
                <w:sz w:val="20"/>
                <w:szCs w:val="20"/>
                <w:color w:val="auto"/>
              </w:rPr>
            </w:pPr>
            <w:r>
              <w:rPr>
                <w:rFonts w:ascii="Times New Roman" w:cs="Times New Roman" w:eastAsia="Times New Roman" w:hAnsi="Times New Roman"/>
                <w:sz w:val="16"/>
                <w:szCs w:val="16"/>
                <w:color w:val="auto"/>
              </w:rPr>
              <w:t>(40)</w:t>
            </w:r>
          </w:p>
        </w:tc>
        <w:tc>
          <w:tcPr>
            <w:tcW w:w="620" w:type="dxa"/>
            <w:vAlign w:val="bottom"/>
            <w:tcBorders>
              <w:bottom w:val="single" w:sz="8" w:color="0C479D"/>
            </w:tcBorders>
          </w:tcPr>
          <w:p>
            <w:pPr>
              <w:jc w:val="right"/>
              <w:ind w:right="19"/>
              <w:spacing w:after="0"/>
              <w:rPr>
                <w:sz w:val="20"/>
                <w:szCs w:val="20"/>
                <w:color w:val="auto"/>
              </w:rPr>
            </w:pPr>
            <w:r>
              <w:rPr>
                <w:rFonts w:ascii="Times New Roman" w:cs="Times New Roman" w:eastAsia="Times New Roman" w:hAnsi="Times New Roman"/>
                <w:sz w:val="16"/>
                <w:szCs w:val="16"/>
                <w:color w:val="auto"/>
              </w:rPr>
              <w:t>(956)</w:t>
            </w:r>
          </w:p>
        </w:tc>
        <w:tc>
          <w:tcPr>
            <w:tcW w:w="940" w:type="dxa"/>
            <w:vAlign w:val="bottom"/>
            <w:tcBorders>
              <w:bottom w:val="single" w:sz="8" w:color="0C479D"/>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1620" w:type="dxa"/>
            <w:vAlign w:val="bottom"/>
            <w:tcBorders>
              <w:bottom w:val="single" w:sz="8" w:color="0C479D"/>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0" w:type="dxa"/>
            <w:vAlign w:val="bottom"/>
          </w:tcPr>
          <w:p>
            <w:pPr>
              <w:spacing w:after="0"/>
              <w:rPr>
                <w:sz w:val="1"/>
                <w:szCs w:val="1"/>
                <w:color w:val="auto"/>
              </w:rPr>
            </w:pPr>
          </w:p>
        </w:tc>
      </w:tr>
      <w:tr>
        <w:trPr>
          <w:trHeight w:val="211"/>
        </w:trPr>
        <w:tc>
          <w:tcPr>
            <w:tcW w:w="372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840" w:type="dxa"/>
            <w:vAlign w:val="bottom"/>
            <w:tcBorders>
              <w:bottom w:val="single" w:sz="8" w:color="0C479D"/>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57</w:t>
            </w:r>
          </w:p>
        </w:tc>
        <w:tc>
          <w:tcPr>
            <w:tcW w:w="900" w:type="dxa"/>
            <w:vAlign w:val="bottom"/>
            <w:tcBorders>
              <w:bottom w:val="single" w:sz="8" w:color="0C479D"/>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344</w:t>
            </w:r>
          </w:p>
        </w:tc>
        <w:tc>
          <w:tcPr>
            <w:tcW w:w="1100" w:type="dxa"/>
            <w:vAlign w:val="bottom"/>
            <w:tcBorders>
              <w:bottom w:val="single" w:sz="8" w:color="0C479D"/>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780</w:t>
            </w:r>
          </w:p>
        </w:tc>
        <w:tc>
          <w:tcPr>
            <w:tcW w:w="620" w:type="dxa"/>
            <w:vAlign w:val="bottom"/>
            <w:tcBorders>
              <w:bottom w:val="single" w:sz="8" w:color="0C479D"/>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11,321</w:t>
            </w:r>
          </w:p>
        </w:tc>
        <w:tc>
          <w:tcPr>
            <w:tcW w:w="940" w:type="dxa"/>
            <w:vAlign w:val="bottom"/>
            <w:tcBorders>
              <w:bottom w:val="single" w:sz="8" w:color="0C479D"/>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12,502</w:t>
            </w:r>
          </w:p>
        </w:tc>
        <w:tc>
          <w:tcPr>
            <w:tcW w:w="1620" w:type="dxa"/>
            <w:vAlign w:val="bottom"/>
            <w:tcBorders>
              <w:bottom w:val="single" w:sz="8" w:color="0C479D"/>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3,212</w:t>
            </w:r>
          </w:p>
        </w:tc>
        <w:tc>
          <w:tcPr>
            <w:tcW w:w="0" w:type="dxa"/>
            <w:vAlign w:val="bottom"/>
          </w:tcPr>
          <w:p>
            <w:pPr>
              <w:spacing w:after="0"/>
              <w:rPr>
                <w:sz w:val="1"/>
                <w:szCs w:val="1"/>
                <w:color w:val="auto"/>
              </w:rPr>
            </w:pPr>
          </w:p>
        </w:tc>
      </w:tr>
      <w:tr>
        <w:trPr>
          <w:trHeight w:val="218"/>
        </w:trPr>
        <w:tc>
          <w:tcPr>
            <w:tcW w:w="372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proved reserves at December 31, 2023</w:t>
            </w:r>
          </w:p>
        </w:tc>
        <w:tc>
          <w:tcPr>
            <w:tcW w:w="840" w:type="dxa"/>
            <w:vAlign w:val="bottom"/>
            <w:tcBorders>
              <w:bottom w:val="single" w:sz="8" w:color="0C479D"/>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12,320</w:t>
            </w:r>
          </w:p>
        </w:tc>
        <w:tc>
          <w:tcPr>
            <w:tcW w:w="900" w:type="dxa"/>
            <w:vAlign w:val="bottom"/>
            <w:tcBorders>
              <w:bottom w:val="single" w:sz="8" w:color="0C479D"/>
            </w:tcBorders>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520</w:t>
            </w:r>
          </w:p>
        </w:tc>
        <w:tc>
          <w:tcPr>
            <w:tcW w:w="76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651</w:t>
            </w:r>
          </w:p>
        </w:tc>
        <w:tc>
          <w:tcPr>
            <w:tcW w:w="1100" w:type="dxa"/>
            <w:vAlign w:val="bottom"/>
            <w:tcBorders>
              <w:bottom w:val="single" w:sz="8" w:color="0C479D"/>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1,000</w:t>
            </w:r>
          </w:p>
        </w:tc>
        <w:tc>
          <w:tcPr>
            <w:tcW w:w="620" w:type="dxa"/>
            <w:vAlign w:val="bottom"/>
            <w:tcBorders>
              <w:bottom w:val="single" w:sz="8" w:color="0C479D"/>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14,115</w:t>
            </w:r>
          </w:p>
        </w:tc>
        <w:tc>
          <w:tcPr>
            <w:tcW w:w="940" w:type="dxa"/>
            <w:vAlign w:val="bottom"/>
            <w:tcBorders>
              <w:bottom w:val="single" w:sz="8" w:color="0C479D"/>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5,858</w:t>
            </w:r>
          </w:p>
        </w:tc>
        <w:tc>
          <w:tcPr>
            <w:tcW w:w="7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34,464</w:t>
            </w:r>
          </w:p>
        </w:tc>
        <w:tc>
          <w:tcPr>
            <w:tcW w:w="1620" w:type="dxa"/>
            <w:vAlign w:val="bottom"/>
            <w:tcBorders>
              <w:bottom w:val="single" w:sz="8" w:color="0C479D"/>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16,928</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160" w:hanging="141"/>
        <w:spacing w:after="0"/>
        <w:tabs>
          <w:tab w:leader="none" w:pos="160" w:val="left"/>
        </w:tabs>
        <w:numPr>
          <w:ilvl w:val="0"/>
          <w:numId w:val="71"/>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Natural gas is converted to an oil-equivalent basis at six billion cubic feet per one million barrels.</w:t>
      </w:r>
    </w:p>
    <w:p>
      <w:pPr>
        <w:spacing w:after="0" w:line="29" w:lineRule="exact"/>
        <w:rPr>
          <w:rFonts w:ascii="Times New Roman" w:cs="Times New Roman" w:eastAsia="Times New Roman" w:hAnsi="Times New Roman"/>
          <w:sz w:val="9"/>
          <w:szCs w:val="9"/>
          <w:i w:val="1"/>
          <w:iCs w:val="1"/>
          <w:color w:val="auto"/>
        </w:rPr>
      </w:pPr>
    </w:p>
    <w:p>
      <w:pPr>
        <w:ind w:left="160" w:hanging="141"/>
        <w:spacing w:after="0" w:line="203" w:lineRule="auto"/>
        <w:tabs>
          <w:tab w:leader="none" w:pos="160" w:val="left"/>
        </w:tabs>
        <w:numPr>
          <w:ilvl w:val="0"/>
          <w:numId w:val="71"/>
        </w:numPr>
        <w:rPr>
          <w:rFonts w:ascii="Times New Roman" w:cs="Times New Roman" w:eastAsia="Times New Roman" w:hAnsi="Times New Roman"/>
          <w:sz w:val="18"/>
          <w:szCs w:val="18"/>
          <w:i w:val="1"/>
          <w:iCs w:val="1"/>
          <w:color w:val="auto"/>
          <w:vertAlign w:val="superscript"/>
        </w:rPr>
      </w:pPr>
      <w:r>
        <w:rPr>
          <w:rFonts w:ascii="Times New Roman" w:cs="Times New Roman" w:eastAsia="Times New Roman" w:hAnsi="Times New Roman"/>
          <w:sz w:val="14"/>
          <w:szCs w:val="14"/>
          <w:i w:val="1"/>
          <w:iCs w:val="1"/>
          <w:color w:val="auto"/>
        </w:rPr>
        <w:t xml:space="preserve">Includes (199) billion cubic feet of natural gas and (152) million total oil-equivalent barrels in Russia which were expropriated. See </w:t>
      </w:r>
      <w:r>
        <w:rPr>
          <w:rFonts w:ascii="Times New Roman" w:cs="Times New Roman" w:eastAsia="Times New Roman" w:hAnsi="Times New Roman"/>
          <w:sz w:val="14"/>
          <w:szCs w:val="14"/>
          <w:i w:val="1"/>
          <w:iCs w:val="1"/>
          <w:color w:val="0000FF"/>
        </w:rPr>
        <w:t>Note 2</w:t>
      </w:r>
      <w:r>
        <w:rPr>
          <w:rFonts w:ascii="Times New Roman" w:cs="Times New Roman" w:eastAsia="Times New Roman" w:hAnsi="Times New Roman"/>
          <w:sz w:val="14"/>
          <w:szCs w:val="14"/>
          <w:i w:val="1"/>
          <w:iCs w:val="1"/>
          <w:color w:val="auto"/>
        </w:rPr>
        <w:t>.</w:t>
      </w:r>
    </w:p>
    <w:p>
      <w:pPr>
        <w:sectPr>
          <w:pgSz w:w="11900" w:h="16838" w:orient="portrait"/>
          <w:cols w:equalWidth="0" w:num="1">
            <w:col w:w="11200"/>
          </w:cols>
          <w:pgMar w:left="340" w:top="1001" w:right="35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01" w:right="359" w:bottom="1440" w:gutter="0" w:footer="0" w:header="0"/>
          <w:type w:val="continuous"/>
        </w:sectPr>
      </w:pPr>
    </w:p>
    <w:bookmarkStart w:id="131" w:name="page132"/>
    <w:bookmarkEnd w:id="131"/>
    <w:p>
      <w:pPr>
        <w:ind w:left="20"/>
        <w:spacing w:after="0"/>
        <w:rPr>
          <w:sz w:val="20"/>
          <w:szCs w:val="20"/>
          <w:color w:val="auto"/>
        </w:rPr>
      </w:pPr>
      <w:r>
        <w:rPr>
          <w:rFonts w:ascii="Times New Roman" w:cs="Times New Roman" w:eastAsia="Times New Roman" w:hAnsi="Times New Roman"/>
          <w:sz w:val="16"/>
          <w:szCs w:val="16"/>
          <w:b w:val="1"/>
          <w:bCs w:val="1"/>
          <w:color w:val="0C479D"/>
        </w:rPr>
        <w:t>Natural Gas and Oil-Equivalent Proved Reserves (continued)</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shd w:val="clear" w:color="auto" w:fill="0C479D"/>
          </w:tcPr>
          <w:p>
            <w:pPr>
              <w:spacing w:after="0"/>
              <w:rPr>
                <w:sz w:val="13"/>
                <w:szCs w:val="13"/>
                <w:color w:val="auto"/>
              </w:rPr>
            </w:pPr>
          </w:p>
        </w:tc>
        <w:tc>
          <w:tcPr>
            <w:tcW w:w="860" w:type="dxa"/>
            <w:vAlign w:val="bottom"/>
            <w:shd w:val="clear" w:color="auto" w:fill="0C479D"/>
          </w:tcPr>
          <w:p>
            <w:pPr>
              <w:spacing w:after="0"/>
              <w:rPr>
                <w:sz w:val="13"/>
                <w:szCs w:val="13"/>
                <w:color w:val="auto"/>
              </w:rPr>
            </w:pPr>
          </w:p>
        </w:tc>
        <w:tc>
          <w:tcPr>
            <w:tcW w:w="900" w:type="dxa"/>
            <w:vAlign w:val="bottom"/>
            <w:shd w:val="clear" w:color="auto" w:fill="0C479D"/>
          </w:tcPr>
          <w:p>
            <w:pPr>
              <w:spacing w:after="0"/>
              <w:rPr>
                <w:sz w:val="13"/>
                <w:szCs w:val="13"/>
                <w:color w:val="auto"/>
              </w:rPr>
            </w:pPr>
          </w:p>
        </w:tc>
        <w:tc>
          <w:tcPr>
            <w:tcW w:w="740" w:type="dxa"/>
            <w:vAlign w:val="bottom"/>
            <w:shd w:val="clear" w:color="auto" w:fill="0C479D"/>
          </w:tcPr>
          <w:p>
            <w:pPr>
              <w:spacing w:after="0"/>
              <w:rPr>
                <w:sz w:val="13"/>
                <w:szCs w:val="13"/>
                <w:color w:val="auto"/>
              </w:rPr>
            </w:pPr>
          </w:p>
        </w:tc>
        <w:tc>
          <w:tcPr>
            <w:tcW w:w="1100" w:type="dxa"/>
            <w:vAlign w:val="bottom"/>
            <w:vMerge w:val="restart"/>
            <w:shd w:val="clear" w:color="auto" w:fill="0C479D"/>
          </w:tcPr>
          <w:p>
            <w:pPr>
              <w:jc w:val="center"/>
              <w:ind w:right="140"/>
              <w:spacing w:after="0"/>
              <w:rPr>
                <w:sz w:val="20"/>
                <w:szCs w:val="20"/>
                <w:color w:val="auto"/>
              </w:rPr>
            </w:pPr>
            <w:r>
              <w:rPr>
                <w:rFonts w:ascii="Times New Roman" w:cs="Times New Roman" w:eastAsia="Times New Roman" w:hAnsi="Times New Roman"/>
                <w:sz w:val="14"/>
                <w:szCs w:val="14"/>
                <w:b w:val="1"/>
                <w:bCs w:val="1"/>
                <w:color w:val="FFFFFF"/>
              </w:rPr>
              <w:t>Natural Gas</w:t>
            </w:r>
          </w:p>
        </w:tc>
        <w:tc>
          <w:tcPr>
            <w:tcW w:w="620" w:type="dxa"/>
            <w:vAlign w:val="bottom"/>
            <w:shd w:val="clear" w:color="auto" w:fill="0C479D"/>
          </w:tcPr>
          <w:p>
            <w:pPr>
              <w:spacing w:after="0"/>
              <w:rPr>
                <w:sz w:val="13"/>
                <w:szCs w:val="13"/>
                <w:color w:val="auto"/>
              </w:rPr>
            </w:pPr>
          </w:p>
        </w:tc>
        <w:tc>
          <w:tcPr>
            <w:tcW w:w="940" w:type="dxa"/>
            <w:vAlign w:val="bottom"/>
            <w:shd w:val="clear" w:color="auto" w:fill="0C479D"/>
          </w:tcPr>
          <w:p>
            <w:pPr>
              <w:spacing w:after="0"/>
              <w:rPr>
                <w:sz w:val="13"/>
                <w:szCs w:val="13"/>
                <w:color w:val="auto"/>
              </w:rPr>
            </w:pPr>
          </w:p>
        </w:tc>
        <w:tc>
          <w:tcPr>
            <w:tcW w:w="720" w:type="dxa"/>
            <w:vAlign w:val="bottom"/>
            <w:shd w:val="clear" w:color="auto" w:fill="0C479D"/>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Oil-Equivalent</w:t>
            </w:r>
          </w:p>
        </w:tc>
        <w:tc>
          <w:tcPr>
            <w:tcW w:w="0" w:type="dxa"/>
            <w:vAlign w:val="bottom"/>
          </w:tcPr>
          <w:p>
            <w:pPr>
              <w:spacing w:after="0"/>
              <w:rPr>
                <w:sz w:val="1"/>
                <w:szCs w:val="1"/>
                <w:color w:val="auto"/>
              </w:rPr>
            </w:pPr>
          </w:p>
        </w:tc>
      </w:tr>
      <w:tr>
        <w:trPr>
          <w:trHeight w:val="68"/>
        </w:trPr>
        <w:tc>
          <w:tcPr>
            <w:tcW w:w="3720" w:type="dxa"/>
            <w:vAlign w:val="bottom"/>
            <w:shd w:val="clear" w:color="auto" w:fill="0C479D"/>
          </w:tcPr>
          <w:p>
            <w:pPr>
              <w:spacing w:after="0"/>
              <w:rPr>
                <w:sz w:val="5"/>
                <w:szCs w:val="5"/>
                <w:color w:val="auto"/>
              </w:rPr>
            </w:pPr>
          </w:p>
        </w:tc>
        <w:tc>
          <w:tcPr>
            <w:tcW w:w="860" w:type="dxa"/>
            <w:vAlign w:val="bottom"/>
            <w:shd w:val="clear" w:color="auto" w:fill="0C479D"/>
          </w:tcPr>
          <w:p>
            <w:pPr>
              <w:spacing w:after="0"/>
              <w:rPr>
                <w:sz w:val="5"/>
                <w:szCs w:val="5"/>
                <w:color w:val="auto"/>
              </w:rPr>
            </w:pPr>
          </w:p>
        </w:tc>
        <w:tc>
          <w:tcPr>
            <w:tcW w:w="900" w:type="dxa"/>
            <w:vAlign w:val="bottom"/>
            <w:shd w:val="clear" w:color="auto" w:fill="0C479D"/>
          </w:tcPr>
          <w:p>
            <w:pPr>
              <w:spacing w:after="0"/>
              <w:rPr>
                <w:sz w:val="5"/>
                <w:szCs w:val="5"/>
                <w:color w:val="auto"/>
              </w:rPr>
            </w:pPr>
          </w:p>
        </w:tc>
        <w:tc>
          <w:tcPr>
            <w:tcW w:w="740" w:type="dxa"/>
            <w:vAlign w:val="bottom"/>
            <w:shd w:val="clear" w:color="auto" w:fill="0C479D"/>
          </w:tcPr>
          <w:p>
            <w:pPr>
              <w:spacing w:after="0"/>
              <w:rPr>
                <w:sz w:val="5"/>
                <w:szCs w:val="5"/>
                <w:color w:val="auto"/>
              </w:rPr>
            </w:pPr>
          </w:p>
        </w:tc>
        <w:tc>
          <w:tcPr>
            <w:tcW w:w="1100" w:type="dxa"/>
            <w:vAlign w:val="bottom"/>
            <w:vMerge w:val="continue"/>
            <w:shd w:val="clear" w:color="auto" w:fill="0C479D"/>
          </w:tcPr>
          <w:p>
            <w:pPr>
              <w:spacing w:after="0"/>
              <w:rPr>
                <w:sz w:val="5"/>
                <w:szCs w:val="5"/>
                <w:color w:val="auto"/>
              </w:rPr>
            </w:pPr>
          </w:p>
        </w:tc>
        <w:tc>
          <w:tcPr>
            <w:tcW w:w="620" w:type="dxa"/>
            <w:vAlign w:val="bottom"/>
            <w:shd w:val="clear" w:color="auto" w:fill="0C479D"/>
          </w:tcPr>
          <w:p>
            <w:pPr>
              <w:spacing w:after="0"/>
              <w:rPr>
                <w:sz w:val="5"/>
                <w:szCs w:val="5"/>
                <w:color w:val="auto"/>
              </w:rPr>
            </w:pPr>
          </w:p>
        </w:tc>
        <w:tc>
          <w:tcPr>
            <w:tcW w:w="940" w:type="dxa"/>
            <w:vAlign w:val="bottom"/>
            <w:shd w:val="clear" w:color="auto" w:fill="0C479D"/>
          </w:tcPr>
          <w:p>
            <w:pPr>
              <w:spacing w:after="0"/>
              <w:rPr>
                <w:sz w:val="5"/>
                <w:szCs w:val="5"/>
                <w:color w:val="auto"/>
              </w:rPr>
            </w:pPr>
          </w:p>
        </w:tc>
        <w:tc>
          <w:tcPr>
            <w:tcW w:w="720" w:type="dxa"/>
            <w:vAlign w:val="bottom"/>
            <w:shd w:val="clear" w:color="auto" w:fill="0C479D"/>
          </w:tcPr>
          <w:p>
            <w:pPr>
              <w:spacing w:after="0"/>
              <w:rPr>
                <w:sz w:val="5"/>
                <w:szCs w:val="5"/>
                <w:color w:val="auto"/>
              </w:rPr>
            </w:pPr>
          </w:p>
        </w:tc>
        <w:tc>
          <w:tcPr>
            <w:tcW w:w="80" w:type="dxa"/>
            <w:vAlign w:val="bottom"/>
          </w:tcPr>
          <w:p>
            <w:pPr>
              <w:spacing w:after="0"/>
              <w:rPr>
                <w:sz w:val="5"/>
                <w:szCs w:val="5"/>
                <w:color w:val="auto"/>
              </w:rPr>
            </w:pPr>
          </w:p>
        </w:tc>
        <w:tc>
          <w:tcPr>
            <w:tcW w:w="1520" w:type="dxa"/>
            <w:vAlign w:val="bottom"/>
            <w:vMerge w:val="restart"/>
            <w:shd w:val="clear" w:color="auto" w:fill="0C479D"/>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FFFFFF"/>
              </w:rPr>
              <w:t>Total</w:t>
            </w:r>
          </w:p>
        </w:tc>
        <w:tc>
          <w:tcPr>
            <w:tcW w:w="0" w:type="dxa"/>
            <w:vAlign w:val="bottom"/>
          </w:tcPr>
          <w:p>
            <w:pPr>
              <w:spacing w:after="0"/>
              <w:rPr>
                <w:sz w:val="1"/>
                <w:szCs w:val="1"/>
                <w:color w:val="auto"/>
              </w:rPr>
            </w:pPr>
          </w:p>
        </w:tc>
      </w:tr>
      <w:tr>
        <w:trPr>
          <w:trHeight w:val="79"/>
        </w:trPr>
        <w:tc>
          <w:tcPr>
            <w:tcW w:w="3720" w:type="dxa"/>
            <w:vAlign w:val="bottom"/>
            <w:shd w:val="clear" w:color="auto" w:fill="0C479D"/>
          </w:tcPr>
          <w:p>
            <w:pPr>
              <w:spacing w:after="0"/>
              <w:rPr>
                <w:sz w:val="6"/>
                <w:szCs w:val="6"/>
                <w:color w:val="auto"/>
              </w:rPr>
            </w:pPr>
          </w:p>
        </w:tc>
        <w:tc>
          <w:tcPr>
            <w:tcW w:w="860" w:type="dxa"/>
            <w:vAlign w:val="bottom"/>
            <w:shd w:val="clear" w:color="auto" w:fill="0C479D"/>
          </w:tcPr>
          <w:p>
            <w:pPr>
              <w:spacing w:after="0"/>
              <w:rPr>
                <w:sz w:val="6"/>
                <w:szCs w:val="6"/>
                <w:color w:val="auto"/>
              </w:rPr>
            </w:pPr>
          </w:p>
        </w:tc>
        <w:tc>
          <w:tcPr>
            <w:tcW w:w="900" w:type="dxa"/>
            <w:vAlign w:val="bottom"/>
            <w:shd w:val="clear" w:color="auto" w:fill="0C479D"/>
          </w:tcPr>
          <w:p>
            <w:pPr>
              <w:spacing w:after="0"/>
              <w:rPr>
                <w:sz w:val="6"/>
                <w:szCs w:val="6"/>
                <w:color w:val="auto"/>
              </w:rPr>
            </w:pPr>
          </w:p>
        </w:tc>
        <w:tc>
          <w:tcPr>
            <w:tcW w:w="1840" w:type="dxa"/>
            <w:vAlign w:val="bottom"/>
            <w:gridSpan w:val="2"/>
            <w:vMerge w:val="restart"/>
            <w:shd w:val="clear" w:color="auto" w:fill="0C479D"/>
          </w:tcPr>
          <w:p>
            <w:pPr>
              <w:jc w:val="center"/>
              <w:ind w:left="460"/>
              <w:spacing w:after="0"/>
              <w:rPr>
                <w:sz w:val="20"/>
                <w:szCs w:val="20"/>
                <w:color w:val="auto"/>
              </w:rPr>
            </w:pPr>
            <w:r>
              <w:rPr>
                <w:rFonts w:ascii="Times New Roman" w:cs="Times New Roman" w:eastAsia="Times New Roman" w:hAnsi="Times New Roman"/>
                <w:sz w:val="14"/>
                <w:szCs w:val="14"/>
                <w:i w:val="1"/>
                <w:iCs w:val="1"/>
                <w:color w:val="FFFFFF"/>
              </w:rPr>
              <w:t>(billions of cubic feet)</w:t>
            </w:r>
          </w:p>
        </w:tc>
        <w:tc>
          <w:tcPr>
            <w:tcW w:w="620" w:type="dxa"/>
            <w:vAlign w:val="bottom"/>
            <w:shd w:val="clear" w:color="auto" w:fill="0C479D"/>
          </w:tcPr>
          <w:p>
            <w:pPr>
              <w:spacing w:after="0"/>
              <w:rPr>
                <w:sz w:val="6"/>
                <w:szCs w:val="6"/>
                <w:color w:val="auto"/>
              </w:rPr>
            </w:pPr>
          </w:p>
        </w:tc>
        <w:tc>
          <w:tcPr>
            <w:tcW w:w="940" w:type="dxa"/>
            <w:vAlign w:val="bottom"/>
            <w:shd w:val="clear" w:color="auto" w:fill="0C479D"/>
          </w:tcPr>
          <w:p>
            <w:pPr>
              <w:spacing w:after="0"/>
              <w:rPr>
                <w:sz w:val="6"/>
                <w:szCs w:val="6"/>
                <w:color w:val="auto"/>
              </w:rPr>
            </w:pPr>
          </w:p>
        </w:tc>
        <w:tc>
          <w:tcPr>
            <w:tcW w:w="720" w:type="dxa"/>
            <w:vAlign w:val="bottom"/>
            <w:shd w:val="clear" w:color="auto" w:fill="0C479D"/>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vMerge w:val="continue"/>
            <w:shd w:val="clear" w:color="auto" w:fill="0C479D"/>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3720" w:type="dxa"/>
            <w:vAlign w:val="bottom"/>
            <w:shd w:val="clear" w:color="auto" w:fill="0C479D"/>
          </w:tcPr>
          <w:p>
            <w:pPr>
              <w:spacing w:after="0"/>
              <w:rPr>
                <w:sz w:val="16"/>
                <w:szCs w:val="16"/>
                <w:color w:val="auto"/>
              </w:rPr>
            </w:pPr>
          </w:p>
        </w:tc>
        <w:tc>
          <w:tcPr>
            <w:tcW w:w="860" w:type="dxa"/>
            <w:vAlign w:val="bottom"/>
            <w:shd w:val="clear" w:color="auto" w:fill="0C479D"/>
          </w:tcPr>
          <w:p>
            <w:pPr>
              <w:spacing w:after="0"/>
              <w:rPr>
                <w:sz w:val="16"/>
                <w:szCs w:val="16"/>
                <w:color w:val="auto"/>
              </w:rPr>
            </w:pPr>
          </w:p>
        </w:tc>
        <w:tc>
          <w:tcPr>
            <w:tcW w:w="900" w:type="dxa"/>
            <w:vAlign w:val="bottom"/>
            <w:shd w:val="clear" w:color="auto" w:fill="0C479D"/>
          </w:tcPr>
          <w:p>
            <w:pPr>
              <w:spacing w:after="0"/>
              <w:rPr>
                <w:sz w:val="16"/>
                <w:szCs w:val="16"/>
                <w:color w:val="auto"/>
              </w:rPr>
            </w:pPr>
          </w:p>
        </w:tc>
        <w:tc>
          <w:tcPr>
            <w:tcW w:w="1840" w:type="dxa"/>
            <w:vAlign w:val="bottom"/>
            <w:gridSpan w:val="2"/>
            <w:vMerge w:val="continue"/>
            <w:shd w:val="clear" w:color="auto" w:fill="0C479D"/>
          </w:tcPr>
          <w:p>
            <w:pPr>
              <w:spacing w:after="0"/>
              <w:rPr>
                <w:sz w:val="16"/>
                <w:szCs w:val="16"/>
                <w:color w:val="auto"/>
              </w:rPr>
            </w:pPr>
          </w:p>
        </w:tc>
        <w:tc>
          <w:tcPr>
            <w:tcW w:w="620" w:type="dxa"/>
            <w:vAlign w:val="bottom"/>
            <w:shd w:val="clear" w:color="auto" w:fill="0C479D"/>
          </w:tcPr>
          <w:p>
            <w:pPr>
              <w:spacing w:after="0"/>
              <w:rPr>
                <w:sz w:val="16"/>
                <w:szCs w:val="16"/>
                <w:color w:val="auto"/>
              </w:rPr>
            </w:pPr>
          </w:p>
        </w:tc>
        <w:tc>
          <w:tcPr>
            <w:tcW w:w="940" w:type="dxa"/>
            <w:vAlign w:val="bottom"/>
            <w:shd w:val="clear" w:color="auto" w:fill="0C479D"/>
          </w:tcPr>
          <w:p>
            <w:pPr>
              <w:spacing w:after="0"/>
              <w:rPr>
                <w:sz w:val="16"/>
                <w:szCs w:val="16"/>
                <w:color w:val="auto"/>
              </w:rPr>
            </w:pPr>
          </w:p>
        </w:tc>
        <w:tc>
          <w:tcPr>
            <w:tcW w:w="720" w:type="dxa"/>
            <w:vAlign w:val="bottom"/>
            <w:shd w:val="clear" w:color="auto" w:fill="0C479D"/>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shd w:val="clear" w:color="auto" w:fill="0C479D"/>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FFFFFF"/>
                <w:w w:val="99"/>
              </w:rPr>
              <w:t xml:space="preserve">All Products </w:t>
            </w:r>
            <w:r>
              <w:rPr>
                <w:rFonts w:ascii="Times New Roman" w:cs="Times New Roman" w:eastAsia="Times New Roman" w:hAnsi="Times New Roman"/>
                <w:sz w:val="18"/>
                <w:szCs w:val="18"/>
                <w:b w:val="1"/>
                <w:bCs w:val="1"/>
                <w:i w:val="1"/>
                <w:iCs w:val="1"/>
                <w:color w:val="FFFFFF"/>
                <w:w w:val="99"/>
                <w:vertAlign w:val="superscript"/>
              </w:rPr>
              <w:t>(1)</w:t>
            </w:r>
          </w:p>
        </w:tc>
        <w:tc>
          <w:tcPr>
            <w:tcW w:w="0" w:type="dxa"/>
            <w:vAlign w:val="bottom"/>
          </w:tcPr>
          <w:p>
            <w:pPr>
              <w:spacing w:after="0"/>
              <w:rPr>
                <w:sz w:val="1"/>
                <w:szCs w:val="1"/>
                <w:color w:val="auto"/>
              </w:rPr>
            </w:pPr>
          </w:p>
        </w:tc>
      </w:tr>
      <w:tr>
        <w:trPr>
          <w:trHeight w:val="193"/>
        </w:trPr>
        <w:tc>
          <w:tcPr>
            <w:tcW w:w="3720" w:type="dxa"/>
            <w:vAlign w:val="bottom"/>
            <w:shd w:val="clear" w:color="auto" w:fill="0C479D"/>
          </w:tcPr>
          <w:p>
            <w:pPr>
              <w:spacing w:after="0"/>
              <w:rPr>
                <w:sz w:val="16"/>
                <w:szCs w:val="16"/>
                <w:color w:val="auto"/>
              </w:rPr>
            </w:pPr>
          </w:p>
        </w:tc>
        <w:tc>
          <w:tcPr>
            <w:tcW w:w="860" w:type="dxa"/>
            <w:vAlign w:val="bottom"/>
            <w:vMerge w:val="restart"/>
            <w:shd w:val="clear" w:color="auto" w:fill="0C479D"/>
          </w:tcPr>
          <w:p>
            <w:pPr>
              <w:jc w:val="right"/>
              <w:ind w:right="200"/>
              <w:spacing w:after="0"/>
              <w:rPr>
                <w:sz w:val="20"/>
                <w:szCs w:val="20"/>
                <w:color w:val="auto"/>
              </w:rPr>
            </w:pPr>
            <w:r>
              <w:rPr>
                <w:rFonts w:ascii="Times New Roman" w:cs="Times New Roman" w:eastAsia="Times New Roman" w:hAnsi="Times New Roman"/>
                <w:sz w:val="14"/>
                <w:szCs w:val="14"/>
                <w:color w:val="FFFFFF"/>
              </w:rPr>
              <w:t>United</w:t>
            </w:r>
          </w:p>
        </w:tc>
        <w:tc>
          <w:tcPr>
            <w:tcW w:w="900" w:type="dxa"/>
            <w:vAlign w:val="bottom"/>
            <w:shd w:val="clear" w:color="auto" w:fill="0C479D"/>
          </w:tcPr>
          <w:p>
            <w:pPr>
              <w:jc w:val="center"/>
              <w:ind w:right="61"/>
              <w:spacing w:after="0"/>
              <w:rPr>
                <w:sz w:val="20"/>
                <w:szCs w:val="20"/>
                <w:color w:val="auto"/>
              </w:rPr>
            </w:pPr>
            <w:r>
              <w:rPr>
                <w:rFonts w:ascii="Times New Roman" w:cs="Times New Roman" w:eastAsia="Times New Roman" w:hAnsi="Times New Roman"/>
                <w:sz w:val="14"/>
                <w:szCs w:val="14"/>
                <w:color w:val="FFFFFF"/>
              </w:rPr>
              <w:t>Canada/</w:t>
            </w:r>
          </w:p>
        </w:tc>
        <w:tc>
          <w:tcPr>
            <w:tcW w:w="740" w:type="dxa"/>
            <w:vAlign w:val="bottom"/>
            <w:shd w:val="clear" w:color="auto" w:fill="0C479D"/>
          </w:tcPr>
          <w:p>
            <w:pPr>
              <w:spacing w:after="0"/>
              <w:rPr>
                <w:sz w:val="16"/>
                <w:szCs w:val="16"/>
                <w:color w:val="auto"/>
              </w:rPr>
            </w:pPr>
          </w:p>
        </w:tc>
        <w:tc>
          <w:tcPr>
            <w:tcW w:w="1100" w:type="dxa"/>
            <w:vAlign w:val="bottom"/>
            <w:shd w:val="clear" w:color="auto" w:fill="0C479D"/>
          </w:tcPr>
          <w:p>
            <w:pPr>
              <w:spacing w:after="0"/>
              <w:rPr>
                <w:sz w:val="16"/>
                <w:szCs w:val="16"/>
                <w:color w:val="auto"/>
              </w:rPr>
            </w:pPr>
          </w:p>
        </w:tc>
        <w:tc>
          <w:tcPr>
            <w:tcW w:w="620" w:type="dxa"/>
            <w:vAlign w:val="bottom"/>
            <w:shd w:val="clear" w:color="auto" w:fill="0C479D"/>
          </w:tcPr>
          <w:p>
            <w:pPr>
              <w:spacing w:after="0"/>
              <w:rPr>
                <w:sz w:val="16"/>
                <w:szCs w:val="16"/>
                <w:color w:val="auto"/>
              </w:rPr>
            </w:pPr>
          </w:p>
        </w:tc>
        <w:tc>
          <w:tcPr>
            <w:tcW w:w="940" w:type="dxa"/>
            <w:vAlign w:val="bottom"/>
            <w:vMerge w:val="restart"/>
            <w:shd w:val="clear" w:color="auto" w:fill="0C479D"/>
          </w:tcPr>
          <w:p>
            <w:pPr>
              <w:jc w:val="right"/>
              <w:ind w:right="180"/>
              <w:spacing w:after="0"/>
              <w:rPr>
                <w:sz w:val="20"/>
                <w:szCs w:val="20"/>
                <w:color w:val="auto"/>
              </w:rPr>
            </w:pPr>
            <w:r>
              <w:rPr>
                <w:rFonts w:ascii="Times New Roman" w:cs="Times New Roman" w:eastAsia="Times New Roman" w:hAnsi="Times New Roman"/>
                <w:sz w:val="14"/>
                <w:szCs w:val="14"/>
                <w:color w:val="FFFFFF"/>
              </w:rPr>
              <w:t>Australia/</w:t>
            </w:r>
          </w:p>
        </w:tc>
        <w:tc>
          <w:tcPr>
            <w:tcW w:w="720" w:type="dxa"/>
            <w:vAlign w:val="bottom"/>
            <w:shd w:val="clear" w:color="auto" w:fill="0C479D"/>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vMerge w:val="restart"/>
            <w:shd w:val="clear" w:color="auto" w:fill="0C479D"/>
          </w:tcPr>
          <w:p>
            <w:pPr>
              <w:jc w:val="center"/>
              <w:spacing w:after="0"/>
              <w:rPr>
                <w:sz w:val="20"/>
                <w:szCs w:val="20"/>
                <w:color w:val="auto"/>
              </w:rPr>
            </w:pPr>
            <w:r>
              <w:rPr>
                <w:rFonts w:ascii="Times New Roman" w:cs="Times New Roman" w:eastAsia="Times New Roman" w:hAnsi="Times New Roman"/>
                <w:sz w:val="14"/>
                <w:szCs w:val="14"/>
                <w:i w:val="1"/>
                <w:iCs w:val="1"/>
                <w:color w:val="FFFFFF"/>
              </w:rPr>
              <w:t>(millions of oil-</w:t>
            </w:r>
          </w:p>
        </w:tc>
        <w:tc>
          <w:tcPr>
            <w:tcW w:w="0" w:type="dxa"/>
            <w:vAlign w:val="bottom"/>
          </w:tcPr>
          <w:p>
            <w:pPr>
              <w:spacing w:after="0"/>
              <w:rPr>
                <w:sz w:val="1"/>
                <w:szCs w:val="1"/>
                <w:color w:val="auto"/>
              </w:rPr>
            </w:pPr>
          </w:p>
        </w:tc>
      </w:tr>
      <w:tr>
        <w:trPr>
          <w:trHeight w:val="146"/>
        </w:trPr>
        <w:tc>
          <w:tcPr>
            <w:tcW w:w="3720" w:type="dxa"/>
            <w:vAlign w:val="bottom"/>
            <w:shd w:val="clear" w:color="auto" w:fill="0C479D"/>
          </w:tcPr>
          <w:p>
            <w:pPr>
              <w:spacing w:after="0"/>
              <w:rPr>
                <w:sz w:val="12"/>
                <w:szCs w:val="12"/>
                <w:color w:val="auto"/>
              </w:rPr>
            </w:pPr>
          </w:p>
        </w:tc>
        <w:tc>
          <w:tcPr>
            <w:tcW w:w="860" w:type="dxa"/>
            <w:vAlign w:val="bottom"/>
            <w:vMerge w:val="continue"/>
            <w:shd w:val="clear" w:color="auto" w:fill="0C479D"/>
          </w:tcPr>
          <w:p>
            <w:pPr>
              <w:spacing w:after="0"/>
              <w:rPr>
                <w:sz w:val="12"/>
                <w:szCs w:val="12"/>
                <w:color w:val="auto"/>
              </w:rPr>
            </w:pPr>
          </w:p>
        </w:tc>
        <w:tc>
          <w:tcPr>
            <w:tcW w:w="900" w:type="dxa"/>
            <w:vAlign w:val="bottom"/>
            <w:shd w:val="clear" w:color="auto" w:fill="0C479D"/>
          </w:tcPr>
          <w:p>
            <w:pPr>
              <w:jc w:val="center"/>
              <w:ind w:right="61"/>
              <w:spacing w:after="0" w:line="147" w:lineRule="exact"/>
              <w:rPr>
                <w:sz w:val="20"/>
                <w:szCs w:val="20"/>
                <w:color w:val="auto"/>
              </w:rPr>
            </w:pPr>
            <w:r>
              <w:rPr>
                <w:rFonts w:ascii="Times New Roman" w:cs="Times New Roman" w:eastAsia="Times New Roman" w:hAnsi="Times New Roman"/>
                <w:sz w:val="14"/>
                <w:szCs w:val="14"/>
                <w:color w:val="FFFFFF"/>
              </w:rPr>
              <w:t>Other</w:t>
            </w:r>
          </w:p>
        </w:tc>
        <w:tc>
          <w:tcPr>
            <w:tcW w:w="740" w:type="dxa"/>
            <w:vAlign w:val="bottom"/>
            <w:vMerge w:val="restart"/>
            <w:shd w:val="clear" w:color="auto" w:fill="0C479D"/>
          </w:tcPr>
          <w:p>
            <w:pPr>
              <w:jc w:val="right"/>
              <w:ind w:right="120"/>
              <w:spacing w:after="0"/>
              <w:rPr>
                <w:sz w:val="20"/>
                <w:szCs w:val="20"/>
                <w:color w:val="auto"/>
              </w:rPr>
            </w:pPr>
            <w:r>
              <w:rPr>
                <w:rFonts w:ascii="Times New Roman" w:cs="Times New Roman" w:eastAsia="Times New Roman" w:hAnsi="Times New Roman"/>
                <w:sz w:val="14"/>
                <w:szCs w:val="14"/>
                <w:color w:val="FFFFFF"/>
              </w:rPr>
              <w:t>Europe</w:t>
            </w:r>
          </w:p>
        </w:tc>
        <w:tc>
          <w:tcPr>
            <w:tcW w:w="1100" w:type="dxa"/>
            <w:vAlign w:val="bottom"/>
            <w:vMerge w:val="restart"/>
            <w:shd w:val="clear" w:color="auto" w:fill="0C479D"/>
          </w:tcPr>
          <w:p>
            <w:pPr>
              <w:jc w:val="center"/>
              <w:ind w:right="160"/>
              <w:spacing w:after="0"/>
              <w:rPr>
                <w:sz w:val="20"/>
                <w:szCs w:val="20"/>
                <w:color w:val="auto"/>
              </w:rPr>
            </w:pPr>
            <w:r>
              <w:rPr>
                <w:rFonts w:ascii="Times New Roman" w:cs="Times New Roman" w:eastAsia="Times New Roman" w:hAnsi="Times New Roman"/>
                <w:sz w:val="14"/>
                <w:szCs w:val="14"/>
                <w:color w:val="FFFFFF"/>
              </w:rPr>
              <w:t>Africa</w:t>
            </w:r>
          </w:p>
        </w:tc>
        <w:tc>
          <w:tcPr>
            <w:tcW w:w="620" w:type="dxa"/>
            <w:vAlign w:val="bottom"/>
            <w:vMerge w:val="restart"/>
            <w:shd w:val="clear" w:color="auto" w:fill="0C479D"/>
          </w:tcPr>
          <w:p>
            <w:pPr>
              <w:jc w:val="right"/>
              <w:ind w:right="240"/>
              <w:spacing w:after="0"/>
              <w:rPr>
                <w:sz w:val="20"/>
                <w:szCs w:val="20"/>
                <w:color w:val="auto"/>
              </w:rPr>
            </w:pPr>
            <w:r>
              <w:rPr>
                <w:rFonts w:ascii="Times New Roman" w:cs="Times New Roman" w:eastAsia="Times New Roman" w:hAnsi="Times New Roman"/>
                <w:sz w:val="14"/>
                <w:szCs w:val="14"/>
                <w:color w:val="FFFFFF"/>
              </w:rPr>
              <w:t>Asia</w:t>
            </w:r>
          </w:p>
        </w:tc>
        <w:tc>
          <w:tcPr>
            <w:tcW w:w="940" w:type="dxa"/>
            <w:vAlign w:val="bottom"/>
            <w:vMerge w:val="continue"/>
            <w:shd w:val="clear" w:color="auto" w:fill="0C479D"/>
          </w:tcPr>
          <w:p>
            <w:pPr>
              <w:spacing w:after="0"/>
              <w:rPr>
                <w:sz w:val="12"/>
                <w:szCs w:val="12"/>
                <w:color w:val="auto"/>
              </w:rPr>
            </w:pPr>
          </w:p>
        </w:tc>
        <w:tc>
          <w:tcPr>
            <w:tcW w:w="720" w:type="dxa"/>
            <w:vAlign w:val="bottom"/>
            <w:vMerge w:val="restart"/>
            <w:shd w:val="clear" w:color="auto" w:fill="0C479D"/>
          </w:tcPr>
          <w:p>
            <w:pPr>
              <w:jc w:val="right"/>
              <w:ind w:right="160"/>
              <w:spacing w:after="0"/>
              <w:rPr>
                <w:sz w:val="20"/>
                <w:szCs w:val="20"/>
                <w:color w:val="auto"/>
              </w:rPr>
            </w:pPr>
            <w:r>
              <w:rPr>
                <w:rFonts w:ascii="Times New Roman" w:cs="Times New Roman" w:eastAsia="Times New Roman" w:hAnsi="Times New Roman"/>
                <w:sz w:val="14"/>
                <w:szCs w:val="14"/>
                <w:color w:val="FFFFFF"/>
              </w:rPr>
              <w:t>Total</w:t>
            </w:r>
          </w:p>
        </w:tc>
        <w:tc>
          <w:tcPr>
            <w:tcW w:w="80" w:type="dxa"/>
            <w:vAlign w:val="bottom"/>
          </w:tcPr>
          <w:p>
            <w:pPr>
              <w:spacing w:after="0"/>
              <w:rPr>
                <w:sz w:val="12"/>
                <w:szCs w:val="12"/>
                <w:color w:val="auto"/>
              </w:rPr>
            </w:pPr>
          </w:p>
        </w:tc>
        <w:tc>
          <w:tcPr>
            <w:tcW w:w="1520" w:type="dxa"/>
            <w:vAlign w:val="bottom"/>
            <w:vMerge w:val="continue"/>
            <w:shd w:val="clear" w:color="auto" w:fill="0C479D"/>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3720" w:type="dxa"/>
            <w:vAlign w:val="bottom"/>
            <w:shd w:val="clear" w:color="auto" w:fill="0C479D"/>
          </w:tcPr>
          <w:p>
            <w:pPr>
              <w:spacing w:after="0"/>
              <w:rPr>
                <w:sz w:val="17"/>
                <w:szCs w:val="17"/>
                <w:color w:val="auto"/>
              </w:rPr>
            </w:pPr>
          </w:p>
        </w:tc>
        <w:tc>
          <w:tcPr>
            <w:tcW w:w="860" w:type="dxa"/>
            <w:vAlign w:val="bottom"/>
            <w:shd w:val="clear" w:color="auto" w:fill="0C479D"/>
          </w:tcPr>
          <w:p>
            <w:pPr>
              <w:jc w:val="right"/>
              <w:ind w:right="220"/>
              <w:spacing w:after="0"/>
              <w:rPr>
                <w:sz w:val="20"/>
                <w:szCs w:val="20"/>
                <w:color w:val="auto"/>
              </w:rPr>
            </w:pPr>
            <w:r>
              <w:rPr>
                <w:rFonts w:ascii="Times New Roman" w:cs="Times New Roman" w:eastAsia="Times New Roman" w:hAnsi="Times New Roman"/>
                <w:sz w:val="14"/>
                <w:szCs w:val="14"/>
                <w:color w:val="FFFFFF"/>
              </w:rPr>
              <w:t>States</w:t>
            </w:r>
          </w:p>
        </w:tc>
        <w:tc>
          <w:tcPr>
            <w:tcW w:w="900" w:type="dxa"/>
            <w:vAlign w:val="bottom"/>
            <w:shd w:val="clear" w:color="auto" w:fill="0C479D"/>
          </w:tcPr>
          <w:p>
            <w:pPr>
              <w:jc w:val="center"/>
              <w:ind w:right="61"/>
              <w:spacing w:after="0"/>
              <w:rPr>
                <w:sz w:val="20"/>
                <w:szCs w:val="20"/>
                <w:color w:val="auto"/>
              </w:rPr>
            </w:pPr>
            <w:r>
              <w:rPr>
                <w:rFonts w:ascii="Times New Roman" w:cs="Times New Roman" w:eastAsia="Times New Roman" w:hAnsi="Times New Roman"/>
                <w:sz w:val="14"/>
                <w:szCs w:val="14"/>
                <w:color w:val="FFFFFF"/>
              </w:rPr>
              <w:t>Americas</w:t>
            </w:r>
          </w:p>
        </w:tc>
        <w:tc>
          <w:tcPr>
            <w:tcW w:w="740" w:type="dxa"/>
            <w:vAlign w:val="bottom"/>
            <w:vMerge w:val="continue"/>
            <w:shd w:val="clear" w:color="auto" w:fill="0C479D"/>
          </w:tcPr>
          <w:p>
            <w:pPr>
              <w:spacing w:after="0"/>
              <w:rPr>
                <w:sz w:val="17"/>
                <w:szCs w:val="17"/>
                <w:color w:val="auto"/>
              </w:rPr>
            </w:pPr>
          </w:p>
        </w:tc>
        <w:tc>
          <w:tcPr>
            <w:tcW w:w="1100" w:type="dxa"/>
            <w:vAlign w:val="bottom"/>
            <w:vMerge w:val="continue"/>
            <w:shd w:val="clear" w:color="auto" w:fill="0C479D"/>
          </w:tcPr>
          <w:p>
            <w:pPr>
              <w:spacing w:after="0"/>
              <w:rPr>
                <w:sz w:val="17"/>
                <w:szCs w:val="17"/>
                <w:color w:val="auto"/>
              </w:rPr>
            </w:pPr>
          </w:p>
        </w:tc>
        <w:tc>
          <w:tcPr>
            <w:tcW w:w="620" w:type="dxa"/>
            <w:vAlign w:val="bottom"/>
            <w:vMerge w:val="continue"/>
            <w:shd w:val="clear" w:color="auto" w:fill="0C479D"/>
          </w:tcPr>
          <w:p>
            <w:pPr>
              <w:spacing w:after="0"/>
              <w:rPr>
                <w:sz w:val="17"/>
                <w:szCs w:val="17"/>
                <w:color w:val="auto"/>
              </w:rPr>
            </w:pPr>
          </w:p>
        </w:tc>
        <w:tc>
          <w:tcPr>
            <w:tcW w:w="940" w:type="dxa"/>
            <w:vAlign w:val="bottom"/>
            <w:shd w:val="clear" w:color="auto" w:fill="0C479D"/>
          </w:tcPr>
          <w:p>
            <w:pPr>
              <w:jc w:val="right"/>
              <w:ind w:right="220"/>
              <w:spacing w:after="0"/>
              <w:rPr>
                <w:sz w:val="20"/>
                <w:szCs w:val="20"/>
                <w:color w:val="auto"/>
              </w:rPr>
            </w:pPr>
            <w:r>
              <w:rPr>
                <w:rFonts w:ascii="Times New Roman" w:cs="Times New Roman" w:eastAsia="Times New Roman" w:hAnsi="Times New Roman"/>
                <w:sz w:val="14"/>
                <w:szCs w:val="14"/>
                <w:color w:val="FFFFFF"/>
              </w:rPr>
              <w:t>Oceania</w:t>
            </w:r>
          </w:p>
        </w:tc>
        <w:tc>
          <w:tcPr>
            <w:tcW w:w="720" w:type="dxa"/>
            <w:vAlign w:val="bottom"/>
            <w:vMerge w:val="continue"/>
            <w:shd w:val="clear" w:color="auto" w:fill="0C479D"/>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i w:val="1"/>
                <w:iCs w:val="1"/>
                <w:color w:val="FFFFFF"/>
              </w:rPr>
              <w:t>equivalent barrels)</w:t>
            </w:r>
          </w:p>
        </w:tc>
        <w:tc>
          <w:tcPr>
            <w:tcW w:w="0" w:type="dxa"/>
            <w:vAlign w:val="bottom"/>
          </w:tcPr>
          <w:p>
            <w:pPr>
              <w:spacing w:after="0"/>
              <w:rPr>
                <w:sz w:val="1"/>
                <w:szCs w:val="1"/>
                <w:color w:val="auto"/>
              </w:rPr>
            </w:pPr>
          </w:p>
        </w:tc>
      </w:tr>
      <w:tr>
        <w:trPr>
          <w:trHeight w:val="257"/>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0C479D"/>
              </w:rPr>
              <w:t>Net proved developed and undeveloped</w:t>
            </w:r>
          </w:p>
        </w:tc>
        <w:tc>
          <w:tcPr>
            <w:tcW w:w="8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0C479D"/>
              </w:rPr>
              <w:t>reserves of consolidated subsidiaries</w:t>
            </w: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January 1, 2024</w:t>
            </w:r>
          </w:p>
        </w:tc>
        <w:tc>
          <w:tcPr>
            <w:tcW w:w="8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12,263</w:t>
            </w:r>
          </w:p>
        </w:tc>
        <w:tc>
          <w:tcPr>
            <w:tcW w:w="90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520</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10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220</w:t>
            </w:r>
          </w:p>
        </w:tc>
        <w:tc>
          <w:tcPr>
            <w:tcW w:w="6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2,794</w:t>
            </w:r>
          </w:p>
        </w:tc>
        <w:tc>
          <w:tcPr>
            <w:tcW w:w="9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5,858</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21,962</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13,716</w:t>
            </w:r>
          </w:p>
        </w:tc>
        <w:tc>
          <w:tcPr>
            <w:tcW w:w="0" w:type="dxa"/>
            <w:vAlign w:val="bottom"/>
          </w:tcPr>
          <w:p>
            <w:pPr>
              <w:spacing w:after="0"/>
              <w:rPr>
                <w:sz w:val="1"/>
                <w:szCs w:val="1"/>
                <w:color w:val="auto"/>
              </w:rPr>
            </w:pPr>
          </w:p>
        </w:tc>
      </w:tr>
      <w:tr>
        <w:trPr>
          <w:trHeight w:val="216"/>
        </w:trPr>
        <w:tc>
          <w:tcPr>
            <w:tcW w:w="3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Revisions</w:t>
            </w: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(911)</w:t>
            </w:r>
          </w:p>
        </w:tc>
        <w:tc>
          <w:tcPr>
            <w:tcW w:w="90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22</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10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24</w:t>
            </w:r>
          </w:p>
        </w:tc>
        <w:tc>
          <w:tcPr>
            <w:tcW w:w="6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124</w:t>
            </w:r>
          </w:p>
        </w:tc>
        <w:tc>
          <w:tcPr>
            <w:tcW w:w="9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97</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0" w:type="dxa"/>
            <w:vAlign w:val="bottom"/>
          </w:tcPr>
          <w:p>
            <w:pPr>
              <w:spacing w:after="0"/>
              <w:rPr>
                <w:sz w:val="1"/>
                <w:szCs w:val="1"/>
                <w:color w:val="auto"/>
              </w:rPr>
            </w:pPr>
          </w:p>
        </w:tc>
      </w:tr>
      <w:tr>
        <w:trPr>
          <w:trHeight w:val="216"/>
        </w:trPr>
        <w:tc>
          <w:tcPr>
            <w:tcW w:w="3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Improved recovery</w:t>
            </w:r>
          </w:p>
        </w:tc>
        <w:tc>
          <w:tcPr>
            <w:tcW w:w="8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Purchases</w:t>
            </w:r>
          </w:p>
        </w:tc>
        <w:tc>
          <w:tcPr>
            <w:tcW w:w="8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4,044</w:t>
            </w:r>
          </w:p>
        </w:tc>
        <w:tc>
          <w:tcPr>
            <w:tcW w:w="90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4,044</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2,281</w:t>
            </w:r>
          </w:p>
        </w:tc>
        <w:tc>
          <w:tcPr>
            <w:tcW w:w="0" w:type="dxa"/>
            <w:vAlign w:val="bottom"/>
          </w:tcPr>
          <w:p>
            <w:pPr>
              <w:spacing w:after="0"/>
              <w:rPr>
                <w:sz w:val="1"/>
                <w:szCs w:val="1"/>
                <w:color w:val="auto"/>
              </w:rPr>
            </w:pPr>
          </w:p>
        </w:tc>
      </w:tr>
      <w:tr>
        <w:trPr>
          <w:trHeight w:val="216"/>
        </w:trPr>
        <w:tc>
          <w:tcPr>
            <w:tcW w:w="3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Sales</w:t>
            </w: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(83)</w:t>
            </w:r>
          </w:p>
        </w:tc>
        <w:tc>
          <w:tcPr>
            <w:tcW w:w="9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(10)</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rPr>
              <w:t>(105)</w:t>
            </w:r>
          </w:p>
        </w:tc>
        <w:tc>
          <w:tcPr>
            <w:tcW w:w="6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w:t>
            </w:r>
          </w:p>
        </w:tc>
        <w:tc>
          <w:tcPr>
            <w:tcW w:w="9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216"/>
        </w:trPr>
        <w:tc>
          <w:tcPr>
            <w:tcW w:w="3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Extensions/discoveries</w:t>
            </w:r>
          </w:p>
        </w:tc>
        <w:tc>
          <w:tcPr>
            <w:tcW w:w="8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2,683</w:t>
            </w:r>
          </w:p>
        </w:tc>
        <w:tc>
          <w:tcPr>
            <w:tcW w:w="90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68</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2</w:t>
            </w:r>
          </w:p>
        </w:tc>
        <w:tc>
          <w:tcPr>
            <w:tcW w:w="6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2,754</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1,915</w:t>
            </w:r>
          </w:p>
        </w:tc>
        <w:tc>
          <w:tcPr>
            <w:tcW w:w="0" w:type="dxa"/>
            <w:vAlign w:val="bottom"/>
          </w:tcPr>
          <w:p>
            <w:pPr>
              <w:spacing w:after="0"/>
              <w:rPr>
                <w:sz w:val="1"/>
                <w:szCs w:val="1"/>
                <w:color w:val="auto"/>
              </w:rPr>
            </w:pPr>
          </w:p>
        </w:tc>
      </w:tr>
      <w:tr>
        <w:trPr>
          <w:trHeight w:val="219"/>
        </w:trPr>
        <w:tc>
          <w:tcPr>
            <w:tcW w:w="3720" w:type="dxa"/>
            <w:vAlign w:val="bottom"/>
            <w:tcBorders>
              <w:bottom w:val="single" w:sz="8" w:color="0C479D"/>
            </w:tcBorders>
          </w:tcPr>
          <w:p>
            <w:pPr>
              <w:ind w:left="100"/>
              <w:spacing w:after="0"/>
              <w:rPr>
                <w:sz w:val="20"/>
                <w:szCs w:val="20"/>
                <w:color w:val="auto"/>
              </w:rPr>
            </w:pPr>
            <w:r>
              <w:rPr>
                <w:rFonts w:ascii="Times New Roman" w:cs="Times New Roman" w:eastAsia="Times New Roman" w:hAnsi="Times New Roman"/>
                <w:sz w:val="16"/>
                <w:szCs w:val="16"/>
                <w:color w:val="auto"/>
              </w:rPr>
              <w:t>Production</w:t>
            </w:r>
          </w:p>
        </w:tc>
        <w:tc>
          <w:tcPr>
            <w:tcW w:w="860" w:type="dxa"/>
            <w:vAlign w:val="bottom"/>
            <w:tcBorders>
              <w:bottom w:val="single" w:sz="8" w:color="0C479D"/>
            </w:tcBorders>
          </w:tcPr>
          <w:p>
            <w:pPr>
              <w:jc w:val="right"/>
              <w:ind w:right="40"/>
              <w:spacing w:after="0"/>
              <w:rPr>
                <w:sz w:val="20"/>
                <w:szCs w:val="20"/>
                <w:color w:val="auto"/>
              </w:rPr>
            </w:pPr>
            <w:r>
              <w:rPr>
                <w:rFonts w:ascii="Times New Roman" w:cs="Times New Roman" w:eastAsia="Times New Roman" w:hAnsi="Times New Roman"/>
                <w:sz w:val="16"/>
                <w:szCs w:val="16"/>
                <w:color w:val="auto"/>
              </w:rPr>
              <w:t>(1,153)</w:t>
            </w:r>
          </w:p>
        </w:tc>
        <w:tc>
          <w:tcPr>
            <w:tcW w:w="900" w:type="dxa"/>
            <w:vAlign w:val="bottom"/>
            <w:tcBorders>
              <w:bottom w:val="single" w:sz="8" w:color="0C479D"/>
            </w:tcBorders>
          </w:tcPr>
          <w:p>
            <w:pPr>
              <w:jc w:val="right"/>
              <w:ind w:right="61"/>
              <w:spacing w:after="0"/>
              <w:rPr>
                <w:sz w:val="20"/>
                <w:szCs w:val="20"/>
                <w:color w:val="auto"/>
              </w:rPr>
            </w:pPr>
            <w:r>
              <w:rPr>
                <w:rFonts w:ascii="Times New Roman" w:cs="Times New Roman" w:eastAsia="Times New Roman" w:hAnsi="Times New Roman"/>
                <w:sz w:val="16"/>
                <w:szCs w:val="16"/>
                <w:color w:val="auto"/>
              </w:rPr>
              <w:t>(59)</w:t>
            </w:r>
          </w:p>
        </w:tc>
        <w:tc>
          <w:tcPr>
            <w:tcW w:w="7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100" w:type="dxa"/>
            <w:vAlign w:val="bottom"/>
            <w:tcBorders>
              <w:bottom w:val="single" w:sz="8" w:color="0C479D"/>
            </w:tcBorders>
          </w:tcPr>
          <w:p>
            <w:pPr>
              <w:jc w:val="right"/>
              <w:ind w:right="240"/>
              <w:spacing w:after="0"/>
              <w:rPr>
                <w:sz w:val="20"/>
                <w:szCs w:val="20"/>
                <w:color w:val="auto"/>
              </w:rPr>
            </w:pPr>
            <w:r>
              <w:rPr>
                <w:rFonts w:ascii="Times New Roman" w:cs="Times New Roman" w:eastAsia="Times New Roman" w:hAnsi="Times New Roman"/>
                <w:sz w:val="16"/>
                <w:szCs w:val="16"/>
                <w:color w:val="auto"/>
              </w:rPr>
              <w:t>(46)</w:t>
            </w:r>
          </w:p>
        </w:tc>
        <w:tc>
          <w:tcPr>
            <w:tcW w:w="62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color w:val="auto"/>
              </w:rPr>
              <w:t>(373)</w:t>
            </w:r>
          </w:p>
        </w:tc>
        <w:tc>
          <w:tcPr>
            <w:tcW w:w="940" w:type="dxa"/>
            <w:vAlign w:val="bottom"/>
            <w:tcBorders>
              <w:bottom w:val="single" w:sz="8" w:color="0C479D"/>
            </w:tcBorders>
          </w:tcPr>
          <w:p>
            <w:pPr>
              <w:jc w:val="right"/>
              <w:ind w:right="100"/>
              <w:spacing w:after="0"/>
              <w:rPr>
                <w:sz w:val="20"/>
                <w:szCs w:val="20"/>
                <w:color w:val="auto"/>
              </w:rPr>
            </w:pPr>
            <w:r>
              <w:rPr>
                <w:rFonts w:ascii="Times New Roman" w:cs="Times New Roman" w:eastAsia="Times New Roman" w:hAnsi="Times New Roman"/>
                <w:sz w:val="16"/>
                <w:szCs w:val="16"/>
                <w:color w:val="auto"/>
              </w:rPr>
              <w:t>(477)</w:t>
            </w:r>
          </w:p>
        </w:tc>
        <w:tc>
          <w:tcPr>
            <w:tcW w:w="7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(2,207)</w:t>
            </w:r>
          </w:p>
        </w:tc>
        <w:tc>
          <w:tcPr>
            <w:tcW w:w="1600" w:type="dxa"/>
            <w:vAlign w:val="bottom"/>
            <w:tcBorders>
              <w:bottom w:val="single" w:sz="8" w:color="0C479D"/>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(1,355)</w:t>
            </w:r>
          </w:p>
        </w:tc>
        <w:tc>
          <w:tcPr>
            <w:tcW w:w="0" w:type="dxa"/>
            <w:vAlign w:val="bottom"/>
          </w:tcPr>
          <w:p>
            <w:pPr>
              <w:spacing w:after="0"/>
              <w:rPr>
                <w:sz w:val="1"/>
                <w:szCs w:val="1"/>
                <w:color w:val="auto"/>
              </w:rPr>
            </w:pPr>
          </w:p>
        </w:tc>
      </w:tr>
      <w:tr>
        <w:trPr>
          <w:trHeight w:val="211"/>
        </w:trPr>
        <w:tc>
          <w:tcPr>
            <w:tcW w:w="372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860" w:type="dxa"/>
            <w:vAlign w:val="bottom"/>
            <w:tcBorders>
              <w:bottom w:val="single" w:sz="8" w:color="0C479D"/>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16,843</w:t>
            </w:r>
          </w:p>
        </w:tc>
        <w:tc>
          <w:tcPr>
            <w:tcW w:w="900" w:type="dxa"/>
            <w:vAlign w:val="bottom"/>
            <w:tcBorders>
              <w:bottom w:val="single" w:sz="8" w:color="0C479D"/>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541</w:t>
            </w:r>
          </w:p>
        </w:tc>
        <w:tc>
          <w:tcPr>
            <w:tcW w:w="7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406</w:t>
            </w:r>
          </w:p>
        </w:tc>
        <w:tc>
          <w:tcPr>
            <w:tcW w:w="1100" w:type="dxa"/>
            <w:vAlign w:val="bottom"/>
            <w:tcBorders>
              <w:bottom w:val="single" w:sz="8" w:color="0C479D"/>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95</w:t>
            </w:r>
          </w:p>
        </w:tc>
        <w:tc>
          <w:tcPr>
            <w:tcW w:w="620" w:type="dxa"/>
            <w:vAlign w:val="bottom"/>
            <w:tcBorders>
              <w:bottom w:val="single" w:sz="8" w:color="0C479D"/>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2,540</w:t>
            </w:r>
          </w:p>
        </w:tc>
        <w:tc>
          <w:tcPr>
            <w:tcW w:w="940" w:type="dxa"/>
            <w:vAlign w:val="bottom"/>
            <w:tcBorders>
              <w:bottom w:val="single" w:sz="8" w:color="0C479D"/>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5,479</w:t>
            </w:r>
          </w:p>
        </w:tc>
        <w:tc>
          <w:tcPr>
            <w:tcW w:w="7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25,904</w:t>
            </w:r>
          </w:p>
        </w:tc>
        <w:tc>
          <w:tcPr>
            <w:tcW w:w="1600" w:type="dxa"/>
            <w:vAlign w:val="bottom"/>
            <w:tcBorders>
              <w:bottom w:val="single" w:sz="8" w:color="0C479D"/>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16,955</w:t>
            </w:r>
          </w:p>
        </w:tc>
        <w:tc>
          <w:tcPr>
            <w:tcW w:w="0" w:type="dxa"/>
            <w:vAlign w:val="bottom"/>
          </w:tcPr>
          <w:p>
            <w:pPr>
              <w:spacing w:after="0"/>
              <w:rPr>
                <w:sz w:val="1"/>
                <w:szCs w:val="1"/>
                <w:color w:val="auto"/>
              </w:rPr>
            </w:pPr>
          </w:p>
        </w:tc>
      </w:tr>
      <w:tr>
        <w:trPr>
          <w:trHeight w:val="186"/>
        </w:trPr>
        <w:tc>
          <w:tcPr>
            <w:tcW w:w="37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Attributable to noncontrolling interests</w:t>
            </w:r>
          </w:p>
        </w:tc>
        <w:tc>
          <w:tcPr>
            <w:tcW w:w="860" w:type="dxa"/>
            <w:vAlign w:val="bottom"/>
          </w:tcPr>
          <w:p>
            <w:pPr>
              <w:spacing w:after="0"/>
              <w:rPr>
                <w:sz w:val="16"/>
                <w:szCs w:val="16"/>
                <w:color w:val="auto"/>
              </w:rPr>
            </w:pPr>
          </w:p>
        </w:tc>
        <w:tc>
          <w:tcPr>
            <w:tcW w:w="900" w:type="dxa"/>
            <w:vAlign w:val="bottom"/>
          </w:tcPr>
          <w:p>
            <w:pPr>
              <w:jc w:val="right"/>
              <w:ind w:right="101"/>
              <w:spacing w:after="0"/>
              <w:rPr>
                <w:sz w:val="20"/>
                <w:szCs w:val="20"/>
                <w:color w:val="auto"/>
              </w:rPr>
            </w:pPr>
            <w:r>
              <w:rPr>
                <w:rFonts w:ascii="Times New Roman" w:cs="Times New Roman" w:eastAsia="Times New Roman" w:hAnsi="Times New Roman"/>
                <w:sz w:val="14"/>
                <w:szCs w:val="14"/>
                <w:i w:val="1"/>
                <w:iCs w:val="1"/>
                <w:color w:val="auto"/>
              </w:rPr>
              <w:t>20</w:t>
            </w:r>
          </w:p>
        </w:tc>
        <w:tc>
          <w:tcPr>
            <w:tcW w:w="7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4"/>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0C479D"/>
              </w:rPr>
              <w:t>Proportional interest in proved reserves</w:t>
            </w: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0C479D"/>
              </w:rPr>
              <w:t>of equity companies</w:t>
            </w:r>
          </w:p>
        </w:tc>
        <w:tc>
          <w:tcPr>
            <w:tcW w:w="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January 1, 2024</w:t>
            </w:r>
          </w:p>
        </w:tc>
        <w:tc>
          <w:tcPr>
            <w:tcW w:w="8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57</w:t>
            </w:r>
          </w:p>
        </w:tc>
        <w:tc>
          <w:tcPr>
            <w:tcW w:w="90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10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780</w:t>
            </w:r>
          </w:p>
        </w:tc>
        <w:tc>
          <w:tcPr>
            <w:tcW w:w="6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11,321</w:t>
            </w:r>
          </w:p>
        </w:tc>
        <w:tc>
          <w:tcPr>
            <w:tcW w:w="9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12,502</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3,212</w:t>
            </w:r>
          </w:p>
        </w:tc>
        <w:tc>
          <w:tcPr>
            <w:tcW w:w="0" w:type="dxa"/>
            <w:vAlign w:val="bottom"/>
          </w:tcPr>
          <w:p>
            <w:pPr>
              <w:spacing w:after="0"/>
              <w:rPr>
                <w:sz w:val="1"/>
                <w:szCs w:val="1"/>
                <w:color w:val="auto"/>
              </w:rPr>
            </w:pPr>
          </w:p>
        </w:tc>
      </w:tr>
      <w:tr>
        <w:trPr>
          <w:trHeight w:val="216"/>
        </w:trPr>
        <w:tc>
          <w:tcPr>
            <w:tcW w:w="3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Revisions</w:t>
            </w:r>
          </w:p>
        </w:tc>
        <w:tc>
          <w:tcPr>
            <w:tcW w:w="8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w:t>
            </w:r>
          </w:p>
        </w:tc>
        <w:tc>
          <w:tcPr>
            <w:tcW w:w="90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10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80</w:t>
            </w:r>
          </w:p>
        </w:tc>
        <w:tc>
          <w:tcPr>
            <w:tcW w:w="6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49</w:t>
            </w:r>
          </w:p>
        </w:tc>
        <w:tc>
          <w:tcPr>
            <w:tcW w:w="9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16"/>
        </w:trPr>
        <w:tc>
          <w:tcPr>
            <w:tcW w:w="3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Improved recovery</w:t>
            </w:r>
          </w:p>
        </w:tc>
        <w:tc>
          <w:tcPr>
            <w:tcW w:w="8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Purchases</w:t>
            </w:r>
          </w:p>
        </w:tc>
        <w:tc>
          <w:tcPr>
            <w:tcW w:w="8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Sales</w:t>
            </w:r>
          </w:p>
        </w:tc>
        <w:tc>
          <w:tcPr>
            <w:tcW w:w="8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37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Extensions/discoveries</w:t>
            </w:r>
          </w:p>
        </w:tc>
        <w:tc>
          <w:tcPr>
            <w:tcW w:w="86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720" w:type="dxa"/>
            <w:vAlign w:val="bottom"/>
            <w:tcBorders>
              <w:bottom w:val="single" w:sz="8" w:color="0C479D"/>
            </w:tcBorders>
          </w:tcPr>
          <w:p>
            <w:pPr>
              <w:ind w:left="100"/>
              <w:spacing w:after="0"/>
              <w:rPr>
                <w:sz w:val="20"/>
                <w:szCs w:val="20"/>
                <w:color w:val="auto"/>
              </w:rPr>
            </w:pPr>
            <w:r>
              <w:rPr>
                <w:rFonts w:ascii="Times New Roman" w:cs="Times New Roman" w:eastAsia="Times New Roman" w:hAnsi="Times New Roman"/>
                <w:sz w:val="16"/>
                <w:szCs w:val="16"/>
                <w:color w:val="auto"/>
              </w:rPr>
              <w:t>Production</w:t>
            </w:r>
          </w:p>
        </w:tc>
        <w:tc>
          <w:tcPr>
            <w:tcW w:w="860" w:type="dxa"/>
            <w:vAlign w:val="bottom"/>
            <w:tcBorders>
              <w:bottom w:val="single" w:sz="8" w:color="0C479D"/>
            </w:tcBorders>
          </w:tcPr>
          <w:p>
            <w:pPr>
              <w:jc w:val="right"/>
              <w:ind w:right="40"/>
              <w:spacing w:after="0"/>
              <w:rPr>
                <w:sz w:val="20"/>
                <w:szCs w:val="20"/>
                <w:color w:val="auto"/>
              </w:rPr>
            </w:pPr>
            <w:r>
              <w:rPr>
                <w:rFonts w:ascii="Times New Roman" w:cs="Times New Roman" w:eastAsia="Times New Roman" w:hAnsi="Times New Roman"/>
                <w:sz w:val="16"/>
                <w:szCs w:val="16"/>
                <w:color w:val="auto"/>
              </w:rPr>
              <w:t>(7)</w:t>
            </w:r>
          </w:p>
        </w:tc>
        <w:tc>
          <w:tcPr>
            <w:tcW w:w="900" w:type="dxa"/>
            <w:vAlign w:val="bottom"/>
            <w:tcBorders>
              <w:bottom w:val="single" w:sz="8" w:color="0C479D"/>
            </w:tcBorders>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100" w:type="dxa"/>
            <w:vAlign w:val="bottom"/>
            <w:tcBorders>
              <w:bottom w:val="single" w:sz="8" w:color="0C479D"/>
            </w:tcBorders>
          </w:tcPr>
          <w:p>
            <w:pPr>
              <w:jc w:val="right"/>
              <w:ind w:right="240"/>
              <w:spacing w:after="0"/>
              <w:rPr>
                <w:sz w:val="20"/>
                <w:szCs w:val="20"/>
                <w:color w:val="auto"/>
              </w:rPr>
            </w:pPr>
            <w:r>
              <w:rPr>
                <w:rFonts w:ascii="Times New Roman" w:cs="Times New Roman" w:eastAsia="Times New Roman" w:hAnsi="Times New Roman"/>
                <w:sz w:val="16"/>
                <w:szCs w:val="16"/>
                <w:color w:val="auto"/>
              </w:rPr>
              <w:t>(44)</w:t>
            </w:r>
          </w:p>
        </w:tc>
        <w:tc>
          <w:tcPr>
            <w:tcW w:w="620" w:type="dxa"/>
            <w:vAlign w:val="bottom"/>
            <w:tcBorders>
              <w:bottom w:val="single" w:sz="8" w:color="0C479D"/>
            </w:tcBorders>
          </w:tcPr>
          <w:p>
            <w:pPr>
              <w:jc w:val="right"/>
              <w:ind w:right="20"/>
              <w:spacing w:after="0"/>
              <w:rPr>
                <w:sz w:val="20"/>
                <w:szCs w:val="20"/>
                <w:color w:val="auto"/>
              </w:rPr>
            </w:pPr>
            <w:r>
              <w:rPr>
                <w:rFonts w:ascii="Times New Roman" w:cs="Times New Roman" w:eastAsia="Times New Roman" w:hAnsi="Times New Roman"/>
                <w:sz w:val="16"/>
                <w:szCs w:val="16"/>
                <w:color w:val="auto"/>
              </w:rPr>
              <w:t>(904)</w:t>
            </w:r>
          </w:p>
        </w:tc>
        <w:tc>
          <w:tcPr>
            <w:tcW w:w="940" w:type="dxa"/>
            <w:vAlign w:val="bottom"/>
            <w:tcBorders>
              <w:bottom w:val="single" w:sz="8" w:color="0C479D"/>
            </w:tcBorders>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(992)</w:t>
            </w:r>
          </w:p>
        </w:tc>
        <w:tc>
          <w:tcPr>
            <w:tcW w:w="1600" w:type="dxa"/>
            <w:vAlign w:val="bottom"/>
            <w:tcBorders>
              <w:bottom w:val="single" w:sz="8" w:color="0C479D"/>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0" w:type="dxa"/>
            <w:vAlign w:val="bottom"/>
          </w:tcPr>
          <w:p>
            <w:pPr>
              <w:spacing w:after="0"/>
              <w:rPr>
                <w:sz w:val="1"/>
                <w:szCs w:val="1"/>
                <w:color w:val="auto"/>
              </w:rPr>
            </w:pPr>
          </w:p>
        </w:tc>
      </w:tr>
      <w:tr>
        <w:trPr>
          <w:trHeight w:val="211"/>
        </w:trPr>
        <w:tc>
          <w:tcPr>
            <w:tcW w:w="372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860" w:type="dxa"/>
            <w:vAlign w:val="bottom"/>
            <w:tcBorders>
              <w:bottom w:val="single" w:sz="8" w:color="0C479D"/>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47</w:t>
            </w:r>
          </w:p>
        </w:tc>
        <w:tc>
          <w:tcPr>
            <w:tcW w:w="900" w:type="dxa"/>
            <w:vAlign w:val="bottom"/>
            <w:tcBorders>
              <w:bottom w:val="single" w:sz="8" w:color="0C479D"/>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316</w:t>
            </w:r>
          </w:p>
        </w:tc>
        <w:tc>
          <w:tcPr>
            <w:tcW w:w="1100" w:type="dxa"/>
            <w:vAlign w:val="bottom"/>
            <w:tcBorders>
              <w:bottom w:val="single" w:sz="8" w:color="0C479D"/>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816</w:t>
            </w:r>
          </w:p>
        </w:tc>
        <w:tc>
          <w:tcPr>
            <w:tcW w:w="620" w:type="dxa"/>
            <w:vAlign w:val="bottom"/>
            <w:tcBorders>
              <w:bottom w:val="single" w:sz="8" w:color="0C479D"/>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10,466</w:t>
            </w:r>
          </w:p>
        </w:tc>
        <w:tc>
          <w:tcPr>
            <w:tcW w:w="940" w:type="dxa"/>
            <w:vAlign w:val="bottom"/>
            <w:tcBorders>
              <w:bottom w:val="single" w:sz="8" w:color="0C479D"/>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11,645</w:t>
            </w:r>
          </w:p>
        </w:tc>
        <w:tc>
          <w:tcPr>
            <w:tcW w:w="1600" w:type="dxa"/>
            <w:vAlign w:val="bottom"/>
            <w:tcBorders>
              <w:bottom w:val="single" w:sz="8" w:color="0C479D"/>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2,994</w:t>
            </w:r>
          </w:p>
        </w:tc>
        <w:tc>
          <w:tcPr>
            <w:tcW w:w="0" w:type="dxa"/>
            <w:vAlign w:val="bottom"/>
          </w:tcPr>
          <w:p>
            <w:pPr>
              <w:spacing w:after="0"/>
              <w:rPr>
                <w:sz w:val="1"/>
                <w:szCs w:val="1"/>
                <w:color w:val="auto"/>
              </w:rPr>
            </w:pPr>
          </w:p>
        </w:tc>
      </w:tr>
      <w:tr>
        <w:trPr>
          <w:trHeight w:val="218"/>
        </w:trPr>
        <w:tc>
          <w:tcPr>
            <w:tcW w:w="372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proved reserves at December 31, 2024</w:t>
            </w:r>
          </w:p>
        </w:tc>
        <w:tc>
          <w:tcPr>
            <w:tcW w:w="860" w:type="dxa"/>
            <w:vAlign w:val="bottom"/>
            <w:tcBorders>
              <w:bottom w:val="single" w:sz="8" w:color="0C479D"/>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16,890</w:t>
            </w:r>
          </w:p>
        </w:tc>
        <w:tc>
          <w:tcPr>
            <w:tcW w:w="900" w:type="dxa"/>
            <w:vAlign w:val="bottom"/>
            <w:tcBorders>
              <w:bottom w:val="single" w:sz="8" w:color="0C479D"/>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541</w:t>
            </w:r>
          </w:p>
        </w:tc>
        <w:tc>
          <w:tcPr>
            <w:tcW w:w="7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722</w:t>
            </w:r>
          </w:p>
        </w:tc>
        <w:tc>
          <w:tcPr>
            <w:tcW w:w="1100" w:type="dxa"/>
            <w:vAlign w:val="bottom"/>
            <w:tcBorders>
              <w:bottom w:val="single" w:sz="8" w:color="0C479D"/>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911</w:t>
            </w:r>
          </w:p>
        </w:tc>
        <w:tc>
          <w:tcPr>
            <w:tcW w:w="620" w:type="dxa"/>
            <w:vAlign w:val="bottom"/>
            <w:tcBorders>
              <w:bottom w:val="single" w:sz="8" w:color="0C479D"/>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13,006</w:t>
            </w:r>
          </w:p>
        </w:tc>
        <w:tc>
          <w:tcPr>
            <w:tcW w:w="940" w:type="dxa"/>
            <w:vAlign w:val="bottom"/>
            <w:tcBorders>
              <w:bottom w:val="single" w:sz="8" w:color="0C479D"/>
            </w:tcBorders>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5,479</w:t>
            </w:r>
          </w:p>
        </w:tc>
        <w:tc>
          <w:tcPr>
            <w:tcW w:w="72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37,549</w:t>
            </w:r>
          </w:p>
        </w:tc>
        <w:tc>
          <w:tcPr>
            <w:tcW w:w="1600" w:type="dxa"/>
            <w:vAlign w:val="bottom"/>
            <w:tcBorders>
              <w:bottom w:val="single" w:sz="8" w:color="0C479D"/>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19,949</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160" w:hanging="141"/>
        <w:spacing w:after="0"/>
        <w:tabs>
          <w:tab w:leader="none" w:pos="160" w:val="left"/>
        </w:tabs>
        <w:numPr>
          <w:ilvl w:val="0"/>
          <w:numId w:val="72"/>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Natural gas is converted to an oil-equivalent basis at six billion cubic feet per one million barrels.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88" w:right="359" w:bottom="1440" w:gutter="0" w:footer="0" w:header="0"/>
        </w:sectPr>
      </w:pPr>
    </w:p>
    <w:bookmarkStart w:id="132" w:name="page133"/>
    <w:bookmarkEnd w:id="132"/>
    <w:p>
      <w:pPr>
        <w:ind w:left="20"/>
        <w:spacing w:after="0"/>
        <w:rPr>
          <w:sz w:val="20"/>
          <w:szCs w:val="20"/>
          <w:color w:val="auto"/>
        </w:rPr>
      </w:pPr>
      <w:r>
        <w:rPr>
          <w:rFonts w:ascii="Times New Roman" w:cs="Times New Roman" w:eastAsia="Times New Roman" w:hAnsi="Times New Roman"/>
          <w:sz w:val="16"/>
          <w:szCs w:val="16"/>
          <w:b w:val="1"/>
          <w:bCs w:val="1"/>
          <w:color w:val="0C479D"/>
        </w:rPr>
        <w:t>Natural Gas and Oil-Equivalent Proved Reserves (continued)</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shd w:val="clear" w:color="auto" w:fill="0C479D"/>
          </w:tcPr>
          <w:p>
            <w:pPr>
              <w:spacing w:after="0"/>
              <w:rPr>
                <w:sz w:val="13"/>
                <w:szCs w:val="13"/>
                <w:color w:val="auto"/>
              </w:rPr>
            </w:pPr>
          </w:p>
        </w:tc>
        <w:tc>
          <w:tcPr>
            <w:tcW w:w="820" w:type="dxa"/>
            <w:vAlign w:val="bottom"/>
            <w:shd w:val="clear" w:color="auto" w:fill="0C479D"/>
          </w:tcPr>
          <w:p>
            <w:pPr>
              <w:spacing w:after="0"/>
              <w:rPr>
                <w:sz w:val="13"/>
                <w:szCs w:val="13"/>
                <w:color w:val="auto"/>
              </w:rPr>
            </w:pPr>
          </w:p>
        </w:tc>
        <w:tc>
          <w:tcPr>
            <w:tcW w:w="900" w:type="dxa"/>
            <w:vAlign w:val="bottom"/>
            <w:shd w:val="clear" w:color="auto" w:fill="0C479D"/>
          </w:tcPr>
          <w:p>
            <w:pPr>
              <w:spacing w:after="0"/>
              <w:rPr>
                <w:sz w:val="13"/>
                <w:szCs w:val="13"/>
                <w:color w:val="auto"/>
              </w:rPr>
            </w:pPr>
          </w:p>
        </w:tc>
        <w:tc>
          <w:tcPr>
            <w:tcW w:w="760" w:type="dxa"/>
            <w:vAlign w:val="bottom"/>
            <w:shd w:val="clear" w:color="auto" w:fill="0C479D"/>
          </w:tcPr>
          <w:p>
            <w:pPr>
              <w:spacing w:after="0"/>
              <w:rPr>
                <w:sz w:val="13"/>
                <w:szCs w:val="13"/>
                <w:color w:val="auto"/>
              </w:rPr>
            </w:pPr>
          </w:p>
        </w:tc>
        <w:tc>
          <w:tcPr>
            <w:tcW w:w="1120" w:type="dxa"/>
            <w:vAlign w:val="bottom"/>
            <w:vMerge w:val="restart"/>
            <w:shd w:val="clear" w:color="auto" w:fill="0C479D"/>
          </w:tcPr>
          <w:p>
            <w:pPr>
              <w:jc w:val="right"/>
              <w:ind w:right="200"/>
              <w:spacing w:after="0"/>
              <w:rPr>
                <w:sz w:val="20"/>
                <w:szCs w:val="20"/>
                <w:color w:val="auto"/>
              </w:rPr>
            </w:pPr>
            <w:r>
              <w:rPr>
                <w:rFonts w:ascii="Times New Roman" w:cs="Times New Roman" w:eastAsia="Times New Roman" w:hAnsi="Times New Roman"/>
                <w:sz w:val="14"/>
                <w:szCs w:val="14"/>
                <w:b w:val="1"/>
                <w:bCs w:val="1"/>
                <w:color w:val="FFFFFF"/>
              </w:rPr>
              <w:t>Natural Gas</w:t>
            </w:r>
          </w:p>
        </w:tc>
        <w:tc>
          <w:tcPr>
            <w:tcW w:w="600" w:type="dxa"/>
            <w:vAlign w:val="bottom"/>
            <w:shd w:val="clear" w:color="auto" w:fill="0C479D"/>
          </w:tcPr>
          <w:p>
            <w:pPr>
              <w:spacing w:after="0"/>
              <w:rPr>
                <w:sz w:val="13"/>
                <w:szCs w:val="13"/>
                <w:color w:val="auto"/>
              </w:rPr>
            </w:pPr>
          </w:p>
        </w:tc>
        <w:tc>
          <w:tcPr>
            <w:tcW w:w="960" w:type="dxa"/>
            <w:vAlign w:val="bottom"/>
            <w:shd w:val="clear" w:color="auto" w:fill="0C479D"/>
          </w:tcPr>
          <w:p>
            <w:pPr>
              <w:spacing w:after="0"/>
              <w:rPr>
                <w:sz w:val="13"/>
                <w:szCs w:val="13"/>
                <w:color w:val="auto"/>
              </w:rPr>
            </w:pPr>
          </w:p>
        </w:tc>
        <w:tc>
          <w:tcPr>
            <w:tcW w:w="740" w:type="dxa"/>
            <w:vAlign w:val="bottom"/>
            <w:shd w:val="clear" w:color="auto" w:fill="0C479D"/>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Oil-Equivalent</w:t>
            </w:r>
          </w:p>
        </w:tc>
        <w:tc>
          <w:tcPr>
            <w:tcW w:w="0" w:type="dxa"/>
            <w:vAlign w:val="bottom"/>
          </w:tcPr>
          <w:p>
            <w:pPr>
              <w:spacing w:after="0"/>
              <w:rPr>
                <w:sz w:val="1"/>
                <w:szCs w:val="1"/>
                <w:color w:val="auto"/>
              </w:rPr>
            </w:pPr>
          </w:p>
        </w:tc>
      </w:tr>
      <w:tr>
        <w:trPr>
          <w:trHeight w:val="68"/>
        </w:trPr>
        <w:tc>
          <w:tcPr>
            <w:tcW w:w="3700" w:type="dxa"/>
            <w:vAlign w:val="bottom"/>
            <w:shd w:val="clear" w:color="auto" w:fill="0C479D"/>
          </w:tcPr>
          <w:p>
            <w:pPr>
              <w:spacing w:after="0"/>
              <w:rPr>
                <w:sz w:val="5"/>
                <w:szCs w:val="5"/>
                <w:color w:val="auto"/>
              </w:rPr>
            </w:pPr>
          </w:p>
        </w:tc>
        <w:tc>
          <w:tcPr>
            <w:tcW w:w="820" w:type="dxa"/>
            <w:vAlign w:val="bottom"/>
            <w:shd w:val="clear" w:color="auto" w:fill="0C479D"/>
          </w:tcPr>
          <w:p>
            <w:pPr>
              <w:spacing w:after="0"/>
              <w:rPr>
                <w:sz w:val="5"/>
                <w:szCs w:val="5"/>
                <w:color w:val="auto"/>
              </w:rPr>
            </w:pPr>
          </w:p>
        </w:tc>
        <w:tc>
          <w:tcPr>
            <w:tcW w:w="900" w:type="dxa"/>
            <w:vAlign w:val="bottom"/>
            <w:shd w:val="clear" w:color="auto" w:fill="0C479D"/>
          </w:tcPr>
          <w:p>
            <w:pPr>
              <w:spacing w:after="0"/>
              <w:rPr>
                <w:sz w:val="5"/>
                <w:szCs w:val="5"/>
                <w:color w:val="auto"/>
              </w:rPr>
            </w:pPr>
          </w:p>
        </w:tc>
        <w:tc>
          <w:tcPr>
            <w:tcW w:w="760" w:type="dxa"/>
            <w:vAlign w:val="bottom"/>
            <w:shd w:val="clear" w:color="auto" w:fill="0C479D"/>
          </w:tcPr>
          <w:p>
            <w:pPr>
              <w:spacing w:after="0"/>
              <w:rPr>
                <w:sz w:val="5"/>
                <w:szCs w:val="5"/>
                <w:color w:val="auto"/>
              </w:rPr>
            </w:pPr>
          </w:p>
        </w:tc>
        <w:tc>
          <w:tcPr>
            <w:tcW w:w="1120" w:type="dxa"/>
            <w:vAlign w:val="bottom"/>
            <w:vMerge w:val="continue"/>
            <w:shd w:val="clear" w:color="auto" w:fill="0C479D"/>
          </w:tcPr>
          <w:p>
            <w:pPr>
              <w:spacing w:after="0"/>
              <w:rPr>
                <w:sz w:val="5"/>
                <w:szCs w:val="5"/>
                <w:color w:val="auto"/>
              </w:rPr>
            </w:pPr>
          </w:p>
        </w:tc>
        <w:tc>
          <w:tcPr>
            <w:tcW w:w="600" w:type="dxa"/>
            <w:vAlign w:val="bottom"/>
            <w:shd w:val="clear" w:color="auto" w:fill="0C479D"/>
          </w:tcPr>
          <w:p>
            <w:pPr>
              <w:spacing w:after="0"/>
              <w:rPr>
                <w:sz w:val="5"/>
                <w:szCs w:val="5"/>
                <w:color w:val="auto"/>
              </w:rPr>
            </w:pPr>
          </w:p>
        </w:tc>
        <w:tc>
          <w:tcPr>
            <w:tcW w:w="960" w:type="dxa"/>
            <w:vAlign w:val="bottom"/>
            <w:shd w:val="clear" w:color="auto" w:fill="0C479D"/>
          </w:tcPr>
          <w:p>
            <w:pPr>
              <w:spacing w:after="0"/>
              <w:rPr>
                <w:sz w:val="5"/>
                <w:szCs w:val="5"/>
                <w:color w:val="auto"/>
              </w:rPr>
            </w:pPr>
          </w:p>
        </w:tc>
        <w:tc>
          <w:tcPr>
            <w:tcW w:w="740" w:type="dxa"/>
            <w:vAlign w:val="bottom"/>
            <w:shd w:val="clear" w:color="auto" w:fill="0C479D"/>
          </w:tcPr>
          <w:p>
            <w:pPr>
              <w:spacing w:after="0"/>
              <w:rPr>
                <w:sz w:val="5"/>
                <w:szCs w:val="5"/>
                <w:color w:val="auto"/>
              </w:rPr>
            </w:pPr>
          </w:p>
        </w:tc>
        <w:tc>
          <w:tcPr>
            <w:tcW w:w="80" w:type="dxa"/>
            <w:vAlign w:val="bottom"/>
          </w:tcPr>
          <w:p>
            <w:pPr>
              <w:spacing w:after="0"/>
              <w:rPr>
                <w:sz w:val="5"/>
                <w:szCs w:val="5"/>
                <w:color w:val="auto"/>
              </w:rPr>
            </w:pPr>
          </w:p>
        </w:tc>
        <w:tc>
          <w:tcPr>
            <w:tcW w:w="1520" w:type="dxa"/>
            <w:vAlign w:val="bottom"/>
            <w:vMerge w:val="restart"/>
            <w:shd w:val="clear" w:color="auto" w:fill="0C479D"/>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FFFFFF"/>
              </w:rPr>
              <w:t>Total</w:t>
            </w:r>
          </w:p>
        </w:tc>
        <w:tc>
          <w:tcPr>
            <w:tcW w:w="0" w:type="dxa"/>
            <w:vAlign w:val="bottom"/>
          </w:tcPr>
          <w:p>
            <w:pPr>
              <w:spacing w:after="0"/>
              <w:rPr>
                <w:sz w:val="1"/>
                <w:szCs w:val="1"/>
                <w:color w:val="auto"/>
              </w:rPr>
            </w:pPr>
          </w:p>
        </w:tc>
      </w:tr>
      <w:tr>
        <w:trPr>
          <w:trHeight w:val="79"/>
        </w:trPr>
        <w:tc>
          <w:tcPr>
            <w:tcW w:w="3700" w:type="dxa"/>
            <w:vAlign w:val="bottom"/>
            <w:shd w:val="clear" w:color="auto" w:fill="0C479D"/>
          </w:tcPr>
          <w:p>
            <w:pPr>
              <w:spacing w:after="0"/>
              <w:rPr>
                <w:sz w:val="6"/>
                <w:szCs w:val="6"/>
                <w:color w:val="auto"/>
              </w:rPr>
            </w:pPr>
          </w:p>
        </w:tc>
        <w:tc>
          <w:tcPr>
            <w:tcW w:w="820" w:type="dxa"/>
            <w:vAlign w:val="bottom"/>
            <w:shd w:val="clear" w:color="auto" w:fill="0C479D"/>
          </w:tcPr>
          <w:p>
            <w:pPr>
              <w:spacing w:after="0"/>
              <w:rPr>
                <w:sz w:val="6"/>
                <w:szCs w:val="6"/>
                <w:color w:val="auto"/>
              </w:rPr>
            </w:pPr>
          </w:p>
        </w:tc>
        <w:tc>
          <w:tcPr>
            <w:tcW w:w="900" w:type="dxa"/>
            <w:vAlign w:val="bottom"/>
            <w:shd w:val="clear" w:color="auto" w:fill="0C479D"/>
          </w:tcPr>
          <w:p>
            <w:pPr>
              <w:spacing w:after="0"/>
              <w:rPr>
                <w:sz w:val="6"/>
                <w:szCs w:val="6"/>
                <w:color w:val="auto"/>
              </w:rPr>
            </w:pPr>
          </w:p>
        </w:tc>
        <w:tc>
          <w:tcPr>
            <w:tcW w:w="1880" w:type="dxa"/>
            <w:vAlign w:val="bottom"/>
            <w:gridSpan w:val="2"/>
            <w:vMerge w:val="restart"/>
            <w:shd w:val="clear" w:color="auto" w:fill="0C479D"/>
          </w:tcPr>
          <w:p>
            <w:pPr>
              <w:jc w:val="right"/>
              <w:spacing w:after="0"/>
              <w:rPr>
                <w:sz w:val="20"/>
                <w:szCs w:val="20"/>
                <w:color w:val="auto"/>
              </w:rPr>
            </w:pPr>
            <w:r>
              <w:rPr>
                <w:rFonts w:ascii="Times New Roman" w:cs="Times New Roman" w:eastAsia="Times New Roman" w:hAnsi="Times New Roman"/>
                <w:sz w:val="14"/>
                <w:szCs w:val="14"/>
                <w:i w:val="1"/>
                <w:iCs w:val="1"/>
                <w:color w:val="FFFFFF"/>
              </w:rPr>
              <w:t>(billions of cubic feet)</w:t>
            </w:r>
          </w:p>
        </w:tc>
        <w:tc>
          <w:tcPr>
            <w:tcW w:w="600" w:type="dxa"/>
            <w:vAlign w:val="bottom"/>
            <w:shd w:val="clear" w:color="auto" w:fill="0C479D"/>
          </w:tcPr>
          <w:p>
            <w:pPr>
              <w:spacing w:after="0"/>
              <w:rPr>
                <w:sz w:val="6"/>
                <w:szCs w:val="6"/>
                <w:color w:val="auto"/>
              </w:rPr>
            </w:pPr>
          </w:p>
        </w:tc>
        <w:tc>
          <w:tcPr>
            <w:tcW w:w="960" w:type="dxa"/>
            <w:vAlign w:val="bottom"/>
            <w:shd w:val="clear" w:color="auto" w:fill="0C479D"/>
          </w:tcPr>
          <w:p>
            <w:pPr>
              <w:spacing w:after="0"/>
              <w:rPr>
                <w:sz w:val="6"/>
                <w:szCs w:val="6"/>
                <w:color w:val="auto"/>
              </w:rPr>
            </w:pPr>
          </w:p>
        </w:tc>
        <w:tc>
          <w:tcPr>
            <w:tcW w:w="740" w:type="dxa"/>
            <w:vAlign w:val="bottom"/>
            <w:shd w:val="clear" w:color="auto" w:fill="0C479D"/>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vMerge w:val="continue"/>
            <w:shd w:val="clear" w:color="auto" w:fill="0C479D"/>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3700" w:type="dxa"/>
            <w:vAlign w:val="bottom"/>
            <w:shd w:val="clear" w:color="auto" w:fill="0C479D"/>
          </w:tcPr>
          <w:p>
            <w:pPr>
              <w:spacing w:after="0"/>
              <w:rPr>
                <w:sz w:val="16"/>
                <w:szCs w:val="16"/>
                <w:color w:val="auto"/>
              </w:rPr>
            </w:pPr>
          </w:p>
        </w:tc>
        <w:tc>
          <w:tcPr>
            <w:tcW w:w="820" w:type="dxa"/>
            <w:vAlign w:val="bottom"/>
            <w:shd w:val="clear" w:color="auto" w:fill="0C479D"/>
          </w:tcPr>
          <w:p>
            <w:pPr>
              <w:spacing w:after="0"/>
              <w:rPr>
                <w:sz w:val="16"/>
                <w:szCs w:val="16"/>
                <w:color w:val="auto"/>
              </w:rPr>
            </w:pPr>
          </w:p>
        </w:tc>
        <w:tc>
          <w:tcPr>
            <w:tcW w:w="900" w:type="dxa"/>
            <w:vAlign w:val="bottom"/>
            <w:shd w:val="clear" w:color="auto" w:fill="0C479D"/>
          </w:tcPr>
          <w:p>
            <w:pPr>
              <w:spacing w:after="0"/>
              <w:rPr>
                <w:sz w:val="16"/>
                <w:szCs w:val="16"/>
                <w:color w:val="auto"/>
              </w:rPr>
            </w:pPr>
          </w:p>
        </w:tc>
        <w:tc>
          <w:tcPr>
            <w:tcW w:w="1880" w:type="dxa"/>
            <w:vAlign w:val="bottom"/>
            <w:gridSpan w:val="2"/>
            <w:vMerge w:val="continue"/>
            <w:shd w:val="clear" w:color="auto" w:fill="0C479D"/>
          </w:tcPr>
          <w:p>
            <w:pPr>
              <w:spacing w:after="0"/>
              <w:rPr>
                <w:sz w:val="16"/>
                <w:szCs w:val="16"/>
                <w:color w:val="auto"/>
              </w:rPr>
            </w:pPr>
          </w:p>
        </w:tc>
        <w:tc>
          <w:tcPr>
            <w:tcW w:w="600" w:type="dxa"/>
            <w:vAlign w:val="bottom"/>
            <w:shd w:val="clear" w:color="auto" w:fill="0C479D"/>
          </w:tcPr>
          <w:p>
            <w:pPr>
              <w:spacing w:after="0"/>
              <w:rPr>
                <w:sz w:val="16"/>
                <w:szCs w:val="16"/>
                <w:color w:val="auto"/>
              </w:rPr>
            </w:pPr>
          </w:p>
        </w:tc>
        <w:tc>
          <w:tcPr>
            <w:tcW w:w="960" w:type="dxa"/>
            <w:vAlign w:val="bottom"/>
            <w:shd w:val="clear" w:color="auto" w:fill="0C479D"/>
          </w:tcPr>
          <w:p>
            <w:pPr>
              <w:spacing w:after="0"/>
              <w:rPr>
                <w:sz w:val="16"/>
                <w:szCs w:val="16"/>
                <w:color w:val="auto"/>
              </w:rPr>
            </w:pPr>
          </w:p>
        </w:tc>
        <w:tc>
          <w:tcPr>
            <w:tcW w:w="740" w:type="dxa"/>
            <w:vAlign w:val="bottom"/>
            <w:shd w:val="clear" w:color="auto" w:fill="0C479D"/>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 xml:space="preserve">All Products </w:t>
            </w:r>
            <w:r>
              <w:rPr>
                <w:rFonts w:ascii="Times New Roman" w:cs="Times New Roman" w:eastAsia="Times New Roman" w:hAnsi="Times New Roman"/>
                <w:sz w:val="9"/>
                <w:szCs w:val="9"/>
                <w:b w:val="1"/>
                <w:bCs w:val="1"/>
                <w:i w:val="1"/>
                <w:iCs w:val="1"/>
                <w:color w:val="FFFFFF"/>
              </w:rPr>
              <w:t>(1)</w:t>
            </w:r>
          </w:p>
        </w:tc>
        <w:tc>
          <w:tcPr>
            <w:tcW w:w="0" w:type="dxa"/>
            <w:vAlign w:val="bottom"/>
          </w:tcPr>
          <w:p>
            <w:pPr>
              <w:spacing w:after="0"/>
              <w:rPr>
                <w:sz w:val="1"/>
                <w:szCs w:val="1"/>
                <w:color w:val="auto"/>
              </w:rPr>
            </w:pPr>
          </w:p>
        </w:tc>
      </w:tr>
      <w:tr>
        <w:trPr>
          <w:trHeight w:val="193"/>
        </w:trPr>
        <w:tc>
          <w:tcPr>
            <w:tcW w:w="3700" w:type="dxa"/>
            <w:vAlign w:val="bottom"/>
            <w:shd w:val="clear" w:color="auto" w:fill="0C479D"/>
          </w:tcPr>
          <w:p>
            <w:pPr>
              <w:spacing w:after="0"/>
              <w:rPr>
                <w:sz w:val="16"/>
                <w:szCs w:val="16"/>
                <w:color w:val="auto"/>
              </w:rPr>
            </w:pPr>
          </w:p>
        </w:tc>
        <w:tc>
          <w:tcPr>
            <w:tcW w:w="820" w:type="dxa"/>
            <w:vAlign w:val="bottom"/>
            <w:vMerge w:val="restart"/>
            <w:shd w:val="clear" w:color="auto" w:fill="0C479D"/>
          </w:tcPr>
          <w:p>
            <w:pPr>
              <w:jc w:val="right"/>
              <w:ind w:right="160"/>
              <w:spacing w:after="0"/>
              <w:rPr>
                <w:sz w:val="20"/>
                <w:szCs w:val="20"/>
                <w:color w:val="auto"/>
              </w:rPr>
            </w:pPr>
            <w:r>
              <w:rPr>
                <w:rFonts w:ascii="Times New Roman" w:cs="Times New Roman" w:eastAsia="Times New Roman" w:hAnsi="Times New Roman"/>
                <w:sz w:val="14"/>
                <w:szCs w:val="14"/>
                <w:color w:val="FFFFFF"/>
              </w:rPr>
              <w:t>United</w:t>
            </w:r>
          </w:p>
        </w:tc>
        <w:tc>
          <w:tcPr>
            <w:tcW w:w="90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color w:val="FFFFFF"/>
              </w:rPr>
              <w:t>Canada/</w:t>
            </w:r>
          </w:p>
        </w:tc>
        <w:tc>
          <w:tcPr>
            <w:tcW w:w="760" w:type="dxa"/>
            <w:vAlign w:val="bottom"/>
            <w:shd w:val="clear" w:color="auto" w:fill="0C479D"/>
          </w:tcPr>
          <w:p>
            <w:pPr>
              <w:spacing w:after="0"/>
              <w:rPr>
                <w:sz w:val="16"/>
                <w:szCs w:val="16"/>
                <w:color w:val="auto"/>
              </w:rPr>
            </w:pPr>
          </w:p>
        </w:tc>
        <w:tc>
          <w:tcPr>
            <w:tcW w:w="1120" w:type="dxa"/>
            <w:vAlign w:val="bottom"/>
            <w:shd w:val="clear" w:color="auto" w:fill="0C479D"/>
          </w:tcPr>
          <w:p>
            <w:pPr>
              <w:spacing w:after="0"/>
              <w:rPr>
                <w:sz w:val="16"/>
                <w:szCs w:val="16"/>
                <w:color w:val="auto"/>
              </w:rPr>
            </w:pPr>
          </w:p>
        </w:tc>
        <w:tc>
          <w:tcPr>
            <w:tcW w:w="600" w:type="dxa"/>
            <w:vAlign w:val="bottom"/>
            <w:shd w:val="clear" w:color="auto" w:fill="0C479D"/>
          </w:tcPr>
          <w:p>
            <w:pPr>
              <w:spacing w:after="0"/>
              <w:rPr>
                <w:sz w:val="16"/>
                <w:szCs w:val="16"/>
                <w:color w:val="auto"/>
              </w:rPr>
            </w:pPr>
          </w:p>
        </w:tc>
        <w:tc>
          <w:tcPr>
            <w:tcW w:w="960" w:type="dxa"/>
            <w:vAlign w:val="bottom"/>
            <w:vMerge w:val="restart"/>
            <w:shd w:val="clear" w:color="auto" w:fill="0C479D"/>
          </w:tcPr>
          <w:p>
            <w:pPr>
              <w:jc w:val="right"/>
              <w:ind w:right="180"/>
              <w:spacing w:after="0"/>
              <w:rPr>
                <w:sz w:val="20"/>
                <w:szCs w:val="20"/>
                <w:color w:val="auto"/>
              </w:rPr>
            </w:pPr>
            <w:r>
              <w:rPr>
                <w:rFonts w:ascii="Times New Roman" w:cs="Times New Roman" w:eastAsia="Times New Roman" w:hAnsi="Times New Roman"/>
                <w:sz w:val="14"/>
                <w:szCs w:val="14"/>
                <w:color w:val="FFFFFF"/>
              </w:rPr>
              <w:t>Australia/</w:t>
            </w:r>
          </w:p>
        </w:tc>
        <w:tc>
          <w:tcPr>
            <w:tcW w:w="740" w:type="dxa"/>
            <w:vAlign w:val="bottom"/>
            <w:shd w:val="clear" w:color="auto" w:fill="0C479D"/>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vMerge w:val="restart"/>
            <w:shd w:val="clear" w:color="auto" w:fill="0C479D"/>
          </w:tcPr>
          <w:p>
            <w:pPr>
              <w:jc w:val="center"/>
              <w:spacing w:after="0"/>
              <w:rPr>
                <w:sz w:val="20"/>
                <w:szCs w:val="20"/>
                <w:color w:val="auto"/>
              </w:rPr>
            </w:pPr>
            <w:r>
              <w:rPr>
                <w:rFonts w:ascii="Times New Roman" w:cs="Times New Roman" w:eastAsia="Times New Roman" w:hAnsi="Times New Roman"/>
                <w:sz w:val="14"/>
                <w:szCs w:val="14"/>
                <w:i w:val="1"/>
                <w:iCs w:val="1"/>
                <w:color w:val="FFFFFF"/>
              </w:rPr>
              <w:t>(millions of oil-</w:t>
            </w:r>
          </w:p>
        </w:tc>
        <w:tc>
          <w:tcPr>
            <w:tcW w:w="0" w:type="dxa"/>
            <w:vAlign w:val="bottom"/>
          </w:tcPr>
          <w:p>
            <w:pPr>
              <w:spacing w:after="0"/>
              <w:rPr>
                <w:sz w:val="1"/>
                <w:szCs w:val="1"/>
                <w:color w:val="auto"/>
              </w:rPr>
            </w:pPr>
          </w:p>
        </w:tc>
      </w:tr>
      <w:tr>
        <w:trPr>
          <w:trHeight w:val="144"/>
        </w:trPr>
        <w:tc>
          <w:tcPr>
            <w:tcW w:w="3700" w:type="dxa"/>
            <w:vAlign w:val="bottom"/>
            <w:shd w:val="clear" w:color="auto" w:fill="0C479D"/>
          </w:tcPr>
          <w:p>
            <w:pPr>
              <w:spacing w:after="0"/>
              <w:rPr>
                <w:sz w:val="12"/>
                <w:szCs w:val="12"/>
                <w:color w:val="auto"/>
              </w:rPr>
            </w:pPr>
          </w:p>
        </w:tc>
        <w:tc>
          <w:tcPr>
            <w:tcW w:w="820" w:type="dxa"/>
            <w:vAlign w:val="bottom"/>
            <w:vMerge w:val="continue"/>
            <w:shd w:val="clear" w:color="auto" w:fill="0C479D"/>
          </w:tcPr>
          <w:p>
            <w:pPr>
              <w:spacing w:after="0"/>
              <w:rPr>
                <w:sz w:val="12"/>
                <w:szCs w:val="12"/>
                <w:color w:val="auto"/>
              </w:rPr>
            </w:pPr>
          </w:p>
        </w:tc>
        <w:tc>
          <w:tcPr>
            <w:tcW w:w="900" w:type="dxa"/>
            <w:vAlign w:val="bottom"/>
            <w:shd w:val="clear" w:color="auto" w:fill="0C479D"/>
          </w:tcPr>
          <w:p>
            <w:pPr>
              <w:jc w:val="center"/>
              <w:spacing w:after="0" w:line="145" w:lineRule="exact"/>
              <w:rPr>
                <w:sz w:val="20"/>
                <w:szCs w:val="20"/>
                <w:color w:val="auto"/>
              </w:rPr>
            </w:pPr>
            <w:r>
              <w:rPr>
                <w:rFonts w:ascii="Times New Roman" w:cs="Times New Roman" w:eastAsia="Times New Roman" w:hAnsi="Times New Roman"/>
                <w:sz w:val="14"/>
                <w:szCs w:val="14"/>
                <w:color w:val="FFFFFF"/>
              </w:rPr>
              <w:t>Other</w:t>
            </w:r>
          </w:p>
        </w:tc>
        <w:tc>
          <w:tcPr>
            <w:tcW w:w="760" w:type="dxa"/>
            <w:vAlign w:val="bottom"/>
            <w:vMerge w:val="restart"/>
            <w:shd w:val="clear" w:color="auto" w:fill="0C479D"/>
          </w:tcPr>
          <w:p>
            <w:pPr>
              <w:jc w:val="right"/>
              <w:ind w:right="100"/>
              <w:spacing w:after="0"/>
              <w:rPr>
                <w:sz w:val="20"/>
                <w:szCs w:val="20"/>
                <w:color w:val="auto"/>
              </w:rPr>
            </w:pPr>
            <w:r>
              <w:rPr>
                <w:rFonts w:ascii="Times New Roman" w:cs="Times New Roman" w:eastAsia="Times New Roman" w:hAnsi="Times New Roman"/>
                <w:sz w:val="14"/>
                <w:szCs w:val="14"/>
                <w:color w:val="FFFFFF"/>
              </w:rPr>
              <w:t>Europe</w:t>
            </w:r>
          </w:p>
        </w:tc>
        <w:tc>
          <w:tcPr>
            <w:tcW w:w="1120" w:type="dxa"/>
            <w:vAlign w:val="bottom"/>
            <w:vMerge w:val="restart"/>
            <w:shd w:val="clear" w:color="auto" w:fill="0C479D"/>
          </w:tcPr>
          <w:p>
            <w:pPr>
              <w:jc w:val="right"/>
              <w:ind w:right="400"/>
              <w:spacing w:after="0"/>
              <w:rPr>
                <w:sz w:val="20"/>
                <w:szCs w:val="20"/>
                <w:color w:val="auto"/>
              </w:rPr>
            </w:pPr>
            <w:r>
              <w:rPr>
                <w:rFonts w:ascii="Times New Roman" w:cs="Times New Roman" w:eastAsia="Times New Roman" w:hAnsi="Times New Roman"/>
                <w:sz w:val="14"/>
                <w:szCs w:val="14"/>
                <w:color w:val="FFFFFF"/>
              </w:rPr>
              <w:t>Africa</w:t>
            </w:r>
          </w:p>
        </w:tc>
        <w:tc>
          <w:tcPr>
            <w:tcW w:w="600" w:type="dxa"/>
            <w:vAlign w:val="bottom"/>
            <w:vMerge w:val="restart"/>
            <w:shd w:val="clear" w:color="auto" w:fill="0C479D"/>
          </w:tcPr>
          <w:p>
            <w:pPr>
              <w:jc w:val="right"/>
              <w:ind w:right="220"/>
              <w:spacing w:after="0"/>
              <w:rPr>
                <w:sz w:val="20"/>
                <w:szCs w:val="20"/>
                <w:color w:val="auto"/>
              </w:rPr>
            </w:pPr>
            <w:r>
              <w:rPr>
                <w:rFonts w:ascii="Times New Roman" w:cs="Times New Roman" w:eastAsia="Times New Roman" w:hAnsi="Times New Roman"/>
                <w:sz w:val="14"/>
                <w:szCs w:val="14"/>
                <w:color w:val="FFFFFF"/>
              </w:rPr>
              <w:t>Asia</w:t>
            </w:r>
          </w:p>
        </w:tc>
        <w:tc>
          <w:tcPr>
            <w:tcW w:w="960" w:type="dxa"/>
            <w:vAlign w:val="bottom"/>
            <w:vMerge w:val="continue"/>
            <w:shd w:val="clear" w:color="auto" w:fill="0C479D"/>
          </w:tcPr>
          <w:p>
            <w:pPr>
              <w:spacing w:after="0"/>
              <w:rPr>
                <w:sz w:val="12"/>
                <w:szCs w:val="12"/>
                <w:color w:val="auto"/>
              </w:rPr>
            </w:pPr>
          </w:p>
        </w:tc>
        <w:tc>
          <w:tcPr>
            <w:tcW w:w="740" w:type="dxa"/>
            <w:vAlign w:val="bottom"/>
            <w:vMerge w:val="restart"/>
            <w:shd w:val="clear" w:color="auto" w:fill="0C479D"/>
          </w:tcPr>
          <w:p>
            <w:pPr>
              <w:jc w:val="right"/>
              <w:ind w:right="180"/>
              <w:spacing w:after="0"/>
              <w:rPr>
                <w:sz w:val="20"/>
                <w:szCs w:val="20"/>
                <w:color w:val="auto"/>
              </w:rPr>
            </w:pPr>
            <w:r>
              <w:rPr>
                <w:rFonts w:ascii="Times New Roman" w:cs="Times New Roman" w:eastAsia="Times New Roman" w:hAnsi="Times New Roman"/>
                <w:sz w:val="14"/>
                <w:szCs w:val="14"/>
                <w:color w:val="FFFFFF"/>
              </w:rPr>
              <w:t>Total</w:t>
            </w:r>
          </w:p>
        </w:tc>
        <w:tc>
          <w:tcPr>
            <w:tcW w:w="80" w:type="dxa"/>
            <w:vAlign w:val="bottom"/>
          </w:tcPr>
          <w:p>
            <w:pPr>
              <w:spacing w:after="0"/>
              <w:rPr>
                <w:sz w:val="12"/>
                <w:szCs w:val="12"/>
                <w:color w:val="auto"/>
              </w:rPr>
            </w:pPr>
          </w:p>
        </w:tc>
        <w:tc>
          <w:tcPr>
            <w:tcW w:w="1520" w:type="dxa"/>
            <w:vAlign w:val="bottom"/>
            <w:vMerge w:val="continue"/>
            <w:shd w:val="clear" w:color="auto" w:fill="0C479D"/>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700" w:type="dxa"/>
            <w:vAlign w:val="bottom"/>
            <w:tcBorders>
              <w:bottom w:val="single" w:sz="8" w:color="auto"/>
            </w:tcBorders>
            <w:shd w:val="clear" w:color="auto" w:fill="0C479D"/>
          </w:tcPr>
          <w:p>
            <w:pPr>
              <w:spacing w:after="0"/>
              <w:rPr>
                <w:sz w:val="17"/>
                <w:szCs w:val="17"/>
                <w:color w:val="auto"/>
              </w:rPr>
            </w:pPr>
          </w:p>
        </w:tc>
        <w:tc>
          <w:tcPr>
            <w:tcW w:w="820" w:type="dxa"/>
            <w:vAlign w:val="bottom"/>
            <w:tcBorders>
              <w:bottom w:val="single" w:sz="8" w:color="auto"/>
            </w:tcBorders>
            <w:shd w:val="clear" w:color="auto" w:fill="0C479D"/>
          </w:tcPr>
          <w:p>
            <w:pPr>
              <w:jc w:val="right"/>
              <w:ind w:right="180"/>
              <w:spacing w:after="0"/>
              <w:rPr>
                <w:sz w:val="20"/>
                <w:szCs w:val="20"/>
                <w:color w:val="auto"/>
              </w:rPr>
            </w:pPr>
            <w:r>
              <w:rPr>
                <w:rFonts w:ascii="Times New Roman" w:cs="Times New Roman" w:eastAsia="Times New Roman" w:hAnsi="Times New Roman"/>
                <w:sz w:val="14"/>
                <w:szCs w:val="14"/>
                <w:color w:val="FFFFFF"/>
              </w:rPr>
              <w:t>States</w:t>
            </w:r>
          </w:p>
        </w:tc>
        <w:tc>
          <w:tcPr>
            <w:tcW w:w="900" w:type="dxa"/>
            <w:vAlign w:val="bottom"/>
            <w:tcBorders>
              <w:bottom w:val="single" w:sz="8" w:color="auto"/>
            </w:tcBorders>
            <w:shd w:val="clear" w:color="auto" w:fill="0C479D"/>
          </w:tcPr>
          <w:p>
            <w:pPr>
              <w:jc w:val="center"/>
              <w:spacing w:after="0"/>
              <w:rPr>
                <w:sz w:val="20"/>
                <w:szCs w:val="20"/>
                <w:color w:val="auto"/>
              </w:rPr>
            </w:pPr>
            <w:r>
              <w:rPr>
                <w:rFonts w:ascii="Times New Roman" w:cs="Times New Roman" w:eastAsia="Times New Roman" w:hAnsi="Times New Roman"/>
                <w:sz w:val="14"/>
                <w:szCs w:val="14"/>
                <w:color w:val="FFFFFF"/>
              </w:rPr>
              <w:t>Americas</w:t>
            </w:r>
          </w:p>
        </w:tc>
        <w:tc>
          <w:tcPr>
            <w:tcW w:w="760" w:type="dxa"/>
            <w:vAlign w:val="bottom"/>
            <w:tcBorders>
              <w:bottom w:val="single" w:sz="8" w:color="auto"/>
            </w:tcBorders>
            <w:vMerge w:val="continue"/>
            <w:shd w:val="clear" w:color="auto" w:fill="0C479D"/>
          </w:tcPr>
          <w:p>
            <w:pPr>
              <w:spacing w:after="0"/>
              <w:rPr>
                <w:sz w:val="17"/>
                <w:szCs w:val="17"/>
                <w:color w:val="auto"/>
              </w:rPr>
            </w:pPr>
          </w:p>
        </w:tc>
        <w:tc>
          <w:tcPr>
            <w:tcW w:w="1120" w:type="dxa"/>
            <w:vAlign w:val="bottom"/>
            <w:tcBorders>
              <w:bottom w:val="single" w:sz="8" w:color="auto"/>
            </w:tcBorders>
            <w:vMerge w:val="continue"/>
            <w:shd w:val="clear" w:color="auto" w:fill="0C479D"/>
          </w:tcPr>
          <w:p>
            <w:pPr>
              <w:spacing w:after="0"/>
              <w:rPr>
                <w:sz w:val="17"/>
                <w:szCs w:val="17"/>
                <w:color w:val="auto"/>
              </w:rPr>
            </w:pPr>
          </w:p>
        </w:tc>
        <w:tc>
          <w:tcPr>
            <w:tcW w:w="600" w:type="dxa"/>
            <w:vAlign w:val="bottom"/>
            <w:tcBorders>
              <w:bottom w:val="single" w:sz="8" w:color="auto"/>
            </w:tcBorders>
            <w:vMerge w:val="continue"/>
            <w:shd w:val="clear" w:color="auto" w:fill="0C479D"/>
          </w:tcPr>
          <w:p>
            <w:pPr>
              <w:spacing w:after="0"/>
              <w:rPr>
                <w:sz w:val="17"/>
                <w:szCs w:val="17"/>
                <w:color w:val="auto"/>
              </w:rPr>
            </w:pPr>
          </w:p>
        </w:tc>
        <w:tc>
          <w:tcPr>
            <w:tcW w:w="960" w:type="dxa"/>
            <w:vAlign w:val="bottom"/>
            <w:tcBorders>
              <w:bottom w:val="single" w:sz="8" w:color="auto"/>
            </w:tcBorders>
            <w:shd w:val="clear" w:color="auto" w:fill="0C479D"/>
          </w:tcPr>
          <w:p>
            <w:pPr>
              <w:jc w:val="right"/>
              <w:ind w:right="220"/>
              <w:spacing w:after="0"/>
              <w:rPr>
                <w:sz w:val="20"/>
                <w:szCs w:val="20"/>
                <w:color w:val="auto"/>
              </w:rPr>
            </w:pPr>
            <w:r>
              <w:rPr>
                <w:rFonts w:ascii="Times New Roman" w:cs="Times New Roman" w:eastAsia="Times New Roman" w:hAnsi="Times New Roman"/>
                <w:sz w:val="14"/>
                <w:szCs w:val="14"/>
                <w:color w:val="FFFFFF"/>
              </w:rPr>
              <w:t>Oceania</w:t>
            </w:r>
          </w:p>
        </w:tc>
        <w:tc>
          <w:tcPr>
            <w:tcW w:w="740" w:type="dxa"/>
            <w:vAlign w:val="bottom"/>
            <w:tcBorders>
              <w:bottom w:val="single" w:sz="8" w:color="auto"/>
            </w:tcBorders>
            <w:vMerge w:val="continue"/>
            <w:shd w:val="clear" w:color="auto" w:fill="0C479D"/>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i w:val="1"/>
                <w:iCs w:val="1"/>
                <w:color w:val="FFFFFF"/>
              </w:rPr>
              <w:t>equivalent barrels)</w:t>
            </w:r>
          </w:p>
        </w:tc>
        <w:tc>
          <w:tcPr>
            <w:tcW w:w="0" w:type="dxa"/>
            <w:vAlign w:val="bottom"/>
          </w:tcPr>
          <w:p>
            <w:pPr>
              <w:spacing w:after="0"/>
              <w:rPr>
                <w:sz w:val="1"/>
                <w:szCs w:val="1"/>
                <w:color w:val="auto"/>
              </w:rPr>
            </w:pPr>
          </w:p>
        </w:tc>
      </w:tr>
      <w:tr>
        <w:trPr>
          <w:trHeight w:val="289"/>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0C479D"/>
              </w:rPr>
              <w:t>As of December 31, 2022</w:t>
            </w: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Proved developed reserves</w:t>
            </w: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Consolidated subsidiaries</w:t>
            </w:r>
          </w:p>
        </w:tc>
        <w:tc>
          <w:tcPr>
            <w:tcW w:w="8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9,577</w:t>
            </w:r>
          </w:p>
        </w:tc>
        <w:tc>
          <w:tcPr>
            <w:tcW w:w="9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371</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12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307</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2,037</w:t>
            </w:r>
          </w:p>
        </w:tc>
        <w:tc>
          <w:tcPr>
            <w:tcW w:w="9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3,162</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15,862</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9,627</w:t>
            </w:r>
          </w:p>
        </w:tc>
        <w:tc>
          <w:tcPr>
            <w:tcW w:w="0" w:type="dxa"/>
            <w:vAlign w:val="bottom"/>
          </w:tcPr>
          <w:p>
            <w:pPr>
              <w:spacing w:after="0"/>
              <w:rPr>
                <w:sz w:val="1"/>
                <w:szCs w:val="1"/>
                <w:color w:val="auto"/>
              </w:rPr>
            </w:pPr>
          </w:p>
        </w:tc>
      </w:tr>
      <w:tr>
        <w:trPr>
          <w:trHeight w:val="216"/>
        </w:trPr>
        <w:tc>
          <w:tcPr>
            <w:tcW w:w="3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Equity companies</w:t>
            </w:r>
          </w:p>
        </w:tc>
        <w:tc>
          <w:tcPr>
            <w:tcW w:w="8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127</w:t>
            </w:r>
          </w:p>
        </w:tc>
        <w:tc>
          <w:tcPr>
            <w:tcW w:w="9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12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663</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5,020</w:t>
            </w:r>
          </w:p>
        </w:tc>
        <w:tc>
          <w:tcPr>
            <w:tcW w:w="9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1,516</w:t>
            </w:r>
          </w:p>
        </w:tc>
        <w:tc>
          <w:tcPr>
            <w:tcW w:w="0" w:type="dxa"/>
            <w:vAlign w:val="bottom"/>
          </w:tcPr>
          <w:p>
            <w:pPr>
              <w:spacing w:after="0"/>
              <w:rPr>
                <w:sz w:val="1"/>
                <w:szCs w:val="1"/>
                <w:color w:val="auto"/>
              </w:rPr>
            </w:pP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Proved undeveloped reserves</w:t>
            </w: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Consolidated subsidiaries</w:t>
            </w:r>
          </w:p>
        </w:tc>
        <w:tc>
          <w:tcPr>
            <w:tcW w:w="8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4,068</w:t>
            </w:r>
          </w:p>
        </w:tc>
        <w:tc>
          <w:tcPr>
            <w:tcW w:w="9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337</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12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5</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1,024</w:t>
            </w:r>
          </w:p>
        </w:tc>
        <w:tc>
          <w:tcPr>
            <w:tcW w:w="9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2,846</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8,285</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4,631</w:t>
            </w:r>
          </w:p>
        </w:tc>
        <w:tc>
          <w:tcPr>
            <w:tcW w:w="0" w:type="dxa"/>
            <w:vAlign w:val="bottom"/>
          </w:tcPr>
          <w:p>
            <w:pPr>
              <w:spacing w:after="0"/>
              <w:rPr>
                <w:sz w:val="1"/>
                <w:szCs w:val="1"/>
                <w:color w:val="auto"/>
              </w:rPr>
            </w:pPr>
          </w:p>
        </w:tc>
      </w:tr>
      <w:tr>
        <w:trPr>
          <w:trHeight w:val="219"/>
        </w:trPr>
        <w:tc>
          <w:tcPr>
            <w:tcW w:w="3700" w:type="dxa"/>
            <w:vAlign w:val="bottom"/>
            <w:tcBorders>
              <w:bottom w:val="single" w:sz="8" w:color="0C479D"/>
            </w:tcBorders>
          </w:tcPr>
          <w:p>
            <w:pPr>
              <w:ind w:left="120"/>
              <w:spacing w:after="0"/>
              <w:rPr>
                <w:sz w:val="20"/>
                <w:szCs w:val="20"/>
                <w:color w:val="auto"/>
              </w:rPr>
            </w:pPr>
            <w:r>
              <w:rPr>
                <w:rFonts w:ascii="Times New Roman" w:cs="Times New Roman" w:eastAsia="Times New Roman" w:hAnsi="Times New Roman"/>
                <w:sz w:val="16"/>
                <w:szCs w:val="16"/>
                <w:color w:val="auto"/>
              </w:rPr>
              <w:t>Equity companies</w:t>
            </w:r>
          </w:p>
        </w:tc>
        <w:tc>
          <w:tcPr>
            <w:tcW w:w="820" w:type="dxa"/>
            <w:vAlign w:val="bottom"/>
            <w:tcBorders>
              <w:bottom w:val="single" w:sz="8" w:color="0C479D"/>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0C479D"/>
            </w:tcBorders>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120" w:type="dxa"/>
            <w:vAlign w:val="bottom"/>
            <w:tcBorders>
              <w:bottom w:val="single" w:sz="8" w:color="0C479D"/>
            </w:tcBorders>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0C479D"/>
            </w:tcBorders>
          </w:tcPr>
          <w:p>
            <w:pPr>
              <w:jc w:val="right"/>
              <w:ind w:right="40"/>
              <w:spacing w:after="0"/>
              <w:rPr>
                <w:sz w:val="20"/>
                <w:szCs w:val="20"/>
                <w:color w:val="auto"/>
              </w:rPr>
            </w:pPr>
            <w:r>
              <w:rPr>
                <w:rFonts w:ascii="Times New Roman" w:cs="Times New Roman" w:eastAsia="Times New Roman" w:hAnsi="Times New Roman"/>
                <w:sz w:val="16"/>
                <w:szCs w:val="16"/>
                <w:color w:val="auto"/>
              </w:rPr>
              <w:t>7,289</w:t>
            </w:r>
          </w:p>
        </w:tc>
        <w:tc>
          <w:tcPr>
            <w:tcW w:w="960" w:type="dxa"/>
            <w:vAlign w:val="bottom"/>
            <w:tcBorders>
              <w:bottom w:val="single" w:sz="8" w:color="0C479D"/>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7,343</w:t>
            </w:r>
          </w:p>
        </w:tc>
        <w:tc>
          <w:tcPr>
            <w:tcW w:w="1600" w:type="dxa"/>
            <w:vAlign w:val="bottom"/>
            <w:tcBorders>
              <w:bottom w:val="single" w:sz="8" w:color="0C479D"/>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1,968</w:t>
            </w:r>
          </w:p>
        </w:tc>
        <w:tc>
          <w:tcPr>
            <w:tcW w:w="0" w:type="dxa"/>
            <w:vAlign w:val="bottom"/>
          </w:tcPr>
          <w:p>
            <w:pPr>
              <w:spacing w:after="0"/>
              <w:rPr>
                <w:sz w:val="1"/>
                <w:szCs w:val="1"/>
                <w:color w:val="auto"/>
              </w:rPr>
            </w:pPr>
          </w:p>
        </w:tc>
      </w:tr>
      <w:tr>
        <w:trPr>
          <w:trHeight w:val="211"/>
        </w:trPr>
        <w:tc>
          <w:tcPr>
            <w:tcW w:w="370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proved reserves at December 31, 2022</w:t>
            </w:r>
          </w:p>
        </w:tc>
        <w:tc>
          <w:tcPr>
            <w:tcW w:w="820" w:type="dxa"/>
            <w:vAlign w:val="bottom"/>
            <w:tcBorders>
              <w:bottom w:val="single" w:sz="8" w:color="0C479D"/>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13,772</w:t>
            </w:r>
          </w:p>
        </w:tc>
        <w:tc>
          <w:tcPr>
            <w:tcW w:w="900" w:type="dxa"/>
            <w:vAlign w:val="bottom"/>
            <w:tcBorders>
              <w:bottom w:val="single" w:sz="8" w:color="0C479D"/>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708</w:t>
            </w:r>
          </w:p>
        </w:tc>
        <w:tc>
          <w:tcPr>
            <w:tcW w:w="7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793</w:t>
            </w:r>
          </w:p>
        </w:tc>
        <w:tc>
          <w:tcPr>
            <w:tcW w:w="1120" w:type="dxa"/>
            <w:vAlign w:val="bottom"/>
            <w:tcBorders>
              <w:bottom w:val="single" w:sz="8" w:color="0C479D"/>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975</w:t>
            </w:r>
          </w:p>
        </w:tc>
        <w:tc>
          <w:tcPr>
            <w:tcW w:w="600" w:type="dxa"/>
            <w:vAlign w:val="bottom"/>
            <w:tcBorders>
              <w:bottom w:val="single" w:sz="8" w:color="0C479D"/>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15,370</w:t>
            </w:r>
          </w:p>
        </w:tc>
        <w:tc>
          <w:tcPr>
            <w:tcW w:w="960" w:type="dxa"/>
            <w:vAlign w:val="bottom"/>
            <w:tcBorders>
              <w:bottom w:val="single" w:sz="8" w:color="0C479D"/>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6,008</w:t>
            </w:r>
          </w:p>
        </w:tc>
        <w:tc>
          <w:tcPr>
            <w:tcW w:w="7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37,626</w:t>
            </w:r>
          </w:p>
        </w:tc>
        <w:tc>
          <w:tcPr>
            <w:tcW w:w="1600" w:type="dxa"/>
            <w:vAlign w:val="bottom"/>
            <w:tcBorders>
              <w:bottom w:val="single" w:sz="8" w:color="0C479D"/>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17,742</w:t>
            </w:r>
          </w:p>
        </w:tc>
        <w:tc>
          <w:tcPr>
            <w:tcW w:w="0" w:type="dxa"/>
            <w:vAlign w:val="bottom"/>
          </w:tcPr>
          <w:p>
            <w:pPr>
              <w:spacing w:after="0"/>
              <w:rPr>
                <w:sz w:val="1"/>
                <w:szCs w:val="1"/>
                <w:color w:val="auto"/>
              </w:rPr>
            </w:pPr>
          </w:p>
        </w:tc>
      </w:tr>
      <w:tr>
        <w:trPr>
          <w:trHeight w:val="462"/>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0C479D"/>
              </w:rPr>
              <w:t>As of December 31, 2023</w:t>
            </w: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Proved developed reserves</w:t>
            </w: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Consolidated subsidiaries</w:t>
            </w:r>
          </w:p>
        </w:tc>
        <w:tc>
          <w:tcPr>
            <w:tcW w:w="8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8,138</w:t>
            </w:r>
          </w:p>
        </w:tc>
        <w:tc>
          <w:tcPr>
            <w:tcW w:w="9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329</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12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220</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1,935</w:t>
            </w:r>
          </w:p>
        </w:tc>
        <w:tc>
          <w:tcPr>
            <w:tcW w:w="9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3,163</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14,092</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9,327</w:t>
            </w:r>
          </w:p>
        </w:tc>
        <w:tc>
          <w:tcPr>
            <w:tcW w:w="0" w:type="dxa"/>
            <w:vAlign w:val="bottom"/>
          </w:tcPr>
          <w:p>
            <w:pPr>
              <w:spacing w:after="0"/>
              <w:rPr>
                <w:sz w:val="1"/>
                <w:szCs w:val="1"/>
                <w:color w:val="auto"/>
              </w:rPr>
            </w:pPr>
          </w:p>
        </w:tc>
      </w:tr>
      <w:tr>
        <w:trPr>
          <w:trHeight w:val="216"/>
        </w:trPr>
        <w:tc>
          <w:tcPr>
            <w:tcW w:w="3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Equity companies</w:t>
            </w:r>
          </w:p>
        </w:tc>
        <w:tc>
          <w:tcPr>
            <w:tcW w:w="8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57</w:t>
            </w:r>
          </w:p>
        </w:tc>
        <w:tc>
          <w:tcPr>
            <w:tcW w:w="9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12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780</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4,223</w:t>
            </w:r>
          </w:p>
        </w:tc>
        <w:tc>
          <w:tcPr>
            <w:tcW w:w="9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1,349</w:t>
            </w:r>
          </w:p>
        </w:tc>
        <w:tc>
          <w:tcPr>
            <w:tcW w:w="0" w:type="dxa"/>
            <w:vAlign w:val="bottom"/>
          </w:tcPr>
          <w:p>
            <w:pPr>
              <w:spacing w:after="0"/>
              <w:rPr>
                <w:sz w:val="1"/>
                <w:szCs w:val="1"/>
                <w:color w:val="auto"/>
              </w:rPr>
            </w:pP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Proved undeveloped reserves</w:t>
            </w: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Consolidated subsidiaries</w:t>
            </w:r>
          </w:p>
        </w:tc>
        <w:tc>
          <w:tcPr>
            <w:tcW w:w="8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4,125</w:t>
            </w:r>
          </w:p>
        </w:tc>
        <w:tc>
          <w:tcPr>
            <w:tcW w:w="9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191</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859</w:t>
            </w:r>
          </w:p>
        </w:tc>
        <w:tc>
          <w:tcPr>
            <w:tcW w:w="9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2,695</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4,389</w:t>
            </w:r>
          </w:p>
        </w:tc>
        <w:tc>
          <w:tcPr>
            <w:tcW w:w="0" w:type="dxa"/>
            <w:vAlign w:val="bottom"/>
          </w:tcPr>
          <w:p>
            <w:pPr>
              <w:spacing w:after="0"/>
              <w:rPr>
                <w:sz w:val="1"/>
                <w:szCs w:val="1"/>
                <w:color w:val="auto"/>
              </w:rPr>
            </w:pPr>
          </w:p>
        </w:tc>
      </w:tr>
      <w:tr>
        <w:trPr>
          <w:trHeight w:val="219"/>
        </w:trPr>
        <w:tc>
          <w:tcPr>
            <w:tcW w:w="3700" w:type="dxa"/>
            <w:vAlign w:val="bottom"/>
            <w:tcBorders>
              <w:bottom w:val="single" w:sz="8" w:color="0C479D"/>
            </w:tcBorders>
          </w:tcPr>
          <w:p>
            <w:pPr>
              <w:ind w:left="120"/>
              <w:spacing w:after="0"/>
              <w:rPr>
                <w:sz w:val="20"/>
                <w:szCs w:val="20"/>
                <w:color w:val="auto"/>
              </w:rPr>
            </w:pPr>
            <w:r>
              <w:rPr>
                <w:rFonts w:ascii="Times New Roman" w:cs="Times New Roman" w:eastAsia="Times New Roman" w:hAnsi="Times New Roman"/>
                <w:sz w:val="16"/>
                <w:szCs w:val="16"/>
                <w:color w:val="auto"/>
              </w:rPr>
              <w:t>Equity companies</w:t>
            </w:r>
          </w:p>
        </w:tc>
        <w:tc>
          <w:tcPr>
            <w:tcW w:w="820" w:type="dxa"/>
            <w:vAlign w:val="bottom"/>
            <w:tcBorders>
              <w:bottom w:val="single" w:sz="8" w:color="0C479D"/>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0C479D"/>
            </w:tcBorders>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120" w:type="dxa"/>
            <w:vAlign w:val="bottom"/>
            <w:tcBorders>
              <w:bottom w:val="single" w:sz="8" w:color="0C479D"/>
            </w:tcBorders>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0C479D"/>
            </w:tcBorders>
          </w:tcPr>
          <w:p>
            <w:pPr>
              <w:jc w:val="right"/>
              <w:ind w:right="40"/>
              <w:spacing w:after="0"/>
              <w:rPr>
                <w:sz w:val="20"/>
                <w:szCs w:val="20"/>
                <w:color w:val="auto"/>
              </w:rPr>
            </w:pPr>
            <w:r>
              <w:rPr>
                <w:rFonts w:ascii="Times New Roman" w:cs="Times New Roman" w:eastAsia="Times New Roman" w:hAnsi="Times New Roman"/>
                <w:sz w:val="16"/>
                <w:szCs w:val="16"/>
                <w:color w:val="auto"/>
              </w:rPr>
              <w:t>7,098</w:t>
            </w:r>
          </w:p>
        </w:tc>
        <w:tc>
          <w:tcPr>
            <w:tcW w:w="960" w:type="dxa"/>
            <w:vAlign w:val="bottom"/>
            <w:tcBorders>
              <w:bottom w:val="single" w:sz="8" w:color="0C479D"/>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7,152</w:t>
            </w:r>
          </w:p>
        </w:tc>
        <w:tc>
          <w:tcPr>
            <w:tcW w:w="1600" w:type="dxa"/>
            <w:vAlign w:val="bottom"/>
            <w:tcBorders>
              <w:bottom w:val="single" w:sz="8" w:color="0C479D"/>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1,863</w:t>
            </w:r>
          </w:p>
        </w:tc>
        <w:tc>
          <w:tcPr>
            <w:tcW w:w="0" w:type="dxa"/>
            <w:vAlign w:val="bottom"/>
          </w:tcPr>
          <w:p>
            <w:pPr>
              <w:spacing w:after="0"/>
              <w:rPr>
                <w:sz w:val="1"/>
                <w:szCs w:val="1"/>
                <w:color w:val="auto"/>
              </w:rPr>
            </w:pPr>
          </w:p>
        </w:tc>
      </w:tr>
      <w:tr>
        <w:trPr>
          <w:trHeight w:val="211"/>
        </w:trPr>
        <w:tc>
          <w:tcPr>
            <w:tcW w:w="370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proved reserves at December 31, 2023</w:t>
            </w:r>
          </w:p>
        </w:tc>
        <w:tc>
          <w:tcPr>
            <w:tcW w:w="820" w:type="dxa"/>
            <w:vAlign w:val="bottom"/>
            <w:tcBorders>
              <w:bottom w:val="single" w:sz="8" w:color="0C479D"/>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12,320</w:t>
            </w:r>
          </w:p>
        </w:tc>
        <w:tc>
          <w:tcPr>
            <w:tcW w:w="900" w:type="dxa"/>
            <w:vAlign w:val="bottom"/>
            <w:tcBorders>
              <w:bottom w:val="single" w:sz="8" w:color="0C479D"/>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520</w:t>
            </w:r>
          </w:p>
        </w:tc>
        <w:tc>
          <w:tcPr>
            <w:tcW w:w="7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651</w:t>
            </w:r>
          </w:p>
        </w:tc>
        <w:tc>
          <w:tcPr>
            <w:tcW w:w="1120" w:type="dxa"/>
            <w:vAlign w:val="bottom"/>
            <w:tcBorders>
              <w:bottom w:val="single" w:sz="8" w:color="0C479D"/>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1,000</w:t>
            </w:r>
          </w:p>
        </w:tc>
        <w:tc>
          <w:tcPr>
            <w:tcW w:w="600" w:type="dxa"/>
            <w:vAlign w:val="bottom"/>
            <w:tcBorders>
              <w:bottom w:val="single" w:sz="8" w:color="0C479D"/>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14,115</w:t>
            </w:r>
          </w:p>
        </w:tc>
        <w:tc>
          <w:tcPr>
            <w:tcW w:w="960" w:type="dxa"/>
            <w:vAlign w:val="bottom"/>
            <w:tcBorders>
              <w:bottom w:val="single" w:sz="8" w:color="0C479D"/>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5,858</w:t>
            </w:r>
          </w:p>
        </w:tc>
        <w:tc>
          <w:tcPr>
            <w:tcW w:w="7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34,464</w:t>
            </w:r>
          </w:p>
        </w:tc>
        <w:tc>
          <w:tcPr>
            <w:tcW w:w="1600" w:type="dxa"/>
            <w:vAlign w:val="bottom"/>
            <w:tcBorders>
              <w:bottom w:val="single" w:sz="8" w:color="0C479D"/>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16,928</w:t>
            </w:r>
          </w:p>
        </w:tc>
        <w:tc>
          <w:tcPr>
            <w:tcW w:w="0" w:type="dxa"/>
            <w:vAlign w:val="bottom"/>
          </w:tcPr>
          <w:p>
            <w:pPr>
              <w:spacing w:after="0"/>
              <w:rPr>
                <w:sz w:val="1"/>
                <w:szCs w:val="1"/>
                <w:color w:val="auto"/>
              </w:rPr>
            </w:pPr>
          </w:p>
        </w:tc>
      </w:tr>
      <w:tr>
        <w:trPr>
          <w:trHeight w:val="462"/>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0C479D"/>
              </w:rPr>
              <w:t>As of December 31, 2024</w:t>
            </w: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Proved developed reserves</w:t>
            </w: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Consolidated subsidiaries</w:t>
            </w:r>
          </w:p>
        </w:tc>
        <w:tc>
          <w:tcPr>
            <w:tcW w:w="8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11,671</w:t>
            </w:r>
          </w:p>
        </w:tc>
        <w:tc>
          <w:tcPr>
            <w:tcW w:w="9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296</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12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93</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1,900</w:t>
            </w:r>
          </w:p>
        </w:tc>
        <w:tc>
          <w:tcPr>
            <w:tcW w:w="9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3,204</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17,570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11,118</w:t>
            </w:r>
          </w:p>
        </w:tc>
        <w:tc>
          <w:tcPr>
            <w:tcW w:w="0" w:type="dxa"/>
            <w:vAlign w:val="bottom"/>
          </w:tcPr>
          <w:p>
            <w:pPr>
              <w:spacing w:after="0"/>
              <w:rPr>
                <w:sz w:val="1"/>
                <w:szCs w:val="1"/>
                <w:color w:val="auto"/>
              </w:rPr>
            </w:pPr>
          </w:p>
        </w:tc>
      </w:tr>
      <w:tr>
        <w:trPr>
          <w:trHeight w:val="216"/>
        </w:trPr>
        <w:tc>
          <w:tcPr>
            <w:tcW w:w="3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Equity companies</w:t>
            </w:r>
          </w:p>
        </w:tc>
        <w:tc>
          <w:tcPr>
            <w:tcW w:w="8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47</w:t>
            </w:r>
          </w:p>
        </w:tc>
        <w:tc>
          <w:tcPr>
            <w:tcW w:w="9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12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816</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4,242</w:t>
            </w:r>
          </w:p>
        </w:tc>
        <w:tc>
          <w:tcPr>
            <w:tcW w:w="9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5,367</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1,481</w:t>
            </w:r>
          </w:p>
        </w:tc>
        <w:tc>
          <w:tcPr>
            <w:tcW w:w="0" w:type="dxa"/>
            <w:vAlign w:val="bottom"/>
          </w:tcPr>
          <w:p>
            <w:pPr>
              <w:spacing w:after="0"/>
              <w:rPr>
                <w:sz w:val="1"/>
                <w:szCs w:val="1"/>
                <w:color w:val="auto"/>
              </w:rPr>
            </w:pPr>
          </w:p>
        </w:tc>
      </w:tr>
      <w:tr>
        <w:trPr>
          <w:trHeight w:val="216"/>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Proved undeveloped reserves</w:t>
            </w:r>
          </w:p>
        </w:tc>
        <w:tc>
          <w:tcPr>
            <w:tcW w:w="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Consolidated subsidiaries</w:t>
            </w:r>
          </w:p>
        </w:tc>
        <w:tc>
          <w:tcPr>
            <w:tcW w:w="82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5,172</w:t>
            </w:r>
          </w:p>
        </w:tc>
        <w:tc>
          <w:tcPr>
            <w:tcW w:w="9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245</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2</w:t>
            </w:r>
          </w:p>
        </w:tc>
        <w:tc>
          <w:tcPr>
            <w:tcW w:w="6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640</w:t>
            </w:r>
          </w:p>
        </w:tc>
        <w:tc>
          <w:tcPr>
            <w:tcW w:w="9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2,275</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8,334</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5,838</w:t>
            </w:r>
          </w:p>
        </w:tc>
        <w:tc>
          <w:tcPr>
            <w:tcW w:w="0" w:type="dxa"/>
            <w:vAlign w:val="bottom"/>
          </w:tcPr>
          <w:p>
            <w:pPr>
              <w:spacing w:after="0"/>
              <w:rPr>
                <w:sz w:val="1"/>
                <w:szCs w:val="1"/>
                <w:color w:val="auto"/>
              </w:rPr>
            </w:pPr>
          </w:p>
        </w:tc>
      </w:tr>
      <w:tr>
        <w:trPr>
          <w:trHeight w:val="219"/>
        </w:trPr>
        <w:tc>
          <w:tcPr>
            <w:tcW w:w="3700" w:type="dxa"/>
            <w:vAlign w:val="bottom"/>
            <w:tcBorders>
              <w:bottom w:val="single" w:sz="8" w:color="0C479D"/>
            </w:tcBorders>
          </w:tcPr>
          <w:p>
            <w:pPr>
              <w:ind w:left="120"/>
              <w:spacing w:after="0"/>
              <w:rPr>
                <w:sz w:val="20"/>
                <w:szCs w:val="20"/>
                <w:color w:val="auto"/>
              </w:rPr>
            </w:pPr>
            <w:r>
              <w:rPr>
                <w:rFonts w:ascii="Times New Roman" w:cs="Times New Roman" w:eastAsia="Times New Roman" w:hAnsi="Times New Roman"/>
                <w:sz w:val="16"/>
                <w:szCs w:val="16"/>
                <w:color w:val="auto"/>
              </w:rPr>
              <w:t>Equity companies</w:t>
            </w:r>
          </w:p>
        </w:tc>
        <w:tc>
          <w:tcPr>
            <w:tcW w:w="820" w:type="dxa"/>
            <w:vAlign w:val="bottom"/>
            <w:tcBorders>
              <w:bottom w:val="single" w:sz="8" w:color="0C479D"/>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0C479D"/>
            </w:tcBorders>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120" w:type="dxa"/>
            <w:vAlign w:val="bottom"/>
            <w:tcBorders>
              <w:bottom w:val="single" w:sz="8" w:color="0C479D"/>
            </w:tcBorders>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0C479D"/>
            </w:tcBorders>
          </w:tcPr>
          <w:p>
            <w:pPr>
              <w:jc w:val="right"/>
              <w:ind w:right="40"/>
              <w:spacing w:after="0"/>
              <w:rPr>
                <w:sz w:val="20"/>
                <w:szCs w:val="20"/>
                <w:color w:val="auto"/>
              </w:rPr>
            </w:pPr>
            <w:r>
              <w:rPr>
                <w:rFonts w:ascii="Times New Roman" w:cs="Times New Roman" w:eastAsia="Times New Roman" w:hAnsi="Times New Roman"/>
                <w:sz w:val="16"/>
                <w:szCs w:val="16"/>
                <w:color w:val="auto"/>
              </w:rPr>
              <w:t>6,224</w:t>
            </w:r>
          </w:p>
        </w:tc>
        <w:tc>
          <w:tcPr>
            <w:tcW w:w="960" w:type="dxa"/>
            <w:vAlign w:val="bottom"/>
            <w:tcBorders>
              <w:bottom w:val="single" w:sz="8" w:color="0C479D"/>
            </w:tcBorders>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color w:val="auto"/>
              </w:rPr>
              <w:t>6,278</w:t>
            </w:r>
          </w:p>
        </w:tc>
        <w:tc>
          <w:tcPr>
            <w:tcW w:w="1600" w:type="dxa"/>
            <w:vAlign w:val="bottom"/>
            <w:tcBorders>
              <w:bottom w:val="single" w:sz="8" w:color="0C479D"/>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1,512</w:t>
            </w:r>
          </w:p>
        </w:tc>
        <w:tc>
          <w:tcPr>
            <w:tcW w:w="0" w:type="dxa"/>
            <w:vAlign w:val="bottom"/>
          </w:tcPr>
          <w:p>
            <w:pPr>
              <w:spacing w:after="0"/>
              <w:rPr>
                <w:sz w:val="1"/>
                <w:szCs w:val="1"/>
                <w:color w:val="auto"/>
              </w:rPr>
            </w:pPr>
          </w:p>
        </w:tc>
      </w:tr>
      <w:tr>
        <w:trPr>
          <w:trHeight w:val="220"/>
        </w:trPr>
        <w:tc>
          <w:tcPr>
            <w:tcW w:w="370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proved reserves at December 31, 2024</w:t>
            </w:r>
          </w:p>
        </w:tc>
        <w:tc>
          <w:tcPr>
            <w:tcW w:w="820" w:type="dxa"/>
            <w:vAlign w:val="bottom"/>
            <w:tcBorders>
              <w:bottom w:val="single" w:sz="8" w:color="0C479D"/>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16,890</w:t>
            </w:r>
          </w:p>
        </w:tc>
        <w:tc>
          <w:tcPr>
            <w:tcW w:w="900" w:type="dxa"/>
            <w:vAlign w:val="bottom"/>
            <w:tcBorders>
              <w:bottom w:val="single" w:sz="8" w:color="0C479D"/>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rPr>
              <w:t>541</w:t>
            </w:r>
          </w:p>
        </w:tc>
        <w:tc>
          <w:tcPr>
            <w:tcW w:w="7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722</w:t>
            </w:r>
          </w:p>
        </w:tc>
        <w:tc>
          <w:tcPr>
            <w:tcW w:w="1120" w:type="dxa"/>
            <w:vAlign w:val="bottom"/>
            <w:tcBorders>
              <w:bottom w:val="single" w:sz="8" w:color="0C479D"/>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911</w:t>
            </w:r>
          </w:p>
        </w:tc>
        <w:tc>
          <w:tcPr>
            <w:tcW w:w="600" w:type="dxa"/>
            <w:vAlign w:val="bottom"/>
            <w:tcBorders>
              <w:bottom w:val="single" w:sz="8" w:color="0C479D"/>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13,006</w:t>
            </w:r>
          </w:p>
        </w:tc>
        <w:tc>
          <w:tcPr>
            <w:tcW w:w="960" w:type="dxa"/>
            <w:vAlign w:val="bottom"/>
            <w:tcBorders>
              <w:bottom w:val="single" w:sz="8" w:color="0C479D"/>
            </w:tcBorders>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5,479</w:t>
            </w:r>
          </w:p>
        </w:tc>
        <w:tc>
          <w:tcPr>
            <w:tcW w:w="7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37,549</w:t>
            </w:r>
          </w:p>
        </w:tc>
        <w:tc>
          <w:tcPr>
            <w:tcW w:w="1600" w:type="dxa"/>
            <w:vAlign w:val="bottom"/>
            <w:tcBorders>
              <w:bottom w:val="single" w:sz="8" w:color="0C479D"/>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19,949</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60" w:hanging="141"/>
        <w:spacing w:after="0"/>
        <w:tabs>
          <w:tab w:leader="none" w:pos="160" w:val="left"/>
        </w:tabs>
        <w:numPr>
          <w:ilvl w:val="0"/>
          <w:numId w:val="73"/>
        </w:numPr>
        <w:rPr>
          <w:rFonts w:ascii="Times New Roman" w:cs="Times New Roman" w:eastAsia="Times New Roman" w:hAnsi="Times New Roman"/>
          <w:sz w:val="18"/>
          <w:szCs w:val="18"/>
          <w:i w:val="1"/>
          <w:iCs w:val="1"/>
          <w:color w:val="auto"/>
          <w:vertAlign w:val="superscript"/>
        </w:rPr>
      </w:pPr>
      <w:r>
        <w:rPr>
          <w:rFonts w:ascii="Times New Roman" w:cs="Times New Roman" w:eastAsia="Times New Roman" w:hAnsi="Times New Roman"/>
          <w:sz w:val="14"/>
          <w:szCs w:val="14"/>
          <w:i w:val="1"/>
          <w:iCs w:val="1"/>
          <w:color w:val="auto"/>
        </w:rPr>
        <w:t>Natural gas is converted to an oil-equivalent basis at six billion cubic feet per one million barrels.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42" w:right="3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color w:val="0C479D"/>
        </w:rPr>
        <w:t>Standardized Measure of Discounted Future Cash Flows</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required by the Financial Accounting Standards Board, the standardized measure of discounted future net cash flows is computed by applying first-day-of-the-month average prices, year-end costs and legislated tax rates, and a discount factor of 10 percent to net proved reserves. The standardized measure includes costs for future dismantlement, abandonment, and rehabilitation obligations. The Corporation believes the standardized measure does not provide a reliable estimate of the Corporation’s expected future cash flows to be obtained from the development and production of its oil and gas properties or of the value of its proved oil and gas reserves. The standardized measure is prepared on the basis of certain prescribed assumptions, including first-day-of-the-month average prices, which represent discrete points in time and therefore may cause significant variability in cash flows from year to year as prices change.</w:t>
      </w:r>
    </w:p>
    <w:p>
      <w:pPr>
        <w:spacing w:after="0" w:line="112"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3980" w:type="dxa"/>
            <w:vAlign w:val="bottom"/>
            <w:shd w:val="clear" w:color="auto" w:fill="0C479D"/>
          </w:tcPr>
          <w:p>
            <w:pPr>
              <w:ind w:left="20"/>
              <w:spacing w:after="0"/>
              <w:rPr>
                <w:sz w:val="20"/>
                <w:szCs w:val="20"/>
                <w:color w:val="auto"/>
              </w:rPr>
            </w:pPr>
            <w:r>
              <w:rPr>
                <w:rFonts w:ascii="Times New Roman" w:cs="Times New Roman" w:eastAsia="Times New Roman" w:hAnsi="Times New Roman"/>
                <w:sz w:val="18"/>
                <w:szCs w:val="18"/>
                <w:b w:val="1"/>
                <w:bCs w:val="1"/>
                <w:color w:val="FFFFFF"/>
              </w:rPr>
              <w:t>Standardized Measure of Discounted</w:t>
            </w:r>
          </w:p>
        </w:tc>
        <w:tc>
          <w:tcPr>
            <w:tcW w:w="1140" w:type="dxa"/>
            <w:vAlign w:val="bottom"/>
            <w:vMerge w:val="restart"/>
            <w:shd w:val="clear" w:color="auto" w:fill="0C479D"/>
          </w:tcPr>
          <w:p>
            <w:pPr>
              <w:jc w:val="right"/>
              <w:ind w:right="11"/>
              <w:spacing w:after="0"/>
              <w:rPr>
                <w:sz w:val="20"/>
                <w:szCs w:val="20"/>
                <w:color w:val="auto"/>
              </w:rPr>
            </w:pPr>
            <w:r>
              <w:rPr>
                <w:rFonts w:ascii="Times New Roman" w:cs="Times New Roman" w:eastAsia="Times New Roman" w:hAnsi="Times New Roman"/>
                <w:sz w:val="14"/>
                <w:szCs w:val="14"/>
                <w:b w:val="1"/>
                <w:bCs w:val="1"/>
                <w:color w:val="FFFFFF"/>
              </w:rPr>
              <w:t>United States</w:t>
            </w:r>
          </w:p>
        </w:tc>
        <w:tc>
          <w:tcPr>
            <w:tcW w:w="1200" w:type="dxa"/>
            <w:vAlign w:val="bottom"/>
            <w:shd w:val="clear" w:color="auto" w:fill="0C479D"/>
          </w:tcPr>
          <w:p>
            <w:pPr>
              <w:jc w:val="right"/>
              <w:ind w:right="112"/>
              <w:spacing w:after="0"/>
              <w:rPr>
                <w:sz w:val="20"/>
                <w:szCs w:val="20"/>
                <w:color w:val="auto"/>
              </w:rPr>
            </w:pPr>
            <w:r>
              <w:rPr>
                <w:rFonts w:ascii="Times New Roman" w:cs="Times New Roman" w:eastAsia="Times New Roman" w:hAnsi="Times New Roman"/>
                <w:sz w:val="14"/>
                <w:szCs w:val="14"/>
                <w:b w:val="1"/>
                <w:bCs w:val="1"/>
                <w:color w:val="FFFFFF"/>
              </w:rPr>
              <w:t>Canada/Other</w:t>
            </w:r>
          </w:p>
        </w:tc>
        <w:tc>
          <w:tcPr>
            <w:tcW w:w="1020" w:type="dxa"/>
            <w:vAlign w:val="bottom"/>
            <w:vMerge w:val="restart"/>
            <w:shd w:val="clear" w:color="auto" w:fill="0C479D"/>
          </w:tcPr>
          <w:p>
            <w:pPr>
              <w:jc w:val="right"/>
              <w:ind w:right="291"/>
              <w:spacing w:after="0"/>
              <w:rPr>
                <w:sz w:val="20"/>
                <w:szCs w:val="20"/>
                <w:color w:val="auto"/>
              </w:rPr>
            </w:pPr>
            <w:r>
              <w:rPr>
                <w:rFonts w:ascii="Times New Roman" w:cs="Times New Roman" w:eastAsia="Times New Roman" w:hAnsi="Times New Roman"/>
                <w:sz w:val="14"/>
                <w:szCs w:val="14"/>
                <w:b w:val="1"/>
                <w:bCs w:val="1"/>
                <w:color w:val="FFFFFF"/>
              </w:rPr>
              <w:t>Europe</w:t>
            </w:r>
          </w:p>
        </w:tc>
        <w:tc>
          <w:tcPr>
            <w:tcW w:w="1000" w:type="dxa"/>
            <w:vAlign w:val="bottom"/>
            <w:vMerge w:val="restart"/>
            <w:shd w:val="clear" w:color="auto" w:fill="0C479D"/>
          </w:tcPr>
          <w:p>
            <w:pPr>
              <w:jc w:val="right"/>
              <w:ind w:right="311"/>
              <w:spacing w:after="0"/>
              <w:rPr>
                <w:sz w:val="20"/>
                <w:szCs w:val="20"/>
                <w:color w:val="auto"/>
              </w:rPr>
            </w:pPr>
            <w:r>
              <w:rPr>
                <w:rFonts w:ascii="Times New Roman" w:cs="Times New Roman" w:eastAsia="Times New Roman" w:hAnsi="Times New Roman"/>
                <w:sz w:val="14"/>
                <w:szCs w:val="14"/>
                <w:b w:val="1"/>
                <w:bCs w:val="1"/>
                <w:color w:val="FFFFFF"/>
              </w:rPr>
              <w:t>Africa</w:t>
            </w:r>
          </w:p>
        </w:tc>
        <w:tc>
          <w:tcPr>
            <w:tcW w:w="940" w:type="dxa"/>
            <w:vAlign w:val="bottom"/>
            <w:vMerge w:val="restart"/>
            <w:shd w:val="clear" w:color="auto" w:fill="0C479D"/>
          </w:tcPr>
          <w:p>
            <w:pPr>
              <w:jc w:val="right"/>
              <w:ind w:right="311"/>
              <w:spacing w:after="0"/>
              <w:rPr>
                <w:sz w:val="20"/>
                <w:szCs w:val="20"/>
                <w:color w:val="auto"/>
              </w:rPr>
            </w:pPr>
            <w:r>
              <w:rPr>
                <w:rFonts w:ascii="Times New Roman" w:cs="Times New Roman" w:eastAsia="Times New Roman" w:hAnsi="Times New Roman"/>
                <w:sz w:val="14"/>
                <w:szCs w:val="14"/>
                <w:b w:val="1"/>
                <w:bCs w:val="1"/>
                <w:color w:val="FFFFFF"/>
              </w:rPr>
              <w:t>Asia</w:t>
            </w:r>
          </w:p>
        </w:tc>
        <w:tc>
          <w:tcPr>
            <w:tcW w:w="980" w:type="dxa"/>
            <w:vAlign w:val="bottom"/>
            <w:shd w:val="clear" w:color="auto" w:fill="0C479D"/>
          </w:tcPr>
          <w:p>
            <w:pPr>
              <w:jc w:val="right"/>
              <w:ind w:right="132"/>
              <w:spacing w:after="0"/>
              <w:rPr>
                <w:sz w:val="20"/>
                <w:szCs w:val="20"/>
                <w:color w:val="auto"/>
              </w:rPr>
            </w:pPr>
            <w:r>
              <w:rPr>
                <w:rFonts w:ascii="Times New Roman" w:cs="Times New Roman" w:eastAsia="Times New Roman" w:hAnsi="Times New Roman"/>
                <w:sz w:val="14"/>
                <w:szCs w:val="14"/>
                <w:b w:val="1"/>
                <w:bCs w:val="1"/>
                <w:color w:val="FFFFFF"/>
              </w:rPr>
              <w:t>Australia/</w:t>
            </w:r>
          </w:p>
        </w:tc>
        <w:tc>
          <w:tcPr>
            <w:tcW w:w="940" w:type="dxa"/>
            <w:vAlign w:val="bottom"/>
            <w:vMerge w:val="restart"/>
            <w:shd w:val="clear" w:color="auto" w:fill="0C479D"/>
          </w:tcPr>
          <w:p>
            <w:pPr>
              <w:jc w:val="right"/>
              <w:ind w:right="211"/>
              <w:spacing w:after="0"/>
              <w:rPr>
                <w:sz w:val="20"/>
                <w:szCs w:val="20"/>
                <w:color w:val="auto"/>
              </w:rPr>
            </w:pPr>
            <w:r>
              <w:rPr>
                <w:rFonts w:ascii="Times New Roman" w:cs="Times New Roman" w:eastAsia="Times New Roman" w:hAnsi="Times New Roman"/>
                <w:sz w:val="14"/>
                <w:szCs w:val="14"/>
                <w:b w:val="1"/>
                <w:bCs w:val="1"/>
                <w:color w:val="FFFFFF"/>
              </w:rPr>
              <w:t>Total</w:t>
            </w:r>
          </w:p>
        </w:tc>
        <w:tc>
          <w:tcPr>
            <w:tcW w:w="0" w:type="dxa"/>
            <w:vAlign w:val="bottom"/>
          </w:tcPr>
          <w:p>
            <w:pPr>
              <w:spacing w:after="0"/>
              <w:rPr>
                <w:sz w:val="1"/>
                <w:szCs w:val="1"/>
                <w:color w:val="auto"/>
              </w:rPr>
            </w:pPr>
          </w:p>
        </w:tc>
      </w:tr>
      <w:tr>
        <w:trPr>
          <w:trHeight w:val="135"/>
        </w:trPr>
        <w:tc>
          <w:tcPr>
            <w:tcW w:w="3980" w:type="dxa"/>
            <w:vAlign w:val="bottom"/>
            <w:shd w:val="clear" w:color="auto" w:fill="0C479D"/>
          </w:tcPr>
          <w:p>
            <w:pPr>
              <w:ind w:left="20"/>
              <w:spacing w:after="0" w:line="135" w:lineRule="exact"/>
              <w:rPr>
                <w:sz w:val="20"/>
                <w:szCs w:val="20"/>
                <w:color w:val="auto"/>
              </w:rPr>
            </w:pPr>
            <w:r>
              <w:rPr>
                <w:rFonts w:ascii="Times New Roman" w:cs="Times New Roman" w:eastAsia="Times New Roman" w:hAnsi="Times New Roman"/>
                <w:sz w:val="15"/>
                <w:szCs w:val="15"/>
                <w:b w:val="1"/>
                <w:bCs w:val="1"/>
                <w:color w:val="FFFFFF"/>
              </w:rPr>
              <w:t>Future Cash Flows</w:t>
            </w:r>
          </w:p>
        </w:tc>
        <w:tc>
          <w:tcPr>
            <w:tcW w:w="1140" w:type="dxa"/>
            <w:vAlign w:val="bottom"/>
            <w:vMerge w:val="continue"/>
            <w:shd w:val="clear" w:color="auto" w:fill="0C479D"/>
          </w:tcPr>
          <w:p>
            <w:pPr>
              <w:spacing w:after="0"/>
              <w:rPr>
                <w:sz w:val="11"/>
                <w:szCs w:val="11"/>
                <w:color w:val="auto"/>
              </w:rPr>
            </w:pPr>
          </w:p>
        </w:tc>
        <w:tc>
          <w:tcPr>
            <w:tcW w:w="1200" w:type="dxa"/>
            <w:vAlign w:val="bottom"/>
            <w:shd w:val="clear" w:color="auto" w:fill="0C479D"/>
          </w:tcPr>
          <w:p>
            <w:pPr>
              <w:jc w:val="right"/>
              <w:ind w:right="192"/>
              <w:spacing w:after="0" w:line="135" w:lineRule="exact"/>
              <w:rPr>
                <w:sz w:val="20"/>
                <w:szCs w:val="20"/>
                <w:color w:val="auto"/>
              </w:rPr>
            </w:pPr>
            <w:r>
              <w:rPr>
                <w:rFonts w:ascii="Times New Roman" w:cs="Times New Roman" w:eastAsia="Times New Roman" w:hAnsi="Times New Roman"/>
                <w:sz w:val="14"/>
                <w:szCs w:val="14"/>
                <w:b w:val="1"/>
                <w:bCs w:val="1"/>
                <w:color w:val="FFFFFF"/>
              </w:rPr>
              <w:t xml:space="preserve">Americas </w:t>
            </w:r>
            <w:r>
              <w:rPr>
                <w:rFonts w:ascii="Times New Roman" w:cs="Times New Roman" w:eastAsia="Times New Roman" w:hAnsi="Times New Roman"/>
                <w:sz w:val="9"/>
                <w:szCs w:val="9"/>
                <w:i w:val="1"/>
                <w:iCs w:val="1"/>
                <w:color w:val="FFFFFF"/>
              </w:rPr>
              <w:t>(1)</w:t>
            </w:r>
          </w:p>
        </w:tc>
        <w:tc>
          <w:tcPr>
            <w:tcW w:w="1020" w:type="dxa"/>
            <w:vAlign w:val="bottom"/>
            <w:vMerge w:val="continue"/>
            <w:shd w:val="clear" w:color="auto" w:fill="0C479D"/>
          </w:tcPr>
          <w:p>
            <w:pPr>
              <w:spacing w:after="0"/>
              <w:rPr>
                <w:sz w:val="11"/>
                <w:szCs w:val="11"/>
                <w:color w:val="auto"/>
              </w:rPr>
            </w:pPr>
          </w:p>
        </w:tc>
        <w:tc>
          <w:tcPr>
            <w:tcW w:w="1000" w:type="dxa"/>
            <w:vAlign w:val="bottom"/>
            <w:vMerge w:val="continue"/>
            <w:shd w:val="clear" w:color="auto" w:fill="0C479D"/>
          </w:tcPr>
          <w:p>
            <w:pPr>
              <w:spacing w:after="0"/>
              <w:rPr>
                <w:sz w:val="11"/>
                <w:szCs w:val="11"/>
                <w:color w:val="auto"/>
              </w:rPr>
            </w:pPr>
          </w:p>
        </w:tc>
        <w:tc>
          <w:tcPr>
            <w:tcW w:w="940" w:type="dxa"/>
            <w:vAlign w:val="bottom"/>
            <w:vMerge w:val="continue"/>
            <w:shd w:val="clear" w:color="auto" w:fill="0C479D"/>
          </w:tcPr>
          <w:p>
            <w:pPr>
              <w:spacing w:after="0"/>
              <w:rPr>
                <w:sz w:val="11"/>
                <w:szCs w:val="11"/>
                <w:color w:val="auto"/>
              </w:rPr>
            </w:pPr>
          </w:p>
        </w:tc>
        <w:tc>
          <w:tcPr>
            <w:tcW w:w="980" w:type="dxa"/>
            <w:vAlign w:val="bottom"/>
            <w:shd w:val="clear" w:color="auto" w:fill="0C479D"/>
          </w:tcPr>
          <w:p>
            <w:pPr>
              <w:jc w:val="right"/>
              <w:ind w:right="192"/>
              <w:spacing w:after="0" w:line="135" w:lineRule="exact"/>
              <w:rPr>
                <w:sz w:val="20"/>
                <w:szCs w:val="20"/>
                <w:color w:val="auto"/>
              </w:rPr>
            </w:pPr>
            <w:r>
              <w:rPr>
                <w:rFonts w:ascii="Times New Roman" w:cs="Times New Roman" w:eastAsia="Times New Roman" w:hAnsi="Times New Roman"/>
                <w:sz w:val="14"/>
                <w:szCs w:val="14"/>
                <w:b w:val="1"/>
                <w:bCs w:val="1"/>
                <w:color w:val="FFFFFF"/>
              </w:rPr>
              <w:t>Oceania</w:t>
            </w:r>
          </w:p>
        </w:tc>
        <w:tc>
          <w:tcPr>
            <w:tcW w:w="940" w:type="dxa"/>
            <w:vAlign w:val="bottom"/>
            <w:vMerge w:val="continue"/>
            <w:shd w:val="clear" w:color="auto" w:fill="0C479D"/>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980" w:type="dxa"/>
            <w:vAlign w:val="bottom"/>
            <w:shd w:val="clear" w:color="auto" w:fill="0C479D"/>
          </w:tcPr>
          <w:p>
            <w:pPr>
              <w:ind w:left="20"/>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1140" w:type="dxa"/>
            <w:vAlign w:val="bottom"/>
            <w:shd w:val="clear" w:color="auto" w:fill="0C479D"/>
          </w:tcPr>
          <w:p>
            <w:pPr>
              <w:spacing w:after="0"/>
              <w:rPr>
                <w:sz w:val="15"/>
                <w:szCs w:val="15"/>
                <w:color w:val="auto"/>
              </w:rPr>
            </w:pPr>
          </w:p>
        </w:tc>
        <w:tc>
          <w:tcPr>
            <w:tcW w:w="1200" w:type="dxa"/>
            <w:vAlign w:val="bottom"/>
            <w:shd w:val="clear" w:color="auto" w:fill="0C479D"/>
          </w:tcPr>
          <w:p>
            <w:pPr>
              <w:spacing w:after="0"/>
              <w:rPr>
                <w:sz w:val="15"/>
                <w:szCs w:val="15"/>
                <w:color w:val="auto"/>
              </w:rPr>
            </w:pPr>
          </w:p>
        </w:tc>
        <w:tc>
          <w:tcPr>
            <w:tcW w:w="1020" w:type="dxa"/>
            <w:vAlign w:val="bottom"/>
            <w:shd w:val="clear" w:color="auto" w:fill="0C479D"/>
          </w:tcPr>
          <w:p>
            <w:pPr>
              <w:spacing w:after="0"/>
              <w:rPr>
                <w:sz w:val="15"/>
                <w:szCs w:val="15"/>
                <w:color w:val="auto"/>
              </w:rPr>
            </w:pPr>
          </w:p>
        </w:tc>
        <w:tc>
          <w:tcPr>
            <w:tcW w:w="1000" w:type="dxa"/>
            <w:vAlign w:val="bottom"/>
            <w:shd w:val="clear" w:color="auto" w:fill="0C479D"/>
          </w:tcPr>
          <w:p>
            <w:pPr>
              <w:spacing w:after="0"/>
              <w:rPr>
                <w:sz w:val="15"/>
                <w:szCs w:val="15"/>
                <w:color w:val="auto"/>
              </w:rPr>
            </w:pPr>
          </w:p>
        </w:tc>
        <w:tc>
          <w:tcPr>
            <w:tcW w:w="940" w:type="dxa"/>
            <w:vAlign w:val="bottom"/>
            <w:shd w:val="clear" w:color="auto" w:fill="0C479D"/>
          </w:tcPr>
          <w:p>
            <w:pPr>
              <w:spacing w:after="0"/>
              <w:rPr>
                <w:sz w:val="15"/>
                <w:szCs w:val="15"/>
                <w:color w:val="auto"/>
              </w:rPr>
            </w:pPr>
          </w:p>
        </w:tc>
        <w:tc>
          <w:tcPr>
            <w:tcW w:w="980" w:type="dxa"/>
            <w:vAlign w:val="bottom"/>
            <w:shd w:val="clear" w:color="auto" w:fill="0C479D"/>
          </w:tcPr>
          <w:p>
            <w:pPr>
              <w:spacing w:after="0"/>
              <w:rPr>
                <w:sz w:val="15"/>
                <w:szCs w:val="15"/>
                <w:color w:val="auto"/>
              </w:rPr>
            </w:pPr>
          </w:p>
        </w:tc>
        <w:tc>
          <w:tcPr>
            <w:tcW w:w="940" w:type="dxa"/>
            <w:vAlign w:val="bottom"/>
            <w:shd w:val="clear" w:color="auto" w:fill="0C479D"/>
          </w:tcPr>
          <w:p>
            <w:pPr>
              <w:spacing w:after="0"/>
              <w:rPr>
                <w:sz w:val="15"/>
                <w:szCs w:val="15"/>
                <w:color w:val="auto"/>
              </w:rPr>
            </w:pPr>
          </w:p>
        </w:tc>
        <w:tc>
          <w:tcPr>
            <w:tcW w:w="0" w:type="dxa"/>
            <w:vAlign w:val="bottom"/>
          </w:tcPr>
          <w:p>
            <w:pPr>
              <w:spacing w:after="0"/>
              <w:rPr>
                <w:sz w:val="1"/>
                <w:szCs w:val="1"/>
                <w:color w:val="auto"/>
              </w:rPr>
            </w:pPr>
          </w:p>
        </w:tc>
      </w:tr>
      <w:tr>
        <w:trPr>
          <w:trHeight w:val="45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C479D"/>
              </w:rPr>
              <w:t>As of December 31, 2022</w:t>
            </w: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C479D"/>
              </w:rPr>
              <w:t>Consolidated Subsidiaries</w:t>
            </w:r>
          </w:p>
        </w:tc>
        <w:tc>
          <w:tcPr>
            <w:tcW w:w="1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Future cash inflows from sales of oil and gas</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316,486</w:t>
            </w: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284,643</w:t>
            </w: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11,806</w:t>
            </w: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30,040</w:t>
            </w: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271,732</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114,959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1,029,666</w:t>
            </w:r>
          </w:p>
        </w:tc>
        <w:tc>
          <w:tcPr>
            <w:tcW w:w="0" w:type="dxa"/>
            <w:vAlign w:val="bottom"/>
          </w:tcPr>
          <w:p>
            <w:pPr>
              <w:spacing w:after="0"/>
              <w:rPr>
                <w:sz w:val="1"/>
                <w:szCs w:val="1"/>
                <w:color w:val="auto"/>
              </w:rPr>
            </w:pPr>
          </w:p>
        </w:tc>
      </w:tr>
      <w:tr>
        <w:trPr>
          <w:trHeight w:val="229"/>
        </w:trPr>
        <w:tc>
          <w:tcPr>
            <w:tcW w:w="3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Future production costs</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78,939</w:t>
            </w: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113,264</w:t>
            </w: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2,627</w:t>
            </w: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7,489</w:t>
            </w: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63,705</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21,972</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287,996</w:t>
            </w:r>
          </w:p>
        </w:tc>
        <w:tc>
          <w:tcPr>
            <w:tcW w:w="0" w:type="dxa"/>
            <w:vAlign w:val="bottom"/>
          </w:tcPr>
          <w:p>
            <w:pPr>
              <w:spacing w:after="0"/>
              <w:rPr>
                <w:sz w:val="1"/>
                <w:szCs w:val="1"/>
                <w:color w:val="auto"/>
              </w:rPr>
            </w:pPr>
          </w:p>
        </w:tc>
      </w:tr>
      <w:tr>
        <w:trPr>
          <w:trHeight w:val="230"/>
        </w:trPr>
        <w:tc>
          <w:tcPr>
            <w:tcW w:w="3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Future development costs</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31,960</w:t>
            </w: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34,968</w:t>
            </w: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2,016</w:t>
            </w: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6,143</w:t>
            </w: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9,241</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7,089</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91,417</w:t>
            </w:r>
          </w:p>
        </w:tc>
        <w:tc>
          <w:tcPr>
            <w:tcW w:w="0" w:type="dxa"/>
            <w:vAlign w:val="bottom"/>
          </w:tcPr>
          <w:p>
            <w:pPr>
              <w:spacing w:after="0"/>
              <w:rPr>
                <w:sz w:val="1"/>
                <w:szCs w:val="1"/>
                <w:color w:val="auto"/>
              </w:rPr>
            </w:pPr>
          </w:p>
        </w:tc>
      </w:tr>
      <w:tr>
        <w:trPr>
          <w:trHeight w:val="234"/>
        </w:trPr>
        <w:tc>
          <w:tcPr>
            <w:tcW w:w="3980" w:type="dxa"/>
            <w:vAlign w:val="bottom"/>
            <w:tcBorders>
              <w:bottom w:val="single" w:sz="8" w:color="0C479D"/>
            </w:tcBorders>
          </w:tcPr>
          <w:p>
            <w:pPr>
              <w:ind w:left="220"/>
              <w:spacing w:after="0"/>
              <w:rPr>
                <w:sz w:val="20"/>
                <w:szCs w:val="20"/>
                <w:color w:val="auto"/>
              </w:rPr>
            </w:pPr>
            <w:r>
              <w:rPr>
                <w:rFonts w:ascii="Times New Roman" w:cs="Times New Roman" w:eastAsia="Times New Roman" w:hAnsi="Times New Roman"/>
                <w:sz w:val="18"/>
                <w:szCs w:val="18"/>
                <w:color w:val="auto"/>
              </w:rPr>
              <w:t>Future income tax expenses</w:t>
            </w:r>
          </w:p>
        </w:tc>
        <w:tc>
          <w:tcPr>
            <w:tcW w:w="1140" w:type="dxa"/>
            <w:vAlign w:val="bottom"/>
            <w:tcBorders>
              <w:bottom w:val="single" w:sz="8" w:color="0C479D"/>
            </w:tcBorders>
          </w:tcPr>
          <w:p>
            <w:pPr>
              <w:jc w:val="right"/>
              <w:ind w:right="31"/>
              <w:spacing w:after="0"/>
              <w:rPr>
                <w:sz w:val="20"/>
                <w:szCs w:val="20"/>
                <w:color w:val="auto"/>
              </w:rPr>
            </w:pPr>
            <w:r>
              <w:rPr>
                <w:rFonts w:ascii="Times New Roman" w:cs="Times New Roman" w:eastAsia="Times New Roman" w:hAnsi="Times New Roman"/>
                <w:sz w:val="18"/>
                <w:szCs w:val="18"/>
                <w:color w:val="auto"/>
              </w:rPr>
              <w:t>45,278</w:t>
            </w:r>
          </w:p>
        </w:tc>
        <w:tc>
          <w:tcPr>
            <w:tcW w:w="1200" w:type="dxa"/>
            <w:vAlign w:val="bottom"/>
            <w:tcBorders>
              <w:bottom w:val="single" w:sz="8" w:color="0C479D"/>
            </w:tcBorders>
          </w:tcPr>
          <w:p>
            <w:pPr>
              <w:jc w:val="right"/>
              <w:ind w:right="112"/>
              <w:spacing w:after="0"/>
              <w:rPr>
                <w:sz w:val="20"/>
                <w:szCs w:val="20"/>
                <w:color w:val="auto"/>
              </w:rPr>
            </w:pPr>
            <w:r>
              <w:rPr>
                <w:rFonts w:ascii="Times New Roman" w:cs="Times New Roman" w:eastAsia="Times New Roman" w:hAnsi="Times New Roman"/>
                <w:sz w:val="18"/>
                <w:szCs w:val="18"/>
                <w:color w:val="auto"/>
              </w:rPr>
              <w:t>31,603</w:t>
            </w:r>
          </w:p>
        </w:tc>
        <w:tc>
          <w:tcPr>
            <w:tcW w:w="1020" w:type="dxa"/>
            <w:vAlign w:val="bottom"/>
            <w:tcBorders>
              <w:bottom w:val="single" w:sz="8" w:color="0C479D"/>
            </w:tcBorders>
          </w:tcPr>
          <w:p>
            <w:pPr>
              <w:jc w:val="right"/>
              <w:ind w:right="131"/>
              <w:spacing w:after="0"/>
              <w:rPr>
                <w:sz w:val="20"/>
                <w:szCs w:val="20"/>
                <w:color w:val="auto"/>
              </w:rPr>
            </w:pPr>
            <w:r>
              <w:rPr>
                <w:rFonts w:ascii="Times New Roman" w:cs="Times New Roman" w:eastAsia="Times New Roman" w:hAnsi="Times New Roman"/>
                <w:sz w:val="18"/>
                <w:szCs w:val="18"/>
                <w:color w:val="auto"/>
              </w:rPr>
              <w:t>3,164</w:t>
            </w:r>
          </w:p>
        </w:tc>
        <w:tc>
          <w:tcPr>
            <w:tcW w:w="1000" w:type="dxa"/>
            <w:vAlign w:val="bottom"/>
            <w:tcBorders>
              <w:bottom w:val="single" w:sz="8" w:color="0C479D"/>
            </w:tcBorders>
          </w:tcPr>
          <w:p>
            <w:pPr>
              <w:jc w:val="right"/>
              <w:ind w:right="131"/>
              <w:spacing w:after="0"/>
              <w:rPr>
                <w:sz w:val="20"/>
                <w:szCs w:val="20"/>
                <w:color w:val="auto"/>
              </w:rPr>
            </w:pPr>
            <w:r>
              <w:rPr>
                <w:rFonts w:ascii="Times New Roman" w:cs="Times New Roman" w:eastAsia="Times New Roman" w:hAnsi="Times New Roman"/>
                <w:sz w:val="18"/>
                <w:szCs w:val="18"/>
                <w:color w:val="auto"/>
              </w:rPr>
              <w:t>8,300</w:t>
            </w:r>
          </w:p>
        </w:tc>
        <w:tc>
          <w:tcPr>
            <w:tcW w:w="940" w:type="dxa"/>
            <w:vAlign w:val="bottom"/>
            <w:tcBorders>
              <w:bottom w:val="single" w:sz="8" w:color="0C479D"/>
            </w:tcBorders>
          </w:tcPr>
          <w:p>
            <w:pPr>
              <w:jc w:val="right"/>
              <w:ind w:right="71"/>
              <w:spacing w:after="0"/>
              <w:rPr>
                <w:sz w:val="20"/>
                <w:szCs w:val="20"/>
                <w:color w:val="auto"/>
              </w:rPr>
            </w:pPr>
            <w:r>
              <w:rPr>
                <w:rFonts w:ascii="Times New Roman" w:cs="Times New Roman" w:eastAsia="Times New Roman" w:hAnsi="Times New Roman"/>
                <w:sz w:val="18"/>
                <w:szCs w:val="18"/>
                <w:color w:val="auto"/>
              </w:rPr>
              <w:t>156,595</w:t>
            </w:r>
          </w:p>
        </w:tc>
        <w:tc>
          <w:tcPr>
            <w:tcW w:w="980" w:type="dxa"/>
            <w:vAlign w:val="bottom"/>
            <w:tcBorders>
              <w:bottom w:val="single" w:sz="8" w:color="0C479D"/>
            </w:tcBorders>
          </w:tcPr>
          <w:p>
            <w:pPr>
              <w:jc w:val="right"/>
              <w:ind w:right="52"/>
              <w:spacing w:after="0"/>
              <w:rPr>
                <w:sz w:val="20"/>
                <w:szCs w:val="20"/>
                <w:color w:val="auto"/>
              </w:rPr>
            </w:pPr>
            <w:r>
              <w:rPr>
                <w:rFonts w:ascii="Times New Roman" w:cs="Times New Roman" w:eastAsia="Times New Roman" w:hAnsi="Times New Roman"/>
                <w:sz w:val="18"/>
                <w:szCs w:val="18"/>
                <w:color w:val="auto"/>
              </w:rPr>
              <w:t>24,955</w:t>
            </w:r>
          </w:p>
        </w:tc>
        <w:tc>
          <w:tcPr>
            <w:tcW w:w="9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269,895</w:t>
            </w:r>
          </w:p>
        </w:tc>
        <w:tc>
          <w:tcPr>
            <w:tcW w:w="0" w:type="dxa"/>
            <w:vAlign w:val="bottom"/>
          </w:tcPr>
          <w:p>
            <w:pPr>
              <w:spacing w:after="0"/>
              <w:rPr>
                <w:sz w:val="1"/>
                <w:szCs w:val="1"/>
                <w:color w:val="auto"/>
              </w:rPr>
            </w:pPr>
          </w:p>
        </w:tc>
      </w:tr>
      <w:tr>
        <w:trPr>
          <w:trHeight w:val="218"/>
        </w:trPr>
        <w:tc>
          <w:tcPr>
            <w:tcW w:w="3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Future net cash flows</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160,309</w:t>
            </w: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104,808</w:t>
            </w: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3,999</w:t>
            </w: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8,108</w:t>
            </w: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42,191</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60,943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380,358</w:t>
            </w:r>
          </w:p>
        </w:tc>
        <w:tc>
          <w:tcPr>
            <w:tcW w:w="0" w:type="dxa"/>
            <w:vAlign w:val="bottom"/>
          </w:tcPr>
          <w:p>
            <w:pPr>
              <w:spacing w:after="0"/>
              <w:rPr>
                <w:sz w:val="1"/>
                <w:szCs w:val="1"/>
                <w:color w:val="auto"/>
              </w:rPr>
            </w:pPr>
          </w:p>
        </w:tc>
      </w:tr>
      <w:tr>
        <w:trPr>
          <w:trHeight w:val="234"/>
        </w:trPr>
        <w:tc>
          <w:tcPr>
            <w:tcW w:w="3980" w:type="dxa"/>
            <w:vAlign w:val="bottom"/>
            <w:tcBorders>
              <w:bottom w:val="single" w:sz="8" w:color="0C479D"/>
            </w:tcBorders>
          </w:tcPr>
          <w:p>
            <w:pPr>
              <w:ind w:left="220"/>
              <w:spacing w:after="0"/>
              <w:rPr>
                <w:sz w:val="20"/>
                <w:szCs w:val="20"/>
                <w:color w:val="auto"/>
              </w:rPr>
            </w:pPr>
            <w:r>
              <w:rPr>
                <w:rFonts w:ascii="Times New Roman" w:cs="Times New Roman" w:eastAsia="Times New Roman" w:hAnsi="Times New Roman"/>
                <w:sz w:val="18"/>
                <w:szCs w:val="18"/>
                <w:color w:val="auto"/>
              </w:rPr>
              <w:t>Effect of discounting net cash flows at 10%</w:t>
            </w:r>
          </w:p>
        </w:tc>
        <w:tc>
          <w:tcPr>
            <w:tcW w:w="1140" w:type="dxa"/>
            <w:vAlign w:val="bottom"/>
            <w:tcBorders>
              <w:bottom w:val="single" w:sz="8" w:color="0C479D"/>
            </w:tcBorders>
          </w:tcPr>
          <w:p>
            <w:pPr>
              <w:jc w:val="right"/>
              <w:ind w:right="31"/>
              <w:spacing w:after="0"/>
              <w:rPr>
                <w:sz w:val="20"/>
                <w:szCs w:val="20"/>
                <w:color w:val="auto"/>
              </w:rPr>
            </w:pPr>
            <w:r>
              <w:rPr>
                <w:rFonts w:ascii="Times New Roman" w:cs="Times New Roman" w:eastAsia="Times New Roman" w:hAnsi="Times New Roman"/>
                <w:sz w:val="18"/>
                <w:szCs w:val="18"/>
                <w:color w:val="auto"/>
              </w:rPr>
              <w:t>83,711</w:t>
            </w:r>
          </w:p>
        </w:tc>
        <w:tc>
          <w:tcPr>
            <w:tcW w:w="1200" w:type="dxa"/>
            <w:vAlign w:val="bottom"/>
            <w:tcBorders>
              <w:bottom w:val="single" w:sz="8" w:color="0C479D"/>
            </w:tcBorders>
          </w:tcPr>
          <w:p>
            <w:pPr>
              <w:jc w:val="right"/>
              <w:ind w:right="112"/>
              <w:spacing w:after="0"/>
              <w:rPr>
                <w:sz w:val="20"/>
                <w:szCs w:val="20"/>
                <w:color w:val="auto"/>
              </w:rPr>
            </w:pPr>
            <w:r>
              <w:rPr>
                <w:rFonts w:ascii="Times New Roman" w:cs="Times New Roman" w:eastAsia="Times New Roman" w:hAnsi="Times New Roman"/>
                <w:sz w:val="18"/>
                <w:szCs w:val="18"/>
                <w:color w:val="auto"/>
              </w:rPr>
              <w:t>49,861</w:t>
            </w:r>
          </w:p>
        </w:tc>
        <w:tc>
          <w:tcPr>
            <w:tcW w:w="1020" w:type="dxa"/>
            <w:vAlign w:val="bottom"/>
            <w:tcBorders>
              <w:bottom w:val="single" w:sz="8" w:color="0C479D"/>
            </w:tcBorders>
          </w:tcPr>
          <w:p>
            <w:pPr>
              <w:jc w:val="right"/>
              <w:ind w:right="131"/>
              <w:spacing w:after="0"/>
              <w:rPr>
                <w:sz w:val="20"/>
                <w:szCs w:val="20"/>
                <w:color w:val="auto"/>
              </w:rPr>
            </w:pPr>
            <w:r>
              <w:rPr>
                <w:rFonts w:ascii="Times New Roman" w:cs="Times New Roman" w:eastAsia="Times New Roman" w:hAnsi="Times New Roman"/>
                <w:sz w:val="18"/>
                <w:szCs w:val="18"/>
                <w:color w:val="auto"/>
              </w:rPr>
              <w:t>187</w:t>
            </w:r>
          </w:p>
        </w:tc>
        <w:tc>
          <w:tcPr>
            <w:tcW w:w="1000" w:type="dxa"/>
            <w:vAlign w:val="bottom"/>
            <w:tcBorders>
              <w:bottom w:val="single" w:sz="8" w:color="0C479D"/>
            </w:tcBorders>
          </w:tcPr>
          <w:p>
            <w:pPr>
              <w:jc w:val="right"/>
              <w:ind w:right="131"/>
              <w:spacing w:after="0"/>
              <w:rPr>
                <w:sz w:val="20"/>
                <w:szCs w:val="20"/>
                <w:color w:val="auto"/>
              </w:rPr>
            </w:pPr>
            <w:r>
              <w:rPr>
                <w:rFonts w:ascii="Times New Roman" w:cs="Times New Roman" w:eastAsia="Times New Roman" w:hAnsi="Times New Roman"/>
                <w:sz w:val="18"/>
                <w:szCs w:val="18"/>
                <w:color w:val="auto"/>
              </w:rPr>
              <w:t>322</w:t>
            </w:r>
          </w:p>
        </w:tc>
        <w:tc>
          <w:tcPr>
            <w:tcW w:w="940" w:type="dxa"/>
            <w:vAlign w:val="bottom"/>
            <w:tcBorders>
              <w:bottom w:val="single" w:sz="8" w:color="0C479D"/>
            </w:tcBorders>
          </w:tcPr>
          <w:p>
            <w:pPr>
              <w:jc w:val="right"/>
              <w:ind w:right="71"/>
              <w:spacing w:after="0"/>
              <w:rPr>
                <w:sz w:val="20"/>
                <w:szCs w:val="20"/>
                <w:color w:val="auto"/>
              </w:rPr>
            </w:pPr>
            <w:r>
              <w:rPr>
                <w:rFonts w:ascii="Times New Roman" w:cs="Times New Roman" w:eastAsia="Times New Roman" w:hAnsi="Times New Roman"/>
                <w:sz w:val="18"/>
                <w:szCs w:val="18"/>
                <w:color w:val="auto"/>
              </w:rPr>
              <w:t>21,772</w:t>
            </w:r>
          </w:p>
        </w:tc>
        <w:tc>
          <w:tcPr>
            <w:tcW w:w="980" w:type="dxa"/>
            <w:vAlign w:val="bottom"/>
            <w:tcBorders>
              <w:bottom w:val="single" w:sz="8" w:color="0C479D"/>
            </w:tcBorders>
          </w:tcPr>
          <w:p>
            <w:pPr>
              <w:jc w:val="right"/>
              <w:ind w:right="52"/>
              <w:spacing w:after="0"/>
              <w:rPr>
                <w:sz w:val="20"/>
                <w:szCs w:val="20"/>
                <w:color w:val="auto"/>
              </w:rPr>
            </w:pPr>
            <w:r>
              <w:rPr>
                <w:rFonts w:ascii="Times New Roman" w:cs="Times New Roman" w:eastAsia="Times New Roman" w:hAnsi="Times New Roman"/>
                <w:sz w:val="18"/>
                <w:szCs w:val="18"/>
                <w:color w:val="auto"/>
              </w:rPr>
              <w:t>34,896</w:t>
            </w:r>
          </w:p>
        </w:tc>
        <w:tc>
          <w:tcPr>
            <w:tcW w:w="9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190,749</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0C479D"/>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Discounted future net cash flows</w:t>
            </w:r>
          </w:p>
        </w:tc>
        <w:tc>
          <w:tcPr>
            <w:tcW w:w="1140" w:type="dxa"/>
            <w:vAlign w:val="bottom"/>
            <w:tcBorders>
              <w:bottom w:val="single" w:sz="8" w:color="0C479D"/>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76,598</w:t>
            </w:r>
          </w:p>
        </w:tc>
        <w:tc>
          <w:tcPr>
            <w:tcW w:w="1200" w:type="dxa"/>
            <w:vAlign w:val="bottom"/>
            <w:tcBorders>
              <w:bottom w:val="single" w:sz="8" w:color="0C479D"/>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54,947</w:t>
            </w:r>
          </w:p>
        </w:tc>
        <w:tc>
          <w:tcPr>
            <w:tcW w:w="1020" w:type="dxa"/>
            <w:vAlign w:val="bottom"/>
            <w:tcBorders>
              <w:bottom w:val="single" w:sz="8" w:color="0C479D"/>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3,812</w:t>
            </w:r>
          </w:p>
        </w:tc>
        <w:tc>
          <w:tcPr>
            <w:tcW w:w="1000" w:type="dxa"/>
            <w:vAlign w:val="bottom"/>
            <w:tcBorders>
              <w:bottom w:val="single" w:sz="8" w:color="0C479D"/>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7,786</w:t>
            </w:r>
          </w:p>
        </w:tc>
        <w:tc>
          <w:tcPr>
            <w:tcW w:w="940" w:type="dxa"/>
            <w:vAlign w:val="bottom"/>
            <w:tcBorders>
              <w:bottom w:val="single" w:sz="8" w:color="0C479D"/>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20,419</w:t>
            </w:r>
          </w:p>
        </w:tc>
        <w:tc>
          <w:tcPr>
            <w:tcW w:w="980" w:type="dxa"/>
            <w:vAlign w:val="bottom"/>
            <w:tcBorders>
              <w:bottom w:val="single" w:sz="8" w:color="0C479D"/>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26,047</w:t>
            </w:r>
          </w:p>
        </w:tc>
        <w:tc>
          <w:tcPr>
            <w:tcW w:w="9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189,609</w:t>
            </w:r>
          </w:p>
        </w:tc>
        <w:tc>
          <w:tcPr>
            <w:tcW w:w="0" w:type="dxa"/>
            <w:vAlign w:val="bottom"/>
          </w:tcPr>
          <w:p>
            <w:pPr>
              <w:spacing w:after="0"/>
              <w:rPr>
                <w:sz w:val="1"/>
                <w:szCs w:val="1"/>
                <w:color w:val="auto"/>
              </w:rPr>
            </w:pPr>
          </w:p>
        </w:tc>
      </w:tr>
      <w:tr>
        <w:trPr>
          <w:trHeight w:val="306"/>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C479D"/>
              </w:rPr>
              <w:t>Equity Companies</w:t>
            </w: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Future cash inflows from sales of oil and gas</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12,312</w:t>
            </w: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13,706</w:t>
            </w: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7,194</w:t>
            </w: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261,409</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294,621</w:t>
            </w:r>
          </w:p>
        </w:tc>
        <w:tc>
          <w:tcPr>
            <w:tcW w:w="0" w:type="dxa"/>
            <w:vAlign w:val="bottom"/>
          </w:tcPr>
          <w:p>
            <w:pPr>
              <w:spacing w:after="0"/>
              <w:rPr>
                <w:sz w:val="1"/>
                <w:szCs w:val="1"/>
                <w:color w:val="auto"/>
              </w:rPr>
            </w:pPr>
          </w:p>
        </w:tc>
      </w:tr>
      <w:tr>
        <w:trPr>
          <w:trHeight w:val="229"/>
        </w:trPr>
        <w:tc>
          <w:tcPr>
            <w:tcW w:w="3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Future production costs</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5,379</w:t>
            </w: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1,981</w:t>
            </w: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266</w:t>
            </w: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96,788</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104,414</w:t>
            </w:r>
          </w:p>
        </w:tc>
        <w:tc>
          <w:tcPr>
            <w:tcW w:w="0" w:type="dxa"/>
            <w:vAlign w:val="bottom"/>
          </w:tcPr>
          <w:p>
            <w:pPr>
              <w:spacing w:after="0"/>
              <w:rPr>
                <w:sz w:val="1"/>
                <w:szCs w:val="1"/>
                <w:color w:val="auto"/>
              </w:rPr>
            </w:pPr>
          </w:p>
        </w:tc>
      </w:tr>
      <w:tr>
        <w:trPr>
          <w:trHeight w:val="230"/>
        </w:trPr>
        <w:tc>
          <w:tcPr>
            <w:tcW w:w="3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Future development costs</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1,773</w:t>
            </w: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895</w:t>
            </w: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60</w:t>
            </w: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7,275</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10,003</w:t>
            </w:r>
          </w:p>
        </w:tc>
        <w:tc>
          <w:tcPr>
            <w:tcW w:w="0" w:type="dxa"/>
            <w:vAlign w:val="bottom"/>
          </w:tcPr>
          <w:p>
            <w:pPr>
              <w:spacing w:after="0"/>
              <w:rPr>
                <w:sz w:val="1"/>
                <w:szCs w:val="1"/>
                <w:color w:val="auto"/>
              </w:rPr>
            </w:pPr>
          </w:p>
        </w:tc>
      </w:tr>
      <w:tr>
        <w:trPr>
          <w:trHeight w:val="234"/>
        </w:trPr>
        <w:tc>
          <w:tcPr>
            <w:tcW w:w="3980" w:type="dxa"/>
            <w:vAlign w:val="bottom"/>
            <w:tcBorders>
              <w:bottom w:val="single" w:sz="8" w:color="0C479D"/>
            </w:tcBorders>
          </w:tcPr>
          <w:p>
            <w:pPr>
              <w:ind w:left="220"/>
              <w:spacing w:after="0"/>
              <w:rPr>
                <w:sz w:val="20"/>
                <w:szCs w:val="20"/>
                <w:color w:val="auto"/>
              </w:rPr>
            </w:pPr>
            <w:r>
              <w:rPr>
                <w:rFonts w:ascii="Times New Roman" w:cs="Times New Roman" w:eastAsia="Times New Roman" w:hAnsi="Times New Roman"/>
                <w:sz w:val="18"/>
                <w:szCs w:val="18"/>
                <w:color w:val="auto"/>
              </w:rPr>
              <w:t>Future income tax expenses</w:t>
            </w:r>
          </w:p>
        </w:tc>
        <w:tc>
          <w:tcPr>
            <w:tcW w:w="1140" w:type="dxa"/>
            <w:vAlign w:val="bottom"/>
            <w:tcBorders>
              <w:bottom w:val="single" w:sz="8" w:color="0C479D"/>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0C479D"/>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0C479D"/>
            </w:tcBorders>
          </w:tcPr>
          <w:p>
            <w:pPr>
              <w:jc w:val="right"/>
              <w:ind w:right="131"/>
              <w:spacing w:after="0"/>
              <w:rPr>
                <w:sz w:val="20"/>
                <w:szCs w:val="20"/>
                <w:color w:val="auto"/>
              </w:rPr>
            </w:pPr>
            <w:r>
              <w:rPr>
                <w:rFonts w:ascii="Times New Roman" w:cs="Times New Roman" w:eastAsia="Times New Roman" w:hAnsi="Times New Roman"/>
                <w:sz w:val="18"/>
                <w:szCs w:val="18"/>
                <w:color w:val="auto"/>
              </w:rPr>
              <w:t>5,262</w:t>
            </w:r>
          </w:p>
        </w:tc>
        <w:tc>
          <w:tcPr>
            <w:tcW w:w="1000" w:type="dxa"/>
            <w:vAlign w:val="bottom"/>
            <w:tcBorders>
              <w:bottom w:val="single" w:sz="8" w:color="0C479D"/>
            </w:tcBorders>
          </w:tcPr>
          <w:p>
            <w:pPr>
              <w:jc w:val="right"/>
              <w:ind w:right="131"/>
              <w:spacing w:after="0"/>
              <w:rPr>
                <w:sz w:val="20"/>
                <w:szCs w:val="20"/>
                <w:color w:val="auto"/>
              </w:rPr>
            </w:pPr>
            <w:r>
              <w:rPr>
                <w:rFonts w:ascii="Times New Roman" w:cs="Times New Roman" w:eastAsia="Times New Roman" w:hAnsi="Times New Roman"/>
                <w:sz w:val="18"/>
                <w:szCs w:val="18"/>
                <w:color w:val="auto"/>
              </w:rPr>
              <w:t>1,965</w:t>
            </w:r>
          </w:p>
        </w:tc>
        <w:tc>
          <w:tcPr>
            <w:tcW w:w="940" w:type="dxa"/>
            <w:vAlign w:val="bottom"/>
            <w:tcBorders>
              <w:bottom w:val="single" w:sz="8" w:color="0C479D"/>
            </w:tcBorders>
          </w:tcPr>
          <w:p>
            <w:pPr>
              <w:jc w:val="right"/>
              <w:ind w:right="71"/>
              <w:spacing w:after="0"/>
              <w:rPr>
                <w:sz w:val="20"/>
                <w:szCs w:val="20"/>
                <w:color w:val="auto"/>
              </w:rPr>
            </w:pPr>
            <w:r>
              <w:rPr>
                <w:rFonts w:ascii="Times New Roman" w:cs="Times New Roman" w:eastAsia="Times New Roman" w:hAnsi="Times New Roman"/>
                <w:sz w:val="18"/>
                <w:szCs w:val="18"/>
                <w:color w:val="auto"/>
              </w:rPr>
              <w:t>51,838</w:t>
            </w:r>
          </w:p>
        </w:tc>
        <w:tc>
          <w:tcPr>
            <w:tcW w:w="980" w:type="dxa"/>
            <w:vAlign w:val="bottom"/>
            <w:tcBorders>
              <w:bottom w:val="single" w:sz="8" w:color="0C479D"/>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59,065</w:t>
            </w:r>
          </w:p>
        </w:tc>
        <w:tc>
          <w:tcPr>
            <w:tcW w:w="0" w:type="dxa"/>
            <w:vAlign w:val="bottom"/>
          </w:tcPr>
          <w:p>
            <w:pPr>
              <w:spacing w:after="0"/>
              <w:rPr>
                <w:sz w:val="1"/>
                <w:szCs w:val="1"/>
                <w:color w:val="auto"/>
              </w:rPr>
            </w:pPr>
          </w:p>
        </w:tc>
      </w:tr>
      <w:tr>
        <w:trPr>
          <w:trHeight w:val="218"/>
        </w:trPr>
        <w:tc>
          <w:tcPr>
            <w:tcW w:w="3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Future net cash flows</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5,160</w:t>
            </w:r>
          </w:p>
        </w:tc>
        <w:tc>
          <w:tcPr>
            <w:tcW w:w="12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5,568</w:t>
            </w: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4,903</w:t>
            </w: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105,508</w:t>
            </w:r>
          </w:p>
        </w:tc>
        <w:tc>
          <w:tcPr>
            <w:tcW w:w="9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121,139</w:t>
            </w:r>
          </w:p>
        </w:tc>
        <w:tc>
          <w:tcPr>
            <w:tcW w:w="0" w:type="dxa"/>
            <w:vAlign w:val="bottom"/>
          </w:tcPr>
          <w:p>
            <w:pPr>
              <w:spacing w:after="0"/>
              <w:rPr>
                <w:sz w:val="1"/>
                <w:szCs w:val="1"/>
                <w:color w:val="auto"/>
              </w:rPr>
            </w:pPr>
          </w:p>
        </w:tc>
      </w:tr>
      <w:tr>
        <w:trPr>
          <w:trHeight w:val="234"/>
        </w:trPr>
        <w:tc>
          <w:tcPr>
            <w:tcW w:w="3980" w:type="dxa"/>
            <w:vAlign w:val="bottom"/>
            <w:tcBorders>
              <w:bottom w:val="single" w:sz="8" w:color="0C479D"/>
            </w:tcBorders>
          </w:tcPr>
          <w:p>
            <w:pPr>
              <w:ind w:left="220"/>
              <w:spacing w:after="0"/>
              <w:rPr>
                <w:sz w:val="20"/>
                <w:szCs w:val="20"/>
                <w:color w:val="auto"/>
              </w:rPr>
            </w:pPr>
            <w:r>
              <w:rPr>
                <w:rFonts w:ascii="Times New Roman" w:cs="Times New Roman" w:eastAsia="Times New Roman" w:hAnsi="Times New Roman"/>
                <w:sz w:val="18"/>
                <w:szCs w:val="18"/>
                <w:color w:val="auto"/>
              </w:rPr>
              <w:t>Effect of discounting net cash flows at 10%</w:t>
            </w:r>
          </w:p>
        </w:tc>
        <w:tc>
          <w:tcPr>
            <w:tcW w:w="1140" w:type="dxa"/>
            <w:vAlign w:val="bottom"/>
            <w:tcBorders>
              <w:bottom w:val="single" w:sz="8" w:color="0C479D"/>
            </w:tcBorders>
          </w:tcPr>
          <w:p>
            <w:pPr>
              <w:jc w:val="right"/>
              <w:ind w:right="31"/>
              <w:spacing w:after="0"/>
              <w:rPr>
                <w:sz w:val="20"/>
                <w:szCs w:val="20"/>
                <w:color w:val="auto"/>
              </w:rPr>
            </w:pPr>
            <w:r>
              <w:rPr>
                <w:rFonts w:ascii="Times New Roman" w:cs="Times New Roman" w:eastAsia="Times New Roman" w:hAnsi="Times New Roman"/>
                <w:sz w:val="18"/>
                <w:szCs w:val="18"/>
                <w:color w:val="auto"/>
              </w:rPr>
              <w:t>2,236</w:t>
            </w:r>
          </w:p>
        </w:tc>
        <w:tc>
          <w:tcPr>
            <w:tcW w:w="1200" w:type="dxa"/>
            <w:vAlign w:val="bottom"/>
            <w:tcBorders>
              <w:bottom w:val="single" w:sz="8" w:color="0C479D"/>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0C479D"/>
            </w:tcBorders>
          </w:tcPr>
          <w:p>
            <w:pPr>
              <w:jc w:val="right"/>
              <w:ind w:right="131"/>
              <w:spacing w:after="0"/>
              <w:rPr>
                <w:sz w:val="20"/>
                <w:szCs w:val="20"/>
                <w:color w:val="auto"/>
              </w:rPr>
            </w:pPr>
            <w:r>
              <w:rPr>
                <w:rFonts w:ascii="Times New Roman" w:cs="Times New Roman" w:eastAsia="Times New Roman" w:hAnsi="Times New Roman"/>
                <w:sz w:val="18"/>
                <w:szCs w:val="18"/>
                <w:color w:val="auto"/>
              </w:rPr>
              <w:t>2,234</w:t>
            </w:r>
          </w:p>
        </w:tc>
        <w:tc>
          <w:tcPr>
            <w:tcW w:w="1000" w:type="dxa"/>
            <w:vAlign w:val="bottom"/>
            <w:tcBorders>
              <w:bottom w:val="single" w:sz="8" w:color="0C479D"/>
            </w:tcBorders>
          </w:tcPr>
          <w:p>
            <w:pPr>
              <w:jc w:val="right"/>
              <w:ind w:right="131"/>
              <w:spacing w:after="0"/>
              <w:rPr>
                <w:sz w:val="20"/>
                <w:szCs w:val="20"/>
                <w:color w:val="auto"/>
              </w:rPr>
            </w:pPr>
            <w:r>
              <w:rPr>
                <w:rFonts w:ascii="Times New Roman" w:cs="Times New Roman" w:eastAsia="Times New Roman" w:hAnsi="Times New Roman"/>
                <w:sz w:val="18"/>
                <w:szCs w:val="18"/>
                <w:color w:val="auto"/>
              </w:rPr>
              <w:t>2,694</w:t>
            </w:r>
          </w:p>
        </w:tc>
        <w:tc>
          <w:tcPr>
            <w:tcW w:w="940" w:type="dxa"/>
            <w:vAlign w:val="bottom"/>
            <w:tcBorders>
              <w:bottom w:val="single" w:sz="8" w:color="0C479D"/>
            </w:tcBorders>
          </w:tcPr>
          <w:p>
            <w:pPr>
              <w:jc w:val="right"/>
              <w:ind w:right="71"/>
              <w:spacing w:after="0"/>
              <w:rPr>
                <w:sz w:val="20"/>
                <w:szCs w:val="20"/>
                <w:color w:val="auto"/>
              </w:rPr>
            </w:pPr>
            <w:r>
              <w:rPr>
                <w:rFonts w:ascii="Times New Roman" w:cs="Times New Roman" w:eastAsia="Times New Roman" w:hAnsi="Times New Roman"/>
                <w:sz w:val="18"/>
                <w:szCs w:val="18"/>
                <w:color w:val="auto"/>
              </w:rPr>
              <w:t>44,728</w:t>
            </w:r>
          </w:p>
        </w:tc>
        <w:tc>
          <w:tcPr>
            <w:tcW w:w="980" w:type="dxa"/>
            <w:vAlign w:val="bottom"/>
            <w:tcBorders>
              <w:bottom w:val="single" w:sz="8" w:color="0C479D"/>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51,892</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0C479D"/>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Discounted future net cash flows</w:t>
            </w:r>
          </w:p>
        </w:tc>
        <w:tc>
          <w:tcPr>
            <w:tcW w:w="1140" w:type="dxa"/>
            <w:vAlign w:val="bottom"/>
            <w:tcBorders>
              <w:bottom w:val="single" w:sz="8" w:color="0C479D"/>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2,924</w:t>
            </w:r>
          </w:p>
        </w:tc>
        <w:tc>
          <w:tcPr>
            <w:tcW w:w="1200" w:type="dxa"/>
            <w:vAlign w:val="bottom"/>
            <w:tcBorders>
              <w:bottom w:val="single" w:sz="8" w:color="0C479D"/>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0C479D"/>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3,334</w:t>
            </w:r>
          </w:p>
        </w:tc>
        <w:tc>
          <w:tcPr>
            <w:tcW w:w="1000" w:type="dxa"/>
            <w:vAlign w:val="bottom"/>
            <w:tcBorders>
              <w:bottom w:val="single" w:sz="8" w:color="0C479D"/>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2,209</w:t>
            </w:r>
          </w:p>
        </w:tc>
        <w:tc>
          <w:tcPr>
            <w:tcW w:w="940" w:type="dxa"/>
            <w:vAlign w:val="bottom"/>
            <w:tcBorders>
              <w:bottom w:val="single" w:sz="8" w:color="0C479D"/>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60,780</w:t>
            </w:r>
          </w:p>
        </w:tc>
        <w:tc>
          <w:tcPr>
            <w:tcW w:w="980" w:type="dxa"/>
            <w:vAlign w:val="bottom"/>
            <w:tcBorders>
              <w:bottom w:val="single" w:sz="8" w:color="0C479D"/>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69,247</w:t>
            </w:r>
          </w:p>
        </w:tc>
        <w:tc>
          <w:tcPr>
            <w:tcW w:w="0" w:type="dxa"/>
            <w:vAlign w:val="bottom"/>
          </w:tcPr>
          <w:p>
            <w:pPr>
              <w:spacing w:after="0"/>
              <w:rPr>
                <w:sz w:val="1"/>
                <w:szCs w:val="1"/>
                <w:color w:val="auto"/>
              </w:rPr>
            </w:pPr>
          </w:p>
        </w:tc>
      </w:tr>
      <w:tr>
        <w:trPr>
          <w:trHeight w:val="81"/>
        </w:trPr>
        <w:tc>
          <w:tcPr>
            <w:tcW w:w="3980" w:type="dxa"/>
            <w:vAlign w:val="bottom"/>
            <w:tcBorders>
              <w:bottom w:val="single" w:sz="8" w:color="0C479D"/>
            </w:tcBorders>
          </w:tcPr>
          <w:p>
            <w:pPr>
              <w:spacing w:after="0"/>
              <w:rPr>
                <w:sz w:val="7"/>
                <w:szCs w:val="7"/>
                <w:color w:val="auto"/>
              </w:rPr>
            </w:pPr>
          </w:p>
        </w:tc>
        <w:tc>
          <w:tcPr>
            <w:tcW w:w="1140" w:type="dxa"/>
            <w:vAlign w:val="bottom"/>
            <w:tcBorders>
              <w:bottom w:val="single" w:sz="8" w:color="0C479D"/>
            </w:tcBorders>
          </w:tcPr>
          <w:p>
            <w:pPr>
              <w:spacing w:after="0"/>
              <w:rPr>
                <w:sz w:val="7"/>
                <w:szCs w:val="7"/>
                <w:color w:val="auto"/>
              </w:rPr>
            </w:pPr>
          </w:p>
        </w:tc>
        <w:tc>
          <w:tcPr>
            <w:tcW w:w="1200" w:type="dxa"/>
            <w:vAlign w:val="bottom"/>
            <w:tcBorders>
              <w:bottom w:val="single" w:sz="8" w:color="0C479D"/>
            </w:tcBorders>
          </w:tcPr>
          <w:p>
            <w:pPr>
              <w:spacing w:after="0"/>
              <w:rPr>
                <w:sz w:val="7"/>
                <w:szCs w:val="7"/>
                <w:color w:val="auto"/>
              </w:rPr>
            </w:pPr>
          </w:p>
        </w:tc>
        <w:tc>
          <w:tcPr>
            <w:tcW w:w="1020" w:type="dxa"/>
            <w:vAlign w:val="bottom"/>
            <w:tcBorders>
              <w:bottom w:val="single" w:sz="8" w:color="0C479D"/>
            </w:tcBorders>
          </w:tcPr>
          <w:p>
            <w:pPr>
              <w:spacing w:after="0"/>
              <w:rPr>
                <w:sz w:val="7"/>
                <w:szCs w:val="7"/>
                <w:color w:val="auto"/>
              </w:rPr>
            </w:pPr>
          </w:p>
        </w:tc>
        <w:tc>
          <w:tcPr>
            <w:tcW w:w="1000" w:type="dxa"/>
            <w:vAlign w:val="bottom"/>
            <w:tcBorders>
              <w:bottom w:val="single" w:sz="8" w:color="0C479D"/>
            </w:tcBorders>
          </w:tcPr>
          <w:p>
            <w:pPr>
              <w:spacing w:after="0"/>
              <w:rPr>
                <w:sz w:val="7"/>
                <w:szCs w:val="7"/>
                <w:color w:val="auto"/>
              </w:rPr>
            </w:pPr>
          </w:p>
        </w:tc>
        <w:tc>
          <w:tcPr>
            <w:tcW w:w="940" w:type="dxa"/>
            <w:vAlign w:val="bottom"/>
            <w:tcBorders>
              <w:bottom w:val="single" w:sz="8" w:color="0C479D"/>
            </w:tcBorders>
          </w:tcPr>
          <w:p>
            <w:pPr>
              <w:spacing w:after="0"/>
              <w:rPr>
                <w:sz w:val="7"/>
                <w:szCs w:val="7"/>
                <w:color w:val="auto"/>
              </w:rPr>
            </w:pPr>
          </w:p>
        </w:tc>
        <w:tc>
          <w:tcPr>
            <w:tcW w:w="980" w:type="dxa"/>
            <w:vAlign w:val="bottom"/>
            <w:tcBorders>
              <w:bottom w:val="single" w:sz="8" w:color="0C479D"/>
            </w:tcBorders>
          </w:tcPr>
          <w:p>
            <w:pPr>
              <w:spacing w:after="0"/>
              <w:rPr>
                <w:sz w:val="7"/>
                <w:szCs w:val="7"/>
                <w:color w:val="auto"/>
              </w:rPr>
            </w:pPr>
          </w:p>
        </w:tc>
        <w:tc>
          <w:tcPr>
            <w:tcW w:w="940" w:type="dxa"/>
            <w:vAlign w:val="bottom"/>
            <w:tcBorders>
              <w:bottom w:val="single" w:sz="8" w:color="0C479D"/>
            </w:tcBorders>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398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Total consolidated and equity interests in</w:t>
            </w: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98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b w:val="1"/>
                <w:bCs w:val="1"/>
                <w:color w:val="auto"/>
              </w:rPr>
              <w:t>standardized measure of discounted future net</w:t>
            </w:r>
          </w:p>
        </w:tc>
        <w:tc>
          <w:tcPr>
            <w:tcW w:w="114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79,522</w:t>
            </w:r>
          </w:p>
        </w:tc>
        <w:tc>
          <w:tcPr>
            <w:tcW w:w="1200" w:type="dxa"/>
            <w:vAlign w:val="bottom"/>
            <w:vMerge w:val="restart"/>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54,947</w:t>
            </w:r>
          </w:p>
        </w:tc>
        <w:tc>
          <w:tcPr>
            <w:tcW w:w="1020" w:type="dxa"/>
            <w:vAlign w:val="bottom"/>
            <w:vMerge w:val="restart"/>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7,146</w:t>
            </w:r>
          </w:p>
        </w:tc>
        <w:tc>
          <w:tcPr>
            <w:tcW w:w="1000" w:type="dxa"/>
            <w:vAlign w:val="bottom"/>
            <w:vMerge w:val="restart"/>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9,995</w:t>
            </w:r>
          </w:p>
        </w:tc>
        <w:tc>
          <w:tcPr>
            <w:tcW w:w="940" w:type="dxa"/>
            <w:vAlign w:val="bottom"/>
            <w:vMerge w:val="restart"/>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81,199</w:t>
            </w:r>
          </w:p>
        </w:tc>
        <w:tc>
          <w:tcPr>
            <w:tcW w:w="98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26,047</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258,856</w:t>
            </w:r>
          </w:p>
        </w:tc>
        <w:tc>
          <w:tcPr>
            <w:tcW w:w="0" w:type="dxa"/>
            <w:vAlign w:val="bottom"/>
          </w:tcPr>
          <w:p>
            <w:pPr>
              <w:spacing w:after="0"/>
              <w:rPr>
                <w:sz w:val="1"/>
                <w:szCs w:val="1"/>
                <w:color w:val="auto"/>
              </w:rPr>
            </w:pPr>
          </w:p>
        </w:tc>
      </w:tr>
      <w:tr>
        <w:trPr>
          <w:trHeight w:val="250"/>
        </w:trPr>
        <w:tc>
          <w:tcPr>
            <w:tcW w:w="3980" w:type="dxa"/>
            <w:vAlign w:val="bottom"/>
            <w:tcBorders>
              <w:bottom w:val="single" w:sz="8" w:color="0C479D"/>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1140" w:type="dxa"/>
            <w:vAlign w:val="bottom"/>
            <w:tcBorders>
              <w:bottom w:val="single" w:sz="8" w:color="0C479D"/>
            </w:tcBorders>
            <w:vMerge w:val="continue"/>
          </w:tcPr>
          <w:p>
            <w:pPr>
              <w:spacing w:after="0"/>
              <w:rPr>
                <w:sz w:val="21"/>
                <w:szCs w:val="21"/>
                <w:color w:val="auto"/>
              </w:rPr>
            </w:pPr>
          </w:p>
        </w:tc>
        <w:tc>
          <w:tcPr>
            <w:tcW w:w="1200" w:type="dxa"/>
            <w:vAlign w:val="bottom"/>
            <w:tcBorders>
              <w:bottom w:val="single" w:sz="8" w:color="0C479D"/>
            </w:tcBorders>
            <w:vMerge w:val="continue"/>
          </w:tcPr>
          <w:p>
            <w:pPr>
              <w:spacing w:after="0"/>
              <w:rPr>
                <w:sz w:val="21"/>
                <w:szCs w:val="21"/>
                <w:color w:val="auto"/>
              </w:rPr>
            </w:pPr>
          </w:p>
        </w:tc>
        <w:tc>
          <w:tcPr>
            <w:tcW w:w="1020" w:type="dxa"/>
            <w:vAlign w:val="bottom"/>
            <w:tcBorders>
              <w:bottom w:val="single" w:sz="8" w:color="0C479D"/>
            </w:tcBorders>
            <w:vMerge w:val="continue"/>
          </w:tcPr>
          <w:p>
            <w:pPr>
              <w:spacing w:after="0"/>
              <w:rPr>
                <w:sz w:val="21"/>
                <w:szCs w:val="21"/>
                <w:color w:val="auto"/>
              </w:rPr>
            </w:pPr>
          </w:p>
        </w:tc>
        <w:tc>
          <w:tcPr>
            <w:tcW w:w="1000" w:type="dxa"/>
            <w:vAlign w:val="bottom"/>
            <w:tcBorders>
              <w:bottom w:val="single" w:sz="8" w:color="0C479D"/>
            </w:tcBorders>
            <w:vMerge w:val="continue"/>
          </w:tcPr>
          <w:p>
            <w:pPr>
              <w:spacing w:after="0"/>
              <w:rPr>
                <w:sz w:val="21"/>
                <w:szCs w:val="21"/>
                <w:color w:val="auto"/>
              </w:rPr>
            </w:pPr>
          </w:p>
        </w:tc>
        <w:tc>
          <w:tcPr>
            <w:tcW w:w="940" w:type="dxa"/>
            <w:vAlign w:val="bottom"/>
            <w:tcBorders>
              <w:bottom w:val="single" w:sz="8" w:color="0C479D"/>
            </w:tcBorders>
            <w:vMerge w:val="continue"/>
          </w:tcPr>
          <w:p>
            <w:pPr>
              <w:spacing w:after="0"/>
              <w:rPr>
                <w:sz w:val="21"/>
                <w:szCs w:val="21"/>
                <w:color w:val="auto"/>
              </w:rPr>
            </w:pPr>
          </w:p>
        </w:tc>
        <w:tc>
          <w:tcPr>
            <w:tcW w:w="980" w:type="dxa"/>
            <w:vAlign w:val="bottom"/>
            <w:tcBorders>
              <w:bottom w:val="single" w:sz="8" w:color="0C479D"/>
            </w:tcBorders>
            <w:vMerge w:val="continue"/>
          </w:tcPr>
          <w:p>
            <w:pPr>
              <w:spacing w:after="0"/>
              <w:rPr>
                <w:sz w:val="21"/>
                <w:szCs w:val="21"/>
                <w:color w:val="auto"/>
              </w:rPr>
            </w:pPr>
          </w:p>
        </w:tc>
        <w:tc>
          <w:tcPr>
            <w:tcW w:w="940" w:type="dxa"/>
            <w:vAlign w:val="bottom"/>
            <w:tcBorders>
              <w:bottom w:val="single" w:sz="8" w:color="0C479D"/>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80" w:hanging="141"/>
        <w:spacing w:after="0"/>
        <w:tabs>
          <w:tab w:leader="none" w:pos="180" w:val="left"/>
        </w:tabs>
        <w:numPr>
          <w:ilvl w:val="0"/>
          <w:numId w:val="74"/>
        </w:numPr>
        <w:rPr>
          <w:rFonts w:ascii="Times New Roman" w:cs="Times New Roman" w:eastAsia="Times New Roman" w:hAnsi="Times New Roman"/>
          <w:sz w:val="18"/>
          <w:szCs w:val="18"/>
          <w:i w:val="1"/>
          <w:iCs w:val="1"/>
          <w:color w:val="auto"/>
          <w:vertAlign w:val="superscript"/>
        </w:rPr>
      </w:pPr>
      <w:r>
        <w:rPr>
          <w:rFonts w:ascii="Times New Roman" w:cs="Times New Roman" w:eastAsia="Times New Roman" w:hAnsi="Times New Roman"/>
          <w:sz w:val="14"/>
          <w:szCs w:val="14"/>
          <w:i w:val="1"/>
          <w:iCs w:val="1"/>
          <w:color w:val="auto"/>
        </w:rPr>
        <w:t>Includes discounted future net cash flows attributable to noncontrolling interests in ExxonMobil consolidated subsidiaries of $6,596 million in 2022.</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43"/>
        </w:trPr>
        <w:tc>
          <w:tcPr>
            <w:tcW w:w="3980" w:type="dxa"/>
            <w:vAlign w:val="bottom"/>
            <w:shd w:val="clear" w:color="auto" w:fill="0C479D"/>
          </w:tcPr>
          <w:p>
            <w:pPr>
              <w:ind w:left="20"/>
              <w:spacing w:after="0"/>
              <w:rPr>
                <w:sz w:val="20"/>
                <w:szCs w:val="20"/>
                <w:color w:val="auto"/>
              </w:rPr>
            </w:pPr>
            <w:r>
              <w:rPr>
                <w:rFonts w:ascii="Times New Roman" w:cs="Times New Roman" w:eastAsia="Times New Roman" w:hAnsi="Times New Roman"/>
                <w:sz w:val="18"/>
                <w:szCs w:val="18"/>
                <w:b w:val="1"/>
                <w:bCs w:val="1"/>
                <w:color w:val="FFFFFF"/>
              </w:rPr>
              <w:t>Standardized Measure of Discounted</w:t>
            </w:r>
          </w:p>
        </w:tc>
        <w:tc>
          <w:tcPr>
            <w:tcW w:w="1140" w:type="dxa"/>
            <w:vAlign w:val="bottom"/>
            <w:vMerge w:val="restart"/>
            <w:shd w:val="clear" w:color="auto" w:fill="0C479D"/>
          </w:tcPr>
          <w:p>
            <w:pPr>
              <w:jc w:val="right"/>
              <w:ind w:right="11"/>
              <w:spacing w:after="0"/>
              <w:rPr>
                <w:sz w:val="20"/>
                <w:szCs w:val="20"/>
                <w:color w:val="auto"/>
              </w:rPr>
            </w:pPr>
            <w:r>
              <w:rPr>
                <w:rFonts w:ascii="Times New Roman" w:cs="Times New Roman" w:eastAsia="Times New Roman" w:hAnsi="Times New Roman"/>
                <w:sz w:val="14"/>
                <w:szCs w:val="14"/>
                <w:b w:val="1"/>
                <w:bCs w:val="1"/>
                <w:color w:val="FFFFFF"/>
              </w:rPr>
              <w:t>United States</w:t>
            </w:r>
          </w:p>
        </w:tc>
        <w:tc>
          <w:tcPr>
            <w:tcW w:w="1200" w:type="dxa"/>
            <w:vAlign w:val="bottom"/>
            <w:shd w:val="clear" w:color="auto" w:fill="0C479D"/>
          </w:tcPr>
          <w:p>
            <w:pPr>
              <w:jc w:val="right"/>
              <w:ind w:right="111"/>
              <w:spacing w:after="0"/>
              <w:rPr>
                <w:sz w:val="20"/>
                <w:szCs w:val="20"/>
                <w:color w:val="auto"/>
              </w:rPr>
            </w:pPr>
            <w:r>
              <w:rPr>
                <w:rFonts w:ascii="Times New Roman" w:cs="Times New Roman" w:eastAsia="Times New Roman" w:hAnsi="Times New Roman"/>
                <w:sz w:val="14"/>
                <w:szCs w:val="14"/>
                <w:b w:val="1"/>
                <w:bCs w:val="1"/>
                <w:color w:val="FFFFFF"/>
              </w:rPr>
              <w:t>Canada/Other</w:t>
            </w:r>
          </w:p>
        </w:tc>
        <w:tc>
          <w:tcPr>
            <w:tcW w:w="1040" w:type="dxa"/>
            <w:vAlign w:val="bottom"/>
            <w:vMerge w:val="restart"/>
            <w:shd w:val="clear" w:color="auto" w:fill="0C479D"/>
          </w:tcPr>
          <w:p>
            <w:pPr>
              <w:jc w:val="right"/>
              <w:ind w:right="311"/>
              <w:spacing w:after="0"/>
              <w:rPr>
                <w:sz w:val="20"/>
                <w:szCs w:val="20"/>
                <w:color w:val="auto"/>
              </w:rPr>
            </w:pPr>
            <w:r>
              <w:rPr>
                <w:rFonts w:ascii="Times New Roman" w:cs="Times New Roman" w:eastAsia="Times New Roman" w:hAnsi="Times New Roman"/>
                <w:sz w:val="14"/>
                <w:szCs w:val="14"/>
                <w:b w:val="1"/>
                <w:bCs w:val="1"/>
                <w:color w:val="FFFFFF"/>
              </w:rPr>
              <w:t>Europe</w:t>
            </w:r>
          </w:p>
        </w:tc>
        <w:tc>
          <w:tcPr>
            <w:tcW w:w="980" w:type="dxa"/>
            <w:vAlign w:val="bottom"/>
            <w:vMerge w:val="restart"/>
            <w:shd w:val="clear" w:color="auto" w:fill="0C479D"/>
          </w:tcPr>
          <w:p>
            <w:pPr>
              <w:jc w:val="right"/>
              <w:ind w:right="311"/>
              <w:spacing w:after="0"/>
              <w:rPr>
                <w:sz w:val="20"/>
                <w:szCs w:val="20"/>
                <w:color w:val="auto"/>
              </w:rPr>
            </w:pPr>
            <w:r>
              <w:rPr>
                <w:rFonts w:ascii="Times New Roman" w:cs="Times New Roman" w:eastAsia="Times New Roman" w:hAnsi="Times New Roman"/>
                <w:sz w:val="14"/>
                <w:szCs w:val="14"/>
                <w:b w:val="1"/>
                <w:bCs w:val="1"/>
                <w:color w:val="FFFFFF"/>
              </w:rPr>
              <w:t>Africa</w:t>
            </w:r>
          </w:p>
        </w:tc>
        <w:tc>
          <w:tcPr>
            <w:tcW w:w="940" w:type="dxa"/>
            <w:vAlign w:val="bottom"/>
            <w:vMerge w:val="restart"/>
            <w:shd w:val="clear" w:color="auto" w:fill="0C479D"/>
          </w:tcPr>
          <w:p>
            <w:pPr>
              <w:jc w:val="right"/>
              <w:ind w:right="311"/>
              <w:spacing w:after="0"/>
              <w:rPr>
                <w:sz w:val="20"/>
                <w:szCs w:val="20"/>
                <w:color w:val="auto"/>
              </w:rPr>
            </w:pPr>
            <w:r>
              <w:rPr>
                <w:rFonts w:ascii="Times New Roman" w:cs="Times New Roman" w:eastAsia="Times New Roman" w:hAnsi="Times New Roman"/>
                <w:sz w:val="14"/>
                <w:szCs w:val="14"/>
                <w:b w:val="1"/>
                <w:bCs w:val="1"/>
                <w:color w:val="FFFFFF"/>
              </w:rPr>
              <w:t>Asia</w:t>
            </w:r>
          </w:p>
        </w:tc>
        <w:tc>
          <w:tcPr>
            <w:tcW w:w="1060" w:type="dxa"/>
            <w:vAlign w:val="bottom"/>
            <w:shd w:val="clear" w:color="auto" w:fill="0C479D"/>
          </w:tcPr>
          <w:p>
            <w:pPr>
              <w:jc w:val="right"/>
              <w:ind w:right="211"/>
              <w:spacing w:after="0"/>
              <w:rPr>
                <w:sz w:val="20"/>
                <w:szCs w:val="20"/>
                <w:color w:val="auto"/>
              </w:rPr>
            </w:pPr>
            <w:r>
              <w:rPr>
                <w:rFonts w:ascii="Times New Roman" w:cs="Times New Roman" w:eastAsia="Times New Roman" w:hAnsi="Times New Roman"/>
                <w:sz w:val="14"/>
                <w:szCs w:val="14"/>
                <w:b w:val="1"/>
                <w:bCs w:val="1"/>
                <w:color w:val="FFFFFF"/>
              </w:rPr>
              <w:t>Australia/</w:t>
            </w:r>
          </w:p>
        </w:tc>
        <w:tc>
          <w:tcPr>
            <w:tcW w:w="860" w:type="dxa"/>
            <w:vAlign w:val="bottom"/>
            <w:vMerge w:val="restart"/>
            <w:shd w:val="clear" w:color="auto" w:fill="0C479D"/>
          </w:tcPr>
          <w:p>
            <w:pPr>
              <w:jc w:val="right"/>
              <w:ind w:right="211"/>
              <w:spacing w:after="0"/>
              <w:rPr>
                <w:sz w:val="20"/>
                <w:szCs w:val="20"/>
                <w:color w:val="auto"/>
              </w:rPr>
            </w:pPr>
            <w:r>
              <w:rPr>
                <w:rFonts w:ascii="Times New Roman" w:cs="Times New Roman" w:eastAsia="Times New Roman" w:hAnsi="Times New Roman"/>
                <w:sz w:val="14"/>
                <w:szCs w:val="14"/>
                <w:b w:val="1"/>
                <w:bCs w:val="1"/>
                <w:color w:val="FFFFFF"/>
              </w:rPr>
              <w:t>Total</w:t>
            </w:r>
          </w:p>
        </w:tc>
        <w:tc>
          <w:tcPr>
            <w:tcW w:w="0" w:type="dxa"/>
            <w:vAlign w:val="bottom"/>
          </w:tcPr>
          <w:p>
            <w:pPr>
              <w:spacing w:after="0"/>
              <w:rPr>
                <w:sz w:val="1"/>
                <w:szCs w:val="1"/>
                <w:color w:val="auto"/>
              </w:rPr>
            </w:pPr>
          </w:p>
        </w:tc>
      </w:tr>
      <w:tr>
        <w:trPr>
          <w:trHeight w:val="149"/>
        </w:trPr>
        <w:tc>
          <w:tcPr>
            <w:tcW w:w="3980" w:type="dxa"/>
            <w:vAlign w:val="bottom"/>
            <w:shd w:val="clear" w:color="auto" w:fill="0C479D"/>
          </w:tcPr>
          <w:p>
            <w:pPr>
              <w:ind w:left="20"/>
              <w:spacing w:after="0" w:line="149" w:lineRule="exact"/>
              <w:rPr>
                <w:sz w:val="20"/>
                <w:szCs w:val="20"/>
                <w:color w:val="auto"/>
              </w:rPr>
            </w:pPr>
            <w:r>
              <w:rPr>
                <w:rFonts w:ascii="Times New Roman" w:cs="Times New Roman" w:eastAsia="Times New Roman" w:hAnsi="Times New Roman"/>
                <w:sz w:val="17"/>
                <w:szCs w:val="17"/>
                <w:b w:val="1"/>
                <w:bCs w:val="1"/>
                <w:color w:val="FFFFFF"/>
              </w:rPr>
              <w:t>Future Cash Flows (continued)</w:t>
            </w:r>
          </w:p>
        </w:tc>
        <w:tc>
          <w:tcPr>
            <w:tcW w:w="1140" w:type="dxa"/>
            <w:vAlign w:val="bottom"/>
            <w:vMerge w:val="continue"/>
            <w:shd w:val="clear" w:color="auto" w:fill="0C479D"/>
          </w:tcPr>
          <w:p>
            <w:pPr>
              <w:spacing w:after="0"/>
              <w:rPr>
                <w:sz w:val="12"/>
                <w:szCs w:val="12"/>
                <w:color w:val="auto"/>
              </w:rPr>
            </w:pPr>
          </w:p>
        </w:tc>
        <w:tc>
          <w:tcPr>
            <w:tcW w:w="1200" w:type="dxa"/>
            <w:vAlign w:val="bottom"/>
            <w:shd w:val="clear" w:color="auto" w:fill="0C479D"/>
          </w:tcPr>
          <w:p>
            <w:pPr>
              <w:jc w:val="right"/>
              <w:ind w:right="191"/>
              <w:spacing w:after="0" w:line="149" w:lineRule="exact"/>
              <w:rPr>
                <w:sz w:val="20"/>
                <w:szCs w:val="20"/>
                <w:color w:val="auto"/>
              </w:rPr>
            </w:pPr>
            <w:r>
              <w:rPr>
                <w:rFonts w:ascii="Times New Roman" w:cs="Times New Roman" w:eastAsia="Times New Roman" w:hAnsi="Times New Roman"/>
                <w:sz w:val="14"/>
                <w:szCs w:val="14"/>
                <w:b w:val="1"/>
                <w:bCs w:val="1"/>
                <w:color w:val="FFFFFF"/>
              </w:rPr>
              <w:t xml:space="preserve">Americas </w:t>
            </w:r>
            <w:r>
              <w:rPr>
                <w:rFonts w:ascii="Times New Roman" w:cs="Times New Roman" w:eastAsia="Times New Roman" w:hAnsi="Times New Roman"/>
                <w:sz w:val="17"/>
                <w:szCs w:val="17"/>
                <w:i w:val="1"/>
                <w:iCs w:val="1"/>
                <w:color w:val="FFFFFF"/>
                <w:vertAlign w:val="superscript"/>
              </w:rPr>
              <w:t>(1)</w:t>
            </w:r>
          </w:p>
        </w:tc>
        <w:tc>
          <w:tcPr>
            <w:tcW w:w="1040" w:type="dxa"/>
            <w:vAlign w:val="bottom"/>
            <w:vMerge w:val="continue"/>
            <w:shd w:val="clear" w:color="auto" w:fill="0C479D"/>
          </w:tcPr>
          <w:p>
            <w:pPr>
              <w:spacing w:after="0"/>
              <w:rPr>
                <w:sz w:val="12"/>
                <w:szCs w:val="12"/>
                <w:color w:val="auto"/>
              </w:rPr>
            </w:pPr>
          </w:p>
        </w:tc>
        <w:tc>
          <w:tcPr>
            <w:tcW w:w="980" w:type="dxa"/>
            <w:vAlign w:val="bottom"/>
            <w:vMerge w:val="continue"/>
            <w:shd w:val="clear" w:color="auto" w:fill="0C479D"/>
          </w:tcPr>
          <w:p>
            <w:pPr>
              <w:spacing w:after="0"/>
              <w:rPr>
                <w:sz w:val="12"/>
                <w:szCs w:val="12"/>
                <w:color w:val="auto"/>
              </w:rPr>
            </w:pPr>
          </w:p>
        </w:tc>
        <w:tc>
          <w:tcPr>
            <w:tcW w:w="940" w:type="dxa"/>
            <w:vAlign w:val="bottom"/>
            <w:vMerge w:val="continue"/>
            <w:shd w:val="clear" w:color="auto" w:fill="0C479D"/>
          </w:tcPr>
          <w:p>
            <w:pPr>
              <w:spacing w:after="0"/>
              <w:rPr>
                <w:sz w:val="12"/>
                <w:szCs w:val="12"/>
                <w:color w:val="auto"/>
              </w:rPr>
            </w:pPr>
          </w:p>
        </w:tc>
        <w:tc>
          <w:tcPr>
            <w:tcW w:w="1060" w:type="dxa"/>
            <w:vAlign w:val="bottom"/>
            <w:shd w:val="clear" w:color="auto" w:fill="0C479D"/>
          </w:tcPr>
          <w:p>
            <w:pPr>
              <w:jc w:val="right"/>
              <w:ind w:right="271"/>
              <w:spacing w:after="0" w:line="149" w:lineRule="exact"/>
              <w:rPr>
                <w:sz w:val="20"/>
                <w:szCs w:val="20"/>
                <w:color w:val="auto"/>
              </w:rPr>
            </w:pPr>
            <w:r>
              <w:rPr>
                <w:rFonts w:ascii="Times New Roman" w:cs="Times New Roman" w:eastAsia="Times New Roman" w:hAnsi="Times New Roman"/>
                <w:sz w:val="14"/>
                <w:szCs w:val="14"/>
                <w:b w:val="1"/>
                <w:bCs w:val="1"/>
                <w:color w:val="FFFFFF"/>
              </w:rPr>
              <w:t>Oceania</w:t>
            </w:r>
          </w:p>
        </w:tc>
        <w:tc>
          <w:tcPr>
            <w:tcW w:w="860" w:type="dxa"/>
            <w:vAlign w:val="bottom"/>
            <w:vMerge w:val="continue"/>
            <w:shd w:val="clear" w:color="auto" w:fill="0C479D"/>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80" w:type="dxa"/>
            <w:vAlign w:val="bottom"/>
            <w:shd w:val="clear" w:color="auto" w:fill="0C479D"/>
          </w:tcPr>
          <w:p>
            <w:pPr>
              <w:ind w:left="20"/>
              <w:spacing w:after="0"/>
              <w:rPr>
                <w:sz w:val="20"/>
                <w:szCs w:val="20"/>
                <w:color w:val="auto"/>
              </w:rPr>
            </w:pPr>
            <w:r>
              <w:rPr>
                <w:rFonts w:ascii="Times New Roman" w:cs="Times New Roman" w:eastAsia="Times New Roman" w:hAnsi="Times New Roman"/>
                <w:sz w:val="14"/>
                <w:szCs w:val="14"/>
                <w:i w:val="1"/>
                <w:iCs w:val="1"/>
                <w:color w:val="FFFFFF"/>
              </w:rPr>
              <w:t>(millions of dollars)</w:t>
            </w:r>
          </w:p>
        </w:tc>
        <w:tc>
          <w:tcPr>
            <w:tcW w:w="1140" w:type="dxa"/>
            <w:vAlign w:val="bottom"/>
            <w:shd w:val="clear" w:color="auto" w:fill="0C479D"/>
          </w:tcPr>
          <w:p>
            <w:pPr>
              <w:spacing w:after="0"/>
              <w:rPr>
                <w:sz w:val="14"/>
                <w:szCs w:val="14"/>
                <w:color w:val="auto"/>
              </w:rPr>
            </w:pPr>
          </w:p>
        </w:tc>
        <w:tc>
          <w:tcPr>
            <w:tcW w:w="1200" w:type="dxa"/>
            <w:vAlign w:val="bottom"/>
            <w:shd w:val="clear" w:color="auto" w:fill="0C479D"/>
          </w:tcPr>
          <w:p>
            <w:pPr>
              <w:spacing w:after="0"/>
              <w:rPr>
                <w:sz w:val="14"/>
                <w:szCs w:val="14"/>
                <w:color w:val="auto"/>
              </w:rPr>
            </w:pPr>
          </w:p>
        </w:tc>
        <w:tc>
          <w:tcPr>
            <w:tcW w:w="1040" w:type="dxa"/>
            <w:vAlign w:val="bottom"/>
            <w:shd w:val="clear" w:color="auto" w:fill="0C479D"/>
          </w:tcPr>
          <w:p>
            <w:pPr>
              <w:spacing w:after="0"/>
              <w:rPr>
                <w:sz w:val="14"/>
                <w:szCs w:val="14"/>
                <w:color w:val="auto"/>
              </w:rPr>
            </w:pPr>
          </w:p>
        </w:tc>
        <w:tc>
          <w:tcPr>
            <w:tcW w:w="980" w:type="dxa"/>
            <w:vAlign w:val="bottom"/>
            <w:shd w:val="clear" w:color="auto" w:fill="0C479D"/>
          </w:tcPr>
          <w:p>
            <w:pPr>
              <w:spacing w:after="0"/>
              <w:rPr>
                <w:sz w:val="14"/>
                <w:szCs w:val="14"/>
                <w:color w:val="auto"/>
              </w:rPr>
            </w:pPr>
          </w:p>
        </w:tc>
        <w:tc>
          <w:tcPr>
            <w:tcW w:w="940" w:type="dxa"/>
            <w:vAlign w:val="bottom"/>
            <w:shd w:val="clear" w:color="auto" w:fill="0C479D"/>
          </w:tcPr>
          <w:p>
            <w:pPr>
              <w:spacing w:after="0"/>
              <w:rPr>
                <w:sz w:val="14"/>
                <w:szCs w:val="14"/>
                <w:color w:val="auto"/>
              </w:rPr>
            </w:pPr>
          </w:p>
        </w:tc>
        <w:tc>
          <w:tcPr>
            <w:tcW w:w="1060" w:type="dxa"/>
            <w:vAlign w:val="bottom"/>
            <w:shd w:val="clear" w:color="auto" w:fill="0C479D"/>
          </w:tcPr>
          <w:p>
            <w:pPr>
              <w:spacing w:after="0"/>
              <w:rPr>
                <w:sz w:val="14"/>
                <w:szCs w:val="14"/>
                <w:color w:val="auto"/>
              </w:rPr>
            </w:pPr>
          </w:p>
        </w:tc>
        <w:tc>
          <w:tcPr>
            <w:tcW w:w="860" w:type="dxa"/>
            <w:vAlign w:val="bottom"/>
            <w:shd w:val="clear" w:color="auto" w:fill="0C479D"/>
          </w:tcPr>
          <w:p>
            <w:pPr>
              <w:spacing w:after="0"/>
              <w:rPr>
                <w:sz w:val="14"/>
                <w:szCs w:val="14"/>
                <w:color w:val="auto"/>
              </w:rPr>
            </w:pPr>
          </w:p>
        </w:tc>
        <w:tc>
          <w:tcPr>
            <w:tcW w:w="0" w:type="dxa"/>
            <w:vAlign w:val="bottom"/>
          </w:tcPr>
          <w:p>
            <w:pPr>
              <w:spacing w:after="0"/>
              <w:rPr>
                <w:sz w:val="1"/>
                <w:szCs w:val="1"/>
                <w:color w:val="auto"/>
              </w:rPr>
            </w:pPr>
          </w:p>
        </w:tc>
      </w:tr>
      <w:tr>
        <w:trPr>
          <w:trHeight w:val="45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C479D"/>
              </w:rPr>
              <w:t>As of December 31, 2023</w:t>
            </w: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C479D"/>
              </w:rPr>
              <w:t>Consolidated Subsidiaries</w:t>
            </w:r>
          </w:p>
        </w:tc>
        <w:tc>
          <w:tcPr>
            <w:tcW w:w="1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Future cash inflows from sales of oil and gas</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213,623</w:t>
            </w:r>
          </w:p>
        </w:tc>
        <w:tc>
          <w:tcPr>
            <w:tcW w:w="12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227,365</w:t>
            </w:r>
          </w:p>
        </w:tc>
        <w:tc>
          <w:tcPr>
            <w:tcW w:w="10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3,918</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19,282</w:t>
            </w: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221,822</w:t>
            </w: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63,204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749,214</w:t>
            </w:r>
          </w:p>
        </w:tc>
        <w:tc>
          <w:tcPr>
            <w:tcW w:w="0" w:type="dxa"/>
            <w:vAlign w:val="bottom"/>
          </w:tcPr>
          <w:p>
            <w:pPr>
              <w:spacing w:after="0"/>
              <w:rPr>
                <w:sz w:val="1"/>
                <w:szCs w:val="1"/>
                <w:color w:val="auto"/>
              </w:rPr>
            </w:pPr>
          </w:p>
        </w:tc>
      </w:tr>
      <w:tr>
        <w:trPr>
          <w:trHeight w:val="229"/>
        </w:trPr>
        <w:tc>
          <w:tcPr>
            <w:tcW w:w="3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Future production costs</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68,753</w:t>
            </w:r>
          </w:p>
        </w:tc>
        <w:tc>
          <w:tcPr>
            <w:tcW w:w="12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113,875</w:t>
            </w:r>
          </w:p>
        </w:tc>
        <w:tc>
          <w:tcPr>
            <w:tcW w:w="10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1,611</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5,025</w:t>
            </w: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52,672</w:t>
            </w: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13,971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255,907</w:t>
            </w:r>
          </w:p>
        </w:tc>
        <w:tc>
          <w:tcPr>
            <w:tcW w:w="0" w:type="dxa"/>
            <w:vAlign w:val="bottom"/>
          </w:tcPr>
          <w:p>
            <w:pPr>
              <w:spacing w:after="0"/>
              <w:rPr>
                <w:sz w:val="1"/>
                <w:szCs w:val="1"/>
                <w:color w:val="auto"/>
              </w:rPr>
            </w:pPr>
          </w:p>
        </w:tc>
      </w:tr>
      <w:tr>
        <w:trPr>
          <w:trHeight w:val="229"/>
        </w:trPr>
        <w:tc>
          <w:tcPr>
            <w:tcW w:w="3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Future development costs</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37,784</w:t>
            </w:r>
          </w:p>
        </w:tc>
        <w:tc>
          <w:tcPr>
            <w:tcW w:w="12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38,436</w:t>
            </w:r>
          </w:p>
        </w:tc>
        <w:tc>
          <w:tcPr>
            <w:tcW w:w="10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1,881</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4,466</w:t>
            </w: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11,926</w:t>
            </w: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6,393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100,886</w:t>
            </w:r>
          </w:p>
        </w:tc>
        <w:tc>
          <w:tcPr>
            <w:tcW w:w="0" w:type="dxa"/>
            <w:vAlign w:val="bottom"/>
          </w:tcPr>
          <w:p>
            <w:pPr>
              <w:spacing w:after="0"/>
              <w:rPr>
                <w:sz w:val="1"/>
                <w:szCs w:val="1"/>
                <w:color w:val="auto"/>
              </w:rPr>
            </w:pPr>
          </w:p>
        </w:tc>
      </w:tr>
      <w:tr>
        <w:trPr>
          <w:trHeight w:val="234"/>
        </w:trPr>
        <w:tc>
          <w:tcPr>
            <w:tcW w:w="3980" w:type="dxa"/>
            <w:vAlign w:val="bottom"/>
            <w:tcBorders>
              <w:bottom w:val="single" w:sz="8" w:color="0C479D"/>
            </w:tcBorders>
          </w:tcPr>
          <w:p>
            <w:pPr>
              <w:ind w:left="220"/>
              <w:spacing w:after="0"/>
              <w:rPr>
                <w:sz w:val="20"/>
                <w:szCs w:val="20"/>
                <w:color w:val="auto"/>
              </w:rPr>
            </w:pPr>
            <w:r>
              <w:rPr>
                <w:rFonts w:ascii="Times New Roman" w:cs="Times New Roman" w:eastAsia="Times New Roman" w:hAnsi="Times New Roman"/>
                <w:sz w:val="18"/>
                <w:szCs w:val="18"/>
                <w:color w:val="auto"/>
              </w:rPr>
              <w:t>Future income tax expenses</w:t>
            </w:r>
          </w:p>
        </w:tc>
        <w:tc>
          <w:tcPr>
            <w:tcW w:w="1140" w:type="dxa"/>
            <w:vAlign w:val="bottom"/>
            <w:tcBorders>
              <w:bottom w:val="single" w:sz="8" w:color="0C479D"/>
            </w:tcBorders>
          </w:tcPr>
          <w:p>
            <w:pPr>
              <w:jc w:val="right"/>
              <w:ind w:right="31"/>
              <w:spacing w:after="0"/>
              <w:rPr>
                <w:sz w:val="20"/>
                <w:szCs w:val="20"/>
                <w:color w:val="auto"/>
              </w:rPr>
            </w:pPr>
            <w:r>
              <w:rPr>
                <w:rFonts w:ascii="Times New Roman" w:cs="Times New Roman" w:eastAsia="Times New Roman" w:hAnsi="Times New Roman"/>
                <w:sz w:val="18"/>
                <w:szCs w:val="18"/>
                <w:color w:val="auto"/>
              </w:rPr>
              <w:t>14,270</w:t>
            </w:r>
          </w:p>
        </w:tc>
        <w:tc>
          <w:tcPr>
            <w:tcW w:w="1200" w:type="dxa"/>
            <w:vAlign w:val="bottom"/>
            <w:tcBorders>
              <w:bottom w:val="single" w:sz="8" w:color="0C479D"/>
            </w:tcBorders>
          </w:tcPr>
          <w:p>
            <w:pPr>
              <w:jc w:val="right"/>
              <w:ind w:right="111"/>
              <w:spacing w:after="0"/>
              <w:rPr>
                <w:sz w:val="20"/>
                <w:szCs w:val="20"/>
                <w:color w:val="auto"/>
              </w:rPr>
            </w:pPr>
            <w:r>
              <w:rPr>
                <w:rFonts w:ascii="Times New Roman" w:cs="Times New Roman" w:eastAsia="Times New Roman" w:hAnsi="Times New Roman"/>
                <w:sz w:val="18"/>
                <w:szCs w:val="18"/>
                <w:color w:val="auto"/>
              </w:rPr>
              <w:t>15,973</w:t>
            </w:r>
          </w:p>
        </w:tc>
        <w:tc>
          <w:tcPr>
            <w:tcW w:w="1040" w:type="dxa"/>
            <w:vAlign w:val="bottom"/>
            <w:tcBorders>
              <w:bottom w:val="single" w:sz="8" w:color="0C479D"/>
            </w:tcBorders>
          </w:tcPr>
          <w:p>
            <w:pPr>
              <w:jc w:val="right"/>
              <w:ind w:right="151"/>
              <w:spacing w:after="0"/>
              <w:rPr>
                <w:sz w:val="20"/>
                <w:szCs w:val="20"/>
                <w:color w:val="auto"/>
              </w:rPr>
            </w:pPr>
            <w:r>
              <w:rPr>
                <w:rFonts w:ascii="Times New Roman" w:cs="Times New Roman" w:eastAsia="Times New Roman" w:hAnsi="Times New Roman"/>
                <w:sz w:val="18"/>
                <w:szCs w:val="18"/>
                <w:color w:val="auto"/>
              </w:rPr>
              <w:t>509</w:t>
            </w:r>
          </w:p>
        </w:tc>
        <w:tc>
          <w:tcPr>
            <w:tcW w:w="980" w:type="dxa"/>
            <w:vAlign w:val="bottom"/>
            <w:tcBorders>
              <w:bottom w:val="single" w:sz="8" w:color="0C479D"/>
            </w:tcBorders>
          </w:tcPr>
          <w:p>
            <w:pPr>
              <w:jc w:val="right"/>
              <w:ind w:right="131"/>
              <w:spacing w:after="0"/>
              <w:rPr>
                <w:sz w:val="20"/>
                <w:szCs w:val="20"/>
                <w:color w:val="auto"/>
              </w:rPr>
            </w:pPr>
            <w:r>
              <w:rPr>
                <w:rFonts w:ascii="Times New Roman" w:cs="Times New Roman" w:eastAsia="Times New Roman" w:hAnsi="Times New Roman"/>
                <w:sz w:val="18"/>
                <w:szCs w:val="18"/>
                <w:color w:val="auto"/>
              </w:rPr>
              <w:t>4,337</w:t>
            </w:r>
          </w:p>
        </w:tc>
        <w:tc>
          <w:tcPr>
            <w:tcW w:w="940" w:type="dxa"/>
            <w:vAlign w:val="bottom"/>
            <w:tcBorders>
              <w:bottom w:val="single" w:sz="8" w:color="0C479D"/>
            </w:tcBorders>
          </w:tcPr>
          <w:p>
            <w:pPr>
              <w:jc w:val="right"/>
              <w:ind w:right="71"/>
              <w:spacing w:after="0"/>
              <w:rPr>
                <w:sz w:val="20"/>
                <w:szCs w:val="20"/>
                <w:color w:val="auto"/>
              </w:rPr>
            </w:pPr>
            <w:r>
              <w:rPr>
                <w:rFonts w:ascii="Times New Roman" w:cs="Times New Roman" w:eastAsia="Times New Roman" w:hAnsi="Times New Roman"/>
                <w:sz w:val="18"/>
                <w:szCs w:val="18"/>
                <w:color w:val="auto"/>
              </w:rPr>
              <w:t>121,751</w:t>
            </w:r>
          </w:p>
        </w:tc>
        <w:tc>
          <w:tcPr>
            <w:tcW w:w="1060" w:type="dxa"/>
            <w:vAlign w:val="bottom"/>
            <w:tcBorders>
              <w:bottom w:val="single" w:sz="8" w:color="0C479D"/>
            </w:tcBorders>
          </w:tcPr>
          <w:p>
            <w:pPr>
              <w:jc w:val="right"/>
              <w:ind w:right="131"/>
              <w:spacing w:after="0"/>
              <w:rPr>
                <w:sz w:val="20"/>
                <w:szCs w:val="20"/>
                <w:color w:val="auto"/>
              </w:rPr>
            </w:pPr>
            <w:r>
              <w:rPr>
                <w:rFonts w:ascii="Times New Roman" w:cs="Times New Roman" w:eastAsia="Times New Roman" w:hAnsi="Times New Roman"/>
                <w:sz w:val="18"/>
                <w:szCs w:val="18"/>
                <w:color w:val="auto"/>
              </w:rPr>
              <w:t>12,119</w:t>
            </w:r>
          </w:p>
        </w:tc>
        <w:tc>
          <w:tcPr>
            <w:tcW w:w="8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168,959</w:t>
            </w:r>
          </w:p>
        </w:tc>
        <w:tc>
          <w:tcPr>
            <w:tcW w:w="0" w:type="dxa"/>
            <w:vAlign w:val="bottom"/>
          </w:tcPr>
          <w:p>
            <w:pPr>
              <w:spacing w:after="0"/>
              <w:rPr>
                <w:sz w:val="1"/>
                <w:szCs w:val="1"/>
                <w:color w:val="auto"/>
              </w:rPr>
            </w:pPr>
          </w:p>
        </w:tc>
      </w:tr>
      <w:tr>
        <w:trPr>
          <w:trHeight w:val="218"/>
        </w:trPr>
        <w:tc>
          <w:tcPr>
            <w:tcW w:w="3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Future net cash flows</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92,816</w:t>
            </w:r>
          </w:p>
        </w:tc>
        <w:tc>
          <w:tcPr>
            <w:tcW w:w="12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59,081</w:t>
            </w: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(83)</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5,454</w:t>
            </w: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35,473</w:t>
            </w: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30,721</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223,462</w:t>
            </w:r>
          </w:p>
        </w:tc>
        <w:tc>
          <w:tcPr>
            <w:tcW w:w="0" w:type="dxa"/>
            <w:vAlign w:val="bottom"/>
          </w:tcPr>
          <w:p>
            <w:pPr>
              <w:spacing w:after="0"/>
              <w:rPr>
                <w:sz w:val="1"/>
                <w:szCs w:val="1"/>
                <w:color w:val="auto"/>
              </w:rPr>
            </w:pPr>
          </w:p>
        </w:tc>
      </w:tr>
      <w:tr>
        <w:trPr>
          <w:trHeight w:val="234"/>
        </w:trPr>
        <w:tc>
          <w:tcPr>
            <w:tcW w:w="3980" w:type="dxa"/>
            <w:vAlign w:val="bottom"/>
            <w:tcBorders>
              <w:bottom w:val="single" w:sz="8" w:color="0C479D"/>
            </w:tcBorders>
          </w:tcPr>
          <w:p>
            <w:pPr>
              <w:ind w:left="220"/>
              <w:spacing w:after="0"/>
              <w:rPr>
                <w:sz w:val="20"/>
                <w:szCs w:val="20"/>
                <w:color w:val="auto"/>
              </w:rPr>
            </w:pPr>
            <w:r>
              <w:rPr>
                <w:rFonts w:ascii="Times New Roman" w:cs="Times New Roman" w:eastAsia="Times New Roman" w:hAnsi="Times New Roman"/>
                <w:sz w:val="18"/>
                <w:szCs w:val="18"/>
                <w:color w:val="auto"/>
              </w:rPr>
              <w:t>Effect of discounting net cash flows at 10%</w:t>
            </w:r>
          </w:p>
        </w:tc>
        <w:tc>
          <w:tcPr>
            <w:tcW w:w="1140" w:type="dxa"/>
            <w:vAlign w:val="bottom"/>
            <w:tcBorders>
              <w:bottom w:val="single" w:sz="8" w:color="0C479D"/>
            </w:tcBorders>
          </w:tcPr>
          <w:p>
            <w:pPr>
              <w:jc w:val="right"/>
              <w:ind w:right="31"/>
              <w:spacing w:after="0"/>
              <w:rPr>
                <w:sz w:val="20"/>
                <w:szCs w:val="20"/>
                <w:color w:val="auto"/>
              </w:rPr>
            </w:pPr>
            <w:r>
              <w:rPr>
                <w:rFonts w:ascii="Times New Roman" w:cs="Times New Roman" w:eastAsia="Times New Roman" w:hAnsi="Times New Roman"/>
                <w:sz w:val="18"/>
                <w:szCs w:val="18"/>
                <w:color w:val="auto"/>
              </w:rPr>
              <w:t>49,199</w:t>
            </w:r>
          </w:p>
        </w:tc>
        <w:tc>
          <w:tcPr>
            <w:tcW w:w="1200" w:type="dxa"/>
            <w:vAlign w:val="bottom"/>
            <w:tcBorders>
              <w:bottom w:val="single" w:sz="8" w:color="0C479D"/>
            </w:tcBorders>
          </w:tcPr>
          <w:p>
            <w:pPr>
              <w:jc w:val="right"/>
              <w:ind w:right="111"/>
              <w:spacing w:after="0"/>
              <w:rPr>
                <w:sz w:val="20"/>
                <w:szCs w:val="20"/>
                <w:color w:val="auto"/>
              </w:rPr>
            </w:pPr>
            <w:r>
              <w:rPr>
                <w:rFonts w:ascii="Times New Roman" w:cs="Times New Roman" w:eastAsia="Times New Roman" w:hAnsi="Times New Roman"/>
                <w:sz w:val="18"/>
                <w:szCs w:val="18"/>
                <w:color w:val="auto"/>
              </w:rPr>
              <w:t>23,471</w:t>
            </w:r>
          </w:p>
        </w:tc>
        <w:tc>
          <w:tcPr>
            <w:tcW w:w="1040" w:type="dxa"/>
            <w:vAlign w:val="bottom"/>
            <w:tcBorders>
              <w:bottom w:val="single" w:sz="8" w:color="0C479D"/>
            </w:tcBorders>
          </w:tcPr>
          <w:p>
            <w:pPr>
              <w:jc w:val="right"/>
              <w:ind w:right="91"/>
              <w:spacing w:after="0"/>
              <w:rPr>
                <w:sz w:val="20"/>
                <w:szCs w:val="20"/>
                <w:color w:val="auto"/>
              </w:rPr>
            </w:pPr>
            <w:r>
              <w:rPr>
                <w:rFonts w:ascii="Times New Roman" w:cs="Times New Roman" w:eastAsia="Times New Roman" w:hAnsi="Times New Roman"/>
                <w:sz w:val="18"/>
                <w:szCs w:val="18"/>
                <w:color w:val="auto"/>
              </w:rPr>
              <w:t>(762)</w:t>
            </w:r>
          </w:p>
        </w:tc>
        <w:tc>
          <w:tcPr>
            <w:tcW w:w="980" w:type="dxa"/>
            <w:vAlign w:val="bottom"/>
            <w:tcBorders>
              <w:bottom w:val="single" w:sz="8" w:color="0C479D"/>
            </w:tcBorders>
          </w:tcPr>
          <w:p>
            <w:pPr>
              <w:jc w:val="right"/>
              <w:ind w:right="131"/>
              <w:spacing w:after="0"/>
              <w:rPr>
                <w:sz w:val="20"/>
                <w:szCs w:val="20"/>
                <w:color w:val="auto"/>
              </w:rPr>
            </w:pPr>
            <w:r>
              <w:rPr>
                <w:rFonts w:ascii="Times New Roman" w:cs="Times New Roman" w:eastAsia="Times New Roman" w:hAnsi="Times New Roman"/>
                <w:sz w:val="18"/>
                <w:szCs w:val="18"/>
                <w:color w:val="auto"/>
              </w:rPr>
              <w:t>402</w:t>
            </w:r>
          </w:p>
        </w:tc>
        <w:tc>
          <w:tcPr>
            <w:tcW w:w="940" w:type="dxa"/>
            <w:vAlign w:val="bottom"/>
            <w:tcBorders>
              <w:bottom w:val="single" w:sz="8" w:color="0C479D"/>
            </w:tcBorders>
          </w:tcPr>
          <w:p>
            <w:pPr>
              <w:jc w:val="right"/>
              <w:ind w:right="71"/>
              <w:spacing w:after="0"/>
              <w:rPr>
                <w:sz w:val="20"/>
                <w:szCs w:val="20"/>
                <w:color w:val="auto"/>
              </w:rPr>
            </w:pPr>
            <w:r>
              <w:rPr>
                <w:rFonts w:ascii="Times New Roman" w:cs="Times New Roman" w:eastAsia="Times New Roman" w:hAnsi="Times New Roman"/>
                <w:sz w:val="18"/>
                <w:szCs w:val="18"/>
                <w:color w:val="auto"/>
              </w:rPr>
              <w:t>18,537</w:t>
            </w:r>
          </w:p>
        </w:tc>
        <w:tc>
          <w:tcPr>
            <w:tcW w:w="1060" w:type="dxa"/>
            <w:vAlign w:val="bottom"/>
            <w:tcBorders>
              <w:bottom w:val="single" w:sz="8" w:color="0C479D"/>
            </w:tcBorders>
          </w:tcPr>
          <w:p>
            <w:pPr>
              <w:jc w:val="right"/>
              <w:ind w:right="131"/>
              <w:spacing w:after="0"/>
              <w:rPr>
                <w:sz w:val="20"/>
                <w:szCs w:val="20"/>
                <w:color w:val="auto"/>
              </w:rPr>
            </w:pPr>
            <w:r>
              <w:rPr>
                <w:rFonts w:ascii="Times New Roman" w:cs="Times New Roman" w:eastAsia="Times New Roman" w:hAnsi="Times New Roman"/>
                <w:sz w:val="18"/>
                <w:szCs w:val="18"/>
                <w:color w:val="auto"/>
              </w:rPr>
              <w:t>16,215</w:t>
            </w:r>
          </w:p>
        </w:tc>
        <w:tc>
          <w:tcPr>
            <w:tcW w:w="8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107,062</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0C479D"/>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Discounted future net cash flows</w:t>
            </w:r>
          </w:p>
        </w:tc>
        <w:tc>
          <w:tcPr>
            <w:tcW w:w="1140" w:type="dxa"/>
            <w:vAlign w:val="bottom"/>
            <w:tcBorders>
              <w:bottom w:val="single" w:sz="8" w:color="0C479D"/>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43,617</w:t>
            </w:r>
          </w:p>
        </w:tc>
        <w:tc>
          <w:tcPr>
            <w:tcW w:w="1200" w:type="dxa"/>
            <w:vAlign w:val="bottom"/>
            <w:tcBorders>
              <w:bottom w:val="single" w:sz="8" w:color="0C479D"/>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35,610</w:t>
            </w:r>
          </w:p>
        </w:tc>
        <w:tc>
          <w:tcPr>
            <w:tcW w:w="1040" w:type="dxa"/>
            <w:vAlign w:val="bottom"/>
            <w:tcBorders>
              <w:bottom w:val="single" w:sz="8" w:color="0C479D"/>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679</w:t>
            </w:r>
          </w:p>
        </w:tc>
        <w:tc>
          <w:tcPr>
            <w:tcW w:w="980" w:type="dxa"/>
            <w:vAlign w:val="bottom"/>
            <w:tcBorders>
              <w:bottom w:val="single" w:sz="8" w:color="0C479D"/>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5,052</w:t>
            </w:r>
          </w:p>
        </w:tc>
        <w:tc>
          <w:tcPr>
            <w:tcW w:w="940" w:type="dxa"/>
            <w:vAlign w:val="bottom"/>
            <w:tcBorders>
              <w:bottom w:val="single" w:sz="8" w:color="0C479D"/>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16,936</w:t>
            </w:r>
          </w:p>
        </w:tc>
        <w:tc>
          <w:tcPr>
            <w:tcW w:w="1060" w:type="dxa"/>
            <w:vAlign w:val="bottom"/>
            <w:tcBorders>
              <w:bottom w:val="single" w:sz="8" w:color="0C479D"/>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14,506</w:t>
            </w:r>
          </w:p>
        </w:tc>
        <w:tc>
          <w:tcPr>
            <w:tcW w:w="8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116,400</w:t>
            </w:r>
          </w:p>
        </w:tc>
        <w:tc>
          <w:tcPr>
            <w:tcW w:w="0" w:type="dxa"/>
            <w:vAlign w:val="bottom"/>
          </w:tcPr>
          <w:p>
            <w:pPr>
              <w:spacing w:after="0"/>
              <w:rPr>
                <w:sz w:val="1"/>
                <w:szCs w:val="1"/>
                <w:color w:val="auto"/>
              </w:rPr>
            </w:pPr>
          </w:p>
        </w:tc>
      </w:tr>
      <w:tr>
        <w:trPr>
          <w:trHeight w:val="306"/>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C479D"/>
              </w:rPr>
              <w:t>Equity Companies</w:t>
            </w: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Future cash inflows from sales of oil and gas</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818</w:t>
            </w:r>
          </w:p>
        </w:tc>
        <w:tc>
          <w:tcPr>
            <w:tcW w:w="12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5,101</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4,393</w:t>
            </w: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158,643</w:t>
            </w: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168,955</w:t>
            </w:r>
          </w:p>
        </w:tc>
        <w:tc>
          <w:tcPr>
            <w:tcW w:w="0" w:type="dxa"/>
            <w:vAlign w:val="bottom"/>
          </w:tcPr>
          <w:p>
            <w:pPr>
              <w:spacing w:after="0"/>
              <w:rPr>
                <w:sz w:val="1"/>
                <w:szCs w:val="1"/>
                <w:color w:val="auto"/>
              </w:rPr>
            </w:pPr>
          </w:p>
        </w:tc>
      </w:tr>
      <w:tr>
        <w:trPr>
          <w:trHeight w:val="229"/>
        </w:trPr>
        <w:tc>
          <w:tcPr>
            <w:tcW w:w="3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Future production costs</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503</w:t>
            </w:r>
          </w:p>
        </w:tc>
        <w:tc>
          <w:tcPr>
            <w:tcW w:w="12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982</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233</w:t>
            </w: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73,496</w:t>
            </w: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75,214</w:t>
            </w:r>
          </w:p>
        </w:tc>
        <w:tc>
          <w:tcPr>
            <w:tcW w:w="0" w:type="dxa"/>
            <w:vAlign w:val="bottom"/>
          </w:tcPr>
          <w:p>
            <w:pPr>
              <w:spacing w:after="0"/>
              <w:rPr>
                <w:sz w:val="1"/>
                <w:szCs w:val="1"/>
                <w:color w:val="auto"/>
              </w:rPr>
            </w:pPr>
          </w:p>
        </w:tc>
      </w:tr>
      <w:tr>
        <w:trPr>
          <w:trHeight w:val="229"/>
        </w:trPr>
        <w:tc>
          <w:tcPr>
            <w:tcW w:w="3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Future development costs</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75</w:t>
            </w:r>
          </w:p>
        </w:tc>
        <w:tc>
          <w:tcPr>
            <w:tcW w:w="12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697</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100</w:t>
            </w: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5,452</w:t>
            </w: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6,324</w:t>
            </w:r>
          </w:p>
        </w:tc>
        <w:tc>
          <w:tcPr>
            <w:tcW w:w="0" w:type="dxa"/>
            <w:vAlign w:val="bottom"/>
          </w:tcPr>
          <w:p>
            <w:pPr>
              <w:spacing w:after="0"/>
              <w:rPr>
                <w:sz w:val="1"/>
                <w:szCs w:val="1"/>
                <w:color w:val="auto"/>
              </w:rPr>
            </w:pPr>
          </w:p>
        </w:tc>
      </w:tr>
      <w:tr>
        <w:trPr>
          <w:trHeight w:val="234"/>
        </w:trPr>
        <w:tc>
          <w:tcPr>
            <w:tcW w:w="3980" w:type="dxa"/>
            <w:vAlign w:val="bottom"/>
            <w:tcBorders>
              <w:bottom w:val="single" w:sz="8" w:color="0C479D"/>
            </w:tcBorders>
          </w:tcPr>
          <w:p>
            <w:pPr>
              <w:ind w:left="220"/>
              <w:spacing w:after="0"/>
              <w:rPr>
                <w:sz w:val="20"/>
                <w:szCs w:val="20"/>
                <w:color w:val="auto"/>
              </w:rPr>
            </w:pPr>
            <w:r>
              <w:rPr>
                <w:rFonts w:ascii="Times New Roman" w:cs="Times New Roman" w:eastAsia="Times New Roman" w:hAnsi="Times New Roman"/>
                <w:sz w:val="18"/>
                <w:szCs w:val="18"/>
                <w:color w:val="auto"/>
              </w:rPr>
              <w:t>Future income tax expenses</w:t>
            </w:r>
          </w:p>
        </w:tc>
        <w:tc>
          <w:tcPr>
            <w:tcW w:w="1140" w:type="dxa"/>
            <w:vAlign w:val="bottom"/>
            <w:tcBorders>
              <w:bottom w:val="single" w:sz="8" w:color="0C479D"/>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0C479D"/>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0C479D"/>
            </w:tcBorders>
          </w:tcPr>
          <w:p>
            <w:pPr>
              <w:jc w:val="right"/>
              <w:ind w:right="151"/>
              <w:spacing w:after="0"/>
              <w:rPr>
                <w:sz w:val="20"/>
                <w:szCs w:val="20"/>
                <w:color w:val="auto"/>
              </w:rPr>
            </w:pPr>
            <w:r>
              <w:rPr>
                <w:rFonts w:ascii="Times New Roman" w:cs="Times New Roman" w:eastAsia="Times New Roman" w:hAnsi="Times New Roman"/>
                <w:sz w:val="18"/>
                <w:szCs w:val="18"/>
                <w:color w:val="auto"/>
              </w:rPr>
              <w:t>1,539</w:t>
            </w:r>
          </w:p>
        </w:tc>
        <w:tc>
          <w:tcPr>
            <w:tcW w:w="980" w:type="dxa"/>
            <w:vAlign w:val="bottom"/>
            <w:tcBorders>
              <w:bottom w:val="single" w:sz="8" w:color="0C479D"/>
            </w:tcBorders>
          </w:tcPr>
          <w:p>
            <w:pPr>
              <w:jc w:val="right"/>
              <w:ind w:right="131"/>
              <w:spacing w:after="0"/>
              <w:rPr>
                <w:sz w:val="20"/>
                <w:szCs w:val="20"/>
                <w:color w:val="auto"/>
              </w:rPr>
            </w:pPr>
            <w:r>
              <w:rPr>
                <w:rFonts w:ascii="Times New Roman" w:cs="Times New Roman" w:eastAsia="Times New Roman" w:hAnsi="Times New Roman"/>
                <w:sz w:val="18"/>
                <w:szCs w:val="18"/>
                <w:color w:val="auto"/>
              </w:rPr>
              <w:t>1,120</w:t>
            </w:r>
          </w:p>
        </w:tc>
        <w:tc>
          <w:tcPr>
            <w:tcW w:w="940" w:type="dxa"/>
            <w:vAlign w:val="bottom"/>
            <w:tcBorders>
              <w:bottom w:val="single" w:sz="8" w:color="0C479D"/>
            </w:tcBorders>
          </w:tcPr>
          <w:p>
            <w:pPr>
              <w:jc w:val="right"/>
              <w:ind w:right="71"/>
              <w:spacing w:after="0"/>
              <w:rPr>
                <w:sz w:val="20"/>
                <w:szCs w:val="20"/>
                <w:color w:val="auto"/>
              </w:rPr>
            </w:pPr>
            <w:r>
              <w:rPr>
                <w:rFonts w:ascii="Times New Roman" w:cs="Times New Roman" w:eastAsia="Times New Roman" w:hAnsi="Times New Roman"/>
                <w:sz w:val="18"/>
                <w:szCs w:val="18"/>
                <w:color w:val="auto"/>
              </w:rPr>
              <w:t>24,374</w:t>
            </w:r>
          </w:p>
        </w:tc>
        <w:tc>
          <w:tcPr>
            <w:tcW w:w="1060" w:type="dxa"/>
            <w:vAlign w:val="bottom"/>
            <w:tcBorders>
              <w:bottom w:val="single" w:sz="8" w:color="0C479D"/>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27,033</w:t>
            </w:r>
          </w:p>
        </w:tc>
        <w:tc>
          <w:tcPr>
            <w:tcW w:w="0" w:type="dxa"/>
            <w:vAlign w:val="bottom"/>
          </w:tcPr>
          <w:p>
            <w:pPr>
              <w:spacing w:after="0"/>
              <w:rPr>
                <w:sz w:val="1"/>
                <w:szCs w:val="1"/>
                <w:color w:val="auto"/>
              </w:rPr>
            </w:pPr>
          </w:p>
        </w:tc>
      </w:tr>
      <w:tr>
        <w:trPr>
          <w:trHeight w:val="218"/>
        </w:trPr>
        <w:tc>
          <w:tcPr>
            <w:tcW w:w="3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Future net cash flows</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240</w:t>
            </w:r>
          </w:p>
        </w:tc>
        <w:tc>
          <w:tcPr>
            <w:tcW w:w="12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1,883</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2,940</w:t>
            </w: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55,321</w:t>
            </w: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60,384</w:t>
            </w:r>
          </w:p>
        </w:tc>
        <w:tc>
          <w:tcPr>
            <w:tcW w:w="0" w:type="dxa"/>
            <w:vAlign w:val="bottom"/>
          </w:tcPr>
          <w:p>
            <w:pPr>
              <w:spacing w:after="0"/>
              <w:rPr>
                <w:sz w:val="1"/>
                <w:szCs w:val="1"/>
                <w:color w:val="auto"/>
              </w:rPr>
            </w:pPr>
          </w:p>
        </w:tc>
      </w:tr>
      <w:tr>
        <w:trPr>
          <w:trHeight w:val="234"/>
        </w:trPr>
        <w:tc>
          <w:tcPr>
            <w:tcW w:w="3980" w:type="dxa"/>
            <w:vAlign w:val="bottom"/>
            <w:tcBorders>
              <w:bottom w:val="single" w:sz="8" w:color="0C479D"/>
            </w:tcBorders>
          </w:tcPr>
          <w:p>
            <w:pPr>
              <w:ind w:left="220"/>
              <w:spacing w:after="0"/>
              <w:rPr>
                <w:sz w:val="20"/>
                <w:szCs w:val="20"/>
                <w:color w:val="auto"/>
              </w:rPr>
            </w:pPr>
            <w:r>
              <w:rPr>
                <w:rFonts w:ascii="Times New Roman" w:cs="Times New Roman" w:eastAsia="Times New Roman" w:hAnsi="Times New Roman"/>
                <w:sz w:val="18"/>
                <w:szCs w:val="18"/>
                <w:color w:val="auto"/>
              </w:rPr>
              <w:t>Effect of discounting net cash flows at 10%</w:t>
            </w:r>
          </w:p>
        </w:tc>
        <w:tc>
          <w:tcPr>
            <w:tcW w:w="1140" w:type="dxa"/>
            <w:vAlign w:val="bottom"/>
            <w:tcBorders>
              <w:bottom w:val="single" w:sz="8" w:color="0C479D"/>
            </w:tcBorders>
          </w:tcPr>
          <w:p>
            <w:pPr>
              <w:jc w:val="right"/>
              <w:ind w:right="31"/>
              <w:spacing w:after="0"/>
              <w:rPr>
                <w:sz w:val="20"/>
                <w:szCs w:val="20"/>
                <w:color w:val="auto"/>
              </w:rPr>
            </w:pPr>
            <w:r>
              <w:rPr>
                <w:rFonts w:ascii="Times New Roman" w:cs="Times New Roman" w:eastAsia="Times New Roman" w:hAnsi="Times New Roman"/>
                <w:sz w:val="18"/>
                <w:szCs w:val="18"/>
                <w:color w:val="auto"/>
              </w:rPr>
              <w:t>76</w:t>
            </w:r>
          </w:p>
        </w:tc>
        <w:tc>
          <w:tcPr>
            <w:tcW w:w="1200" w:type="dxa"/>
            <w:vAlign w:val="bottom"/>
            <w:tcBorders>
              <w:bottom w:val="single" w:sz="8" w:color="0C479D"/>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0C479D"/>
            </w:tcBorders>
          </w:tcPr>
          <w:p>
            <w:pPr>
              <w:jc w:val="right"/>
              <w:ind w:right="151"/>
              <w:spacing w:after="0"/>
              <w:rPr>
                <w:sz w:val="20"/>
                <w:szCs w:val="20"/>
                <w:color w:val="auto"/>
              </w:rPr>
            </w:pPr>
            <w:r>
              <w:rPr>
                <w:rFonts w:ascii="Times New Roman" w:cs="Times New Roman" w:eastAsia="Times New Roman" w:hAnsi="Times New Roman"/>
                <w:sz w:val="18"/>
                <w:szCs w:val="18"/>
                <w:color w:val="auto"/>
              </w:rPr>
              <w:t>672</w:t>
            </w:r>
          </w:p>
        </w:tc>
        <w:tc>
          <w:tcPr>
            <w:tcW w:w="980" w:type="dxa"/>
            <w:vAlign w:val="bottom"/>
            <w:tcBorders>
              <w:bottom w:val="single" w:sz="8" w:color="0C479D"/>
            </w:tcBorders>
          </w:tcPr>
          <w:p>
            <w:pPr>
              <w:jc w:val="right"/>
              <w:ind w:right="131"/>
              <w:spacing w:after="0"/>
              <w:rPr>
                <w:sz w:val="20"/>
                <w:szCs w:val="20"/>
                <w:color w:val="auto"/>
              </w:rPr>
            </w:pPr>
            <w:r>
              <w:rPr>
                <w:rFonts w:ascii="Times New Roman" w:cs="Times New Roman" w:eastAsia="Times New Roman" w:hAnsi="Times New Roman"/>
                <w:sz w:val="18"/>
                <w:szCs w:val="18"/>
                <w:color w:val="auto"/>
              </w:rPr>
              <w:t>1,635</w:t>
            </w:r>
          </w:p>
        </w:tc>
        <w:tc>
          <w:tcPr>
            <w:tcW w:w="940" w:type="dxa"/>
            <w:vAlign w:val="bottom"/>
            <w:tcBorders>
              <w:bottom w:val="single" w:sz="8" w:color="0C479D"/>
            </w:tcBorders>
          </w:tcPr>
          <w:p>
            <w:pPr>
              <w:jc w:val="right"/>
              <w:ind w:right="71"/>
              <w:spacing w:after="0"/>
              <w:rPr>
                <w:sz w:val="20"/>
                <w:szCs w:val="20"/>
                <w:color w:val="auto"/>
              </w:rPr>
            </w:pPr>
            <w:r>
              <w:rPr>
                <w:rFonts w:ascii="Times New Roman" w:cs="Times New Roman" w:eastAsia="Times New Roman" w:hAnsi="Times New Roman"/>
                <w:sz w:val="18"/>
                <w:szCs w:val="18"/>
                <w:color w:val="auto"/>
              </w:rPr>
              <w:t>20,135</w:t>
            </w:r>
          </w:p>
        </w:tc>
        <w:tc>
          <w:tcPr>
            <w:tcW w:w="1060" w:type="dxa"/>
            <w:vAlign w:val="bottom"/>
            <w:tcBorders>
              <w:bottom w:val="single" w:sz="8" w:color="0C479D"/>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22,518</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0C479D"/>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Discounted future net cash flows</w:t>
            </w:r>
          </w:p>
        </w:tc>
        <w:tc>
          <w:tcPr>
            <w:tcW w:w="1140" w:type="dxa"/>
            <w:vAlign w:val="bottom"/>
            <w:tcBorders>
              <w:bottom w:val="single" w:sz="8" w:color="0C479D"/>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164</w:t>
            </w:r>
          </w:p>
        </w:tc>
        <w:tc>
          <w:tcPr>
            <w:tcW w:w="1200" w:type="dxa"/>
            <w:vAlign w:val="bottom"/>
            <w:tcBorders>
              <w:bottom w:val="single" w:sz="8" w:color="0C479D"/>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0C479D"/>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1,211</w:t>
            </w:r>
          </w:p>
        </w:tc>
        <w:tc>
          <w:tcPr>
            <w:tcW w:w="980" w:type="dxa"/>
            <w:vAlign w:val="bottom"/>
            <w:tcBorders>
              <w:bottom w:val="single" w:sz="8" w:color="0C479D"/>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1,305</w:t>
            </w:r>
          </w:p>
        </w:tc>
        <w:tc>
          <w:tcPr>
            <w:tcW w:w="940" w:type="dxa"/>
            <w:vAlign w:val="bottom"/>
            <w:tcBorders>
              <w:bottom w:val="single" w:sz="8" w:color="0C479D"/>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35,186</w:t>
            </w:r>
          </w:p>
        </w:tc>
        <w:tc>
          <w:tcPr>
            <w:tcW w:w="1060" w:type="dxa"/>
            <w:vAlign w:val="bottom"/>
            <w:tcBorders>
              <w:bottom w:val="single" w:sz="8" w:color="0C479D"/>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37,866</w:t>
            </w:r>
          </w:p>
        </w:tc>
        <w:tc>
          <w:tcPr>
            <w:tcW w:w="0" w:type="dxa"/>
            <w:vAlign w:val="bottom"/>
          </w:tcPr>
          <w:p>
            <w:pPr>
              <w:spacing w:after="0"/>
              <w:rPr>
                <w:sz w:val="1"/>
                <w:szCs w:val="1"/>
                <w:color w:val="auto"/>
              </w:rPr>
            </w:pPr>
          </w:p>
        </w:tc>
      </w:tr>
      <w:tr>
        <w:trPr>
          <w:trHeight w:val="81"/>
        </w:trPr>
        <w:tc>
          <w:tcPr>
            <w:tcW w:w="3980" w:type="dxa"/>
            <w:vAlign w:val="bottom"/>
            <w:tcBorders>
              <w:bottom w:val="single" w:sz="8" w:color="0C479D"/>
            </w:tcBorders>
          </w:tcPr>
          <w:p>
            <w:pPr>
              <w:spacing w:after="0"/>
              <w:rPr>
                <w:sz w:val="7"/>
                <w:szCs w:val="7"/>
                <w:color w:val="auto"/>
              </w:rPr>
            </w:pPr>
          </w:p>
        </w:tc>
        <w:tc>
          <w:tcPr>
            <w:tcW w:w="1140" w:type="dxa"/>
            <w:vAlign w:val="bottom"/>
            <w:tcBorders>
              <w:bottom w:val="single" w:sz="8" w:color="0C479D"/>
            </w:tcBorders>
          </w:tcPr>
          <w:p>
            <w:pPr>
              <w:spacing w:after="0"/>
              <w:rPr>
                <w:sz w:val="7"/>
                <w:szCs w:val="7"/>
                <w:color w:val="auto"/>
              </w:rPr>
            </w:pPr>
          </w:p>
        </w:tc>
        <w:tc>
          <w:tcPr>
            <w:tcW w:w="1200" w:type="dxa"/>
            <w:vAlign w:val="bottom"/>
            <w:tcBorders>
              <w:bottom w:val="single" w:sz="8" w:color="0C479D"/>
            </w:tcBorders>
          </w:tcPr>
          <w:p>
            <w:pPr>
              <w:spacing w:after="0"/>
              <w:rPr>
                <w:sz w:val="7"/>
                <w:szCs w:val="7"/>
                <w:color w:val="auto"/>
              </w:rPr>
            </w:pPr>
          </w:p>
        </w:tc>
        <w:tc>
          <w:tcPr>
            <w:tcW w:w="1040" w:type="dxa"/>
            <w:vAlign w:val="bottom"/>
            <w:tcBorders>
              <w:bottom w:val="single" w:sz="8" w:color="0C479D"/>
            </w:tcBorders>
          </w:tcPr>
          <w:p>
            <w:pPr>
              <w:spacing w:after="0"/>
              <w:rPr>
                <w:sz w:val="7"/>
                <w:szCs w:val="7"/>
                <w:color w:val="auto"/>
              </w:rPr>
            </w:pPr>
          </w:p>
        </w:tc>
        <w:tc>
          <w:tcPr>
            <w:tcW w:w="980" w:type="dxa"/>
            <w:vAlign w:val="bottom"/>
            <w:tcBorders>
              <w:bottom w:val="single" w:sz="8" w:color="0C479D"/>
            </w:tcBorders>
          </w:tcPr>
          <w:p>
            <w:pPr>
              <w:spacing w:after="0"/>
              <w:rPr>
                <w:sz w:val="7"/>
                <w:szCs w:val="7"/>
                <w:color w:val="auto"/>
              </w:rPr>
            </w:pPr>
          </w:p>
        </w:tc>
        <w:tc>
          <w:tcPr>
            <w:tcW w:w="940" w:type="dxa"/>
            <w:vAlign w:val="bottom"/>
            <w:tcBorders>
              <w:bottom w:val="single" w:sz="8" w:color="0C479D"/>
            </w:tcBorders>
          </w:tcPr>
          <w:p>
            <w:pPr>
              <w:spacing w:after="0"/>
              <w:rPr>
                <w:sz w:val="7"/>
                <w:szCs w:val="7"/>
                <w:color w:val="auto"/>
              </w:rPr>
            </w:pPr>
          </w:p>
        </w:tc>
        <w:tc>
          <w:tcPr>
            <w:tcW w:w="1060" w:type="dxa"/>
            <w:vAlign w:val="bottom"/>
            <w:tcBorders>
              <w:bottom w:val="single" w:sz="8" w:color="0C479D"/>
            </w:tcBorders>
          </w:tcPr>
          <w:p>
            <w:pPr>
              <w:spacing w:after="0"/>
              <w:rPr>
                <w:sz w:val="7"/>
                <w:szCs w:val="7"/>
                <w:color w:val="auto"/>
              </w:rPr>
            </w:pPr>
          </w:p>
        </w:tc>
        <w:tc>
          <w:tcPr>
            <w:tcW w:w="860" w:type="dxa"/>
            <w:vAlign w:val="bottom"/>
            <w:tcBorders>
              <w:bottom w:val="single" w:sz="8" w:color="0C479D"/>
            </w:tcBorders>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398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Total consolidated and equity interests in</w:t>
            </w:r>
          </w:p>
        </w:tc>
        <w:tc>
          <w:tcPr>
            <w:tcW w:w="1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98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b w:val="1"/>
                <w:bCs w:val="1"/>
                <w:color w:val="auto"/>
              </w:rPr>
              <w:t>standardized measure of discounted future net</w:t>
            </w:r>
          </w:p>
        </w:tc>
        <w:tc>
          <w:tcPr>
            <w:tcW w:w="114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43,781</w:t>
            </w:r>
          </w:p>
        </w:tc>
        <w:tc>
          <w:tcPr>
            <w:tcW w:w="1200" w:type="dxa"/>
            <w:vAlign w:val="bottom"/>
            <w:vMerge w:val="restart"/>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35,610</w:t>
            </w:r>
          </w:p>
        </w:tc>
        <w:tc>
          <w:tcPr>
            <w:tcW w:w="1040" w:type="dxa"/>
            <w:vAlign w:val="bottom"/>
            <w:vMerge w:val="restart"/>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1,890</w:t>
            </w:r>
          </w:p>
        </w:tc>
        <w:tc>
          <w:tcPr>
            <w:tcW w:w="980" w:type="dxa"/>
            <w:vAlign w:val="bottom"/>
            <w:vMerge w:val="restart"/>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6,357</w:t>
            </w:r>
          </w:p>
        </w:tc>
        <w:tc>
          <w:tcPr>
            <w:tcW w:w="940" w:type="dxa"/>
            <w:vAlign w:val="bottom"/>
            <w:vMerge w:val="restart"/>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52,122</w:t>
            </w:r>
          </w:p>
        </w:tc>
        <w:tc>
          <w:tcPr>
            <w:tcW w:w="1060" w:type="dxa"/>
            <w:vAlign w:val="bottom"/>
            <w:vMerge w:val="restart"/>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14,506</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154,266</w:t>
            </w:r>
          </w:p>
        </w:tc>
        <w:tc>
          <w:tcPr>
            <w:tcW w:w="0" w:type="dxa"/>
            <w:vAlign w:val="bottom"/>
          </w:tcPr>
          <w:p>
            <w:pPr>
              <w:spacing w:after="0"/>
              <w:rPr>
                <w:sz w:val="1"/>
                <w:szCs w:val="1"/>
                <w:color w:val="auto"/>
              </w:rPr>
            </w:pPr>
          </w:p>
        </w:tc>
      </w:tr>
      <w:tr>
        <w:trPr>
          <w:trHeight w:val="237"/>
        </w:trPr>
        <w:tc>
          <w:tcPr>
            <w:tcW w:w="3980" w:type="dxa"/>
            <w:vAlign w:val="bottom"/>
            <w:tcBorders>
              <w:bottom w:val="single" w:sz="8" w:color="0C479D"/>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1140" w:type="dxa"/>
            <w:vAlign w:val="bottom"/>
            <w:tcBorders>
              <w:bottom w:val="single" w:sz="8" w:color="0C479D"/>
            </w:tcBorders>
            <w:vMerge w:val="continue"/>
          </w:tcPr>
          <w:p>
            <w:pPr>
              <w:spacing w:after="0"/>
              <w:rPr>
                <w:sz w:val="20"/>
                <w:szCs w:val="20"/>
                <w:color w:val="auto"/>
              </w:rPr>
            </w:pPr>
          </w:p>
        </w:tc>
        <w:tc>
          <w:tcPr>
            <w:tcW w:w="1200" w:type="dxa"/>
            <w:vAlign w:val="bottom"/>
            <w:tcBorders>
              <w:bottom w:val="single" w:sz="8" w:color="0C479D"/>
            </w:tcBorders>
            <w:vMerge w:val="continue"/>
          </w:tcPr>
          <w:p>
            <w:pPr>
              <w:spacing w:after="0"/>
              <w:rPr>
                <w:sz w:val="20"/>
                <w:szCs w:val="20"/>
                <w:color w:val="auto"/>
              </w:rPr>
            </w:pPr>
          </w:p>
        </w:tc>
        <w:tc>
          <w:tcPr>
            <w:tcW w:w="1040" w:type="dxa"/>
            <w:vAlign w:val="bottom"/>
            <w:tcBorders>
              <w:bottom w:val="single" w:sz="8" w:color="0C479D"/>
            </w:tcBorders>
            <w:vMerge w:val="continue"/>
          </w:tcPr>
          <w:p>
            <w:pPr>
              <w:spacing w:after="0"/>
              <w:rPr>
                <w:sz w:val="20"/>
                <w:szCs w:val="20"/>
                <w:color w:val="auto"/>
              </w:rPr>
            </w:pPr>
          </w:p>
        </w:tc>
        <w:tc>
          <w:tcPr>
            <w:tcW w:w="980" w:type="dxa"/>
            <w:vAlign w:val="bottom"/>
            <w:tcBorders>
              <w:bottom w:val="single" w:sz="8" w:color="0C479D"/>
            </w:tcBorders>
            <w:vMerge w:val="continue"/>
          </w:tcPr>
          <w:p>
            <w:pPr>
              <w:spacing w:after="0"/>
              <w:rPr>
                <w:sz w:val="20"/>
                <w:szCs w:val="20"/>
                <w:color w:val="auto"/>
              </w:rPr>
            </w:pPr>
          </w:p>
        </w:tc>
        <w:tc>
          <w:tcPr>
            <w:tcW w:w="940" w:type="dxa"/>
            <w:vAlign w:val="bottom"/>
            <w:tcBorders>
              <w:bottom w:val="single" w:sz="8" w:color="0C479D"/>
            </w:tcBorders>
            <w:vMerge w:val="continue"/>
          </w:tcPr>
          <w:p>
            <w:pPr>
              <w:spacing w:after="0"/>
              <w:rPr>
                <w:sz w:val="20"/>
                <w:szCs w:val="20"/>
                <w:color w:val="auto"/>
              </w:rPr>
            </w:pPr>
          </w:p>
        </w:tc>
        <w:tc>
          <w:tcPr>
            <w:tcW w:w="1060" w:type="dxa"/>
            <w:vAlign w:val="bottom"/>
            <w:tcBorders>
              <w:bottom w:val="single" w:sz="8" w:color="0C479D"/>
            </w:tcBorders>
            <w:vMerge w:val="continue"/>
          </w:tcPr>
          <w:p>
            <w:pPr>
              <w:spacing w:after="0"/>
              <w:rPr>
                <w:sz w:val="20"/>
                <w:szCs w:val="20"/>
                <w:color w:val="auto"/>
              </w:rPr>
            </w:pPr>
          </w:p>
        </w:tc>
        <w:tc>
          <w:tcPr>
            <w:tcW w:w="860" w:type="dxa"/>
            <w:vAlign w:val="bottom"/>
            <w:tcBorders>
              <w:bottom w:val="single" w:sz="8" w:color="0C479D"/>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77"/>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C479D"/>
              </w:rPr>
              <w:t>As of December 31, 2024</w:t>
            </w: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C479D"/>
              </w:rPr>
              <w:t>Consolidated Subsidiaries</w:t>
            </w:r>
          </w:p>
        </w:tc>
        <w:tc>
          <w:tcPr>
            <w:tcW w:w="1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Future cash inflows from sales of oil and gas</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312,279</w:t>
            </w:r>
          </w:p>
        </w:tc>
        <w:tc>
          <w:tcPr>
            <w:tcW w:w="12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236,954</w:t>
            </w:r>
          </w:p>
        </w:tc>
        <w:tc>
          <w:tcPr>
            <w:tcW w:w="10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4,339</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15,493</w:t>
            </w: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250,850</w:t>
            </w: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54,247</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874,162</w:t>
            </w:r>
          </w:p>
        </w:tc>
        <w:tc>
          <w:tcPr>
            <w:tcW w:w="0" w:type="dxa"/>
            <w:vAlign w:val="bottom"/>
          </w:tcPr>
          <w:p>
            <w:pPr>
              <w:spacing w:after="0"/>
              <w:rPr>
                <w:sz w:val="1"/>
                <w:szCs w:val="1"/>
                <w:color w:val="auto"/>
              </w:rPr>
            </w:pPr>
          </w:p>
        </w:tc>
      </w:tr>
      <w:tr>
        <w:trPr>
          <w:trHeight w:val="229"/>
        </w:trPr>
        <w:tc>
          <w:tcPr>
            <w:tcW w:w="3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Future production costs</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109,915</w:t>
            </w:r>
          </w:p>
        </w:tc>
        <w:tc>
          <w:tcPr>
            <w:tcW w:w="12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96,932</w:t>
            </w:r>
          </w:p>
        </w:tc>
        <w:tc>
          <w:tcPr>
            <w:tcW w:w="10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1,583</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3,167</w:t>
            </w: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60,404</w:t>
            </w: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12,599</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284,600</w:t>
            </w:r>
          </w:p>
        </w:tc>
        <w:tc>
          <w:tcPr>
            <w:tcW w:w="0" w:type="dxa"/>
            <w:vAlign w:val="bottom"/>
          </w:tcPr>
          <w:p>
            <w:pPr>
              <w:spacing w:after="0"/>
              <w:rPr>
                <w:sz w:val="1"/>
                <w:szCs w:val="1"/>
                <w:color w:val="auto"/>
              </w:rPr>
            </w:pPr>
          </w:p>
        </w:tc>
      </w:tr>
      <w:tr>
        <w:trPr>
          <w:trHeight w:val="230"/>
        </w:trPr>
        <w:tc>
          <w:tcPr>
            <w:tcW w:w="3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Future development costs</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48,781</w:t>
            </w:r>
          </w:p>
        </w:tc>
        <w:tc>
          <w:tcPr>
            <w:tcW w:w="12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37,253</w:t>
            </w:r>
          </w:p>
        </w:tc>
        <w:tc>
          <w:tcPr>
            <w:tcW w:w="10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1,921</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3,675</w:t>
            </w: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17,608</w:t>
            </w: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6,083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115,321</w:t>
            </w:r>
          </w:p>
        </w:tc>
        <w:tc>
          <w:tcPr>
            <w:tcW w:w="0" w:type="dxa"/>
            <w:vAlign w:val="bottom"/>
          </w:tcPr>
          <w:p>
            <w:pPr>
              <w:spacing w:after="0"/>
              <w:rPr>
                <w:sz w:val="1"/>
                <w:szCs w:val="1"/>
                <w:color w:val="auto"/>
              </w:rPr>
            </w:pPr>
          </w:p>
        </w:tc>
      </w:tr>
      <w:tr>
        <w:trPr>
          <w:trHeight w:val="234"/>
        </w:trPr>
        <w:tc>
          <w:tcPr>
            <w:tcW w:w="3980" w:type="dxa"/>
            <w:vAlign w:val="bottom"/>
            <w:tcBorders>
              <w:bottom w:val="single" w:sz="8" w:color="0C479D"/>
            </w:tcBorders>
          </w:tcPr>
          <w:p>
            <w:pPr>
              <w:ind w:left="220"/>
              <w:spacing w:after="0"/>
              <w:rPr>
                <w:sz w:val="20"/>
                <w:szCs w:val="20"/>
                <w:color w:val="auto"/>
              </w:rPr>
            </w:pPr>
            <w:r>
              <w:rPr>
                <w:rFonts w:ascii="Times New Roman" w:cs="Times New Roman" w:eastAsia="Times New Roman" w:hAnsi="Times New Roman"/>
                <w:sz w:val="18"/>
                <w:szCs w:val="18"/>
                <w:color w:val="auto"/>
              </w:rPr>
              <w:t>Future income tax expenses</w:t>
            </w:r>
          </w:p>
        </w:tc>
        <w:tc>
          <w:tcPr>
            <w:tcW w:w="1140" w:type="dxa"/>
            <w:vAlign w:val="bottom"/>
            <w:tcBorders>
              <w:bottom w:val="single" w:sz="8" w:color="0C479D"/>
            </w:tcBorders>
          </w:tcPr>
          <w:p>
            <w:pPr>
              <w:jc w:val="right"/>
              <w:ind w:right="31"/>
              <w:spacing w:after="0"/>
              <w:rPr>
                <w:sz w:val="20"/>
                <w:szCs w:val="20"/>
                <w:color w:val="auto"/>
              </w:rPr>
            </w:pPr>
            <w:r>
              <w:rPr>
                <w:rFonts w:ascii="Times New Roman" w:cs="Times New Roman" w:eastAsia="Times New Roman" w:hAnsi="Times New Roman"/>
                <w:sz w:val="18"/>
                <w:szCs w:val="18"/>
                <w:color w:val="auto"/>
              </w:rPr>
              <w:t>21,728</w:t>
            </w:r>
          </w:p>
        </w:tc>
        <w:tc>
          <w:tcPr>
            <w:tcW w:w="1200" w:type="dxa"/>
            <w:vAlign w:val="bottom"/>
            <w:tcBorders>
              <w:bottom w:val="single" w:sz="8" w:color="0C479D"/>
            </w:tcBorders>
          </w:tcPr>
          <w:p>
            <w:pPr>
              <w:jc w:val="right"/>
              <w:ind w:right="111"/>
              <w:spacing w:after="0"/>
              <w:rPr>
                <w:sz w:val="20"/>
                <w:szCs w:val="20"/>
                <w:color w:val="auto"/>
              </w:rPr>
            </w:pPr>
            <w:r>
              <w:rPr>
                <w:rFonts w:ascii="Times New Roman" w:cs="Times New Roman" w:eastAsia="Times New Roman" w:hAnsi="Times New Roman"/>
                <w:sz w:val="18"/>
                <w:szCs w:val="18"/>
                <w:color w:val="auto"/>
              </w:rPr>
              <w:t>21,738</w:t>
            </w:r>
          </w:p>
        </w:tc>
        <w:tc>
          <w:tcPr>
            <w:tcW w:w="1040" w:type="dxa"/>
            <w:vAlign w:val="bottom"/>
            <w:tcBorders>
              <w:bottom w:val="single" w:sz="8" w:color="0C479D"/>
            </w:tcBorders>
          </w:tcPr>
          <w:p>
            <w:pPr>
              <w:jc w:val="right"/>
              <w:ind w:right="151"/>
              <w:spacing w:after="0"/>
              <w:rPr>
                <w:sz w:val="20"/>
                <w:szCs w:val="20"/>
                <w:color w:val="auto"/>
              </w:rPr>
            </w:pPr>
            <w:r>
              <w:rPr>
                <w:rFonts w:ascii="Times New Roman" w:cs="Times New Roman" w:eastAsia="Times New Roman" w:hAnsi="Times New Roman"/>
                <w:sz w:val="18"/>
                <w:szCs w:val="18"/>
                <w:color w:val="auto"/>
              </w:rPr>
              <w:t>644</w:t>
            </w:r>
          </w:p>
        </w:tc>
        <w:tc>
          <w:tcPr>
            <w:tcW w:w="980" w:type="dxa"/>
            <w:vAlign w:val="bottom"/>
            <w:tcBorders>
              <w:bottom w:val="single" w:sz="8" w:color="0C479D"/>
            </w:tcBorders>
          </w:tcPr>
          <w:p>
            <w:pPr>
              <w:jc w:val="right"/>
              <w:ind w:right="131"/>
              <w:spacing w:after="0"/>
              <w:rPr>
                <w:sz w:val="20"/>
                <w:szCs w:val="20"/>
                <w:color w:val="auto"/>
              </w:rPr>
            </w:pPr>
            <w:r>
              <w:rPr>
                <w:rFonts w:ascii="Times New Roman" w:cs="Times New Roman" w:eastAsia="Times New Roman" w:hAnsi="Times New Roman"/>
                <w:sz w:val="18"/>
                <w:szCs w:val="18"/>
                <w:color w:val="auto"/>
              </w:rPr>
              <w:t>2,801</w:t>
            </w:r>
          </w:p>
        </w:tc>
        <w:tc>
          <w:tcPr>
            <w:tcW w:w="940" w:type="dxa"/>
            <w:vAlign w:val="bottom"/>
            <w:tcBorders>
              <w:bottom w:val="single" w:sz="8" w:color="0C479D"/>
            </w:tcBorders>
          </w:tcPr>
          <w:p>
            <w:pPr>
              <w:jc w:val="right"/>
              <w:ind w:right="71"/>
              <w:spacing w:after="0"/>
              <w:rPr>
                <w:sz w:val="20"/>
                <w:szCs w:val="20"/>
                <w:color w:val="auto"/>
              </w:rPr>
            </w:pPr>
            <w:r>
              <w:rPr>
                <w:rFonts w:ascii="Times New Roman" w:cs="Times New Roman" w:eastAsia="Times New Roman" w:hAnsi="Times New Roman"/>
                <w:sz w:val="18"/>
                <w:szCs w:val="18"/>
                <w:color w:val="auto"/>
              </w:rPr>
              <w:t>129,925</w:t>
            </w:r>
          </w:p>
        </w:tc>
        <w:tc>
          <w:tcPr>
            <w:tcW w:w="1060" w:type="dxa"/>
            <w:vAlign w:val="bottom"/>
            <w:tcBorders>
              <w:bottom w:val="single" w:sz="8" w:color="0C479D"/>
            </w:tcBorders>
          </w:tcPr>
          <w:p>
            <w:pPr>
              <w:jc w:val="right"/>
              <w:ind w:right="131"/>
              <w:spacing w:after="0"/>
              <w:rPr>
                <w:sz w:val="20"/>
                <w:szCs w:val="20"/>
                <w:color w:val="auto"/>
              </w:rPr>
            </w:pPr>
            <w:r>
              <w:rPr>
                <w:rFonts w:ascii="Times New Roman" w:cs="Times New Roman" w:eastAsia="Times New Roman" w:hAnsi="Times New Roman"/>
                <w:sz w:val="18"/>
                <w:szCs w:val="18"/>
                <w:color w:val="auto"/>
              </w:rPr>
              <w:t>9,846</w:t>
            </w:r>
          </w:p>
        </w:tc>
        <w:tc>
          <w:tcPr>
            <w:tcW w:w="8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186,682</w:t>
            </w:r>
          </w:p>
        </w:tc>
        <w:tc>
          <w:tcPr>
            <w:tcW w:w="0" w:type="dxa"/>
            <w:vAlign w:val="bottom"/>
          </w:tcPr>
          <w:p>
            <w:pPr>
              <w:spacing w:after="0"/>
              <w:rPr>
                <w:sz w:val="1"/>
                <w:szCs w:val="1"/>
                <w:color w:val="auto"/>
              </w:rPr>
            </w:pPr>
          </w:p>
        </w:tc>
      </w:tr>
      <w:tr>
        <w:trPr>
          <w:trHeight w:val="218"/>
        </w:trPr>
        <w:tc>
          <w:tcPr>
            <w:tcW w:w="3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Future net cash flows</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131,855</w:t>
            </w:r>
          </w:p>
        </w:tc>
        <w:tc>
          <w:tcPr>
            <w:tcW w:w="12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81,031</w:t>
            </w:r>
          </w:p>
        </w:tc>
        <w:tc>
          <w:tcPr>
            <w:tcW w:w="10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191</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5,850</w:t>
            </w: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42,913</w:t>
            </w: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25,719</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287,559</w:t>
            </w:r>
          </w:p>
        </w:tc>
        <w:tc>
          <w:tcPr>
            <w:tcW w:w="0" w:type="dxa"/>
            <w:vAlign w:val="bottom"/>
          </w:tcPr>
          <w:p>
            <w:pPr>
              <w:spacing w:after="0"/>
              <w:rPr>
                <w:sz w:val="1"/>
                <w:szCs w:val="1"/>
                <w:color w:val="auto"/>
              </w:rPr>
            </w:pPr>
          </w:p>
        </w:tc>
      </w:tr>
      <w:tr>
        <w:trPr>
          <w:trHeight w:val="234"/>
        </w:trPr>
        <w:tc>
          <w:tcPr>
            <w:tcW w:w="3980" w:type="dxa"/>
            <w:vAlign w:val="bottom"/>
            <w:tcBorders>
              <w:bottom w:val="single" w:sz="8" w:color="0C479D"/>
            </w:tcBorders>
          </w:tcPr>
          <w:p>
            <w:pPr>
              <w:ind w:left="220"/>
              <w:spacing w:after="0"/>
              <w:rPr>
                <w:sz w:val="20"/>
                <w:szCs w:val="20"/>
                <w:color w:val="auto"/>
              </w:rPr>
            </w:pPr>
            <w:r>
              <w:rPr>
                <w:rFonts w:ascii="Times New Roman" w:cs="Times New Roman" w:eastAsia="Times New Roman" w:hAnsi="Times New Roman"/>
                <w:sz w:val="18"/>
                <w:szCs w:val="18"/>
                <w:color w:val="auto"/>
              </w:rPr>
              <w:t>Effect of discounting net cash flows at 10%</w:t>
            </w:r>
          </w:p>
        </w:tc>
        <w:tc>
          <w:tcPr>
            <w:tcW w:w="1140" w:type="dxa"/>
            <w:vAlign w:val="bottom"/>
            <w:tcBorders>
              <w:bottom w:val="single" w:sz="8" w:color="0C479D"/>
            </w:tcBorders>
          </w:tcPr>
          <w:p>
            <w:pPr>
              <w:jc w:val="right"/>
              <w:ind w:right="31"/>
              <w:spacing w:after="0"/>
              <w:rPr>
                <w:sz w:val="20"/>
                <w:szCs w:val="20"/>
                <w:color w:val="auto"/>
              </w:rPr>
            </w:pPr>
            <w:r>
              <w:rPr>
                <w:rFonts w:ascii="Times New Roman" w:cs="Times New Roman" w:eastAsia="Times New Roman" w:hAnsi="Times New Roman"/>
                <w:sz w:val="18"/>
                <w:szCs w:val="18"/>
                <w:color w:val="auto"/>
              </w:rPr>
              <w:t>64,731</w:t>
            </w:r>
          </w:p>
        </w:tc>
        <w:tc>
          <w:tcPr>
            <w:tcW w:w="1200" w:type="dxa"/>
            <w:vAlign w:val="bottom"/>
            <w:tcBorders>
              <w:bottom w:val="single" w:sz="8" w:color="0C479D"/>
            </w:tcBorders>
          </w:tcPr>
          <w:p>
            <w:pPr>
              <w:jc w:val="right"/>
              <w:ind w:right="111"/>
              <w:spacing w:after="0"/>
              <w:rPr>
                <w:sz w:val="20"/>
                <w:szCs w:val="20"/>
                <w:color w:val="auto"/>
              </w:rPr>
            </w:pPr>
            <w:r>
              <w:rPr>
                <w:rFonts w:ascii="Times New Roman" w:cs="Times New Roman" w:eastAsia="Times New Roman" w:hAnsi="Times New Roman"/>
                <w:sz w:val="18"/>
                <w:szCs w:val="18"/>
                <w:color w:val="auto"/>
              </w:rPr>
              <w:t>34,232</w:t>
            </w:r>
          </w:p>
        </w:tc>
        <w:tc>
          <w:tcPr>
            <w:tcW w:w="1040" w:type="dxa"/>
            <w:vAlign w:val="bottom"/>
            <w:tcBorders>
              <w:bottom w:val="single" w:sz="8" w:color="0C479D"/>
            </w:tcBorders>
          </w:tcPr>
          <w:p>
            <w:pPr>
              <w:jc w:val="right"/>
              <w:ind w:right="91"/>
              <w:spacing w:after="0"/>
              <w:rPr>
                <w:sz w:val="20"/>
                <w:szCs w:val="20"/>
                <w:color w:val="auto"/>
              </w:rPr>
            </w:pPr>
            <w:r>
              <w:rPr>
                <w:rFonts w:ascii="Times New Roman" w:cs="Times New Roman" w:eastAsia="Times New Roman" w:hAnsi="Times New Roman"/>
                <w:sz w:val="18"/>
                <w:szCs w:val="18"/>
                <w:color w:val="auto"/>
              </w:rPr>
              <w:t>(387)</w:t>
            </w:r>
          </w:p>
        </w:tc>
        <w:tc>
          <w:tcPr>
            <w:tcW w:w="980" w:type="dxa"/>
            <w:vAlign w:val="bottom"/>
            <w:tcBorders>
              <w:bottom w:val="single" w:sz="8" w:color="0C479D"/>
            </w:tcBorders>
          </w:tcPr>
          <w:p>
            <w:pPr>
              <w:jc w:val="right"/>
              <w:ind w:right="131"/>
              <w:spacing w:after="0"/>
              <w:rPr>
                <w:sz w:val="20"/>
                <w:szCs w:val="20"/>
                <w:color w:val="auto"/>
              </w:rPr>
            </w:pPr>
            <w:r>
              <w:rPr>
                <w:rFonts w:ascii="Times New Roman" w:cs="Times New Roman" w:eastAsia="Times New Roman" w:hAnsi="Times New Roman"/>
                <w:sz w:val="18"/>
                <w:szCs w:val="18"/>
                <w:color w:val="auto"/>
              </w:rPr>
              <w:t>1,419</w:t>
            </w:r>
          </w:p>
        </w:tc>
        <w:tc>
          <w:tcPr>
            <w:tcW w:w="940" w:type="dxa"/>
            <w:vAlign w:val="bottom"/>
            <w:tcBorders>
              <w:bottom w:val="single" w:sz="8" w:color="0C479D"/>
            </w:tcBorders>
          </w:tcPr>
          <w:p>
            <w:pPr>
              <w:jc w:val="right"/>
              <w:ind w:right="71"/>
              <w:spacing w:after="0"/>
              <w:rPr>
                <w:sz w:val="20"/>
                <w:szCs w:val="20"/>
                <w:color w:val="auto"/>
              </w:rPr>
            </w:pPr>
            <w:r>
              <w:rPr>
                <w:rFonts w:ascii="Times New Roman" w:cs="Times New Roman" w:eastAsia="Times New Roman" w:hAnsi="Times New Roman"/>
                <w:sz w:val="18"/>
                <w:szCs w:val="18"/>
                <w:color w:val="auto"/>
              </w:rPr>
              <w:t>23,172</w:t>
            </w:r>
          </w:p>
        </w:tc>
        <w:tc>
          <w:tcPr>
            <w:tcW w:w="1060" w:type="dxa"/>
            <w:vAlign w:val="bottom"/>
            <w:tcBorders>
              <w:bottom w:val="single" w:sz="8" w:color="0C479D"/>
            </w:tcBorders>
          </w:tcPr>
          <w:p>
            <w:pPr>
              <w:jc w:val="right"/>
              <w:ind w:right="131"/>
              <w:spacing w:after="0"/>
              <w:rPr>
                <w:sz w:val="20"/>
                <w:szCs w:val="20"/>
                <w:color w:val="auto"/>
              </w:rPr>
            </w:pPr>
            <w:r>
              <w:rPr>
                <w:rFonts w:ascii="Times New Roman" w:cs="Times New Roman" w:eastAsia="Times New Roman" w:hAnsi="Times New Roman"/>
                <w:sz w:val="18"/>
                <w:szCs w:val="18"/>
                <w:color w:val="auto"/>
              </w:rPr>
              <w:t>12,898</w:t>
            </w:r>
          </w:p>
        </w:tc>
        <w:tc>
          <w:tcPr>
            <w:tcW w:w="8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136,065</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0C479D"/>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Discounted future net cash flows</w:t>
            </w:r>
          </w:p>
        </w:tc>
        <w:tc>
          <w:tcPr>
            <w:tcW w:w="1140" w:type="dxa"/>
            <w:vAlign w:val="bottom"/>
            <w:tcBorders>
              <w:bottom w:val="single" w:sz="8" w:color="0C479D"/>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67,124</w:t>
            </w:r>
          </w:p>
        </w:tc>
        <w:tc>
          <w:tcPr>
            <w:tcW w:w="1200" w:type="dxa"/>
            <w:vAlign w:val="bottom"/>
            <w:tcBorders>
              <w:bottom w:val="single" w:sz="8" w:color="0C479D"/>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46,799</w:t>
            </w:r>
          </w:p>
        </w:tc>
        <w:tc>
          <w:tcPr>
            <w:tcW w:w="1040" w:type="dxa"/>
            <w:vAlign w:val="bottom"/>
            <w:tcBorders>
              <w:bottom w:val="single" w:sz="8" w:color="0C479D"/>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578</w:t>
            </w:r>
          </w:p>
        </w:tc>
        <w:tc>
          <w:tcPr>
            <w:tcW w:w="980" w:type="dxa"/>
            <w:vAlign w:val="bottom"/>
            <w:tcBorders>
              <w:bottom w:val="single" w:sz="8" w:color="0C479D"/>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4,431</w:t>
            </w:r>
          </w:p>
        </w:tc>
        <w:tc>
          <w:tcPr>
            <w:tcW w:w="940" w:type="dxa"/>
            <w:vAlign w:val="bottom"/>
            <w:tcBorders>
              <w:bottom w:val="single" w:sz="8" w:color="0C479D"/>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19,741</w:t>
            </w:r>
          </w:p>
        </w:tc>
        <w:tc>
          <w:tcPr>
            <w:tcW w:w="1060" w:type="dxa"/>
            <w:vAlign w:val="bottom"/>
            <w:tcBorders>
              <w:bottom w:val="single" w:sz="8" w:color="0C479D"/>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12,821</w:t>
            </w:r>
          </w:p>
        </w:tc>
        <w:tc>
          <w:tcPr>
            <w:tcW w:w="8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151,494</w:t>
            </w:r>
          </w:p>
        </w:tc>
        <w:tc>
          <w:tcPr>
            <w:tcW w:w="0" w:type="dxa"/>
            <w:vAlign w:val="bottom"/>
          </w:tcPr>
          <w:p>
            <w:pPr>
              <w:spacing w:after="0"/>
              <w:rPr>
                <w:sz w:val="1"/>
                <w:szCs w:val="1"/>
                <w:color w:val="auto"/>
              </w:rPr>
            </w:pPr>
          </w:p>
        </w:tc>
      </w:tr>
      <w:tr>
        <w:trPr>
          <w:trHeight w:val="306"/>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0C479D"/>
              </w:rPr>
              <w:t>Equity Companies</w:t>
            </w: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Future cash inflows from sales of oil and gas</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614</w:t>
            </w:r>
          </w:p>
        </w:tc>
        <w:tc>
          <w:tcPr>
            <w:tcW w:w="12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3,557</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5,685</w:t>
            </w: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138,978</w:t>
            </w: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148,834</w:t>
            </w:r>
          </w:p>
        </w:tc>
        <w:tc>
          <w:tcPr>
            <w:tcW w:w="0" w:type="dxa"/>
            <w:vAlign w:val="bottom"/>
          </w:tcPr>
          <w:p>
            <w:pPr>
              <w:spacing w:after="0"/>
              <w:rPr>
                <w:sz w:val="1"/>
                <w:szCs w:val="1"/>
                <w:color w:val="auto"/>
              </w:rPr>
            </w:pPr>
          </w:p>
        </w:tc>
      </w:tr>
      <w:tr>
        <w:trPr>
          <w:trHeight w:val="229"/>
        </w:trPr>
        <w:tc>
          <w:tcPr>
            <w:tcW w:w="3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Future production costs</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379</w:t>
            </w:r>
          </w:p>
        </w:tc>
        <w:tc>
          <w:tcPr>
            <w:tcW w:w="12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766</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534</w:t>
            </w: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66,969</w:t>
            </w: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68,648</w:t>
            </w:r>
          </w:p>
        </w:tc>
        <w:tc>
          <w:tcPr>
            <w:tcW w:w="0" w:type="dxa"/>
            <w:vAlign w:val="bottom"/>
          </w:tcPr>
          <w:p>
            <w:pPr>
              <w:spacing w:after="0"/>
              <w:rPr>
                <w:sz w:val="1"/>
                <w:szCs w:val="1"/>
                <w:color w:val="auto"/>
              </w:rPr>
            </w:pPr>
          </w:p>
        </w:tc>
      </w:tr>
      <w:tr>
        <w:trPr>
          <w:trHeight w:val="230"/>
        </w:trPr>
        <w:tc>
          <w:tcPr>
            <w:tcW w:w="3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Future development costs</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69</w:t>
            </w:r>
          </w:p>
        </w:tc>
        <w:tc>
          <w:tcPr>
            <w:tcW w:w="12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709</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55</w:t>
            </w: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4,243</w:t>
            </w: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5,076</w:t>
            </w:r>
          </w:p>
        </w:tc>
        <w:tc>
          <w:tcPr>
            <w:tcW w:w="0" w:type="dxa"/>
            <w:vAlign w:val="bottom"/>
          </w:tcPr>
          <w:p>
            <w:pPr>
              <w:spacing w:after="0"/>
              <w:rPr>
                <w:sz w:val="1"/>
                <w:szCs w:val="1"/>
                <w:color w:val="auto"/>
              </w:rPr>
            </w:pPr>
          </w:p>
        </w:tc>
      </w:tr>
      <w:tr>
        <w:trPr>
          <w:trHeight w:val="234"/>
        </w:trPr>
        <w:tc>
          <w:tcPr>
            <w:tcW w:w="3980" w:type="dxa"/>
            <w:vAlign w:val="bottom"/>
            <w:tcBorders>
              <w:bottom w:val="single" w:sz="8" w:color="0C479D"/>
            </w:tcBorders>
          </w:tcPr>
          <w:p>
            <w:pPr>
              <w:ind w:left="220"/>
              <w:spacing w:after="0"/>
              <w:rPr>
                <w:sz w:val="20"/>
                <w:szCs w:val="20"/>
                <w:color w:val="auto"/>
              </w:rPr>
            </w:pPr>
            <w:r>
              <w:rPr>
                <w:rFonts w:ascii="Times New Roman" w:cs="Times New Roman" w:eastAsia="Times New Roman" w:hAnsi="Times New Roman"/>
                <w:sz w:val="18"/>
                <w:szCs w:val="18"/>
                <w:color w:val="auto"/>
              </w:rPr>
              <w:t>Future income tax expenses</w:t>
            </w:r>
          </w:p>
        </w:tc>
        <w:tc>
          <w:tcPr>
            <w:tcW w:w="1140" w:type="dxa"/>
            <w:vAlign w:val="bottom"/>
            <w:tcBorders>
              <w:bottom w:val="single" w:sz="8" w:color="0C479D"/>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0C479D"/>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0C479D"/>
            </w:tcBorders>
          </w:tcPr>
          <w:p>
            <w:pPr>
              <w:jc w:val="right"/>
              <w:ind w:right="151"/>
              <w:spacing w:after="0"/>
              <w:rPr>
                <w:sz w:val="20"/>
                <w:szCs w:val="20"/>
                <w:color w:val="auto"/>
              </w:rPr>
            </w:pPr>
            <w:r>
              <w:rPr>
                <w:rFonts w:ascii="Times New Roman" w:cs="Times New Roman" w:eastAsia="Times New Roman" w:hAnsi="Times New Roman"/>
                <w:sz w:val="18"/>
                <w:szCs w:val="18"/>
                <w:color w:val="auto"/>
              </w:rPr>
              <w:t>1,106</w:t>
            </w:r>
          </w:p>
        </w:tc>
        <w:tc>
          <w:tcPr>
            <w:tcW w:w="980" w:type="dxa"/>
            <w:vAlign w:val="bottom"/>
            <w:tcBorders>
              <w:bottom w:val="single" w:sz="8" w:color="0C479D"/>
            </w:tcBorders>
          </w:tcPr>
          <w:p>
            <w:pPr>
              <w:jc w:val="right"/>
              <w:ind w:right="131"/>
              <w:spacing w:after="0"/>
              <w:rPr>
                <w:sz w:val="20"/>
                <w:szCs w:val="20"/>
                <w:color w:val="auto"/>
              </w:rPr>
            </w:pPr>
            <w:r>
              <w:rPr>
                <w:rFonts w:ascii="Times New Roman" w:cs="Times New Roman" w:eastAsia="Times New Roman" w:hAnsi="Times New Roman"/>
                <w:sz w:val="18"/>
                <w:szCs w:val="18"/>
                <w:color w:val="auto"/>
              </w:rPr>
              <w:t>1,431</w:t>
            </w:r>
          </w:p>
        </w:tc>
        <w:tc>
          <w:tcPr>
            <w:tcW w:w="940" w:type="dxa"/>
            <w:vAlign w:val="bottom"/>
            <w:tcBorders>
              <w:bottom w:val="single" w:sz="8" w:color="0C479D"/>
            </w:tcBorders>
          </w:tcPr>
          <w:p>
            <w:pPr>
              <w:jc w:val="right"/>
              <w:ind w:right="71"/>
              <w:spacing w:after="0"/>
              <w:rPr>
                <w:sz w:val="20"/>
                <w:szCs w:val="20"/>
                <w:color w:val="auto"/>
              </w:rPr>
            </w:pPr>
            <w:r>
              <w:rPr>
                <w:rFonts w:ascii="Times New Roman" w:cs="Times New Roman" w:eastAsia="Times New Roman" w:hAnsi="Times New Roman"/>
                <w:sz w:val="18"/>
                <w:szCs w:val="18"/>
                <w:color w:val="auto"/>
              </w:rPr>
              <w:t>19,566</w:t>
            </w:r>
          </w:p>
        </w:tc>
        <w:tc>
          <w:tcPr>
            <w:tcW w:w="1060" w:type="dxa"/>
            <w:vAlign w:val="bottom"/>
            <w:tcBorders>
              <w:bottom w:val="single" w:sz="8" w:color="0C479D"/>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22,103</w:t>
            </w:r>
          </w:p>
        </w:tc>
        <w:tc>
          <w:tcPr>
            <w:tcW w:w="0" w:type="dxa"/>
            <w:vAlign w:val="bottom"/>
          </w:tcPr>
          <w:p>
            <w:pPr>
              <w:spacing w:after="0"/>
              <w:rPr>
                <w:sz w:val="1"/>
                <w:szCs w:val="1"/>
                <w:color w:val="auto"/>
              </w:rPr>
            </w:pPr>
          </w:p>
        </w:tc>
      </w:tr>
      <w:tr>
        <w:trPr>
          <w:trHeight w:val="218"/>
        </w:trPr>
        <w:tc>
          <w:tcPr>
            <w:tcW w:w="3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Future net cash flows</w:t>
            </w:r>
          </w:p>
        </w:tc>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166</w:t>
            </w:r>
          </w:p>
        </w:tc>
        <w:tc>
          <w:tcPr>
            <w:tcW w:w="12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976</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3,665</w:t>
            </w:r>
          </w:p>
        </w:tc>
        <w:tc>
          <w:tcPr>
            <w:tcW w:w="9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48,200</w:t>
            </w: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53,007</w:t>
            </w:r>
          </w:p>
        </w:tc>
        <w:tc>
          <w:tcPr>
            <w:tcW w:w="0" w:type="dxa"/>
            <w:vAlign w:val="bottom"/>
          </w:tcPr>
          <w:p>
            <w:pPr>
              <w:spacing w:after="0"/>
              <w:rPr>
                <w:sz w:val="1"/>
                <w:szCs w:val="1"/>
                <w:color w:val="auto"/>
              </w:rPr>
            </w:pPr>
          </w:p>
        </w:tc>
      </w:tr>
      <w:tr>
        <w:trPr>
          <w:trHeight w:val="234"/>
        </w:trPr>
        <w:tc>
          <w:tcPr>
            <w:tcW w:w="3980" w:type="dxa"/>
            <w:vAlign w:val="bottom"/>
            <w:tcBorders>
              <w:bottom w:val="single" w:sz="8" w:color="0C479D"/>
            </w:tcBorders>
          </w:tcPr>
          <w:p>
            <w:pPr>
              <w:ind w:left="220"/>
              <w:spacing w:after="0"/>
              <w:rPr>
                <w:sz w:val="20"/>
                <w:szCs w:val="20"/>
                <w:color w:val="auto"/>
              </w:rPr>
            </w:pPr>
            <w:r>
              <w:rPr>
                <w:rFonts w:ascii="Times New Roman" w:cs="Times New Roman" w:eastAsia="Times New Roman" w:hAnsi="Times New Roman"/>
                <w:sz w:val="18"/>
                <w:szCs w:val="18"/>
                <w:color w:val="auto"/>
              </w:rPr>
              <w:t>Effect of discounting net cash flows at 10%</w:t>
            </w:r>
          </w:p>
        </w:tc>
        <w:tc>
          <w:tcPr>
            <w:tcW w:w="1140" w:type="dxa"/>
            <w:vAlign w:val="bottom"/>
            <w:tcBorders>
              <w:bottom w:val="single" w:sz="8" w:color="0C479D"/>
            </w:tcBorders>
          </w:tcPr>
          <w:p>
            <w:pPr>
              <w:jc w:val="right"/>
              <w:ind w:right="31"/>
              <w:spacing w:after="0"/>
              <w:rPr>
                <w:sz w:val="20"/>
                <w:szCs w:val="20"/>
                <w:color w:val="auto"/>
              </w:rPr>
            </w:pPr>
            <w:r>
              <w:rPr>
                <w:rFonts w:ascii="Times New Roman" w:cs="Times New Roman" w:eastAsia="Times New Roman" w:hAnsi="Times New Roman"/>
                <w:sz w:val="18"/>
                <w:szCs w:val="18"/>
                <w:color w:val="auto"/>
              </w:rPr>
              <w:t>42</w:t>
            </w:r>
          </w:p>
        </w:tc>
        <w:tc>
          <w:tcPr>
            <w:tcW w:w="1200" w:type="dxa"/>
            <w:vAlign w:val="bottom"/>
            <w:tcBorders>
              <w:bottom w:val="single" w:sz="8" w:color="0C479D"/>
            </w:tcBorders>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0C479D"/>
            </w:tcBorders>
          </w:tcPr>
          <w:p>
            <w:pPr>
              <w:jc w:val="right"/>
              <w:ind w:right="151"/>
              <w:spacing w:after="0"/>
              <w:rPr>
                <w:sz w:val="20"/>
                <w:szCs w:val="20"/>
                <w:color w:val="auto"/>
              </w:rPr>
            </w:pPr>
            <w:r>
              <w:rPr>
                <w:rFonts w:ascii="Times New Roman" w:cs="Times New Roman" w:eastAsia="Times New Roman" w:hAnsi="Times New Roman"/>
                <w:sz w:val="18"/>
                <w:szCs w:val="18"/>
                <w:color w:val="auto"/>
              </w:rPr>
              <w:t>298</w:t>
            </w:r>
          </w:p>
        </w:tc>
        <w:tc>
          <w:tcPr>
            <w:tcW w:w="980" w:type="dxa"/>
            <w:vAlign w:val="bottom"/>
            <w:tcBorders>
              <w:bottom w:val="single" w:sz="8" w:color="0C479D"/>
            </w:tcBorders>
          </w:tcPr>
          <w:p>
            <w:pPr>
              <w:jc w:val="right"/>
              <w:ind w:right="131"/>
              <w:spacing w:after="0"/>
              <w:rPr>
                <w:sz w:val="20"/>
                <w:szCs w:val="20"/>
                <w:color w:val="auto"/>
              </w:rPr>
            </w:pPr>
            <w:r>
              <w:rPr>
                <w:rFonts w:ascii="Times New Roman" w:cs="Times New Roman" w:eastAsia="Times New Roman" w:hAnsi="Times New Roman"/>
                <w:sz w:val="18"/>
                <w:szCs w:val="18"/>
                <w:color w:val="auto"/>
              </w:rPr>
              <w:t>2,099</w:t>
            </w:r>
          </w:p>
        </w:tc>
        <w:tc>
          <w:tcPr>
            <w:tcW w:w="940" w:type="dxa"/>
            <w:vAlign w:val="bottom"/>
            <w:tcBorders>
              <w:bottom w:val="single" w:sz="8" w:color="0C479D"/>
            </w:tcBorders>
          </w:tcPr>
          <w:p>
            <w:pPr>
              <w:jc w:val="right"/>
              <w:ind w:right="71"/>
              <w:spacing w:after="0"/>
              <w:rPr>
                <w:sz w:val="20"/>
                <w:szCs w:val="20"/>
                <w:color w:val="auto"/>
              </w:rPr>
            </w:pPr>
            <w:r>
              <w:rPr>
                <w:rFonts w:ascii="Times New Roman" w:cs="Times New Roman" w:eastAsia="Times New Roman" w:hAnsi="Times New Roman"/>
                <w:sz w:val="18"/>
                <w:szCs w:val="18"/>
                <w:color w:val="auto"/>
              </w:rPr>
              <w:t>16,397</w:t>
            </w:r>
          </w:p>
        </w:tc>
        <w:tc>
          <w:tcPr>
            <w:tcW w:w="1060" w:type="dxa"/>
            <w:vAlign w:val="bottom"/>
            <w:tcBorders>
              <w:bottom w:val="single" w:sz="8" w:color="0C479D"/>
            </w:tcBorders>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18,837</w:t>
            </w:r>
          </w:p>
        </w:tc>
        <w:tc>
          <w:tcPr>
            <w:tcW w:w="0" w:type="dxa"/>
            <w:vAlign w:val="bottom"/>
          </w:tcPr>
          <w:p>
            <w:pPr>
              <w:spacing w:after="0"/>
              <w:rPr>
                <w:sz w:val="1"/>
                <w:szCs w:val="1"/>
                <w:color w:val="auto"/>
              </w:rPr>
            </w:pPr>
          </w:p>
        </w:tc>
      </w:tr>
      <w:tr>
        <w:trPr>
          <w:trHeight w:val="230"/>
        </w:trPr>
        <w:tc>
          <w:tcPr>
            <w:tcW w:w="3980" w:type="dxa"/>
            <w:vAlign w:val="bottom"/>
            <w:tcBorders>
              <w:bottom w:val="single" w:sz="8" w:color="0C479D"/>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Discounted future net cash flows</w:t>
            </w:r>
          </w:p>
        </w:tc>
        <w:tc>
          <w:tcPr>
            <w:tcW w:w="1140" w:type="dxa"/>
            <w:vAlign w:val="bottom"/>
            <w:tcBorders>
              <w:bottom w:val="single" w:sz="8" w:color="0C479D"/>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124</w:t>
            </w:r>
          </w:p>
        </w:tc>
        <w:tc>
          <w:tcPr>
            <w:tcW w:w="1200" w:type="dxa"/>
            <w:vAlign w:val="bottom"/>
            <w:tcBorders>
              <w:bottom w:val="single" w:sz="8" w:color="0C479D"/>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0C479D"/>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677</w:t>
            </w:r>
          </w:p>
        </w:tc>
        <w:tc>
          <w:tcPr>
            <w:tcW w:w="980" w:type="dxa"/>
            <w:vAlign w:val="bottom"/>
            <w:tcBorders>
              <w:bottom w:val="single" w:sz="8" w:color="0C479D"/>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1,566</w:t>
            </w:r>
          </w:p>
        </w:tc>
        <w:tc>
          <w:tcPr>
            <w:tcW w:w="940" w:type="dxa"/>
            <w:vAlign w:val="bottom"/>
            <w:tcBorders>
              <w:bottom w:val="single" w:sz="8" w:color="0C479D"/>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31,803</w:t>
            </w:r>
          </w:p>
        </w:tc>
        <w:tc>
          <w:tcPr>
            <w:tcW w:w="1060" w:type="dxa"/>
            <w:vAlign w:val="bottom"/>
            <w:tcBorders>
              <w:bottom w:val="single" w:sz="8" w:color="0C479D"/>
            </w:tcBorders>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34,170</w:t>
            </w:r>
          </w:p>
        </w:tc>
        <w:tc>
          <w:tcPr>
            <w:tcW w:w="0" w:type="dxa"/>
            <w:vAlign w:val="bottom"/>
          </w:tcPr>
          <w:p>
            <w:pPr>
              <w:spacing w:after="0"/>
              <w:rPr>
                <w:sz w:val="1"/>
                <w:szCs w:val="1"/>
                <w:color w:val="auto"/>
              </w:rPr>
            </w:pPr>
          </w:p>
        </w:tc>
      </w:tr>
      <w:tr>
        <w:trPr>
          <w:trHeight w:val="81"/>
        </w:trPr>
        <w:tc>
          <w:tcPr>
            <w:tcW w:w="3980" w:type="dxa"/>
            <w:vAlign w:val="bottom"/>
            <w:tcBorders>
              <w:bottom w:val="single" w:sz="8" w:color="0C479D"/>
            </w:tcBorders>
          </w:tcPr>
          <w:p>
            <w:pPr>
              <w:spacing w:after="0"/>
              <w:rPr>
                <w:sz w:val="7"/>
                <w:szCs w:val="7"/>
                <w:color w:val="auto"/>
              </w:rPr>
            </w:pPr>
          </w:p>
        </w:tc>
        <w:tc>
          <w:tcPr>
            <w:tcW w:w="1140" w:type="dxa"/>
            <w:vAlign w:val="bottom"/>
            <w:tcBorders>
              <w:bottom w:val="single" w:sz="8" w:color="0C479D"/>
            </w:tcBorders>
          </w:tcPr>
          <w:p>
            <w:pPr>
              <w:spacing w:after="0"/>
              <w:rPr>
                <w:sz w:val="7"/>
                <w:szCs w:val="7"/>
                <w:color w:val="auto"/>
              </w:rPr>
            </w:pPr>
          </w:p>
        </w:tc>
        <w:tc>
          <w:tcPr>
            <w:tcW w:w="1200" w:type="dxa"/>
            <w:vAlign w:val="bottom"/>
            <w:tcBorders>
              <w:bottom w:val="single" w:sz="8" w:color="0C479D"/>
            </w:tcBorders>
          </w:tcPr>
          <w:p>
            <w:pPr>
              <w:spacing w:after="0"/>
              <w:rPr>
                <w:sz w:val="7"/>
                <w:szCs w:val="7"/>
                <w:color w:val="auto"/>
              </w:rPr>
            </w:pPr>
          </w:p>
        </w:tc>
        <w:tc>
          <w:tcPr>
            <w:tcW w:w="1040" w:type="dxa"/>
            <w:vAlign w:val="bottom"/>
            <w:tcBorders>
              <w:bottom w:val="single" w:sz="8" w:color="0C479D"/>
            </w:tcBorders>
          </w:tcPr>
          <w:p>
            <w:pPr>
              <w:spacing w:after="0"/>
              <w:rPr>
                <w:sz w:val="7"/>
                <w:szCs w:val="7"/>
                <w:color w:val="auto"/>
              </w:rPr>
            </w:pPr>
          </w:p>
        </w:tc>
        <w:tc>
          <w:tcPr>
            <w:tcW w:w="980" w:type="dxa"/>
            <w:vAlign w:val="bottom"/>
            <w:tcBorders>
              <w:bottom w:val="single" w:sz="8" w:color="0C479D"/>
            </w:tcBorders>
          </w:tcPr>
          <w:p>
            <w:pPr>
              <w:spacing w:after="0"/>
              <w:rPr>
                <w:sz w:val="7"/>
                <w:szCs w:val="7"/>
                <w:color w:val="auto"/>
              </w:rPr>
            </w:pPr>
          </w:p>
        </w:tc>
        <w:tc>
          <w:tcPr>
            <w:tcW w:w="940" w:type="dxa"/>
            <w:vAlign w:val="bottom"/>
            <w:tcBorders>
              <w:bottom w:val="single" w:sz="8" w:color="0C479D"/>
            </w:tcBorders>
          </w:tcPr>
          <w:p>
            <w:pPr>
              <w:spacing w:after="0"/>
              <w:rPr>
                <w:sz w:val="7"/>
                <w:szCs w:val="7"/>
                <w:color w:val="auto"/>
              </w:rPr>
            </w:pPr>
          </w:p>
        </w:tc>
        <w:tc>
          <w:tcPr>
            <w:tcW w:w="1060" w:type="dxa"/>
            <w:vAlign w:val="bottom"/>
            <w:tcBorders>
              <w:bottom w:val="single" w:sz="8" w:color="0C479D"/>
            </w:tcBorders>
          </w:tcPr>
          <w:p>
            <w:pPr>
              <w:spacing w:after="0"/>
              <w:rPr>
                <w:sz w:val="7"/>
                <w:szCs w:val="7"/>
                <w:color w:val="auto"/>
              </w:rPr>
            </w:pPr>
          </w:p>
        </w:tc>
        <w:tc>
          <w:tcPr>
            <w:tcW w:w="860" w:type="dxa"/>
            <w:vAlign w:val="bottom"/>
            <w:tcBorders>
              <w:bottom w:val="single" w:sz="8" w:color="0C479D"/>
            </w:tcBorders>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398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Total consolidated and equity interests in</w:t>
            </w:r>
          </w:p>
        </w:tc>
        <w:tc>
          <w:tcPr>
            <w:tcW w:w="1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98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b w:val="1"/>
                <w:bCs w:val="1"/>
                <w:color w:val="auto"/>
              </w:rPr>
              <w:t>standardized measure of discounted future net</w:t>
            </w:r>
          </w:p>
        </w:tc>
        <w:tc>
          <w:tcPr>
            <w:tcW w:w="1140" w:type="dxa"/>
            <w:vAlign w:val="bottom"/>
            <w:vMerge w:val="restart"/>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67,248</w:t>
            </w:r>
          </w:p>
        </w:tc>
        <w:tc>
          <w:tcPr>
            <w:tcW w:w="1200" w:type="dxa"/>
            <w:vAlign w:val="bottom"/>
            <w:vMerge w:val="restart"/>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46,799</w:t>
            </w:r>
          </w:p>
        </w:tc>
        <w:tc>
          <w:tcPr>
            <w:tcW w:w="1040" w:type="dxa"/>
            <w:vAlign w:val="bottom"/>
            <w:vMerge w:val="restart"/>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1,255</w:t>
            </w:r>
          </w:p>
        </w:tc>
        <w:tc>
          <w:tcPr>
            <w:tcW w:w="980" w:type="dxa"/>
            <w:vAlign w:val="bottom"/>
            <w:vMerge w:val="restart"/>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5,997</w:t>
            </w:r>
          </w:p>
        </w:tc>
        <w:tc>
          <w:tcPr>
            <w:tcW w:w="940" w:type="dxa"/>
            <w:vAlign w:val="bottom"/>
            <w:vMerge w:val="restart"/>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51,544</w:t>
            </w:r>
          </w:p>
        </w:tc>
        <w:tc>
          <w:tcPr>
            <w:tcW w:w="1060" w:type="dxa"/>
            <w:vAlign w:val="bottom"/>
            <w:vMerge w:val="restart"/>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12,821</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185,664</w:t>
            </w:r>
          </w:p>
        </w:tc>
        <w:tc>
          <w:tcPr>
            <w:tcW w:w="0" w:type="dxa"/>
            <w:vAlign w:val="bottom"/>
          </w:tcPr>
          <w:p>
            <w:pPr>
              <w:spacing w:after="0"/>
              <w:rPr>
                <w:sz w:val="1"/>
                <w:szCs w:val="1"/>
                <w:color w:val="auto"/>
              </w:rPr>
            </w:pPr>
          </w:p>
        </w:tc>
      </w:tr>
      <w:tr>
        <w:trPr>
          <w:trHeight w:val="236"/>
        </w:trPr>
        <w:tc>
          <w:tcPr>
            <w:tcW w:w="3980" w:type="dxa"/>
            <w:vAlign w:val="bottom"/>
            <w:tcBorders>
              <w:bottom w:val="single" w:sz="8" w:color="0C479D"/>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1140" w:type="dxa"/>
            <w:vAlign w:val="bottom"/>
            <w:tcBorders>
              <w:bottom w:val="single" w:sz="8" w:color="0C479D"/>
            </w:tcBorders>
            <w:vMerge w:val="continue"/>
          </w:tcPr>
          <w:p>
            <w:pPr>
              <w:spacing w:after="0"/>
              <w:rPr>
                <w:sz w:val="20"/>
                <w:szCs w:val="20"/>
                <w:color w:val="auto"/>
              </w:rPr>
            </w:pPr>
          </w:p>
        </w:tc>
        <w:tc>
          <w:tcPr>
            <w:tcW w:w="1200" w:type="dxa"/>
            <w:vAlign w:val="bottom"/>
            <w:tcBorders>
              <w:bottom w:val="single" w:sz="8" w:color="0C479D"/>
            </w:tcBorders>
            <w:vMerge w:val="continue"/>
          </w:tcPr>
          <w:p>
            <w:pPr>
              <w:spacing w:after="0"/>
              <w:rPr>
                <w:sz w:val="20"/>
                <w:szCs w:val="20"/>
                <w:color w:val="auto"/>
              </w:rPr>
            </w:pPr>
          </w:p>
        </w:tc>
        <w:tc>
          <w:tcPr>
            <w:tcW w:w="1040" w:type="dxa"/>
            <w:vAlign w:val="bottom"/>
            <w:tcBorders>
              <w:bottom w:val="single" w:sz="8" w:color="0C479D"/>
            </w:tcBorders>
            <w:vMerge w:val="continue"/>
          </w:tcPr>
          <w:p>
            <w:pPr>
              <w:spacing w:after="0"/>
              <w:rPr>
                <w:sz w:val="20"/>
                <w:szCs w:val="20"/>
                <w:color w:val="auto"/>
              </w:rPr>
            </w:pPr>
          </w:p>
        </w:tc>
        <w:tc>
          <w:tcPr>
            <w:tcW w:w="980" w:type="dxa"/>
            <w:vAlign w:val="bottom"/>
            <w:tcBorders>
              <w:bottom w:val="single" w:sz="8" w:color="0C479D"/>
            </w:tcBorders>
            <w:vMerge w:val="continue"/>
          </w:tcPr>
          <w:p>
            <w:pPr>
              <w:spacing w:after="0"/>
              <w:rPr>
                <w:sz w:val="20"/>
                <w:szCs w:val="20"/>
                <w:color w:val="auto"/>
              </w:rPr>
            </w:pPr>
          </w:p>
        </w:tc>
        <w:tc>
          <w:tcPr>
            <w:tcW w:w="940" w:type="dxa"/>
            <w:vAlign w:val="bottom"/>
            <w:tcBorders>
              <w:bottom w:val="single" w:sz="8" w:color="0C479D"/>
            </w:tcBorders>
            <w:vMerge w:val="continue"/>
          </w:tcPr>
          <w:p>
            <w:pPr>
              <w:spacing w:after="0"/>
              <w:rPr>
                <w:sz w:val="20"/>
                <w:szCs w:val="20"/>
                <w:color w:val="auto"/>
              </w:rPr>
            </w:pPr>
          </w:p>
        </w:tc>
        <w:tc>
          <w:tcPr>
            <w:tcW w:w="1060" w:type="dxa"/>
            <w:vAlign w:val="bottom"/>
            <w:tcBorders>
              <w:bottom w:val="single" w:sz="8" w:color="0C479D"/>
            </w:tcBorders>
            <w:vMerge w:val="continue"/>
          </w:tcPr>
          <w:p>
            <w:pPr>
              <w:spacing w:after="0"/>
              <w:rPr>
                <w:sz w:val="20"/>
                <w:szCs w:val="20"/>
                <w:color w:val="auto"/>
              </w:rPr>
            </w:pPr>
          </w:p>
        </w:tc>
        <w:tc>
          <w:tcPr>
            <w:tcW w:w="860" w:type="dxa"/>
            <w:vAlign w:val="bottom"/>
            <w:tcBorders>
              <w:bottom w:val="single" w:sz="8" w:color="0C479D"/>
            </w:tcBorders>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160" w:hanging="141"/>
        <w:spacing w:after="0"/>
        <w:tabs>
          <w:tab w:leader="none" w:pos="160" w:val="left"/>
        </w:tabs>
        <w:numPr>
          <w:ilvl w:val="0"/>
          <w:numId w:val="75"/>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14"/>
          <w:szCs w:val="14"/>
          <w:i w:val="1"/>
          <w:iCs w:val="1"/>
          <w:color w:val="auto"/>
        </w:rPr>
        <w:t>Includes discounted future net cash flows attributable to noncontrolling interests in ExxonMobil consolidated subsidiaries of $3,055 million in 2023 and $4,466 million in 2024.</w:t>
      </w:r>
    </w:p>
    <w:p>
      <w:pPr>
        <w:sectPr>
          <w:pgSz w:w="11900" w:h="16838" w:orient="portrait"/>
          <w:cols w:equalWidth="0" w:num="1">
            <w:col w:w="11200"/>
          </w:cols>
          <w:pgMar w:left="340" w:top="99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90" w:right="359" w:bottom="1440" w:gutter="0" w:footer="0" w:header="0"/>
          <w:type w:val="continuous"/>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color w:val="0C479D"/>
        </w:rPr>
        <w:t>Change in Standardized Measure of Discounted Future Net Cash Flows Relating to Proved Oil and Gas Reserves</w:t>
      </w:r>
    </w:p>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6240" w:type="dxa"/>
            <w:vAlign w:val="bottom"/>
            <w:vMerge w:val="restart"/>
            <w:shd w:val="clear" w:color="auto" w:fill="0C479D"/>
          </w:tcPr>
          <w:p>
            <w:pPr>
              <w:ind w:left="20"/>
              <w:spacing w:after="0"/>
              <w:rPr>
                <w:sz w:val="20"/>
                <w:szCs w:val="20"/>
                <w:color w:val="auto"/>
              </w:rPr>
            </w:pPr>
            <w:r>
              <w:rPr>
                <w:rFonts w:ascii="Times New Roman" w:cs="Times New Roman" w:eastAsia="Times New Roman" w:hAnsi="Times New Roman"/>
                <w:sz w:val="18"/>
                <w:szCs w:val="18"/>
                <w:b w:val="1"/>
                <w:bCs w:val="1"/>
                <w:color w:val="FFFFFF"/>
              </w:rPr>
              <w:t>Consolidated and Equity Interests</w:t>
            </w:r>
          </w:p>
        </w:tc>
        <w:tc>
          <w:tcPr>
            <w:tcW w:w="1680" w:type="dxa"/>
            <w:vAlign w:val="bottom"/>
            <w:shd w:val="clear" w:color="auto" w:fill="0C479D"/>
          </w:tcPr>
          <w:p>
            <w:pPr>
              <w:spacing w:after="0"/>
              <w:rPr>
                <w:sz w:val="18"/>
                <w:szCs w:val="18"/>
                <w:color w:val="auto"/>
              </w:rPr>
            </w:pPr>
          </w:p>
        </w:tc>
        <w:tc>
          <w:tcPr>
            <w:tcW w:w="168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2022</w:t>
            </w:r>
          </w:p>
        </w:tc>
        <w:tc>
          <w:tcPr>
            <w:tcW w:w="1600" w:type="dxa"/>
            <w:vAlign w:val="bottom"/>
            <w:shd w:val="clear" w:color="auto" w:fill="0C479D"/>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6240" w:type="dxa"/>
            <w:vAlign w:val="bottom"/>
            <w:vMerge w:val="continue"/>
            <w:shd w:val="clear" w:color="auto" w:fill="0C479D"/>
          </w:tcPr>
          <w:p>
            <w:pPr>
              <w:spacing w:after="0"/>
              <w:rPr>
                <w:sz w:val="7"/>
                <w:szCs w:val="7"/>
                <w:color w:val="auto"/>
              </w:rPr>
            </w:pPr>
          </w:p>
        </w:tc>
        <w:tc>
          <w:tcPr>
            <w:tcW w:w="1680" w:type="dxa"/>
            <w:vAlign w:val="bottom"/>
            <w:vMerge w:val="restart"/>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Consolidated</w:t>
            </w:r>
          </w:p>
        </w:tc>
        <w:tc>
          <w:tcPr>
            <w:tcW w:w="1680" w:type="dxa"/>
            <w:vAlign w:val="bottom"/>
            <w:vMerge w:val="restart"/>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Share of Equity Method</w:t>
            </w:r>
          </w:p>
        </w:tc>
        <w:tc>
          <w:tcPr>
            <w:tcW w:w="1600" w:type="dxa"/>
            <w:vAlign w:val="bottom"/>
            <w:vMerge w:val="restart"/>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Total Consolidated and</w:t>
            </w:r>
          </w:p>
        </w:tc>
        <w:tc>
          <w:tcPr>
            <w:tcW w:w="0" w:type="dxa"/>
            <w:vAlign w:val="bottom"/>
          </w:tcPr>
          <w:p>
            <w:pPr>
              <w:spacing w:after="0"/>
              <w:rPr>
                <w:sz w:val="1"/>
                <w:szCs w:val="1"/>
                <w:color w:val="auto"/>
              </w:rPr>
            </w:pPr>
          </w:p>
        </w:tc>
      </w:tr>
      <w:tr>
        <w:trPr>
          <w:trHeight w:val="146"/>
        </w:trPr>
        <w:tc>
          <w:tcPr>
            <w:tcW w:w="6240" w:type="dxa"/>
            <w:vAlign w:val="bottom"/>
            <w:shd w:val="clear" w:color="auto" w:fill="0C479D"/>
          </w:tcPr>
          <w:p>
            <w:pPr>
              <w:ind w:left="20"/>
              <w:spacing w:after="0" w:line="146" w:lineRule="exact"/>
              <w:rPr>
                <w:sz w:val="20"/>
                <w:szCs w:val="20"/>
                <w:color w:val="auto"/>
              </w:rPr>
            </w:pPr>
            <w:r>
              <w:rPr>
                <w:rFonts w:ascii="Times New Roman" w:cs="Times New Roman" w:eastAsia="Times New Roman" w:hAnsi="Times New Roman"/>
                <w:sz w:val="14"/>
                <w:szCs w:val="14"/>
                <w:i w:val="1"/>
                <w:iCs w:val="1"/>
                <w:color w:val="FFFFFF"/>
              </w:rPr>
              <w:t>(millions of dollars)</w:t>
            </w:r>
          </w:p>
        </w:tc>
        <w:tc>
          <w:tcPr>
            <w:tcW w:w="1680" w:type="dxa"/>
            <w:vAlign w:val="bottom"/>
            <w:vMerge w:val="continue"/>
            <w:shd w:val="clear" w:color="auto" w:fill="0C479D"/>
          </w:tcPr>
          <w:p>
            <w:pPr>
              <w:spacing w:after="0"/>
              <w:rPr>
                <w:sz w:val="12"/>
                <w:szCs w:val="12"/>
                <w:color w:val="auto"/>
              </w:rPr>
            </w:pPr>
          </w:p>
        </w:tc>
        <w:tc>
          <w:tcPr>
            <w:tcW w:w="1680" w:type="dxa"/>
            <w:vAlign w:val="bottom"/>
            <w:vMerge w:val="continue"/>
            <w:shd w:val="clear" w:color="auto" w:fill="0C479D"/>
          </w:tcPr>
          <w:p>
            <w:pPr>
              <w:spacing w:after="0"/>
              <w:rPr>
                <w:sz w:val="12"/>
                <w:szCs w:val="12"/>
                <w:color w:val="auto"/>
              </w:rPr>
            </w:pPr>
          </w:p>
        </w:tc>
        <w:tc>
          <w:tcPr>
            <w:tcW w:w="1600" w:type="dxa"/>
            <w:vAlign w:val="bottom"/>
            <w:vMerge w:val="continue"/>
            <w:shd w:val="clear" w:color="auto" w:fill="0C479D"/>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240" w:type="dxa"/>
            <w:vAlign w:val="bottom"/>
            <w:shd w:val="clear" w:color="auto" w:fill="0C479D"/>
          </w:tcPr>
          <w:p>
            <w:pPr>
              <w:spacing w:after="0"/>
              <w:rPr>
                <w:sz w:val="15"/>
                <w:szCs w:val="15"/>
                <w:color w:val="auto"/>
              </w:rPr>
            </w:pPr>
          </w:p>
        </w:tc>
        <w:tc>
          <w:tcPr>
            <w:tcW w:w="168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Subsidiaries</w:t>
            </w:r>
          </w:p>
        </w:tc>
        <w:tc>
          <w:tcPr>
            <w:tcW w:w="168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Investees</w:t>
            </w:r>
          </w:p>
        </w:tc>
        <w:tc>
          <w:tcPr>
            <w:tcW w:w="160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Equity Interests</w:t>
            </w:r>
          </w:p>
        </w:tc>
        <w:tc>
          <w:tcPr>
            <w:tcW w:w="0" w:type="dxa"/>
            <w:vAlign w:val="bottom"/>
          </w:tcPr>
          <w:p>
            <w:pPr>
              <w:spacing w:after="0"/>
              <w:rPr>
                <w:sz w:val="1"/>
                <w:szCs w:val="1"/>
                <w:color w:val="auto"/>
              </w:rPr>
            </w:pPr>
          </w:p>
        </w:tc>
      </w:tr>
      <w:tr>
        <w:trPr>
          <w:trHeight w:val="459"/>
        </w:trPr>
        <w:tc>
          <w:tcPr>
            <w:tcW w:w="624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Discounted future net cash flows as of December 31, 2021</w:t>
            </w:r>
          </w:p>
        </w:tc>
        <w:tc>
          <w:tcPr>
            <w:tcW w:w="1680" w:type="dxa"/>
            <w:vAlign w:val="bottom"/>
            <w:tcBorders>
              <w:bottom w:val="single" w:sz="8" w:color="0C479D"/>
            </w:tcBorders>
          </w:tcPr>
          <w:p>
            <w:pPr>
              <w:jc w:val="right"/>
              <w:ind w:right="53"/>
              <w:spacing w:after="0"/>
              <w:rPr>
                <w:sz w:val="20"/>
                <w:szCs w:val="20"/>
                <w:color w:val="auto"/>
              </w:rPr>
            </w:pPr>
            <w:r>
              <w:rPr>
                <w:rFonts w:ascii="Times New Roman" w:cs="Times New Roman" w:eastAsia="Times New Roman" w:hAnsi="Times New Roman"/>
                <w:sz w:val="18"/>
                <w:szCs w:val="18"/>
                <w:color w:val="auto"/>
              </w:rPr>
              <w:t>115,880</w:t>
            </w:r>
          </w:p>
        </w:tc>
        <w:tc>
          <w:tcPr>
            <w:tcW w:w="1680" w:type="dxa"/>
            <w:vAlign w:val="bottom"/>
            <w:tcBorders>
              <w:bottom w:val="single" w:sz="8" w:color="0C479D"/>
            </w:tcBorders>
          </w:tcPr>
          <w:p>
            <w:pPr>
              <w:jc w:val="right"/>
              <w:ind w:right="54"/>
              <w:spacing w:after="0"/>
              <w:rPr>
                <w:sz w:val="20"/>
                <w:szCs w:val="20"/>
                <w:color w:val="auto"/>
              </w:rPr>
            </w:pPr>
            <w:r>
              <w:rPr>
                <w:rFonts w:ascii="Times New Roman" w:cs="Times New Roman" w:eastAsia="Times New Roman" w:hAnsi="Times New Roman"/>
                <w:sz w:val="18"/>
                <w:szCs w:val="18"/>
                <w:color w:val="auto"/>
              </w:rPr>
              <w:t>37,939</w:t>
            </w:r>
          </w:p>
        </w:tc>
        <w:tc>
          <w:tcPr>
            <w:tcW w:w="16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153,819</w:t>
            </w:r>
          </w:p>
        </w:tc>
        <w:tc>
          <w:tcPr>
            <w:tcW w:w="0" w:type="dxa"/>
            <w:vAlign w:val="bottom"/>
          </w:tcPr>
          <w:p>
            <w:pPr>
              <w:spacing w:after="0"/>
              <w:rPr>
                <w:sz w:val="1"/>
                <w:szCs w:val="1"/>
                <w:color w:val="auto"/>
              </w:rPr>
            </w:pPr>
          </w:p>
        </w:tc>
      </w:tr>
      <w:tr>
        <w:trPr>
          <w:trHeight w:val="218"/>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Value of reserves added during the year due to extensions, discoveries, improved</w:t>
            </w:r>
          </w:p>
        </w:tc>
        <w:tc>
          <w:tcPr>
            <w:tcW w:w="16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recovery and net purchases/sales less related costs</w:t>
            </w:r>
          </w:p>
        </w:tc>
        <w:tc>
          <w:tcPr>
            <w:tcW w:w="16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18,592</w:t>
            </w:r>
          </w:p>
        </w:tc>
        <w:tc>
          <w:tcPr>
            <w:tcW w:w="16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3,008</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21,600</w:t>
            </w:r>
          </w:p>
        </w:tc>
        <w:tc>
          <w:tcPr>
            <w:tcW w:w="0" w:type="dxa"/>
            <w:vAlign w:val="bottom"/>
          </w:tcPr>
          <w:p>
            <w:pPr>
              <w:spacing w:after="0"/>
              <w:rPr>
                <w:sz w:val="1"/>
                <w:szCs w:val="1"/>
                <w:color w:val="auto"/>
              </w:rPr>
            </w:pP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0C479D"/>
              </w:rPr>
              <w:t>Changes in value of previous-year reserves due to:</w:t>
            </w:r>
          </w:p>
        </w:tc>
        <w:tc>
          <w:tcPr>
            <w:tcW w:w="16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624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Sales and transfers of oil and gas produced during the year, net of production</w:t>
            </w:r>
          </w:p>
        </w:tc>
        <w:tc>
          <w:tcPr>
            <w:tcW w:w="16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(lifting) costs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(57,344)</w:t>
            </w:r>
          </w:p>
        </w:tc>
        <w:tc>
          <w:tcPr>
            <w:tcW w:w="1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(17,037)</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(74,381)</w:t>
            </w:r>
          </w:p>
        </w:tc>
        <w:tc>
          <w:tcPr>
            <w:tcW w:w="0" w:type="dxa"/>
            <w:vAlign w:val="bottom"/>
          </w:tcPr>
          <w:p>
            <w:pPr>
              <w:spacing w:after="0"/>
              <w:rPr>
                <w:sz w:val="1"/>
                <w:szCs w:val="1"/>
                <w:color w:val="auto"/>
              </w:rPr>
            </w:pPr>
          </w:p>
        </w:tc>
      </w:tr>
      <w:tr>
        <w:trPr>
          <w:trHeight w:val="229"/>
        </w:trPr>
        <w:tc>
          <w:tcPr>
            <w:tcW w:w="6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Development costs incurred during the year</w:t>
            </w:r>
          </w:p>
        </w:tc>
        <w:tc>
          <w:tcPr>
            <w:tcW w:w="16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11,834</w:t>
            </w:r>
          </w:p>
        </w:tc>
        <w:tc>
          <w:tcPr>
            <w:tcW w:w="16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1,849</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13,683</w:t>
            </w:r>
          </w:p>
        </w:tc>
        <w:tc>
          <w:tcPr>
            <w:tcW w:w="0" w:type="dxa"/>
            <w:vAlign w:val="bottom"/>
          </w:tcPr>
          <w:p>
            <w:pPr>
              <w:spacing w:after="0"/>
              <w:rPr>
                <w:sz w:val="1"/>
                <w:szCs w:val="1"/>
                <w:color w:val="auto"/>
              </w:rPr>
            </w:pPr>
          </w:p>
        </w:tc>
      </w:tr>
      <w:tr>
        <w:trPr>
          <w:trHeight w:val="230"/>
        </w:trPr>
        <w:tc>
          <w:tcPr>
            <w:tcW w:w="6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change in prices, lifting and development costs</w:t>
            </w:r>
          </w:p>
        </w:tc>
        <w:tc>
          <w:tcPr>
            <w:tcW w:w="16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139,844</w:t>
            </w:r>
          </w:p>
        </w:tc>
        <w:tc>
          <w:tcPr>
            <w:tcW w:w="16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51,094</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190,938</w:t>
            </w:r>
          </w:p>
        </w:tc>
        <w:tc>
          <w:tcPr>
            <w:tcW w:w="0" w:type="dxa"/>
            <w:vAlign w:val="bottom"/>
          </w:tcPr>
          <w:p>
            <w:pPr>
              <w:spacing w:after="0"/>
              <w:rPr>
                <w:sz w:val="1"/>
                <w:szCs w:val="1"/>
                <w:color w:val="auto"/>
              </w:rPr>
            </w:pPr>
          </w:p>
        </w:tc>
      </w:tr>
      <w:tr>
        <w:trPr>
          <w:trHeight w:val="229"/>
        </w:trPr>
        <w:tc>
          <w:tcPr>
            <w:tcW w:w="6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Revisions of previous reserves estimates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16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2,140</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30"/>
        </w:trPr>
        <w:tc>
          <w:tcPr>
            <w:tcW w:w="6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Accretion of discount</w:t>
            </w:r>
          </w:p>
        </w:tc>
        <w:tc>
          <w:tcPr>
            <w:tcW w:w="16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14,655</w:t>
            </w:r>
          </w:p>
        </w:tc>
        <w:tc>
          <w:tcPr>
            <w:tcW w:w="16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4,938</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19,593</w:t>
            </w:r>
          </w:p>
        </w:tc>
        <w:tc>
          <w:tcPr>
            <w:tcW w:w="0" w:type="dxa"/>
            <w:vAlign w:val="bottom"/>
          </w:tcPr>
          <w:p>
            <w:pPr>
              <w:spacing w:after="0"/>
              <w:rPr>
                <w:sz w:val="1"/>
                <w:szCs w:val="1"/>
                <w:color w:val="auto"/>
              </w:rPr>
            </w:pPr>
          </w:p>
        </w:tc>
      </w:tr>
      <w:tr>
        <w:trPr>
          <w:trHeight w:val="234"/>
        </w:trPr>
        <w:tc>
          <w:tcPr>
            <w:tcW w:w="624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Net change in income taxes</w:t>
            </w:r>
          </w:p>
        </w:tc>
        <w:tc>
          <w:tcPr>
            <w:tcW w:w="16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(51,867)</w:t>
            </w:r>
          </w:p>
        </w:tc>
        <w:tc>
          <w:tcPr>
            <w:tcW w:w="1680" w:type="dxa"/>
            <w:vAlign w:val="bottom"/>
            <w:tcBorders>
              <w:bottom w:val="single" w:sz="8" w:color="0C479D"/>
            </w:tcBorders>
          </w:tcPr>
          <w:p>
            <w:pPr>
              <w:jc w:val="right"/>
              <w:ind w:right="14"/>
              <w:spacing w:after="0"/>
              <w:rPr>
                <w:sz w:val="20"/>
                <w:szCs w:val="20"/>
                <w:color w:val="auto"/>
              </w:rPr>
            </w:pPr>
            <w:r>
              <w:rPr>
                <w:rFonts w:ascii="Times New Roman" w:cs="Times New Roman" w:eastAsia="Times New Roman" w:hAnsi="Times New Roman"/>
                <w:sz w:val="18"/>
                <w:szCs w:val="18"/>
                <w:color w:val="auto"/>
              </w:rPr>
              <w:t>(14,684)</w:t>
            </w:r>
          </w:p>
        </w:tc>
        <w:tc>
          <w:tcPr>
            <w:tcW w:w="16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(66,551)</w:t>
            </w:r>
          </w:p>
        </w:tc>
        <w:tc>
          <w:tcPr>
            <w:tcW w:w="0" w:type="dxa"/>
            <w:vAlign w:val="bottom"/>
          </w:tcPr>
          <w:p>
            <w:pPr>
              <w:spacing w:after="0"/>
              <w:rPr>
                <w:sz w:val="1"/>
                <w:szCs w:val="1"/>
                <w:color w:val="auto"/>
              </w:rPr>
            </w:pPr>
          </w:p>
        </w:tc>
      </w:tr>
      <w:tr>
        <w:trPr>
          <w:trHeight w:val="223"/>
        </w:trPr>
        <w:tc>
          <w:tcPr>
            <w:tcW w:w="624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change in the standardized measure during the year</w:t>
            </w:r>
          </w:p>
        </w:tc>
        <w:tc>
          <w:tcPr>
            <w:tcW w:w="1680" w:type="dxa"/>
            <w:vAlign w:val="bottom"/>
            <w:tcBorders>
              <w:bottom w:val="single" w:sz="8" w:color="0C479D"/>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73,729</w:t>
            </w:r>
          </w:p>
        </w:tc>
        <w:tc>
          <w:tcPr>
            <w:tcW w:w="1680" w:type="dxa"/>
            <w:vAlign w:val="bottom"/>
            <w:tcBorders>
              <w:bottom w:val="single" w:sz="8" w:color="0C479D"/>
            </w:tcBorders>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31,308</w:t>
            </w:r>
          </w:p>
        </w:tc>
        <w:tc>
          <w:tcPr>
            <w:tcW w:w="16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105,037</w:t>
            </w:r>
          </w:p>
        </w:tc>
        <w:tc>
          <w:tcPr>
            <w:tcW w:w="0" w:type="dxa"/>
            <w:vAlign w:val="bottom"/>
          </w:tcPr>
          <w:p>
            <w:pPr>
              <w:spacing w:after="0"/>
              <w:rPr>
                <w:sz w:val="1"/>
                <w:szCs w:val="1"/>
                <w:color w:val="auto"/>
              </w:rPr>
            </w:pPr>
          </w:p>
        </w:tc>
      </w:tr>
      <w:tr>
        <w:trPr>
          <w:trHeight w:val="271"/>
        </w:trPr>
        <w:tc>
          <w:tcPr>
            <w:tcW w:w="624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Discounted future net cash flows as of December 31, 2022</w:t>
            </w:r>
          </w:p>
        </w:tc>
        <w:tc>
          <w:tcPr>
            <w:tcW w:w="1680" w:type="dxa"/>
            <w:vAlign w:val="bottom"/>
            <w:tcBorders>
              <w:bottom w:val="single" w:sz="8" w:color="0C479D"/>
            </w:tcBorders>
          </w:tcPr>
          <w:p>
            <w:pPr>
              <w:jc w:val="right"/>
              <w:ind w:right="53"/>
              <w:spacing w:after="0"/>
              <w:rPr>
                <w:sz w:val="20"/>
                <w:szCs w:val="20"/>
                <w:color w:val="auto"/>
              </w:rPr>
            </w:pPr>
            <w:r>
              <w:rPr>
                <w:rFonts w:ascii="Times New Roman" w:cs="Times New Roman" w:eastAsia="Times New Roman" w:hAnsi="Times New Roman"/>
                <w:sz w:val="18"/>
                <w:szCs w:val="18"/>
                <w:color w:val="auto"/>
              </w:rPr>
              <w:t>189,609</w:t>
            </w:r>
          </w:p>
        </w:tc>
        <w:tc>
          <w:tcPr>
            <w:tcW w:w="1680" w:type="dxa"/>
            <w:vAlign w:val="bottom"/>
            <w:tcBorders>
              <w:bottom w:val="single" w:sz="8" w:color="0C479D"/>
            </w:tcBorders>
          </w:tcPr>
          <w:p>
            <w:pPr>
              <w:jc w:val="right"/>
              <w:ind w:right="54"/>
              <w:spacing w:after="0"/>
              <w:rPr>
                <w:sz w:val="20"/>
                <w:szCs w:val="20"/>
                <w:color w:val="auto"/>
              </w:rPr>
            </w:pPr>
            <w:r>
              <w:rPr>
                <w:rFonts w:ascii="Times New Roman" w:cs="Times New Roman" w:eastAsia="Times New Roman" w:hAnsi="Times New Roman"/>
                <w:sz w:val="18"/>
                <w:szCs w:val="18"/>
                <w:color w:val="auto"/>
              </w:rPr>
              <w:t>69,247</w:t>
            </w:r>
          </w:p>
        </w:tc>
        <w:tc>
          <w:tcPr>
            <w:tcW w:w="16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258,856</w:t>
            </w:r>
          </w:p>
        </w:tc>
        <w:tc>
          <w:tcPr>
            <w:tcW w:w="0" w:type="dxa"/>
            <w:vAlign w:val="bottom"/>
          </w:tcPr>
          <w:p>
            <w:pPr>
              <w:spacing w:after="0"/>
              <w:rPr>
                <w:sz w:val="1"/>
                <w:szCs w:val="1"/>
                <w:color w:val="auto"/>
              </w:rPr>
            </w:pPr>
          </w:p>
        </w:tc>
      </w:tr>
      <w:tr>
        <w:trPr>
          <w:trHeight w:val="324"/>
        </w:trPr>
        <w:tc>
          <w:tcPr>
            <w:tcW w:w="6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240" w:type="dxa"/>
            <w:vAlign w:val="bottom"/>
            <w:vMerge w:val="restart"/>
            <w:shd w:val="clear" w:color="auto" w:fill="0C479D"/>
          </w:tcPr>
          <w:p>
            <w:pPr>
              <w:ind w:left="20"/>
              <w:spacing w:after="0"/>
              <w:rPr>
                <w:sz w:val="20"/>
                <w:szCs w:val="20"/>
                <w:color w:val="auto"/>
              </w:rPr>
            </w:pPr>
            <w:r>
              <w:rPr>
                <w:rFonts w:ascii="Times New Roman" w:cs="Times New Roman" w:eastAsia="Times New Roman" w:hAnsi="Times New Roman"/>
                <w:sz w:val="18"/>
                <w:szCs w:val="18"/>
                <w:b w:val="1"/>
                <w:bCs w:val="1"/>
                <w:color w:val="FFFFFF"/>
              </w:rPr>
              <w:t>Consolidated and Equity Interests</w:t>
            </w:r>
          </w:p>
        </w:tc>
        <w:tc>
          <w:tcPr>
            <w:tcW w:w="1680" w:type="dxa"/>
            <w:vAlign w:val="bottom"/>
            <w:shd w:val="clear" w:color="auto" w:fill="0C479D"/>
          </w:tcPr>
          <w:p>
            <w:pPr>
              <w:spacing w:after="0"/>
              <w:rPr>
                <w:sz w:val="17"/>
                <w:szCs w:val="17"/>
                <w:color w:val="auto"/>
              </w:rPr>
            </w:pPr>
          </w:p>
        </w:tc>
        <w:tc>
          <w:tcPr>
            <w:tcW w:w="168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w w:val="99"/>
              </w:rPr>
              <w:t>2023</w:t>
            </w:r>
          </w:p>
        </w:tc>
        <w:tc>
          <w:tcPr>
            <w:tcW w:w="1600" w:type="dxa"/>
            <w:vAlign w:val="bottom"/>
            <w:shd w:val="clear" w:color="auto" w:fill="0C479D"/>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6240" w:type="dxa"/>
            <w:vAlign w:val="bottom"/>
            <w:vMerge w:val="continue"/>
            <w:shd w:val="clear" w:color="auto" w:fill="0C479D"/>
          </w:tcPr>
          <w:p>
            <w:pPr>
              <w:spacing w:after="0"/>
              <w:rPr>
                <w:sz w:val="7"/>
                <w:szCs w:val="7"/>
                <w:color w:val="auto"/>
              </w:rPr>
            </w:pPr>
          </w:p>
        </w:tc>
        <w:tc>
          <w:tcPr>
            <w:tcW w:w="1680" w:type="dxa"/>
            <w:vAlign w:val="bottom"/>
            <w:vMerge w:val="restart"/>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Consolidated</w:t>
            </w:r>
          </w:p>
        </w:tc>
        <w:tc>
          <w:tcPr>
            <w:tcW w:w="1680" w:type="dxa"/>
            <w:vAlign w:val="bottom"/>
            <w:vMerge w:val="restart"/>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Share of Equity Method</w:t>
            </w:r>
          </w:p>
        </w:tc>
        <w:tc>
          <w:tcPr>
            <w:tcW w:w="1600" w:type="dxa"/>
            <w:vAlign w:val="bottom"/>
            <w:vMerge w:val="restart"/>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Total Consolidated and</w:t>
            </w:r>
          </w:p>
        </w:tc>
        <w:tc>
          <w:tcPr>
            <w:tcW w:w="0" w:type="dxa"/>
            <w:vAlign w:val="bottom"/>
          </w:tcPr>
          <w:p>
            <w:pPr>
              <w:spacing w:after="0"/>
              <w:rPr>
                <w:sz w:val="1"/>
                <w:szCs w:val="1"/>
                <w:color w:val="auto"/>
              </w:rPr>
            </w:pPr>
          </w:p>
        </w:tc>
      </w:tr>
      <w:tr>
        <w:trPr>
          <w:trHeight w:val="135"/>
        </w:trPr>
        <w:tc>
          <w:tcPr>
            <w:tcW w:w="6240" w:type="dxa"/>
            <w:vAlign w:val="bottom"/>
            <w:shd w:val="clear" w:color="auto" w:fill="0C479D"/>
          </w:tcPr>
          <w:p>
            <w:pPr>
              <w:ind w:left="20"/>
              <w:spacing w:after="0" w:line="135" w:lineRule="exact"/>
              <w:rPr>
                <w:sz w:val="20"/>
                <w:szCs w:val="20"/>
                <w:color w:val="auto"/>
              </w:rPr>
            </w:pPr>
            <w:r>
              <w:rPr>
                <w:rFonts w:ascii="Times New Roman" w:cs="Times New Roman" w:eastAsia="Times New Roman" w:hAnsi="Times New Roman"/>
                <w:sz w:val="14"/>
                <w:szCs w:val="14"/>
                <w:i w:val="1"/>
                <w:iCs w:val="1"/>
                <w:color w:val="FFFFFF"/>
              </w:rPr>
              <w:t>(millions of dollars)</w:t>
            </w:r>
          </w:p>
        </w:tc>
        <w:tc>
          <w:tcPr>
            <w:tcW w:w="1680" w:type="dxa"/>
            <w:vAlign w:val="bottom"/>
            <w:vMerge w:val="continue"/>
            <w:shd w:val="clear" w:color="auto" w:fill="0C479D"/>
          </w:tcPr>
          <w:p>
            <w:pPr>
              <w:spacing w:after="0"/>
              <w:rPr>
                <w:sz w:val="11"/>
                <w:szCs w:val="11"/>
                <w:color w:val="auto"/>
              </w:rPr>
            </w:pPr>
          </w:p>
        </w:tc>
        <w:tc>
          <w:tcPr>
            <w:tcW w:w="1680" w:type="dxa"/>
            <w:vAlign w:val="bottom"/>
            <w:vMerge w:val="continue"/>
            <w:shd w:val="clear" w:color="auto" w:fill="0C479D"/>
          </w:tcPr>
          <w:p>
            <w:pPr>
              <w:spacing w:after="0"/>
              <w:rPr>
                <w:sz w:val="11"/>
                <w:szCs w:val="11"/>
                <w:color w:val="auto"/>
              </w:rPr>
            </w:pPr>
          </w:p>
        </w:tc>
        <w:tc>
          <w:tcPr>
            <w:tcW w:w="1600" w:type="dxa"/>
            <w:vAlign w:val="bottom"/>
            <w:vMerge w:val="continue"/>
            <w:shd w:val="clear" w:color="auto" w:fill="0C479D"/>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240" w:type="dxa"/>
            <w:vAlign w:val="bottom"/>
            <w:shd w:val="clear" w:color="auto" w:fill="0C479D"/>
          </w:tcPr>
          <w:p>
            <w:pPr>
              <w:spacing w:after="0"/>
              <w:rPr>
                <w:sz w:val="16"/>
                <w:szCs w:val="16"/>
                <w:color w:val="auto"/>
              </w:rPr>
            </w:pPr>
          </w:p>
        </w:tc>
        <w:tc>
          <w:tcPr>
            <w:tcW w:w="168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Subsidiaries</w:t>
            </w:r>
          </w:p>
        </w:tc>
        <w:tc>
          <w:tcPr>
            <w:tcW w:w="168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Investees</w:t>
            </w:r>
          </w:p>
        </w:tc>
        <w:tc>
          <w:tcPr>
            <w:tcW w:w="160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Equity Interests</w:t>
            </w:r>
          </w:p>
        </w:tc>
        <w:tc>
          <w:tcPr>
            <w:tcW w:w="0" w:type="dxa"/>
            <w:vAlign w:val="bottom"/>
          </w:tcPr>
          <w:p>
            <w:pPr>
              <w:spacing w:after="0"/>
              <w:rPr>
                <w:sz w:val="1"/>
                <w:szCs w:val="1"/>
                <w:color w:val="auto"/>
              </w:rPr>
            </w:pPr>
          </w:p>
        </w:tc>
      </w:tr>
      <w:tr>
        <w:trPr>
          <w:trHeight w:val="459"/>
        </w:trPr>
        <w:tc>
          <w:tcPr>
            <w:tcW w:w="624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Discounted future net cash flows as of December 31, 2022</w:t>
            </w:r>
          </w:p>
        </w:tc>
        <w:tc>
          <w:tcPr>
            <w:tcW w:w="1680" w:type="dxa"/>
            <w:vAlign w:val="bottom"/>
            <w:tcBorders>
              <w:bottom w:val="single" w:sz="8" w:color="0C479D"/>
            </w:tcBorders>
          </w:tcPr>
          <w:p>
            <w:pPr>
              <w:jc w:val="right"/>
              <w:ind w:right="53"/>
              <w:spacing w:after="0"/>
              <w:rPr>
                <w:sz w:val="20"/>
                <w:szCs w:val="20"/>
                <w:color w:val="auto"/>
              </w:rPr>
            </w:pPr>
            <w:r>
              <w:rPr>
                <w:rFonts w:ascii="Times New Roman" w:cs="Times New Roman" w:eastAsia="Times New Roman" w:hAnsi="Times New Roman"/>
                <w:sz w:val="18"/>
                <w:szCs w:val="18"/>
                <w:color w:val="auto"/>
              </w:rPr>
              <w:t>189,609</w:t>
            </w:r>
          </w:p>
        </w:tc>
        <w:tc>
          <w:tcPr>
            <w:tcW w:w="1680" w:type="dxa"/>
            <w:vAlign w:val="bottom"/>
            <w:tcBorders>
              <w:bottom w:val="single" w:sz="8" w:color="0C479D"/>
            </w:tcBorders>
          </w:tcPr>
          <w:p>
            <w:pPr>
              <w:jc w:val="right"/>
              <w:ind w:right="54"/>
              <w:spacing w:after="0"/>
              <w:rPr>
                <w:sz w:val="20"/>
                <w:szCs w:val="20"/>
                <w:color w:val="auto"/>
              </w:rPr>
            </w:pPr>
            <w:r>
              <w:rPr>
                <w:rFonts w:ascii="Times New Roman" w:cs="Times New Roman" w:eastAsia="Times New Roman" w:hAnsi="Times New Roman"/>
                <w:sz w:val="18"/>
                <w:szCs w:val="18"/>
                <w:color w:val="auto"/>
              </w:rPr>
              <w:t>69,247</w:t>
            </w:r>
          </w:p>
        </w:tc>
        <w:tc>
          <w:tcPr>
            <w:tcW w:w="16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258,856</w:t>
            </w:r>
          </w:p>
        </w:tc>
        <w:tc>
          <w:tcPr>
            <w:tcW w:w="0" w:type="dxa"/>
            <w:vAlign w:val="bottom"/>
          </w:tcPr>
          <w:p>
            <w:pPr>
              <w:spacing w:after="0"/>
              <w:rPr>
                <w:sz w:val="1"/>
                <w:szCs w:val="1"/>
                <w:color w:val="auto"/>
              </w:rPr>
            </w:pPr>
          </w:p>
        </w:tc>
      </w:tr>
      <w:tr>
        <w:trPr>
          <w:trHeight w:val="21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Value of reserves added during the year due to extensions, discoveries, improved</w:t>
            </w:r>
          </w:p>
        </w:tc>
        <w:tc>
          <w:tcPr>
            <w:tcW w:w="1680" w:type="dxa"/>
            <w:vAlign w:val="bottom"/>
            <w:vMerge w:val="restart"/>
          </w:tcPr>
          <w:p>
            <w:pPr>
              <w:jc w:val="right"/>
              <w:ind w:right="53"/>
              <w:spacing w:after="0"/>
              <w:rPr>
                <w:sz w:val="20"/>
                <w:szCs w:val="20"/>
                <w:color w:val="auto"/>
              </w:rPr>
            </w:pPr>
            <w:r>
              <w:rPr>
                <w:rFonts w:ascii="Times New Roman" w:cs="Times New Roman" w:eastAsia="Times New Roman" w:hAnsi="Times New Roman"/>
                <w:sz w:val="18"/>
                <w:szCs w:val="18"/>
                <w:color w:val="auto"/>
              </w:rPr>
              <w:t>5,658</w:t>
            </w:r>
          </w:p>
        </w:tc>
        <w:tc>
          <w:tcPr>
            <w:tcW w:w="1680" w:type="dxa"/>
            <w:vAlign w:val="bottom"/>
            <w:vMerge w:val="restart"/>
          </w:tcPr>
          <w:p>
            <w:pPr>
              <w:jc w:val="right"/>
              <w:ind w:right="14"/>
              <w:spacing w:after="0"/>
              <w:rPr>
                <w:sz w:val="20"/>
                <w:szCs w:val="20"/>
                <w:color w:val="auto"/>
              </w:rPr>
            </w:pPr>
            <w:r>
              <w:rPr>
                <w:rFonts w:ascii="Times New Roman" w:cs="Times New Roman" w:eastAsia="Times New Roman" w:hAnsi="Times New Roman"/>
                <w:sz w:val="18"/>
                <w:szCs w:val="18"/>
                <w:color w:val="auto"/>
              </w:rPr>
              <w:t>(1,701)</w:t>
            </w: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3,957</w:t>
            </w:r>
          </w:p>
        </w:tc>
        <w:tc>
          <w:tcPr>
            <w:tcW w:w="0" w:type="dxa"/>
            <w:vAlign w:val="bottom"/>
          </w:tcPr>
          <w:p>
            <w:pPr>
              <w:spacing w:after="0"/>
              <w:rPr>
                <w:sz w:val="1"/>
                <w:szCs w:val="1"/>
                <w:color w:val="auto"/>
              </w:rPr>
            </w:pPr>
          </w:p>
        </w:tc>
      </w:tr>
      <w:tr>
        <w:trPr>
          <w:trHeight w:val="149"/>
        </w:trPr>
        <w:tc>
          <w:tcPr>
            <w:tcW w:w="6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recovery and net purchases/sales less related costs</w:t>
            </w:r>
          </w:p>
        </w:tc>
        <w:tc>
          <w:tcPr>
            <w:tcW w:w="1680" w:type="dxa"/>
            <w:vAlign w:val="bottom"/>
            <w:vMerge w:val="continue"/>
          </w:tcPr>
          <w:p>
            <w:pPr>
              <w:spacing w:after="0"/>
              <w:rPr>
                <w:sz w:val="12"/>
                <w:szCs w:val="12"/>
                <w:color w:val="auto"/>
              </w:rPr>
            </w:pPr>
          </w:p>
        </w:tc>
        <w:tc>
          <w:tcPr>
            <w:tcW w:w="1680" w:type="dxa"/>
            <w:vAlign w:val="bottom"/>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6240" w:type="dxa"/>
            <w:vAlign w:val="bottom"/>
            <w:vMerge w:val="continue"/>
          </w:tcPr>
          <w:p>
            <w:pPr>
              <w:spacing w:after="0"/>
              <w:rPr>
                <w:sz w:val="7"/>
                <w:szCs w:val="7"/>
                <w:color w:val="auto"/>
              </w:rPr>
            </w:pPr>
          </w:p>
        </w:tc>
        <w:tc>
          <w:tcPr>
            <w:tcW w:w="16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0C479D"/>
              </w:rPr>
              <w:t>Changes in value of previous-year reserves due to:</w:t>
            </w:r>
          </w:p>
        </w:tc>
        <w:tc>
          <w:tcPr>
            <w:tcW w:w="16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624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Sales and transfers of oil and gas produced during the year, net of production</w:t>
            </w:r>
          </w:p>
        </w:tc>
        <w:tc>
          <w:tcPr>
            <w:tcW w:w="16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6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(lifting) costs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(43,836)</w:t>
            </w:r>
          </w:p>
        </w:tc>
        <w:tc>
          <w:tcPr>
            <w:tcW w:w="1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(10,218)</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(54,054)</w:t>
            </w:r>
          </w:p>
        </w:tc>
        <w:tc>
          <w:tcPr>
            <w:tcW w:w="0" w:type="dxa"/>
            <w:vAlign w:val="bottom"/>
          </w:tcPr>
          <w:p>
            <w:pPr>
              <w:spacing w:after="0"/>
              <w:rPr>
                <w:sz w:val="1"/>
                <w:szCs w:val="1"/>
                <w:color w:val="auto"/>
              </w:rPr>
            </w:pPr>
          </w:p>
        </w:tc>
      </w:tr>
      <w:tr>
        <w:trPr>
          <w:trHeight w:val="229"/>
        </w:trPr>
        <w:tc>
          <w:tcPr>
            <w:tcW w:w="6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Development costs incurred during the year</w:t>
            </w:r>
          </w:p>
        </w:tc>
        <w:tc>
          <w:tcPr>
            <w:tcW w:w="16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15,343</w:t>
            </w:r>
          </w:p>
        </w:tc>
        <w:tc>
          <w:tcPr>
            <w:tcW w:w="16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1,502</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16,845</w:t>
            </w:r>
          </w:p>
        </w:tc>
        <w:tc>
          <w:tcPr>
            <w:tcW w:w="0" w:type="dxa"/>
            <w:vAlign w:val="bottom"/>
          </w:tcPr>
          <w:p>
            <w:pPr>
              <w:spacing w:after="0"/>
              <w:rPr>
                <w:sz w:val="1"/>
                <w:szCs w:val="1"/>
                <w:color w:val="auto"/>
              </w:rPr>
            </w:pPr>
          </w:p>
        </w:tc>
      </w:tr>
      <w:tr>
        <w:trPr>
          <w:trHeight w:val="230"/>
        </w:trPr>
        <w:tc>
          <w:tcPr>
            <w:tcW w:w="6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change in prices, lifting and development costs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(120,924)</w:t>
            </w:r>
          </w:p>
        </w:tc>
        <w:tc>
          <w:tcPr>
            <w:tcW w:w="1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(51,923)</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(172,847)</w:t>
            </w:r>
          </w:p>
        </w:tc>
        <w:tc>
          <w:tcPr>
            <w:tcW w:w="0" w:type="dxa"/>
            <w:vAlign w:val="bottom"/>
          </w:tcPr>
          <w:p>
            <w:pPr>
              <w:spacing w:after="0"/>
              <w:rPr>
                <w:sz w:val="1"/>
                <w:szCs w:val="1"/>
                <w:color w:val="auto"/>
              </w:rPr>
            </w:pPr>
          </w:p>
        </w:tc>
      </w:tr>
      <w:tr>
        <w:trPr>
          <w:trHeight w:val="230"/>
        </w:trPr>
        <w:tc>
          <w:tcPr>
            <w:tcW w:w="6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Revisions of previous reserves estimates</w:t>
            </w:r>
          </w:p>
        </w:tc>
        <w:tc>
          <w:tcPr>
            <w:tcW w:w="16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4,953</w:t>
            </w:r>
          </w:p>
        </w:tc>
        <w:tc>
          <w:tcPr>
            <w:tcW w:w="16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5,096</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10,049</w:t>
            </w:r>
          </w:p>
        </w:tc>
        <w:tc>
          <w:tcPr>
            <w:tcW w:w="0" w:type="dxa"/>
            <w:vAlign w:val="bottom"/>
          </w:tcPr>
          <w:p>
            <w:pPr>
              <w:spacing w:after="0"/>
              <w:rPr>
                <w:sz w:val="1"/>
                <w:szCs w:val="1"/>
                <w:color w:val="auto"/>
              </w:rPr>
            </w:pPr>
          </w:p>
        </w:tc>
      </w:tr>
      <w:tr>
        <w:trPr>
          <w:trHeight w:val="230"/>
        </w:trPr>
        <w:tc>
          <w:tcPr>
            <w:tcW w:w="6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Accretion of discount</w:t>
            </w:r>
          </w:p>
        </w:tc>
        <w:tc>
          <w:tcPr>
            <w:tcW w:w="16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23,006</w:t>
            </w:r>
          </w:p>
        </w:tc>
        <w:tc>
          <w:tcPr>
            <w:tcW w:w="16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8,962</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31,968</w:t>
            </w:r>
          </w:p>
        </w:tc>
        <w:tc>
          <w:tcPr>
            <w:tcW w:w="0" w:type="dxa"/>
            <w:vAlign w:val="bottom"/>
          </w:tcPr>
          <w:p>
            <w:pPr>
              <w:spacing w:after="0"/>
              <w:rPr>
                <w:sz w:val="1"/>
                <w:szCs w:val="1"/>
                <w:color w:val="auto"/>
              </w:rPr>
            </w:pPr>
          </w:p>
        </w:tc>
      </w:tr>
      <w:tr>
        <w:trPr>
          <w:trHeight w:val="234"/>
        </w:trPr>
        <w:tc>
          <w:tcPr>
            <w:tcW w:w="624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Net change in income taxes</w:t>
            </w:r>
          </w:p>
        </w:tc>
        <w:tc>
          <w:tcPr>
            <w:tcW w:w="1680" w:type="dxa"/>
            <w:vAlign w:val="bottom"/>
            <w:tcBorders>
              <w:bottom w:val="single" w:sz="8" w:color="0C479D"/>
            </w:tcBorders>
          </w:tcPr>
          <w:p>
            <w:pPr>
              <w:jc w:val="right"/>
              <w:ind w:right="53"/>
              <w:spacing w:after="0"/>
              <w:rPr>
                <w:sz w:val="20"/>
                <w:szCs w:val="20"/>
                <w:color w:val="auto"/>
              </w:rPr>
            </w:pPr>
            <w:r>
              <w:rPr>
                <w:rFonts w:ascii="Times New Roman" w:cs="Times New Roman" w:eastAsia="Times New Roman" w:hAnsi="Times New Roman"/>
                <w:sz w:val="18"/>
                <w:szCs w:val="18"/>
                <w:color w:val="auto"/>
              </w:rPr>
              <w:t>42,591</w:t>
            </w:r>
          </w:p>
        </w:tc>
        <w:tc>
          <w:tcPr>
            <w:tcW w:w="1680" w:type="dxa"/>
            <w:vAlign w:val="bottom"/>
            <w:tcBorders>
              <w:bottom w:val="single" w:sz="8" w:color="0C479D"/>
            </w:tcBorders>
          </w:tcPr>
          <w:p>
            <w:pPr>
              <w:jc w:val="right"/>
              <w:ind w:right="54"/>
              <w:spacing w:after="0"/>
              <w:rPr>
                <w:sz w:val="20"/>
                <w:szCs w:val="20"/>
                <w:color w:val="auto"/>
              </w:rPr>
            </w:pPr>
            <w:r>
              <w:rPr>
                <w:rFonts w:ascii="Times New Roman" w:cs="Times New Roman" w:eastAsia="Times New Roman" w:hAnsi="Times New Roman"/>
                <w:sz w:val="18"/>
                <w:szCs w:val="18"/>
                <w:color w:val="auto"/>
              </w:rPr>
              <w:t>16,901</w:t>
            </w:r>
          </w:p>
        </w:tc>
        <w:tc>
          <w:tcPr>
            <w:tcW w:w="16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59,492</w:t>
            </w:r>
          </w:p>
        </w:tc>
        <w:tc>
          <w:tcPr>
            <w:tcW w:w="0" w:type="dxa"/>
            <w:vAlign w:val="bottom"/>
          </w:tcPr>
          <w:p>
            <w:pPr>
              <w:spacing w:after="0"/>
              <w:rPr>
                <w:sz w:val="1"/>
                <w:szCs w:val="1"/>
                <w:color w:val="auto"/>
              </w:rPr>
            </w:pPr>
          </w:p>
        </w:tc>
      </w:tr>
      <w:tr>
        <w:trPr>
          <w:trHeight w:val="223"/>
        </w:trPr>
        <w:tc>
          <w:tcPr>
            <w:tcW w:w="624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change in the standardized measure during the year</w:t>
            </w:r>
          </w:p>
        </w:tc>
        <w:tc>
          <w:tcPr>
            <w:tcW w:w="16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(73,209)</w:t>
            </w:r>
          </w:p>
        </w:tc>
        <w:tc>
          <w:tcPr>
            <w:tcW w:w="1680" w:type="dxa"/>
            <w:vAlign w:val="bottom"/>
            <w:tcBorders>
              <w:bottom w:val="single" w:sz="8" w:color="0C479D"/>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(31,381)</w:t>
            </w:r>
          </w:p>
        </w:tc>
        <w:tc>
          <w:tcPr>
            <w:tcW w:w="16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(104,590)</w:t>
            </w:r>
          </w:p>
        </w:tc>
        <w:tc>
          <w:tcPr>
            <w:tcW w:w="0" w:type="dxa"/>
            <w:vAlign w:val="bottom"/>
          </w:tcPr>
          <w:p>
            <w:pPr>
              <w:spacing w:after="0"/>
              <w:rPr>
                <w:sz w:val="1"/>
                <w:szCs w:val="1"/>
                <w:color w:val="auto"/>
              </w:rPr>
            </w:pPr>
          </w:p>
        </w:tc>
      </w:tr>
      <w:tr>
        <w:trPr>
          <w:trHeight w:val="270"/>
        </w:trPr>
        <w:tc>
          <w:tcPr>
            <w:tcW w:w="624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Discounted future net cash flows as of December 31, 2023</w:t>
            </w:r>
          </w:p>
        </w:tc>
        <w:tc>
          <w:tcPr>
            <w:tcW w:w="1680" w:type="dxa"/>
            <w:vAlign w:val="bottom"/>
            <w:tcBorders>
              <w:bottom w:val="single" w:sz="8" w:color="0C479D"/>
            </w:tcBorders>
          </w:tcPr>
          <w:p>
            <w:pPr>
              <w:jc w:val="right"/>
              <w:ind w:right="53"/>
              <w:spacing w:after="0"/>
              <w:rPr>
                <w:sz w:val="20"/>
                <w:szCs w:val="20"/>
                <w:color w:val="auto"/>
              </w:rPr>
            </w:pPr>
            <w:r>
              <w:rPr>
                <w:rFonts w:ascii="Times New Roman" w:cs="Times New Roman" w:eastAsia="Times New Roman" w:hAnsi="Times New Roman"/>
                <w:sz w:val="18"/>
                <w:szCs w:val="18"/>
                <w:color w:val="auto"/>
              </w:rPr>
              <w:t>116,400</w:t>
            </w:r>
          </w:p>
        </w:tc>
        <w:tc>
          <w:tcPr>
            <w:tcW w:w="1680" w:type="dxa"/>
            <w:vAlign w:val="bottom"/>
            <w:tcBorders>
              <w:bottom w:val="single" w:sz="8" w:color="0C479D"/>
            </w:tcBorders>
          </w:tcPr>
          <w:p>
            <w:pPr>
              <w:jc w:val="right"/>
              <w:ind w:right="54"/>
              <w:spacing w:after="0"/>
              <w:rPr>
                <w:sz w:val="20"/>
                <w:szCs w:val="20"/>
                <w:color w:val="auto"/>
              </w:rPr>
            </w:pPr>
            <w:r>
              <w:rPr>
                <w:rFonts w:ascii="Times New Roman" w:cs="Times New Roman" w:eastAsia="Times New Roman" w:hAnsi="Times New Roman"/>
                <w:sz w:val="18"/>
                <w:szCs w:val="18"/>
                <w:color w:val="auto"/>
              </w:rPr>
              <w:t>37,866</w:t>
            </w:r>
          </w:p>
        </w:tc>
        <w:tc>
          <w:tcPr>
            <w:tcW w:w="16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154,266</w:t>
            </w:r>
          </w:p>
        </w:tc>
        <w:tc>
          <w:tcPr>
            <w:tcW w:w="0" w:type="dxa"/>
            <w:vAlign w:val="bottom"/>
          </w:tcPr>
          <w:p>
            <w:pPr>
              <w:spacing w:after="0"/>
              <w:rPr>
                <w:sz w:val="1"/>
                <w:szCs w:val="1"/>
                <w:color w:val="auto"/>
              </w:rPr>
            </w:pPr>
          </w:p>
        </w:tc>
      </w:tr>
      <w:tr>
        <w:trPr>
          <w:trHeight w:val="203"/>
        </w:trPr>
        <w:tc>
          <w:tcPr>
            <w:tcW w:w="6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40" w:type="dxa"/>
            <w:vAlign w:val="bottom"/>
            <w:vMerge w:val="restart"/>
            <w:shd w:val="clear" w:color="auto" w:fill="0C479D"/>
          </w:tcPr>
          <w:p>
            <w:pPr>
              <w:ind w:left="20"/>
              <w:spacing w:after="0"/>
              <w:rPr>
                <w:sz w:val="20"/>
                <w:szCs w:val="20"/>
                <w:color w:val="auto"/>
              </w:rPr>
            </w:pPr>
            <w:r>
              <w:rPr>
                <w:rFonts w:ascii="Times New Roman" w:cs="Times New Roman" w:eastAsia="Times New Roman" w:hAnsi="Times New Roman"/>
                <w:sz w:val="18"/>
                <w:szCs w:val="18"/>
                <w:b w:val="1"/>
                <w:bCs w:val="1"/>
                <w:color w:val="FFFFFF"/>
              </w:rPr>
              <w:t>Consolidated and Equity Interests</w:t>
            </w:r>
          </w:p>
        </w:tc>
        <w:tc>
          <w:tcPr>
            <w:tcW w:w="1680" w:type="dxa"/>
            <w:vAlign w:val="bottom"/>
            <w:shd w:val="clear" w:color="auto" w:fill="0C479D"/>
          </w:tcPr>
          <w:p>
            <w:pPr>
              <w:spacing w:after="0"/>
              <w:rPr>
                <w:sz w:val="17"/>
                <w:szCs w:val="17"/>
                <w:color w:val="auto"/>
              </w:rPr>
            </w:pPr>
          </w:p>
        </w:tc>
        <w:tc>
          <w:tcPr>
            <w:tcW w:w="168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w w:val="99"/>
              </w:rPr>
              <w:t>2024</w:t>
            </w:r>
          </w:p>
        </w:tc>
        <w:tc>
          <w:tcPr>
            <w:tcW w:w="1600" w:type="dxa"/>
            <w:vAlign w:val="bottom"/>
            <w:shd w:val="clear" w:color="auto" w:fill="0C479D"/>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6240" w:type="dxa"/>
            <w:vAlign w:val="bottom"/>
            <w:vMerge w:val="continue"/>
            <w:shd w:val="clear" w:color="auto" w:fill="0C479D"/>
          </w:tcPr>
          <w:p>
            <w:pPr>
              <w:spacing w:after="0"/>
              <w:rPr>
                <w:sz w:val="7"/>
                <w:szCs w:val="7"/>
                <w:color w:val="auto"/>
              </w:rPr>
            </w:pPr>
          </w:p>
        </w:tc>
        <w:tc>
          <w:tcPr>
            <w:tcW w:w="1680" w:type="dxa"/>
            <w:vAlign w:val="bottom"/>
            <w:vMerge w:val="restart"/>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Consolidated</w:t>
            </w:r>
          </w:p>
        </w:tc>
        <w:tc>
          <w:tcPr>
            <w:tcW w:w="1680" w:type="dxa"/>
            <w:vAlign w:val="bottom"/>
            <w:vMerge w:val="restart"/>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Share of Equity Method</w:t>
            </w:r>
          </w:p>
        </w:tc>
        <w:tc>
          <w:tcPr>
            <w:tcW w:w="1600" w:type="dxa"/>
            <w:vAlign w:val="bottom"/>
            <w:vMerge w:val="restart"/>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Total Consolidated and</w:t>
            </w:r>
          </w:p>
        </w:tc>
        <w:tc>
          <w:tcPr>
            <w:tcW w:w="0" w:type="dxa"/>
            <w:vAlign w:val="bottom"/>
          </w:tcPr>
          <w:p>
            <w:pPr>
              <w:spacing w:after="0"/>
              <w:rPr>
                <w:sz w:val="1"/>
                <w:szCs w:val="1"/>
                <w:color w:val="auto"/>
              </w:rPr>
            </w:pPr>
          </w:p>
        </w:tc>
      </w:tr>
      <w:tr>
        <w:trPr>
          <w:trHeight w:val="135"/>
        </w:trPr>
        <w:tc>
          <w:tcPr>
            <w:tcW w:w="6240" w:type="dxa"/>
            <w:vAlign w:val="bottom"/>
            <w:shd w:val="clear" w:color="auto" w:fill="0C479D"/>
          </w:tcPr>
          <w:p>
            <w:pPr>
              <w:ind w:left="20"/>
              <w:spacing w:after="0" w:line="135" w:lineRule="exact"/>
              <w:rPr>
                <w:sz w:val="20"/>
                <w:szCs w:val="20"/>
                <w:color w:val="auto"/>
              </w:rPr>
            </w:pPr>
            <w:r>
              <w:rPr>
                <w:rFonts w:ascii="Times New Roman" w:cs="Times New Roman" w:eastAsia="Times New Roman" w:hAnsi="Times New Roman"/>
                <w:sz w:val="14"/>
                <w:szCs w:val="14"/>
                <w:i w:val="1"/>
                <w:iCs w:val="1"/>
                <w:color w:val="FFFFFF"/>
              </w:rPr>
              <w:t>(millions of dollars)</w:t>
            </w:r>
          </w:p>
        </w:tc>
        <w:tc>
          <w:tcPr>
            <w:tcW w:w="1680" w:type="dxa"/>
            <w:vAlign w:val="bottom"/>
            <w:vMerge w:val="continue"/>
            <w:shd w:val="clear" w:color="auto" w:fill="0C479D"/>
          </w:tcPr>
          <w:p>
            <w:pPr>
              <w:spacing w:after="0"/>
              <w:rPr>
                <w:sz w:val="11"/>
                <w:szCs w:val="11"/>
                <w:color w:val="auto"/>
              </w:rPr>
            </w:pPr>
          </w:p>
        </w:tc>
        <w:tc>
          <w:tcPr>
            <w:tcW w:w="1680" w:type="dxa"/>
            <w:vAlign w:val="bottom"/>
            <w:vMerge w:val="continue"/>
            <w:shd w:val="clear" w:color="auto" w:fill="0C479D"/>
          </w:tcPr>
          <w:p>
            <w:pPr>
              <w:spacing w:after="0"/>
              <w:rPr>
                <w:sz w:val="11"/>
                <w:szCs w:val="11"/>
                <w:color w:val="auto"/>
              </w:rPr>
            </w:pPr>
          </w:p>
        </w:tc>
        <w:tc>
          <w:tcPr>
            <w:tcW w:w="1600" w:type="dxa"/>
            <w:vAlign w:val="bottom"/>
            <w:vMerge w:val="continue"/>
            <w:shd w:val="clear" w:color="auto" w:fill="0C479D"/>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240" w:type="dxa"/>
            <w:vAlign w:val="bottom"/>
            <w:shd w:val="clear" w:color="auto" w:fill="0C479D"/>
          </w:tcPr>
          <w:p>
            <w:pPr>
              <w:spacing w:after="0"/>
              <w:rPr>
                <w:sz w:val="16"/>
                <w:szCs w:val="16"/>
                <w:color w:val="auto"/>
              </w:rPr>
            </w:pPr>
          </w:p>
        </w:tc>
        <w:tc>
          <w:tcPr>
            <w:tcW w:w="168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Subsidiaries</w:t>
            </w:r>
          </w:p>
        </w:tc>
        <w:tc>
          <w:tcPr>
            <w:tcW w:w="168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Investees</w:t>
            </w:r>
          </w:p>
        </w:tc>
        <w:tc>
          <w:tcPr>
            <w:tcW w:w="1600" w:type="dxa"/>
            <w:vAlign w:val="bottom"/>
            <w:shd w:val="clear" w:color="auto" w:fill="0C479D"/>
          </w:tcPr>
          <w:p>
            <w:pPr>
              <w:jc w:val="center"/>
              <w:spacing w:after="0"/>
              <w:rPr>
                <w:sz w:val="20"/>
                <w:szCs w:val="20"/>
                <w:color w:val="auto"/>
              </w:rPr>
            </w:pPr>
            <w:r>
              <w:rPr>
                <w:rFonts w:ascii="Times New Roman" w:cs="Times New Roman" w:eastAsia="Times New Roman" w:hAnsi="Times New Roman"/>
                <w:sz w:val="14"/>
                <w:szCs w:val="14"/>
                <w:b w:val="1"/>
                <w:bCs w:val="1"/>
                <w:color w:val="FFFFFF"/>
              </w:rPr>
              <w:t>Equity Interests</w:t>
            </w:r>
          </w:p>
        </w:tc>
        <w:tc>
          <w:tcPr>
            <w:tcW w:w="0" w:type="dxa"/>
            <w:vAlign w:val="bottom"/>
          </w:tcPr>
          <w:p>
            <w:pPr>
              <w:spacing w:after="0"/>
              <w:rPr>
                <w:sz w:val="1"/>
                <w:szCs w:val="1"/>
                <w:color w:val="auto"/>
              </w:rPr>
            </w:pPr>
          </w:p>
        </w:tc>
      </w:tr>
      <w:tr>
        <w:trPr>
          <w:trHeight w:val="459"/>
        </w:trPr>
        <w:tc>
          <w:tcPr>
            <w:tcW w:w="624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Discounted future net cash flows as of December 31, 2023</w:t>
            </w:r>
          </w:p>
        </w:tc>
        <w:tc>
          <w:tcPr>
            <w:tcW w:w="1680" w:type="dxa"/>
            <w:vAlign w:val="bottom"/>
            <w:tcBorders>
              <w:bottom w:val="single" w:sz="8" w:color="0C479D"/>
            </w:tcBorders>
          </w:tcPr>
          <w:p>
            <w:pPr>
              <w:jc w:val="right"/>
              <w:ind w:right="53"/>
              <w:spacing w:after="0"/>
              <w:rPr>
                <w:sz w:val="20"/>
                <w:szCs w:val="20"/>
                <w:color w:val="auto"/>
              </w:rPr>
            </w:pPr>
            <w:r>
              <w:rPr>
                <w:rFonts w:ascii="Times New Roman" w:cs="Times New Roman" w:eastAsia="Times New Roman" w:hAnsi="Times New Roman"/>
                <w:sz w:val="18"/>
                <w:szCs w:val="18"/>
                <w:color w:val="auto"/>
              </w:rPr>
              <w:t>116,400</w:t>
            </w:r>
          </w:p>
        </w:tc>
        <w:tc>
          <w:tcPr>
            <w:tcW w:w="1680" w:type="dxa"/>
            <w:vAlign w:val="bottom"/>
            <w:tcBorders>
              <w:bottom w:val="single" w:sz="8" w:color="0C479D"/>
            </w:tcBorders>
          </w:tcPr>
          <w:p>
            <w:pPr>
              <w:jc w:val="right"/>
              <w:ind w:right="54"/>
              <w:spacing w:after="0"/>
              <w:rPr>
                <w:sz w:val="20"/>
                <w:szCs w:val="20"/>
                <w:color w:val="auto"/>
              </w:rPr>
            </w:pPr>
            <w:r>
              <w:rPr>
                <w:rFonts w:ascii="Times New Roman" w:cs="Times New Roman" w:eastAsia="Times New Roman" w:hAnsi="Times New Roman"/>
                <w:sz w:val="18"/>
                <w:szCs w:val="18"/>
                <w:color w:val="auto"/>
              </w:rPr>
              <w:t>37,866</w:t>
            </w:r>
          </w:p>
        </w:tc>
        <w:tc>
          <w:tcPr>
            <w:tcW w:w="16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154,266</w:t>
            </w:r>
          </w:p>
        </w:tc>
        <w:tc>
          <w:tcPr>
            <w:tcW w:w="0" w:type="dxa"/>
            <w:vAlign w:val="bottom"/>
          </w:tcPr>
          <w:p>
            <w:pPr>
              <w:spacing w:after="0"/>
              <w:rPr>
                <w:sz w:val="1"/>
                <w:szCs w:val="1"/>
                <w:color w:val="auto"/>
              </w:rPr>
            </w:pPr>
          </w:p>
        </w:tc>
      </w:tr>
      <w:tr>
        <w:trPr>
          <w:trHeight w:val="21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Value of reserves added during the year due to extensions, discoveries, improved</w:t>
            </w:r>
          </w:p>
        </w:tc>
        <w:tc>
          <w:tcPr>
            <w:tcW w:w="1680" w:type="dxa"/>
            <w:vAlign w:val="bottom"/>
            <w:vMerge w:val="restart"/>
          </w:tcPr>
          <w:p>
            <w:pPr>
              <w:jc w:val="right"/>
              <w:ind w:right="53"/>
              <w:spacing w:after="0"/>
              <w:rPr>
                <w:sz w:val="20"/>
                <w:szCs w:val="20"/>
                <w:color w:val="auto"/>
              </w:rPr>
            </w:pPr>
            <w:r>
              <w:rPr>
                <w:rFonts w:ascii="Times New Roman" w:cs="Times New Roman" w:eastAsia="Times New Roman" w:hAnsi="Times New Roman"/>
                <w:sz w:val="18"/>
                <w:szCs w:val="18"/>
                <w:color w:val="auto"/>
              </w:rPr>
              <w:t>42,405</w:t>
            </w:r>
          </w:p>
        </w:tc>
        <w:tc>
          <w:tcPr>
            <w:tcW w:w="1680" w:type="dxa"/>
            <w:vAlign w:val="bottom"/>
            <w:vMerge w:val="restart"/>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42,405</w:t>
            </w:r>
          </w:p>
        </w:tc>
        <w:tc>
          <w:tcPr>
            <w:tcW w:w="0" w:type="dxa"/>
            <w:vAlign w:val="bottom"/>
          </w:tcPr>
          <w:p>
            <w:pPr>
              <w:spacing w:after="0"/>
              <w:rPr>
                <w:sz w:val="1"/>
                <w:szCs w:val="1"/>
                <w:color w:val="auto"/>
              </w:rPr>
            </w:pPr>
          </w:p>
        </w:tc>
      </w:tr>
      <w:tr>
        <w:trPr>
          <w:trHeight w:val="149"/>
        </w:trPr>
        <w:tc>
          <w:tcPr>
            <w:tcW w:w="6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recovery and net purchases/sales less related costs</w:t>
            </w:r>
          </w:p>
        </w:tc>
        <w:tc>
          <w:tcPr>
            <w:tcW w:w="1680" w:type="dxa"/>
            <w:vAlign w:val="bottom"/>
            <w:vMerge w:val="continue"/>
          </w:tcPr>
          <w:p>
            <w:pPr>
              <w:spacing w:after="0"/>
              <w:rPr>
                <w:sz w:val="12"/>
                <w:szCs w:val="12"/>
                <w:color w:val="auto"/>
              </w:rPr>
            </w:pPr>
          </w:p>
        </w:tc>
        <w:tc>
          <w:tcPr>
            <w:tcW w:w="1680" w:type="dxa"/>
            <w:vAlign w:val="bottom"/>
            <w:vMerge w:val="continue"/>
          </w:tcPr>
          <w:p>
            <w:pPr>
              <w:spacing w:after="0"/>
              <w:rPr>
                <w:sz w:val="12"/>
                <w:szCs w:val="12"/>
                <w:color w:val="auto"/>
              </w:rPr>
            </w:pP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6240" w:type="dxa"/>
            <w:vAlign w:val="bottom"/>
            <w:vMerge w:val="continue"/>
          </w:tcPr>
          <w:p>
            <w:pPr>
              <w:spacing w:after="0"/>
              <w:rPr>
                <w:sz w:val="7"/>
                <w:szCs w:val="7"/>
                <w:color w:val="auto"/>
              </w:rPr>
            </w:pPr>
          </w:p>
        </w:tc>
        <w:tc>
          <w:tcPr>
            <w:tcW w:w="16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0C479D"/>
              </w:rPr>
              <w:t>Changes in value of previous-year reserves due to:</w:t>
            </w:r>
          </w:p>
        </w:tc>
        <w:tc>
          <w:tcPr>
            <w:tcW w:w="16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624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Sales and transfers of oil and gas produced during the year, net of production</w:t>
            </w:r>
          </w:p>
        </w:tc>
        <w:tc>
          <w:tcPr>
            <w:tcW w:w="16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6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(lifting) costs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(51,236)</w:t>
            </w:r>
          </w:p>
        </w:tc>
        <w:tc>
          <w:tcPr>
            <w:tcW w:w="1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(8,268)</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(59,504)</w:t>
            </w:r>
          </w:p>
        </w:tc>
        <w:tc>
          <w:tcPr>
            <w:tcW w:w="0" w:type="dxa"/>
            <w:vAlign w:val="bottom"/>
          </w:tcPr>
          <w:p>
            <w:pPr>
              <w:spacing w:after="0"/>
              <w:rPr>
                <w:sz w:val="1"/>
                <w:szCs w:val="1"/>
                <w:color w:val="auto"/>
              </w:rPr>
            </w:pPr>
          </w:p>
        </w:tc>
      </w:tr>
      <w:tr>
        <w:trPr>
          <w:trHeight w:val="229"/>
        </w:trPr>
        <w:tc>
          <w:tcPr>
            <w:tcW w:w="6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Development costs incurred during the year</w:t>
            </w:r>
          </w:p>
        </w:tc>
        <w:tc>
          <w:tcPr>
            <w:tcW w:w="16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18,924</w:t>
            </w:r>
          </w:p>
        </w:tc>
        <w:tc>
          <w:tcPr>
            <w:tcW w:w="16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1,135</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20,059</w:t>
            </w:r>
          </w:p>
        </w:tc>
        <w:tc>
          <w:tcPr>
            <w:tcW w:w="0" w:type="dxa"/>
            <w:vAlign w:val="bottom"/>
          </w:tcPr>
          <w:p>
            <w:pPr>
              <w:spacing w:after="0"/>
              <w:rPr>
                <w:sz w:val="1"/>
                <w:szCs w:val="1"/>
                <w:color w:val="auto"/>
              </w:rPr>
            </w:pPr>
          </w:p>
        </w:tc>
      </w:tr>
      <w:tr>
        <w:trPr>
          <w:trHeight w:val="230"/>
        </w:trPr>
        <w:tc>
          <w:tcPr>
            <w:tcW w:w="6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change in prices, lifting and development costs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16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(5,811)</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(10,360)</w:t>
            </w:r>
          </w:p>
        </w:tc>
        <w:tc>
          <w:tcPr>
            <w:tcW w:w="0" w:type="dxa"/>
            <w:vAlign w:val="bottom"/>
          </w:tcPr>
          <w:p>
            <w:pPr>
              <w:spacing w:after="0"/>
              <w:rPr>
                <w:sz w:val="1"/>
                <w:szCs w:val="1"/>
                <w:color w:val="auto"/>
              </w:rPr>
            </w:pPr>
          </w:p>
        </w:tc>
      </w:tr>
      <w:tr>
        <w:trPr>
          <w:trHeight w:val="229"/>
        </w:trPr>
        <w:tc>
          <w:tcPr>
            <w:tcW w:w="6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Revisions of previous reserves estimates</w:t>
            </w:r>
          </w:p>
        </w:tc>
        <w:tc>
          <w:tcPr>
            <w:tcW w:w="16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20,779</w:t>
            </w:r>
          </w:p>
        </w:tc>
        <w:tc>
          <w:tcPr>
            <w:tcW w:w="16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1,690</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22,469</w:t>
            </w:r>
          </w:p>
        </w:tc>
        <w:tc>
          <w:tcPr>
            <w:tcW w:w="0" w:type="dxa"/>
            <w:vAlign w:val="bottom"/>
          </w:tcPr>
          <w:p>
            <w:pPr>
              <w:spacing w:after="0"/>
              <w:rPr>
                <w:sz w:val="1"/>
                <w:szCs w:val="1"/>
                <w:color w:val="auto"/>
              </w:rPr>
            </w:pPr>
          </w:p>
        </w:tc>
      </w:tr>
      <w:tr>
        <w:trPr>
          <w:trHeight w:val="230"/>
        </w:trPr>
        <w:tc>
          <w:tcPr>
            <w:tcW w:w="6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Accretion of discount</w:t>
            </w:r>
          </w:p>
        </w:tc>
        <w:tc>
          <w:tcPr>
            <w:tcW w:w="16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15,232</w:t>
            </w:r>
          </w:p>
        </w:tc>
        <w:tc>
          <w:tcPr>
            <w:tcW w:w="16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4,853</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20,085</w:t>
            </w:r>
          </w:p>
        </w:tc>
        <w:tc>
          <w:tcPr>
            <w:tcW w:w="0" w:type="dxa"/>
            <w:vAlign w:val="bottom"/>
          </w:tcPr>
          <w:p>
            <w:pPr>
              <w:spacing w:after="0"/>
              <w:rPr>
                <w:sz w:val="1"/>
                <w:szCs w:val="1"/>
                <w:color w:val="auto"/>
              </w:rPr>
            </w:pPr>
          </w:p>
        </w:tc>
      </w:tr>
      <w:tr>
        <w:trPr>
          <w:trHeight w:val="234"/>
        </w:trPr>
        <w:tc>
          <w:tcPr>
            <w:tcW w:w="624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Net change in income taxes</w:t>
            </w:r>
          </w:p>
        </w:tc>
        <w:tc>
          <w:tcPr>
            <w:tcW w:w="168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(6,461)</w:t>
            </w:r>
          </w:p>
        </w:tc>
        <w:tc>
          <w:tcPr>
            <w:tcW w:w="1680" w:type="dxa"/>
            <w:vAlign w:val="bottom"/>
            <w:tcBorders>
              <w:bottom w:val="single" w:sz="8" w:color="0C479D"/>
            </w:tcBorders>
          </w:tcPr>
          <w:p>
            <w:pPr>
              <w:jc w:val="right"/>
              <w:ind w:right="54"/>
              <w:spacing w:after="0"/>
              <w:rPr>
                <w:sz w:val="20"/>
                <w:szCs w:val="20"/>
                <w:color w:val="auto"/>
              </w:rPr>
            </w:pPr>
            <w:r>
              <w:rPr>
                <w:rFonts w:ascii="Times New Roman" w:cs="Times New Roman" w:eastAsia="Times New Roman" w:hAnsi="Times New Roman"/>
                <w:sz w:val="18"/>
                <w:szCs w:val="18"/>
                <w:color w:val="auto"/>
              </w:rPr>
              <w:t>2,705</w:t>
            </w:r>
          </w:p>
        </w:tc>
        <w:tc>
          <w:tcPr>
            <w:tcW w:w="16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(3,756)</w:t>
            </w:r>
          </w:p>
        </w:tc>
        <w:tc>
          <w:tcPr>
            <w:tcW w:w="0" w:type="dxa"/>
            <w:vAlign w:val="bottom"/>
          </w:tcPr>
          <w:p>
            <w:pPr>
              <w:spacing w:after="0"/>
              <w:rPr>
                <w:sz w:val="1"/>
                <w:szCs w:val="1"/>
                <w:color w:val="auto"/>
              </w:rPr>
            </w:pPr>
          </w:p>
        </w:tc>
      </w:tr>
      <w:tr>
        <w:trPr>
          <w:trHeight w:val="223"/>
        </w:trPr>
        <w:tc>
          <w:tcPr>
            <w:tcW w:w="624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change in the standardized measure during the year</w:t>
            </w:r>
          </w:p>
        </w:tc>
        <w:tc>
          <w:tcPr>
            <w:tcW w:w="1680" w:type="dxa"/>
            <w:vAlign w:val="bottom"/>
            <w:tcBorders>
              <w:bottom w:val="single" w:sz="8" w:color="0C479D"/>
            </w:tcBorders>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35,094</w:t>
            </w:r>
          </w:p>
        </w:tc>
        <w:tc>
          <w:tcPr>
            <w:tcW w:w="1680" w:type="dxa"/>
            <w:vAlign w:val="bottom"/>
            <w:tcBorders>
              <w:bottom w:val="single" w:sz="8" w:color="0C479D"/>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(3,696)</w:t>
            </w:r>
          </w:p>
        </w:tc>
        <w:tc>
          <w:tcPr>
            <w:tcW w:w="16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31,398</w:t>
            </w:r>
          </w:p>
        </w:tc>
        <w:tc>
          <w:tcPr>
            <w:tcW w:w="0" w:type="dxa"/>
            <w:vAlign w:val="bottom"/>
          </w:tcPr>
          <w:p>
            <w:pPr>
              <w:spacing w:after="0"/>
              <w:rPr>
                <w:sz w:val="1"/>
                <w:szCs w:val="1"/>
                <w:color w:val="auto"/>
              </w:rPr>
            </w:pPr>
          </w:p>
        </w:tc>
      </w:tr>
      <w:tr>
        <w:trPr>
          <w:trHeight w:val="270"/>
        </w:trPr>
        <w:tc>
          <w:tcPr>
            <w:tcW w:w="6240" w:type="dxa"/>
            <w:vAlign w:val="bottom"/>
            <w:tcBorders>
              <w:bottom w:val="single" w:sz="8" w:color="0C479D"/>
            </w:tcBorders>
          </w:tcPr>
          <w:p>
            <w:pPr>
              <w:ind w:left="20"/>
              <w:spacing w:after="0"/>
              <w:rPr>
                <w:sz w:val="20"/>
                <w:szCs w:val="20"/>
                <w:color w:val="auto"/>
              </w:rPr>
            </w:pPr>
            <w:r>
              <w:rPr>
                <w:rFonts w:ascii="Times New Roman" w:cs="Times New Roman" w:eastAsia="Times New Roman" w:hAnsi="Times New Roman"/>
                <w:sz w:val="18"/>
                <w:szCs w:val="18"/>
                <w:color w:val="auto"/>
              </w:rPr>
              <w:t>Discounted future net cash flows as of December 31, 2024</w:t>
            </w:r>
          </w:p>
        </w:tc>
        <w:tc>
          <w:tcPr>
            <w:tcW w:w="1680" w:type="dxa"/>
            <w:vAlign w:val="bottom"/>
            <w:tcBorders>
              <w:bottom w:val="single" w:sz="8" w:color="0C479D"/>
            </w:tcBorders>
          </w:tcPr>
          <w:p>
            <w:pPr>
              <w:jc w:val="right"/>
              <w:ind w:right="53"/>
              <w:spacing w:after="0"/>
              <w:rPr>
                <w:sz w:val="20"/>
                <w:szCs w:val="20"/>
                <w:color w:val="auto"/>
              </w:rPr>
            </w:pPr>
            <w:r>
              <w:rPr>
                <w:rFonts w:ascii="Times New Roman" w:cs="Times New Roman" w:eastAsia="Times New Roman" w:hAnsi="Times New Roman"/>
                <w:sz w:val="18"/>
                <w:szCs w:val="18"/>
                <w:color w:val="auto"/>
              </w:rPr>
              <w:t>151,494</w:t>
            </w:r>
          </w:p>
        </w:tc>
        <w:tc>
          <w:tcPr>
            <w:tcW w:w="1680" w:type="dxa"/>
            <w:vAlign w:val="bottom"/>
            <w:tcBorders>
              <w:bottom w:val="single" w:sz="8" w:color="0C479D"/>
            </w:tcBorders>
          </w:tcPr>
          <w:p>
            <w:pPr>
              <w:jc w:val="right"/>
              <w:ind w:right="54"/>
              <w:spacing w:after="0"/>
              <w:rPr>
                <w:sz w:val="20"/>
                <w:szCs w:val="20"/>
                <w:color w:val="auto"/>
              </w:rPr>
            </w:pPr>
            <w:r>
              <w:rPr>
                <w:rFonts w:ascii="Times New Roman" w:cs="Times New Roman" w:eastAsia="Times New Roman" w:hAnsi="Times New Roman"/>
                <w:sz w:val="18"/>
                <w:szCs w:val="18"/>
                <w:color w:val="auto"/>
              </w:rPr>
              <w:t>34,170</w:t>
            </w:r>
          </w:p>
        </w:tc>
        <w:tc>
          <w:tcPr>
            <w:tcW w:w="1600" w:type="dxa"/>
            <w:vAlign w:val="bottom"/>
            <w:tcBorders>
              <w:bottom w:val="single" w:sz="8" w:color="0C479D"/>
            </w:tcBorders>
          </w:tcPr>
          <w:p>
            <w:pPr>
              <w:jc w:val="right"/>
              <w:spacing w:after="0"/>
              <w:rPr>
                <w:sz w:val="20"/>
                <w:szCs w:val="20"/>
                <w:color w:val="auto"/>
              </w:rPr>
            </w:pPr>
            <w:r>
              <w:rPr>
                <w:rFonts w:ascii="Times New Roman" w:cs="Times New Roman" w:eastAsia="Times New Roman" w:hAnsi="Times New Roman"/>
                <w:sz w:val="18"/>
                <w:szCs w:val="18"/>
                <w:color w:val="auto"/>
              </w:rPr>
              <w:t>185,664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022" w:right="359" w:bottom="1440" w:gutter="0" w:footer="0" w:header="0"/>
        </w:sect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2" w:right="359" w:bottom="1440" w:gutter="0" w:footer="0" w:header="0"/>
          <w:type w:val="continuous"/>
        </w:sectPr>
      </w:pPr>
    </w:p>
    <w:bookmarkStart w:id="136" w:name="page137"/>
    <w:bookmarkEnd w:id="136"/>
    <w:tbl>
      <w:tblPr>
        <w:tblLayout w:type="fixed"/>
        <w:tblInd w:w="7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740" w:type="dxa"/>
            <w:vAlign w:val="bottom"/>
          </w:tcPr>
          <w:p>
            <w:pPr>
              <w:ind w:left="2980"/>
              <w:spacing w:after="0"/>
              <w:rPr>
                <w:sz w:val="20"/>
                <w:szCs w:val="20"/>
                <w:color w:val="auto"/>
              </w:rPr>
            </w:pPr>
            <w:r>
              <w:rPr>
                <w:rFonts w:ascii="Times New Roman" w:cs="Times New Roman" w:eastAsia="Times New Roman" w:hAnsi="Times New Roman"/>
                <w:sz w:val="18"/>
                <w:szCs w:val="18"/>
                <w:b w:val="1"/>
                <w:bCs w:val="1"/>
                <w:color w:val="0C479D"/>
              </w:rPr>
              <w:t>INDEX TO EXHIBITS</w:t>
            </w:r>
          </w:p>
        </w:tc>
      </w:tr>
      <w:tr>
        <w:trPr>
          <w:trHeight w:val="68"/>
        </w:trPr>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740" w:type="dxa"/>
            <w:vAlign w:val="bottom"/>
          </w:tcPr>
          <w:p>
            <w:pPr>
              <w:spacing w:after="0"/>
              <w:rPr>
                <w:sz w:val="5"/>
                <w:szCs w:val="5"/>
                <w:color w:val="auto"/>
              </w:rPr>
            </w:pPr>
          </w:p>
        </w:tc>
      </w:tr>
      <w:tr>
        <w:trPr>
          <w:trHeight w:val="257"/>
        </w:trPr>
        <w:tc>
          <w:tcPr>
            <w:tcW w:w="20" w:type="dxa"/>
            <w:vAlign w:val="bottom"/>
            <w:shd w:val="clear" w:color="auto" w:fill="0C479D"/>
          </w:tcPr>
          <w:p>
            <w:pPr>
              <w:spacing w:after="0"/>
              <w:rPr>
                <w:sz w:val="22"/>
                <w:szCs w:val="22"/>
                <w:color w:val="auto"/>
              </w:rPr>
            </w:pPr>
          </w:p>
        </w:tc>
        <w:tc>
          <w:tcPr>
            <w:tcW w:w="960" w:type="dxa"/>
            <w:vAlign w:val="bottom"/>
            <w:gridSpan w:val="8"/>
            <w:shd w:val="clear" w:color="auto" w:fill="0C479D"/>
          </w:tcPr>
          <w:p>
            <w:pPr>
              <w:ind w:left="240"/>
              <w:spacing w:after="0"/>
              <w:rPr>
                <w:sz w:val="20"/>
                <w:szCs w:val="20"/>
                <w:color w:val="auto"/>
              </w:rPr>
            </w:pPr>
            <w:r>
              <w:rPr>
                <w:rFonts w:ascii="Times New Roman" w:cs="Times New Roman" w:eastAsia="Times New Roman" w:hAnsi="Times New Roman"/>
                <w:sz w:val="18"/>
                <w:szCs w:val="18"/>
                <w:b w:val="1"/>
                <w:bCs w:val="1"/>
                <w:color w:val="FFFFFF"/>
              </w:rPr>
              <w:t>Exhibit</w:t>
            </w:r>
          </w:p>
        </w:tc>
        <w:tc>
          <w:tcPr>
            <w:tcW w:w="8740" w:type="dxa"/>
            <w:vAlign w:val="bottom"/>
            <w:shd w:val="clear" w:color="auto" w:fill="0C479D"/>
          </w:tcPr>
          <w:p>
            <w:pPr>
              <w:ind w:left="3980"/>
              <w:spacing w:after="0"/>
              <w:rPr>
                <w:sz w:val="20"/>
                <w:szCs w:val="20"/>
                <w:color w:val="auto"/>
              </w:rPr>
            </w:pPr>
            <w:r>
              <w:rPr>
                <w:rFonts w:ascii="Times New Roman" w:cs="Times New Roman" w:eastAsia="Times New Roman" w:hAnsi="Times New Roman"/>
                <w:sz w:val="18"/>
                <w:szCs w:val="18"/>
                <w:b w:val="1"/>
                <w:bCs w:val="1"/>
                <w:color w:val="FFFFFF"/>
              </w:rPr>
              <w:t>Description</w:t>
            </w:r>
          </w:p>
        </w:tc>
      </w:tr>
      <w:tr>
        <w:trPr>
          <w:trHeight w:val="189"/>
        </w:trPr>
        <w:tc>
          <w:tcPr>
            <w:tcW w:w="20" w:type="dxa"/>
            <w:vAlign w:val="bottom"/>
          </w:tcPr>
          <w:p>
            <w:pPr>
              <w:spacing w:after="0"/>
              <w:rPr>
                <w:sz w:val="16"/>
                <w:szCs w:val="16"/>
                <w:color w:val="auto"/>
              </w:rPr>
            </w:pPr>
          </w:p>
        </w:tc>
        <w:tc>
          <w:tcPr>
            <w:tcW w:w="960" w:type="dxa"/>
            <w:vAlign w:val="bottom"/>
            <w:gridSpan w:val="8"/>
          </w:tcPr>
          <w:p>
            <w:pPr>
              <w:spacing w:after="0" w:line="189" w:lineRule="exact"/>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3(i)</w:t>
              </w:r>
            </w:hyperlink>
          </w:p>
        </w:tc>
        <w:tc>
          <w:tcPr>
            <w:tcW w:w="874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Restated Certificate of Incorporation, as restated November 30, 1999, and as further amended effective June 20, 2001</w:t>
            </w:r>
          </w:p>
        </w:tc>
      </w:tr>
      <w:tr>
        <w:trPr>
          <w:trHeight w:val="210"/>
        </w:trPr>
        <w:tc>
          <w:tcPr>
            <w:tcW w:w="2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(incorporated by reference to Exhibit 3(i) to the Registrant’s Annual Report on Form 10-K for 2015).</w:t>
            </w:r>
          </w:p>
        </w:tc>
      </w:tr>
      <w:tr>
        <w:trPr>
          <w:trHeight w:val="189"/>
        </w:trPr>
        <w:tc>
          <w:tcPr>
            <w:tcW w:w="20" w:type="dxa"/>
            <w:vAlign w:val="bottom"/>
            <w:shd w:val="clear" w:color="auto" w:fill="F0F0F0"/>
          </w:tcPr>
          <w:p>
            <w:pPr>
              <w:spacing w:after="0"/>
              <w:rPr>
                <w:sz w:val="16"/>
                <w:szCs w:val="16"/>
                <w:color w:val="auto"/>
              </w:rPr>
            </w:pPr>
          </w:p>
        </w:tc>
        <w:tc>
          <w:tcPr>
            <w:tcW w:w="960" w:type="dxa"/>
            <w:vAlign w:val="bottom"/>
            <w:gridSpan w:val="8"/>
            <w:shd w:val="clear" w:color="auto" w:fill="F0F0F0"/>
          </w:tcPr>
          <w:p>
            <w:pPr>
              <w:spacing w:after="0" w:line="189" w:lineRule="exact"/>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3(ii)</w:t>
              </w:r>
            </w:hyperlink>
          </w:p>
        </w:tc>
        <w:tc>
          <w:tcPr>
            <w:tcW w:w="8740" w:type="dxa"/>
            <w:vAlign w:val="bottom"/>
            <w:shd w:val="clear" w:color="auto" w:fill="F0F0F0"/>
          </w:tcPr>
          <w:p>
            <w:pPr>
              <w:ind w:left="140"/>
              <w:spacing w:after="0" w:line="189" w:lineRule="exact"/>
              <w:rPr>
                <w:sz w:val="20"/>
                <w:szCs w:val="20"/>
                <w:color w:val="auto"/>
              </w:rPr>
            </w:pPr>
            <w:r>
              <w:rPr>
                <w:rFonts w:ascii="Times New Roman" w:cs="Times New Roman" w:eastAsia="Times New Roman" w:hAnsi="Times New Roman"/>
                <w:sz w:val="18"/>
                <w:szCs w:val="18"/>
                <w:color w:val="auto"/>
              </w:rPr>
              <w:t>By-Laws, as amended effective October 25, 2022 (incorporated by reference to Exhibit 3(ii) to the Registrant’s Report</w:t>
            </w:r>
          </w:p>
        </w:tc>
      </w:tr>
      <w:tr>
        <w:trPr>
          <w:trHeight w:val="210"/>
        </w:trPr>
        <w:tc>
          <w:tcPr>
            <w:tcW w:w="20" w:type="dxa"/>
            <w:vAlign w:val="bottom"/>
            <w:tcBorders>
              <w:top w:val="single" w:sz="8" w:color="F0F0F0"/>
            </w:tcBorders>
            <w:shd w:val="clear" w:color="auto" w:fill="F0F0F0"/>
          </w:tcPr>
          <w:p>
            <w:pPr>
              <w:spacing w:after="0"/>
              <w:rPr>
                <w:sz w:val="18"/>
                <w:szCs w:val="18"/>
                <w:color w:val="auto"/>
              </w:rPr>
            </w:pPr>
          </w:p>
        </w:tc>
        <w:tc>
          <w:tcPr>
            <w:tcW w:w="260" w:type="dxa"/>
            <w:vAlign w:val="bottom"/>
            <w:tcBorders>
              <w:top w:val="single" w:sz="8" w:color="0000FF"/>
            </w:tcBorders>
            <w:shd w:val="clear" w:color="auto" w:fill="F0F0F0"/>
          </w:tcPr>
          <w:p>
            <w:pPr>
              <w:spacing w:after="0"/>
              <w:rPr>
                <w:sz w:val="18"/>
                <w:szCs w:val="18"/>
                <w:color w:val="auto"/>
              </w:rPr>
            </w:pPr>
          </w:p>
        </w:tc>
        <w:tc>
          <w:tcPr>
            <w:tcW w:w="60" w:type="dxa"/>
            <w:vAlign w:val="bottom"/>
            <w:tcBorders>
              <w:top w:val="single" w:sz="8" w:color="0000FF"/>
            </w:tcBorders>
            <w:shd w:val="clear" w:color="auto" w:fill="F0F0F0"/>
          </w:tcPr>
          <w:p>
            <w:pPr>
              <w:spacing w:after="0"/>
              <w:rPr>
                <w:sz w:val="18"/>
                <w:szCs w:val="18"/>
                <w:color w:val="auto"/>
              </w:rPr>
            </w:pPr>
          </w:p>
        </w:tc>
        <w:tc>
          <w:tcPr>
            <w:tcW w:w="40" w:type="dxa"/>
            <w:vAlign w:val="bottom"/>
            <w:tcBorders>
              <w:top w:val="single" w:sz="8" w:color="F0F0F0"/>
            </w:tcBorders>
            <w:shd w:val="clear" w:color="auto" w:fill="F0F0F0"/>
          </w:tcPr>
          <w:p>
            <w:pPr>
              <w:spacing w:after="0"/>
              <w:rPr>
                <w:sz w:val="18"/>
                <w:szCs w:val="18"/>
                <w:color w:val="auto"/>
              </w:rPr>
            </w:pPr>
          </w:p>
        </w:tc>
        <w:tc>
          <w:tcPr>
            <w:tcW w:w="300" w:type="dxa"/>
            <w:vAlign w:val="bottom"/>
            <w:tcBorders>
              <w:top w:val="single" w:sz="8" w:color="F0F0F0"/>
            </w:tcBorders>
            <w:shd w:val="clear" w:color="auto" w:fill="F0F0F0"/>
          </w:tcPr>
          <w:p>
            <w:pPr>
              <w:spacing w:after="0"/>
              <w:rPr>
                <w:sz w:val="18"/>
                <w:szCs w:val="18"/>
                <w:color w:val="auto"/>
              </w:rPr>
            </w:pPr>
          </w:p>
        </w:tc>
        <w:tc>
          <w:tcPr>
            <w:tcW w:w="100" w:type="dxa"/>
            <w:vAlign w:val="bottom"/>
            <w:tcBorders>
              <w:top w:val="single" w:sz="8" w:color="F0F0F0"/>
            </w:tcBorders>
            <w:shd w:val="clear" w:color="auto" w:fill="F0F0F0"/>
          </w:tcPr>
          <w:p>
            <w:pPr>
              <w:spacing w:after="0"/>
              <w:rPr>
                <w:sz w:val="18"/>
                <w:szCs w:val="18"/>
                <w:color w:val="auto"/>
              </w:rPr>
            </w:pPr>
          </w:p>
        </w:tc>
        <w:tc>
          <w:tcPr>
            <w:tcW w:w="20" w:type="dxa"/>
            <w:vAlign w:val="bottom"/>
            <w:tcBorders>
              <w:top w:val="single" w:sz="8" w:color="F0F0F0"/>
            </w:tcBorders>
            <w:shd w:val="clear" w:color="auto" w:fill="F0F0F0"/>
          </w:tcPr>
          <w:p>
            <w:pPr>
              <w:spacing w:after="0"/>
              <w:rPr>
                <w:sz w:val="18"/>
                <w:szCs w:val="18"/>
                <w:color w:val="auto"/>
              </w:rPr>
            </w:pPr>
          </w:p>
        </w:tc>
        <w:tc>
          <w:tcPr>
            <w:tcW w:w="20" w:type="dxa"/>
            <w:vAlign w:val="bottom"/>
            <w:tcBorders>
              <w:top w:val="single" w:sz="8" w:color="F0F0F0"/>
            </w:tcBorders>
            <w:shd w:val="clear" w:color="auto" w:fill="F0F0F0"/>
          </w:tcPr>
          <w:p>
            <w:pPr>
              <w:spacing w:after="0"/>
              <w:rPr>
                <w:sz w:val="18"/>
                <w:szCs w:val="18"/>
                <w:color w:val="auto"/>
              </w:rPr>
            </w:pPr>
          </w:p>
        </w:tc>
        <w:tc>
          <w:tcPr>
            <w:tcW w:w="160" w:type="dxa"/>
            <w:vAlign w:val="bottom"/>
            <w:tcBorders>
              <w:top w:val="single" w:sz="8" w:color="F0F0F0"/>
            </w:tcBorders>
            <w:shd w:val="clear" w:color="auto" w:fill="F0F0F0"/>
          </w:tcPr>
          <w:p>
            <w:pPr>
              <w:spacing w:after="0"/>
              <w:rPr>
                <w:sz w:val="18"/>
                <w:szCs w:val="18"/>
                <w:color w:val="auto"/>
              </w:rPr>
            </w:pPr>
          </w:p>
        </w:tc>
        <w:tc>
          <w:tcPr>
            <w:tcW w:w="8740" w:type="dxa"/>
            <w:vAlign w:val="bottom"/>
            <w:tcBorders>
              <w:top w:val="single" w:sz="8" w:color="F0F0F0"/>
            </w:tcBorders>
            <w:shd w:val="clear" w:color="auto" w:fill="F0F0F0"/>
          </w:tcPr>
          <w:p>
            <w:pPr>
              <w:ind w:left="140"/>
              <w:spacing w:after="0"/>
              <w:rPr>
                <w:sz w:val="20"/>
                <w:szCs w:val="20"/>
                <w:color w:val="auto"/>
              </w:rPr>
            </w:pPr>
            <w:r>
              <w:rPr>
                <w:rFonts w:ascii="Times New Roman" w:cs="Times New Roman" w:eastAsia="Times New Roman" w:hAnsi="Times New Roman"/>
                <w:sz w:val="18"/>
                <w:szCs w:val="18"/>
                <w:color w:val="auto"/>
              </w:rPr>
              <w:t>on Form 8-K of October 31, 2022).</w:t>
            </w:r>
          </w:p>
        </w:tc>
      </w:tr>
      <w:tr>
        <w:trPr>
          <w:trHeight w:val="189"/>
        </w:trPr>
        <w:tc>
          <w:tcPr>
            <w:tcW w:w="20" w:type="dxa"/>
            <w:vAlign w:val="bottom"/>
          </w:tcPr>
          <w:p>
            <w:pPr>
              <w:spacing w:after="0"/>
              <w:rPr>
                <w:sz w:val="16"/>
                <w:szCs w:val="16"/>
                <w:color w:val="auto"/>
              </w:rPr>
            </w:pPr>
          </w:p>
        </w:tc>
        <w:tc>
          <w:tcPr>
            <w:tcW w:w="960" w:type="dxa"/>
            <w:vAlign w:val="bottom"/>
            <w:gridSpan w:val="8"/>
          </w:tcPr>
          <w:p>
            <w:pPr>
              <w:spacing w:after="0" w:line="189" w:lineRule="exact"/>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4(vi)</w:t>
              </w:r>
            </w:hyperlink>
          </w:p>
        </w:tc>
        <w:tc>
          <w:tcPr>
            <w:tcW w:w="874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Description of ExxonMobil Capital Stock (incorporated by reference to Exhibit 4(vi) to the Registrant's Annual Report</w:t>
            </w:r>
          </w:p>
        </w:tc>
      </w:tr>
      <w:tr>
        <w:trPr>
          <w:trHeight w:val="209"/>
        </w:trPr>
        <w:tc>
          <w:tcPr>
            <w:tcW w:w="2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 Form 10-K for 2019).</w:t>
            </w:r>
          </w:p>
        </w:tc>
      </w:tr>
      <w:tr>
        <w:trPr>
          <w:trHeight w:val="189"/>
        </w:trPr>
        <w:tc>
          <w:tcPr>
            <w:tcW w:w="20" w:type="dxa"/>
            <w:vAlign w:val="bottom"/>
            <w:shd w:val="clear" w:color="auto" w:fill="F0F0F0"/>
          </w:tcPr>
          <w:p>
            <w:pPr>
              <w:spacing w:after="0"/>
              <w:rPr>
                <w:sz w:val="16"/>
                <w:szCs w:val="16"/>
                <w:color w:val="auto"/>
              </w:rPr>
            </w:pPr>
          </w:p>
        </w:tc>
        <w:tc>
          <w:tcPr>
            <w:tcW w:w="960" w:type="dxa"/>
            <w:vAlign w:val="bottom"/>
            <w:gridSpan w:val="8"/>
            <w:shd w:val="clear" w:color="auto" w:fill="F0F0F0"/>
          </w:tcPr>
          <w:p>
            <w:pPr>
              <w:spacing w:after="0" w:line="189" w:lineRule="exact"/>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10(iii)(a.1)</w:t>
              </w:r>
            </w:hyperlink>
          </w:p>
        </w:tc>
        <w:tc>
          <w:tcPr>
            <w:tcW w:w="8740" w:type="dxa"/>
            <w:vAlign w:val="bottom"/>
            <w:shd w:val="clear" w:color="auto" w:fill="F0F0F0"/>
          </w:tcPr>
          <w:p>
            <w:pPr>
              <w:ind w:left="140"/>
              <w:spacing w:after="0" w:line="189" w:lineRule="exact"/>
              <w:rPr>
                <w:sz w:val="20"/>
                <w:szCs w:val="20"/>
                <w:color w:val="auto"/>
              </w:rPr>
            </w:pPr>
            <w:r>
              <w:rPr>
                <w:rFonts w:ascii="Times New Roman" w:cs="Times New Roman" w:eastAsia="Times New Roman" w:hAnsi="Times New Roman"/>
                <w:sz w:val="18"/>
                <w:szCs w:val="18"/>
                <w:color w:val="auto"/>
              </w:rPr>
              <w:t>2003 Incentive Program, as approved by shareholders May 28, 2003 (incorporated by reference to Exhibit 10(iii)(a.1)</w:t>
            </w:r>
          </w:p>
        </w:tc>
      </w:tr>
      <w:tr>
        <w:trPr>
          <w:trHeight w:val="210"/>
        </w:trPr>
        <w:tc>
          <w:tcPr>
            <w:tcW w:w="20" w:type="dxa"/>
            <w:vAlign w:val="bottom"/>
            <w:tcBorders>
              <w:top w:val="single" w:sz="8" w:color="F0F0F0"/>
            </w:tcBorders>
            <w:shd w:val="clear" w:color="auto" w:fill="F0F0F0"/>
          </w:tcPr>
          <w:p>
            <w:pPr>
              <w:spacing w:after="0"/>
              <w:rPr>
                <w:sz w:val="18"/>
                <w:szCs w:val="18"/>
                <w:color w:val="auto"/>
              </w:rPr>
            </w:pPr>
          </w:p>
        </w:tc>
        <w:tc>
          <w:tcPr>
            <w:tcW w:w="260" w:type="dxa"/>
            <w:vAlign w:val="bottom"/>
            <w:tcBorders>
              <w:top w:val="single" w:sz="8" w:color="0000FF"/>
            </w:tcBorders>
            <w:shd w:val="clear" w:color="auto" w:fill="F0F0F0"/>
          </w:tcPr>
          <w:p>
            <w:pPr>
              <w:spacing w:after="0"/>
              <w:rPr>
                <w:sz w:val="18"/>
                <w:szCs w:val="18"/>
                <w:color w:val="auto"/>
              </w:rPr>
            </w:pPr>
          </w:p>
        </w:tc>
        <w:tc>
          <w:tcPr>
            <w:tcW w:w="60" w:type="dxa"/>
            <w:vAlign w:val="bottom"/>
            <w:tcBorders>
              <w:top w:val="single" w:sz="8" w:color="0000FF"/>
            </w:tcBorders>
            <w:shd w:val="clear" w:color="auto" w:fill="F0F0F0"/>
          </w:tcPr>
          <w:p>
            <w:pPr>
              <w:spacing w:after="0"/>
              <w:rPr>
                <w:sz w:val="18"/>
                <w:szCs w:val="18"/>
                <w:color w:val="auto"/>
              </w:rPr>
            </w:pPr>
          </w:p>
        </w:tc>
        <w:tc>
          <w:tcPr>
            <w:tcW w:w="40" w:type="dxa"/>
            <w:vAlign w:val="bottom"/>
            <w:tcBorders>
              <w:top w:val="single" w:sz="8" w:color="0000FF"/>
            </w:tcBorders>
            <w:shd w:val="clear" w:color="auto" w:fill="F0F0F0"/>
          </w:tcPr>
          <w:p>
            <w:pPr>
              <w:spacing w:after="0"/>
              <w:rPr>
                <w:sz w:val="18"/>
                <w:szCs w:val="18"/>
                <w:color w:val="auto"/>
              </w:rPr>
            </w:pPr>
          </w:p>
        </w:tc>
        <w:tc>
          <w:tcPr>
            <w:tcW w:w="300" w:type="dxa"/>
            <w:vAlign w:val="bottom"/>
            <w:tcBorders>
              <w:top w:val="single" w:sz="8" w:color="0000FF"/>
            </w:tcBorders>
            <w:shd w:val="clear" w:color="auto" w:fill="F0F0F0"/>
          </w:tcPr>
          <w:p>
            <w:pPr>
              <w:spacing w:after="0"/>
              <w:rPr>
                <w:sz w:val="18"/>
                <w:szCs w:val="18"/>
                <w:color w:val="auto"/>
              </w:rPr>
            </w:pPr>
          </w:p>
        </w:tc>
        <w:tc>
          <w:tcPr>
            <w:tcW w:w="100" w:type="dxa"/>
            <w:vAlign w:val="bottom"/>
            <w:tcBorders>
              <w:top w:val="single" w:sz="8" w:color="0000FF"/>
            </w:tcBorders>
            <w:shd w:val="clear" w:color="auto" w:fill="F0F0F0"/>
          </w:tcPr>
          <w:p>
            <w:pPr>
              <w:spacing w:after="0"/>
              <w:rPr>
                <w:sz w:val="18"/>
                <w:szCs w:val="18"/>
                <w:color w:val="auto"/>
              </w:rPr>
            </w:pPr>
          </w:p>
        </w:tc>
        <w:tc>
          <w:tcPr>
            <w:tcW w:w="20" w:type="dxa"/>
            <w:vAlign w:val="bottom"/>
            <w:tcBorders>
              <w:top w:val="single" w:sz="8" w:color="0000FF"/>
            </w:tcBorders>
            <w:shd w:val="clear" w:color="auto" w:fill="F0F0F0"/>
          </w:tcPr>
          <w:p>
            <w:pPr>
              <w:spacing w:after="0"/>
              <w:rPr>
                <w:sz w:val="18"/>
                <w:szCs w:val="18"/>
                <w:color w:val="auto"/>
              </w:rPr>
            </w:pPr>
          </w:p>
        </w:tc>
        <w:tc>
          <w:tcPr>
            <w:tcW w:w="20" w:type="dxa"/>
            <w:vAlign w:val="bottom"/>
            <w:tcBorders>
              <w:top w:val="single" w:sz="8" w:color="F0F0F0"/>
            </w:tcBorders>
            <w:shd w:val="clear" w:color="auto" w:fill="F0F0F0"/>
          </w:tcPr>
          <w:p>
            <w:pPr>
              <w:spacing w:after="0"/>
              <w:rPr>
                <w:sz w:val="18"/>
                <w:szCs w:val="18"/>
                <w:color w:val="auto"/>
              </w:rPr>
            </w:pPr>
          </w:p>
        </w:tc>
        <w:tc>
          <w:tcPr>
            <w:tcW w:w="160" w:type="dxa"/>
            <w:vAlign w:val="bottom"/>
            <w:tcBorders>
              <w:top w:val="single" w:sz="8" w:color="F0F0F0"/>
            </w:tcBorders>
            <w:shd w:val="clear" w:color="auto" w:fill="F0F0F0"/>
          </w:tcPr>
          <w:p>
            <w:pPr>
              <w:spacing w:after="0"/>
              <w:rPr>
                <w:sz w:val="18"/>
                <w:szCs w:val="18"/>
                <w:color w:val="auto"/>
              </w:rPr>
            </w:pPr>
          </w:p>
        </w:tc>
        <w:tc>
          <w:tcPr>
            <w:tcW w:w="8740" w:type="dxa"/>
            <w:vAlign w:val="bottom"/>
            <w:tcBorders>
              <w:top w:val="single" w:sz="8" w:color="F0F0F0"/>
            </w:tcBorders>
            <w:shd w:val="clear" w:color="auto" w:fill="F0F0F0"/>
          </w:tcPr>
          <w:p>
            <w:pPr>
              <w:ind w:left="140"/>
              <w:spacing w:after="0"/>
              <w:rPr>
                <w:sz w:val="20"/>
                <w:szCs w:val="20"/>
                <w:color w:val="auto"/>
              </w:rPr>
            </w:pPr>
            <w:r>
              <w:rPr>
                <w:rFonts w:ascii="Times New Roman" w:cs="Times New Roman" w:eastAsia="Times New Roman" w:hAnsi="Times New Roman"/>
                <w:sz w:val="18"/>
                <w:szCs w:val="18"/>
                <w:color w:val="auto"/>
              </w:rPr>
              <w:t>to the Registrant’s Annual Report on Form 10-K for 2017).*</w:t>
            </w:r>
          </w:p>
        </w:tc>
      </w:tr>
      <w:tr>
        <w:trPr>
          <w:trHeight w:val="189"/>
        </w:trPr>
        <w:tc>
          <w:tcPr>
            <w:tcW w:w="20" w:type="dxa"/>
            <w:vAlign w:val="bottom"/>
          </w:tcPr>
          <w:p>
            <w:pPr>
              <w:spacing w:after="0"/>
              <w:rPr>
                <w:sz w:val="16"/>
                <w:szCs w:val="16"/>
                <w:color w:val="auto"/>
              </w:rPr>
            </w:pPr>
          </w:p>
        </w:tc>
        <w:tc>
          <w:tcPr>
            <w:tcW w:w="960" w:type="dxa"/>
            <w:vAlign w:val="bottom"/>
            <w:gridSpan w:val="8"/>
          </w:tcPr>
          <w:p>
            <w:pPr>
              <w:spacing w:after="0" w:line="189" w:lineRule="exact"/>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10(iii)(a.2)</w:t>
              </w:r>
            </w:hyperlink>
          </w:p>
        </w:tc>
        <w:tc>
          <w:tcPr>
            <w:tcW w:w="874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Extended Provisions for Restricted Stock Agreements (incorporated by reference to Exhibit 10(iii)(a.2) to the</w:t>
            </w:r>
          </w:p>
        </w:tc>
      </w:tr>
      <w:tr>
        <w:trPr>
          <w:trHeight w:val="209"/>
        </w:trPr>
        <w:tc>
          <w:tcPr>
            <w:tcW w:w="2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Registrant’s Annual Report on Form 10-K for 2016).*</w:t>
            </w:r>
          </w:p>
        </w:tc>
      </w:tr>
      <w:tr>
        <w:trPr>
          <w:trHeight w:val="189"/>
        </w:trPr>
        <w:tc>
          <w:tcPr>
            <w:tcW w:w="20" w:type="dxa"/>
            <w:vAlign w:val="bottom"/>
            <w:shd w:val="clear" w:color="auto" w:fill="F0F0F0"/>
          </w:tcPr>
          <w:p>
            <w:pPr>
              <w:spacing w:after="0"/>
              <w:rPr>
                <w:sz w:val="16"/>
                <w:szCs w:val="16"/>
                <w:color w:val="auto"/>
              </w:rPr>
            </w:pPr>
          </w:p>
        </w:tc>
        <w:tc>
          <w:tcPr>
            <w:tcW w:w="960" w:type="dxa"/>
            <w:vAlign w:val="bottom"/>
            <w:gridSpan w:val="8"/>
            <w:shd w:val="clear" w:color="auto" w:fill="F0F0F0"/>
          </w:tcPr>
          <w:p>
            <w:pPr>
              <w:spacing w:after="0" w:line="189" w:lineRule="exact"/>
              <w:rPr>
                <w:sz w:val="20"/>
                <w:szCs w:val="20"/>
                <w:color w:val="auto"/>
              </w:rPr>
            </w:pPr>
            <w:r>
              <w:rPr>
                <w:rFonts w:ascii="Times New Roman" w:cs="Times New Roman" w:eastAsia="Times New Roman" w:hAnsi="Times New Roman"/>
                <w:sz w:val="18"/>
                <w:szCs w:val="18"/>
                <w:color w:val="0000FF"/>
              </w:rPr>
              <w:t>10(iii)(a.3)</w:t>
            </w:r>
          </w:p>
        </w:tc>
        <w:tc>
          <w:tcPr>
            <w:tcW w:w="8740" w:type="dxa"/>
            <w:vAlign w:val="bottom"/>
            <w:shd w:val="clear" w:color="auto" w:fill="F0F0F0"/>
          </w:tcPr>
          <w:p>
            <w:pPr>
              <w:ind w:left="140"/>
              <w:spacing w:after="0" w:line="189" w:lineRule="exact"/>
              <w:rPr>
                <w:sz w:val="20"/>
                <w:szCs w:val="20"/>
                <w:color w:val="auto"/>
              </w:rPr>
            </w:pPr>
            <w:r>
              <w:rPr>
                <w:rFonts w:ascii="Times New Roman" w:cs="Times New Roman" w:eastAsia="Times New Roman" w:hAnsi="Times New Roman"/>
                <w:sz w:val="18"/>
                <w:szCs w:val="18"/>
                <w:color w:val="auto"/>
              </w:rPr>
              <w:t>Extended Provisions for Restricted Stock Unit Agreements – Settlement in Shares.*</w:t>
            </w:r>
          </w:p>
        </w:tc>
      </w:tr>
      <w:tr>
        <w:trPr>
          <w:trHeight w:val="48"/>
        </w:trPr>
        <w:tc>
          <w:tcPr>
            <w:tcW w:w="20" w:type="dxa"/>
            <w:vAlign w:val="bottom"/>
            <w:tcBorders>
              <w:top w:val="single" w:sz="8" w:color="F0F0F0"/>
            </w:tcBorders>
            <w:shd w:val="clear" w:color="auto" w:fill="F0F0F0"/>
          </w:tcPr>
          <w:p>
            <w:pPr>
              <w:spacing w:after="0"/>
              <w:rPr>
                <w:sz w:val="4"/>
                <w:szCs w:val="4"/>
                <w:color w:val="auto"/>
              </w:rPr>
            </w:pPr>
          </w:p>
        </w:tc>
        <w:tc>
          <w:tcPr>
            <w:tcW w:w="260" w:type="dxa"/>
            <w:vAlign w:val="bottom"/>
            <w:tcBorders>
              <w:top w:val="single" w:sz="8" w:color="0000FF"/>
            </w:tcBorders>
            <w:shd w:val="clear" w:color="auto" w:fill="F0F0F0"/>
          </w:tcPr>
          <w:p>
            <w:pPr>
              <w:spacing w:after="0"/>
              <w:rPr>
                <w:sz w:val="4"/>
                <w:szCs w:val="4"/>
                <w:color w:val="auto"/>
              </w:rPr>
            </w:pPr>
          </w:p>
        </w:tc>
        <w:tc>
          <w:tcPr>
            <w:tcW w:w="60" w:type="dxa"/>
            <w:vAlign w:val="bottom"/>
            <w:tcBorders>
              <w:top w:val="single" w:sz="8" w:color="0000FF"/>
            </w:tcBorders>
            <w:shd w:val="clear" w:color="auto" w:fill="F0F0F0"/>
          </w:tcPr>
          <w:p>
            <w:pPr>
              <w:spacing w:after="0"/>
              <w:rPr>
                <w:sz w:val="4"/>
                <w:szCs w:val="4"/>
                <w:color w:val="auto"/>
              </w:rPr>
            </w:pPr>
          </w:p>
        </w:tc>
        <w:tc>
          <w:tcPr>
            <w:tcW w:w="40" w:type="dxa"/>
            <w:vAlign w:val="bottom"/>
            <w:tcBorders>
              <w:top w:val="single" w:sz="8" w:color="0000FF"/>
            </w:tcBorders>
            <w:shd w:val="clear" w:color="auto" w:fill="F0F0F0"/>
          </w:tcPr>
          <w:p>
            <w:pPr>
              <w:spacing w:after="0"/>
              <w:rPr>
                <w:sz w:val="4"/>
                <w:szCs w:val="4"/>
                <w:color w:val="auto"/>
              </w:rPr>
            </w:pPr>
          </w:p>
        </w:tc>
        <w:tc>
          <w:tcPr>
            <w:tcW w:w="300" w:type="dxa"/>
            <w:vAlign w:val="bottom"/>
            <w:tcBorders>
              <w:top w:val="single" w:sz="8" w:color="0000FF"/>
            </w:tcBorders>
            <w:shd w:val="clear" w:color="auto" w:fill="F0F0F0"/>
          </w:tcPr>
          <w:p>
            <w:pPr>
              <w:spacing w:after="0"/>
              <w:rPr>
                <w:sz w:val="4"/>
                <w:szCs w:val="4"/>
                <w:color w:val="auto"/>
              </w:rPr>
            </w:pPr>
          </w:p>
        </w:tc>
        <w:tc>
          <w:tcPr>
            <w:tcW w:w="100" w:type="dxa"/>
            <w:vAlign w:val="bottom"/>
            <w:tcBorders>
              <w:top w:val="single" w:sz="8" w:color="0000FF"/>
            </w:tcBorders>
            <w:shd w:val="clear" w:color="auto" w:fill="F0F0F0"/>
          </w:tcPr>
          <w:p>
            <w:pPr>
              <w:spacing w:after="0"/>
              <w:rPr>
                <w:sz w:val="4"/>
                <w:szCs w:val="4"/>
                <w:color w:val="auto"/>
              </w:rPr>
            </w:pPr>
          </w:p>
        </w:tc>
        <w:tc>
          <w:tcPr>
            <w:tcW w:w="20" w:type="dxa"/>
            <w:vAlign w:val="bottom"/>
            <w:tcBorders>
              <w:top w:val="single" w:sz="8" w:color="0000FF"/>
            </w:tcBorders>
            <w:shd w:val="clear" w:color="auto" w:fill="F0F0F0"/>
          </w:tcPr>
          <w:p>
            <w:pPr>
              <w:spacing w:after="0"/>
              <w:rPr>
                <w:sz w:val="4"/>
                <w:szCs w:val="4"/>
                <w:color w:val="auto"/>
              </w:rPr>
            </w:pPr>
          </w:p>
        </w:tc>
        <w:tc>
          <w:tcPr>
            <w:tcW w:w="20" w:type="dxa"/>
            <w:vAlign w:val="bottom"/>
            <w:tcBorders>
              <w:top w:val="single" w:sz="8" w:color="F0F0F0"/>
            </w:tcBorders>
            <w:shd w:val="clear" w:color="auto" w:fill="F0F0F0"/>
          </w:tcPr>
          <w:p>
            <w:pPr>
              <w:spacing w:after="0"/>
              <w:rPr>
                <w:sz w:val="4"/>
                <w:szCs w:val="4"/>
                <w:color w:val="auto"/>
              </w:rPr>
            </w:pPr>
          </w:p>
        </w:tc>
        <w:tc>
          <w:tcPr>
            <w:tcW w:w="160" w:type="dxa"/>
            <w:vAlign w:val="bottom"/>
            <w:tcBorders>
              <w:top w:val="single" w:sz="8" w:color="F0F0F0"/>
            </w:tcBorders>
            <w:shd w:val="clear" w:color="auto" w:fill="F0F0F0"/>
          </w:tcPr>
          <w:p>
            <w:pPr>
              <w:spacing w:after="0"/>
              <w:rPr>
                <w:sz w:val="4"/>
                <w:szCs w:val="4"/>
                <w:color w:val="auto"/>
              </w:rPr>
            </w:pPr>
          </w:p>
        </w:tc>
        <w:tc>
          <w:tcPr>
            <w:tcW w:w="8740" w:type="dxa"/>
            <w:vAlign w:val="bottom"/>
            <w:tcBorders>
              <w:top w:val="single" w:sz="8" w:color="F0F0F0"/>
            </w:tcBorders>
            <w:shd w:val="clear" w:color="auto" w:fill="F0F0F0"/>
          </w:tcPr>
          <w:p>
            <w:pPr>
              <w:spacing w:after="0"/>
              <w:rPr>
                <w:sz w:val="4"/>
                <w:szCs w:val="4"/>
                <w:color w:val="auto"/>
              </w:rPr>
            </w:pPr>
          </w:p>
        </w:tc>
      </w:tr>
      <w:tr>
        <w:trPr>
          <w:trHeight w:val="189"/>
        </w:trPr>
        <w:tc>
          <w:tcPr>
            <w:tcW w:w="20" w:type="dxa"/>
            <w:vAlign w:val="bottom"/>
          </w:tcPr>
          <w:p>
            <w:pPr>
              <w:spacing w:after="0"/>
              <w:rPr>
                <w:sz w:val="16"/>
                <w:szCs w:val="16"/>
                <w:color w:val="auto"/>
              </w:rPr>
            </w:pPr>
          </w:p>
        </w:tc>
        <w:tc>
          <w:tcPr>
            <w:tcW w:w="960" w:type="dxa"/>
            <w:vAlign w:val="bottom"/>
            <w:gridSpan w:val="8"/>
          </w:tcPr>
          <w:p>
            <w:pPr>
              <w:spacing w:after="0" w:line="189" w:lineRule="exact"/>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10(iii)(b.1)</w:t>
              </w:r>
            </w:hyperlink>
          </w:p>
        </w:tc>
        <w:tc>
          <w:tcPr>
            <w:tcW w:w="874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Short Term Incentive Program, as amended (incorporated by reference to Exhibit 10(iii)(b.1) to the Registrant’s</w:t>
            </w:r>
          </w:p>
        </w:tc>
      </w:tr>
      <w:tr>
        <w:trPr>
          <w:trHeight w:val="209"/>
        </w:trPr>
        <w:tc>
          <w:tcPr>
            <w:tcW w:w="2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60" w:type="dxa"/>
            <w:vAlign w:val="bottom"/>
          </w:tcPr>
          <w:p>
            <w:pPr>
              <w:spacing w:after="0"/>
              <w:rPr>
                <w:sz w:val="18"/>
                <w:szCs w:val="18"/>
                <w:color w:val="auto"/>
              </w:rPr>
            </w:pPr>
          </w:p>
        </w:tc>
        <w:tc>
          <w:tcPr>
            <w:tcW w:w="8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Annual Report on Form 10-K for 2023).*</w:t>
            </w:r>
          </w:p>
        </w:tc>
      </w:tr>
      <w:tr>
        <w:trPr>
          <w:trHeight w:val="189"/>
        </w:trPr>
        <w:tc>
          <w:tcPr>
            <w:tcW w:w="20" w:type="dxa"/>
            <w:vAlign w:val="bottom"/>
            <w:shd w:val="clear" w:color="auto" w:fill="F0F0F0"/>
          </w:tcPr>
          <w:p>
            <w:pPr>
              <w:spacing w:after="0"/>
              <w:rPr>
                <w:sz w:val="16"/>
                <w:szCs w:val="16"/>
                <w:color w:val="auto"/>
              </w:rPr>
            </w:pPr>
          </w:p>
        </w:tc>
        <w:tc>
          <w:tcPr>
            <w:tcW w:w="960" w:type="dxa"/>
            <w:vAlign w:val="bottom"/>
            <w:gridSpan w:val="8"/>
            <w:shd w:val="clear" w:color="auto" w:fill="F0F0F0"/>
          </w:tcPr>
          <w:p>
            <w:pPr>
              <w:spacing w:after="0" w:line="189" w:lineRule="exact"/>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10(iii)(b.2)</w:t>
              </w:r>
            </w:hyperlink>
          </w:p>
        </w:tc>
        <w:tc>
          <w:tcPr>
            <w:tcW w:w="8740" w:type="dxa"/>
            <w:vAlign w:val="bottom"/>
            <w:shd w:val="clear" w:color="auto" w:fill="F0F0F0"/>
          </w:tcPr>
          <w:p>
            <w:pPr>
              <w:ind w:left="140"/>
              <w:spacing w:after="0" w:line="189" w:lineRule="exact"/>
              <w:rPr>
                <w:sz w:val="20"/>
                <w:szCs w:val="20"/>
                <w:color w:val="auto"/>
              </w:rPr>
            </w:pPr>
            <w:r>
              <w:rPr>
                <w:rFonts w:ascii="Times New Roman" w:cs="Times New Roman" w:eastAsia="Times New Roman" w:hAnsi="Times New Roman"/>
                <w:sz w:val="18"/>
                <w:szCs w:val="18"/>
                <w:color w:val="auto"/>
              </w:rPr>
              <w:t>Earnings Bonus Unit instrument (incorporated by reference to Exhibit 10(iii)(b.2) to the Registrant's Annual Report on</w:t>
            </w:r>
          </w:p>
        </w:tc>
      </w:tr>
      <w:tr>
        <w:trPr>
          <w:trHeight w:val="210"/>
        </w:trPr>
        <w:tc>
          <w:tcPr>
            <w:tcW w:w="20" w:type="dxa"/>
            <w:vAlign w:val="bottom"/>
            <w:tcBorders>
              <w:top w:val="single" w:sz="8" w:color="F0F0F0"/>
            </w:tcBorders>
            <w:shd w:val="clear" w:color="auto" w:fill="F0F0F0"/>
          </w:tcPr>
          <w:p>
            <w:pPr>
              <w:spacing w:after="0"/>
              <w:rPr>
                <w:sz w:val="18"/>
                <w:szCs w:val="18"/>
                <w:color w:val="auto"/>
              </w:rPr>
            </w:pPr>
          </w:p>
        </w:tc>
        <w:tc>
          <w:tcPr>
            <w:tcW w:w="260" w:type="dxa"/>
            <w:vAlign w:val="bottom"/>
            <w:tcBorders>
              <w:top w:val="single" w:sz="8" w:color="0000FF"/>
            </w:tcBorders>
            <w:shd w:val="clear" w:color="auto" w:fill="F0F0F0"/>
          </w:tcPr>
          <w:p>
            <w:pPr>
              <w:spacing w:after="0"/>
              <w:rPr>
                <w:sz w:val="18"/>
                <w:szCs w:val="18"/>
                <w:color w:val="auto"/>
              </w:rPr>
            </w:pPr>
          </w:p>
        </w:tc>
        <w:tc>
          <w:tcPr>
            <w:tcW w:w="60" w:type="dxa"/>
            <w:vAlign w:val="bottom"/>
            <w:tcBorders>
              <w:top w:val="single" w:sz="8" w:color="0000FF"/>
            </w:tcBorders>
            <w:shd w:val="clear" w:color="auto" w:fill="F0F0F0"/>
          </w:tcPr>
          <w:p>
            <w:pPr>
              <w:spacing w:after="0"/>
              <w:rPr>
                <w:sz w:val="18"/>
                <w:szCs w:val="18"/>
                <w:color w:val="auto"/>
              </w:rPr>
            </w:pPr>
          </w:p>
        </w:tc>
        <w:tc>
          <w:tcPr>
            <w:tcW w:w="40" w:type="dxa"/>
            <w:vAlign w:val="bottom"/>
            <w:tcBorders>
              <w:top w:val="single" w:sz="8" w:color="0000FF"/>
            </w:tcBorders>
            <w:shd w:val="clear" w:color="auto" w:fill="F0F0F0"/>
          </w:tcPr>
          <w:p>
            <w:pPr>
              <w:spacing w:after="0"/>
              <w:rPr>
                <w:sz w:val="18"/>
                <w:szCs w:val="18"/>
                <w:color w:val="auto"/>
              </w:rPr>
            </w:pPr>
          </w:p>
        </w:tc>
        <w:tc>
          <w:tcPr>
            <w:tcW w:w="300" w:type="dxa"/>
            <w:vAlign w:val="bottom"/>
            <w:tcBorders>
              <w:top w:val="single" w:sz="8" w:color="0000FF"/>
            </w:tcBorders>
            <w:shd w:val="clear" w:color="auto" w:fill="F0F0F0"/>
          </w:tcPr>
          <w:p>
            <w:pPr>
              <w:spacing w:after="0"/>
              <w:rPr>
                <w:sz w:val="18"/>
                <w:szCs w:val="18"/>
                <w:color w:val="auto"/>
              </w:rPr>
            </w:pPr>
          </w:p>
        </w:tc>
        <w:tc>
          <w:tcPr>
            <w:tcW w:w="100" w:type="dxa"/>
            <w:vAlign w:val="bottom"/>
            <w:tcBorders>
              <w:top w:val="single" w:sz="8" w:color="0000FF"/>
            </w:tcBorders>
            <w:shd w:val="clear" w:color="auto" w:fill="F0F0F0"/>
          </w:tcPr>
          <w:p>
            <w:pPr>
              <w:spacing w:after="0"/>
              <w:rPr>
                <w:sz w:val="18"/>
                <w:szCs w:val="18"/>
                <w:color w:val="auto"/>
              </w:rPr>
            </w:pPr>
          </w:p>
        </w:tc>
        <w:tc>
          <w:tcPr>
            <w:tcW w:w="20" w:type="dxa"/>
            <w:vAlign w:val="bottom"/>
            <w:tcBorders>
              <w:top w:val="single" w:sz="8" w:color="0000FF"/>
            </w:tcBorders>
            <w:shd w:val="clear" w:color="auto" w:fill="F0F0F0"/>
          </w:tcPr>
          <w:p>
            <w:pPr>
              <w:spacing w:after="0"/>
              <w:rPr>
                <w:sz w:val="18"/>
                <w:szCs w:val="18"/>
                <w:color w:val="auto"/>
              </w:rPr>
            </w:pPr>
          </w:p>
        </w:tc>
        <w:tc>
          <w:tcPr>
            <w:tcW w:w="20" w:type="dxa"/>
            <w:vAlign w:val="bottom"/>
            <w:tcBorders>
              <w:top w:val="single" w:sz="8" w:color="0000FF"/>
            </w:tcBorders>
            <w:shd w:val="clear" w:color="auto" w:fill="F0F0F0"/>
          </w:tcPr>
          <w:p>
            <w:pPr>
              <w:spacing w:after="0"/>
              <w:rPr>
                <w:sz w:val="18"/>
                <w:szCs w:val="18"/>
                <w:color w:val="auto"/>
              </w:rPr>
            </w:pPr>
          </w:p>
        </w:tc>
        <w:tc>
          <w:tcPr>
            <w:tcW w:w="160" w:type="dxa"/>
            <w:vAlign w:val="bottom"/>
            <w:tcBorders>
              <w:top w:val="single" w:sz="8" w:color="F0F0F0"/>
            </w:tcBorders>
            <w:shd w:val="clear" w:color="auto" w:fill="F0F0F0"/>
          </w:tcPr>
          <w:p>
            <w:pPr>
              <w:spacing w:after="0"/>
              <w:rPr>
                <w:sz w:val="18"/>
                <w:szCs w:val="18"/>
                <w:color w:val="auto"/>
              </w:rPr>
            </w:pPr>
          </w:p>
        </w:tc>
        <w:tc>
          <w:tcPr>
            <w:tcW w:w="8740" w:type="dxa"/>
            <w:vAlign w:val="bottom"/>
            <w:tcBorders>
              <w:top w:val="single" w:sz="8" w:color="F0F0F0"/>
            </w:tcBorders>
            <w:shd w:val="clear" w:color="auto" w:fill="F0F0F0"/>
          </w:tcPr>
          <w:p>
            <w:pPr>
              <w:ind w:left="140"/>
              <w:spacing w:after="0"/>
              <w:rPr>
                <w:sz w:val="20"/>
                <w:szCs w:val="20"/>
                <w:color w:val="auto"/>
              </w:rPr>
            </w:pPr>
            <w:r>
              <w:rPr>
                <w:rFonts w:ascii="Times New Roman" w:cs="Times New Roman" w:eastAsia="Times New Roman" w:hAnsi="Times New Roman"/>
                <w:sz w:val="18"/>
                <w:szCs w:val="18"/>
                <w:color w:val="auto"/>
              </w:rPr>
              <w:t>Form 10-K for 2019).*</w:t>
            </w:r>
          </w:p>
        </w:tc>
      </w:tr>
      <w:tr>
        <w:trPr>
          <w:trHeight w:val="189"/>
        </w:trPr>
        <w:tc>
          <w:tcPr>
            <w:tcW w:w="20" w:type="dxa"/>
            <w:vAlign w:val="bottom"/>
          </w:tcPr>
          <w:p>
            <w:pPr>
              <w:spacing w:after="0"/>
              <w:rPr>
                <w:sz w:val="16"/>
                <w:szCs w:val="16"/>
                <w:color w:val="auto"/>
              </w:rPr>
            </w:pPr>
          </w:p>
        </w:tc>
        <w:tc>
          <w:tcPr>
            <w:tcW w:w="960" w:type="dxa"/>
            <w:vAlign w:val="bottom"/>
            <w:gridSpan w:val="8"/>
          </w:tcPr>
          <w:p>
            <w:pPr>
              <w:spacing w:after="0" w:line="189" w:lineRule="exact"/>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10(iii)(b.3)</w:t>
              </w:r>
            </w:hyperlink>
          </w:p>
        </w:tc>
        <w:tc>
          <w:tcPr>
            <w:tcW w:w="874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Amendment of 2018 and 2019 Earnings Bonus Unit instruments, effective November 23, 2021 (incorporated by</w:t>
            </w:r>
          </w:p>
        </w:tc>
      </w:tr>
      <w:tr>
        <w:trPr>
          <w:trHeight w:val="210"/>
        </w:trPr>
        <w:tc>
          <w:tcPr>
            <w:tcW w:w="2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60" w:type="dxa"/>
            <w:vAlign w:val="bottom"/>
          </w:tcPr>
          <w:p>
            <w:pPr>
              <w:spacing w:after="0"/>
              <w:rPr>
                <w:sz w:val="18"/>
                <w:szCs w:val="18"/>
                <w:color w:val="auto"/>
              </w:rPr>
            </w:pPr>
          </w:p>
        </w:tc>
        <w:tc>
          <w:tcPr>
            <w:tcW w:w="8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reference to Exhibit 99.1 to the Registrant's Report on Form 8-K of November 30, 2021).*</w:t>
            </w:r>
          </w:p>
        </w:tc>
      </w:tr>
      <w:tr>
        <w:trPr>
          <w:trHeight w:val="189"/>
        </w:trPr>
        <w:tc>
          <w:tcPr>
            <w:tcW w:w="20" w:type="dxa"/>
            <w:vAlign w:val="bottom"/>
            <w:shd w:val="clear" w:color="auto" w:fill="F0F0F0"/>
          </w:tcPr>
          <w:p>
            <w:pPr>
              <w:spacing w:after="0"/>
              <w:rPr>
                <w:sz w:val="16"/>
                <w:szCs w:val="16"/>
                <w:color w:val="auto"/>
              </w:rPr>
            </w:pPr>
          </w:p>
        </w:tc>
        <w:tc>
          <w:tcPr>
            <w:tcW w:w="960" w:type="dxa"/>
            <w:vAlign w:val="bottom"/>
            <w:gridSpan w:val="8"/>
            <w:shd w:val="clear" w:color="auto" w:fill="F0F0F0"/>
          </w:tcPr>
          <w:p>
            <w:pPr>
              <w:spacing w:after="0" w:line="189" w:lineRule="exact"/>
              <w:rPr>
                <w:sz w:val="20"/>
                <w:szCs w:val="20"/>
                <w:color w:val="auto"/>
              </w:rPr>
            </w:pPr>
            <w:r>
              <w:rPr>
                <w:rFonts w:ascii="Times New Roman" w:cs="Times New Roman" w:eastAsia="Times New Roman" w:hAnsi="Times New Roman"/>
                <w:sz w:val="18"/>
                <w:szCs w:val="18"/>
                <w:color w:val="0000FF"/>
              </w:rPr>
              <w:t>10(iii)(b.4)</w:t>
            </w:r>
          </w:p>
        </w:tc>
        <w:tc>
          <w:tcPr>
            <w:tcW w:w="8740" w:type="dxa"/>
            <w:vAlign w:val="bottom"/>
            <w:shd w:val="clear" w:color="auto" w:fill="F0F0F0"/>
          </w:tcPr>
          <w:p>
            <w:pPr>
              <w:ind w:left="140"/>
              <w:spacing w:after="0" w:line="189" w:lineRule="exact"/>
              <w:rPr>
                <w:sz w:val="20"/>
                <w:szCs w:val="20"/>
                <w:color w:val="auto"/>
              </w:rPr>
            </w:pPr>
            <w:r>
              <w:rPr>
                <w:rFonts w:ascii="Times New Roman" w:cs="Times New Roman" w:eastAsia="Times New Roman" w:hAnsi="Times New Roman"/>
                <w:sz w:val="18"/>
                <w:szCs w:val="18"/>
                <w:color w:val="auto"/>
              </w:rPr>
              <w:t>Pioneer Natural Resources Company Second Amended and Restated 2006 Long-Term Incentive Plan (incorporated by</w:t>
            </w:r>
          </w:p>
        </w:tc>
      </w:tr>
      <w:tr>
        <w:trPr>
          <w:trHeight w:val="210"/>
        </w:trPr>
        <w:tc>
          <w:tcPr>
            <w:tcW w:w="20" w:type="dxa"/>
            <w:vAlign w:val="bottom"/>
            <w:tcBorders>
              <w:top w:val="single" w:sz="8" w:color="F0F0F0"/>
            </w:tcBorders>
            <w:shd w:val="clear" w:color="auto" w:fill="F0F0F0"/>
          </w:tcPr>
          <w:p>
            <w:pPr>
              <w:spacing w:after="0"/>
              <w:rPr>
                <w:sz w:val="18"/>
                <w:szCs w:val="18"/>
                <w:color w:val="auto"/>
              </w:rPr>
            </w:pPr>
          </w:p>
        </w:tc>
        <w:tc>
          <w:tcPr>
            <w:tcW w:w="260" w:type="dxa"/>
            <w:vAlign w:val="bottom"/>
            <w:tcBorders>
              <w:top w:val="single" w:sz="8" w:color="0000FF"/>
            </w:tcBorders>
            <w:shd w:val="clear" w:color="auto" w:fill="F0F0F0"/>
          </w:tcPr>
          <w:p>
            <w:pPr>
              <w:spacing w:after="0"/>
              <w:rPr>
                <w:sz w:val="18"/>
                <w:szCs w:val="18"/>
                <w:color w:val="auto"/>
              </w:rPr>
            </w:pPr>
          </w:p>
        </w:tc>
        <w:tc>
          <w:tcPr>
            <w:tcW w:w="60" w:type="dxa"/>
            <w:vAlign w:val="bottom"/>
            <w:tcBorders>
              <w:top w:val="single" w:sz="8" w:color="0000FF"/>
            </w:tcBorders>
            <w:shd w:val="clear" w:color="auto" w:fill="F0F0F0"/>
          </w:tcPr>
          <w:p>
            <w:pPr>
              <w:spacing w:after="0"/>
              <w:rPr>
                <w:sz w:val="18"/>
                <w:szCs w:val="18"/>
                <w:color w:val="auto"/>
              </w:rPr>
            </w:pPr>
          </w:p>
        </w:tc>
        <w:tc>
          <w:tcPr>
            <w:tcW w:w="40" w:type="dxa"/>
            <w:vAlign w:val="bottom"/>
            <w:tcBorders>
              <w:top w:val="single" w:sz="8" w:color="0000FF"/>
            </w:tcBorders>
            <w:shd w:val="clear" w:color="auto" w:fill="F0F0F0"/>
          </w:tcPr>
          <w:p>
            <w:pPr>
              <w:spacing w:after="0"/>
              <w:rPr>
                <w:sz w:val="18"/>
                <w:szCs w:val="18"/>
                <w:color w:val="auto"/>
              </w:rPr>
            </w:pPr>
          </w:p>
        </w:tc>
        <w:tc>
          <w:tcPr>
            <w:tcW w:w="300" w:type="dxa"/>
            <w:vAlign w:val="bottom"/>
            <w:tcBorders>
              <w:top w:val="single" w:sz="8" w:color="0000FF"/>
            </w:tcBorders>
            <w:shd w:val="clear" w:color="auto" w:fill="F0F0F0"/>
          </w:tcPr>
          <w:p>
            <w:pPr>
              <w:spacing w:after="0"/>
              <w:rPr>
                <w:sz w:val="18"/>
                <w:szCs w:val="18"/>
                <w:color w:val="auto"/>
              </w:rPr>
            </w:pPr>
          </w:p>
        </w:tc>
        <w:tc>
          <w:tcPr>
            <w:tcW w:w="100" w:type="dxa"/>
            <w:vAlign w:val="bottom"/>
            <w:tcBorders>
              <w:top w:val="single" w:sz="8" w:color="0000FF"/>
            </w:tcBorders>
            <w:shd w:val="clear" w:color="auto" w:fill="F0F0F0"/>
          </w:tcPr>
          <w:p>
            <w:pPr>
              <w:spacing w:after="0"/>
              <w:rPr>
                <w:sz w:val="18"/>
                <w:szCs w:val="18"/>
                <w:color w:val="auto"/>
              </w:rPr>
            </w:pPr>
          </w:p>
        </w:tc>
        <w:tc>
          <w:tcPr>
            <w:tcW w:w="20" w:type="dxa"/>
            <w:vAlign w:val="bottom"/>
            <w:tcBorders>
              <w:top w:val="single" w:sz="8" w:color="0000FF"/>
            </w:tcBorders>
            <w:shd w:val="clear" w:color="auto" w:fill="F0F0F0"/>
          </w:tcPr>
          <w:p>
            <w:pPr>
              <w:spacing w:after="0"/>
              <w:rPr>
                <w:sz w:val="18"/>
                <w:szCs w:val="18"/>
                <w:color w:val="auto"/>
              </w:rPr>
            </w:pPr>
          </w:p>
        </w:tc>
        <w:tc>
          <w:tcPr>
            <w:tcW w:w="20" w:type="dxa"/>
            <w:vAlign w:val="bottom"/>
            <w:tcBorders>
              <w:top w:val="single" w:sz="8" w:color="0000FF"/>
            </w:tcBorders>
            <w:shd w:val="clear" w:color="auto" w:fill="F0F0F0"/>
          </w:tcPr>
          <w:p>
            <w:pPr>
              <w:spacing w:after="0"/>
              <w:rPr>
                <w:sz w:val="18"/>
                <w:szCs w:val="18"/>
                <w:color w:val="auto"/>
              </w:rPr>
            </w:pPr>
          </w:p>
        </w:tc>
        <w:tc>
          <w:tcPr>
            <w:tcW w:w="160" w:type="dxa"/>
            <w:vAlign w:val="bottom"/>
            <w:tcBorders>
              <w:top w:val="single" w:sz="8" w:color="F0F0F0"/>
            </w:tcBorders>
            <w:shd w:val="clear" w:color="auto" w:fill="F0F0F0"/>
          </w:tcPr>
          <w:p>
            <w:pPr>
              <w:spacing w:after="0"/>
              <w:rPr>
                <w:sz w:val="18"/>
                <w:szCs w:val="18"/>
                <w:color w:val="auto"/>
              </w:rPr>
            </w:pPr>
          </w:p>
        </w:tc>
        <w:tc>
          <w:tcPr>
            <w:tcW w:w="8740" w:type="dxa"/>
            <w:vAlign w:val="bottom"/>
            <w:tcBorders>
              <w:top w:val="single" w:sz="8" w:color="F0F0F0"/>
            </w:tcBorders>
            <w:shd w:val="clear" w:color="auto" w:fill="F0F0F0"/>
          </w:tcPr>
          <w:p>
            <w:pPr>
              <w:ind w:left="140"/>
              <w:spacing w:after="0"/>
              <w:rPr>
                <w:sz w:val="20"/>
                <w:szCs w:val="20"/>
                <w:color w:val="auto"/>
              </w:rPr>
            </w:pPr>
            <w:r>
              <w:rPr>
                <w:rFonts w:ascii="Times New Roman" w:cs="Times New Roman" w:eastAsia="Times New Roman" w:hAnsi="Times New Roman"/>
                <w:sz w:val="18"/>
                <w:szCs w:val="18"/>
                <w:color w:val="auto"/>
              </w:rPr>
              <w:t>reference to Exhibit 10(iii)(b.4) to the Registrant’s Report on Form 10-Q for the quarter ended June 30, 2024).*</w:t>
            </w:r>
          </w:p>
        </w:tc>
      </w:tr>
      <w:tr>
        <w:trPr>
          <w:trHeight w:val="189"/>
        </w:trPr>
        <w:tc>
          <w:tcPr>
            <w:tcW w:w="20" w:type="dxa"/>
            <w:vAlign w:val="bottom"/>
          </w:tcPr>
          <w:p>
            <w:pPr>
              <w:spacing w:after="0"/>
              <w:rPr>
                <w:sz w:val="16"/>
                <w:szCs w:val="16"/>
                <w:color w:val="auto"/>
              </w:rPr>
            </w:pPr>
          </w:p>
        </w:tc>
        <w:tc>
          <w:tcPr>
            <w:tcW w:w="960" w:type="dxa"/>
            <w:vAlign w:val="bottom"/>
            <w:gridSpan w:val="8"/>
          </w:tcPr>
          <w:p>
            <w:pPr>
              <w:spacing w:after="0" w:line="189" w:lineRule="exact"/>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10(iii)(c.1)</w:t>
              </w:r>
            </w:hyperlink>
          </w:p>
        </w:tc>
        <w:tc>
          <w:tcPr>
            <w:tcW w:w="874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ExxonMobil Supplemental Savings Plan (incorporated by reference to Exhibit 10(iii)(c.1) to the Registrant's Annual</w:t>
            </w:r>
          </w:p>
        </w:tc>
      </w:tr>
      <w:tr>
        <w:trPr>
          <w:trHeight w:val="210"/>
        </w:trPr>
        <w:tc>
          <w:tcPr>
            <w:tcW w:w="2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Report on Form 10-K for 2022).*</w:t>
            </w:r>
          </w:p>
        </w:tc>
      </w:tr>
      <w:tr>
        <w:trPr>
          <w:trHeight w:val="189"/>
        </w:trPr>
        <w:tc>
          <w:tcPr>
            <w:tcW w:w="20" w:type="dxa"/>
            <w:vAlign w:val="bottom"/>
            <w:shd w:val="clear" w:color="auto" w:fill="F0F0F0"/>
          </w:tcPr>
          <w:p>
            <w:pPr>
              <w:spacing w:after="0"/>
              <w:rPr>
                <w:sz w:val="16"/>
                <w:szCs w:val="16"/>
                <w:color w:val="auto"/>
              </w:rPr>
            </w:pPr>
          </w:p>
        </w:tc>
        <w:tc>
          <w:tcPr>
            <w:tcW w:w="960" w:type="dxa"/>
            <w:vAlign w:val="bottom"/>
            <w:gridSpan w:val="8"/>
            <w:shd w:val="clear" w:color="auto" w:fill="F0F0F0"/>
          </w:tcPr>
          <w:p>
            <w:pPr>
              <w:spacing w:after="0" w:line="189" w:lineRule="exact"/>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10(iii)(c.2)</w:t>
              </w:r>
            </w:hyperlink>
          </w:p>
        </w:tc>
        <w:tc>
          <w:tcPr>
            <w:tcW w:w="8740" w:type="dxa"/>
            <w:vAlign w:val="bottom"/>
            <w:shd w:val="clear" w:color="auto" w:fill="F0F0F0"/>
          </w:tcPr>
          <w:p>
            <w:pPr>
              <w:ind w:left="140"/>
              <w:spacing w:after="0" w:line="189" w:lineRule="exact"/>
              <w:rPr>
                <w:sz w:val="20"/>
                <w:szCs w:val="20"/>
                <w:color w:val="auto"/>
              </w:rPr>
            </w:pPr>
            <w:r>
              <w:rPr>
                <w:rFonts w:ascii="Times New Roman" w:cs="Times New Roman" w:eastAsia="Times New Roman" w:hAnsi="Times New Roman"/>
                <w:sz w:val="18"/>
                <w:szCs w:val="18"/>
                <w:color w:val="auto"/>
              </w:rPr>
              <w:t>ExxonMobil Supplemental Pension Plan (incorporated by reference to Exhibit 10(iii)(c.2) to the Registrant's Annual</w:t>
            </w:r>
          </w:p>
        </w:tc>
      </w:tr>
      <w:tr>
        <w:trPr>
          <w:trHeight w:val="209"/>
        </w:trPr>
        <w:tc>
          <w:tcPr>
            <w:tcW w:w="20" w:type="dxa"/>
            <w:vAlign w:val="bottom"/>
            <w:tcBorders>
              <w:top w:val="single" w:sz="8" w:color="F0F0F0"/>
            </w:tcBorders>
            <w:shd w:val="clear" w:color="auto" w:fill="F0F0F0"/>
          </w:tcPr>
          <w:p>
            <w:pPr>
              <w:spacing w:after="0"/>
              <w:rPr>
                <w:sz w:val="18"/>
                <w:szCs w:val="18"/>
                <w:color w:val="auto"/>
              </w:rPr>
            </w:pPr>
          </w:p>
        </w:tc>
        <w:tc>
          <w:tcPr>
            <w:tcW w:w="260" w:type="dxa"/>
            <w:vAlign w:val="bottom"/>
            <w:tcBorders>
              <w:top w:val="single" w:sz="8" w:color="0000FF"/>
            </w:tcBorders>
            <w:shd w:val="clear" w:color="auto" w:fill="F0F0F0"/>
          </w:tcPr>
          <w:p>
            <w:pPr>
              <w:spacing w:after="0"/>
              <w:rPr>
                <w:sz w:val="18"/>
                <w:szCs w:val="18"/>
                <w:color w:val="auto"/>
              </w:rPr>
            </w:pPr>
          </w:p>
        </w:tc>
        <w:tc>
          <w:tcPr>
            <w:tcW w:w="60" w:type="dxa"/>
            <w:vAlign w:val="bottom"/>
            <w:tcBorders>
              <w:top w:val="single" w:sz="8" w:color="0000FF"/>
            </w:tcBorders>
            <w:shd w:val="clear" w:color="auto" w:fill="F0F0F0"/>
          </w:tcPr>
          <w:p>
            <w:pPr>
              <w:spacing w:after="0"/>
              <w:rPr>
                <w:sz w:val="18"/>
                <w:szCs w:val="18"/>
                <w:color w:val="auto"/>
              </w:rPr>
            </w:pPr>
          </w:p>
        </w:tc>
        <w:tc>
          <w:tcPr>
            <w:tcW w:w="40" w:type="dxa"/>
            <w:vAlign w:val="bottom"/>
            <w:tcBorders>
              <w:top w:val="single" w:sz="8" w:color="0000FF"/>
            </w:tcBorders>
            <w:shd w:val="clear" w:color="auto" w:fill="F0F0F0"/>
          </w:tcPr>
          <w:p>
            <w:pPr>
              <w:spacing w:after="0"/>
              <w:rPr>
                <w:sz w:val="18"/>
                <w:szCs w:val="18"/>
                <w:color w:val="auto"/>
              </w:rPr>
            </w:pPr>
          </w:p>
        </w:tc>
        <w:tc>
          <w:tcPr>
            <w:tcW w:w="300" w:type="dxa"/>
            <w:vAlign w:val="bottom"/>
            <w:tcBorders>
              <w:top w:val="single" w:sz="8" w:color="0000FF"/>
            </w:tcBorders>
            <w:shd w:val="clear" w:color="auto" w:fill="F0F0F0"/>
          </w:tcPr>
          <w:p>
            <w:pPr>
              <w:spacing w:after="0"/>
              <w:rPr>
                <w:sz w:val="18"/>
                <w:szCs w:val="18"/>
                <w:color w:val="auto"/>
              </w:rPr>
            </w:pPr>
          </w:p>
        </w:tc>
        <w:tc>
          <w:tcPr>
            <w:tcW w:w="100" w:type="dxa"/>
            <w:vAlign w:val="bottom"/>
            <w:tcBorders>
              <w:top w:val="single" w:sz="8" w:color="0000FF"/>
            </w:tcBorders>
            <w:shd w:val="clear" w:color="auto" w:fill="F0F0F0"/>
          </w:tcPr>
          <w:p>
            <w:pPr>
              <w:spacing w:after="0"/>
              <w:rPr>
                <w:sz w:val="18"/>
                <w:szCs w:val="18"/>
                <w:color w:val="auto"/>
              </w:rPr>
            </w:pPr>
          </w:p>
        </w:tc>
        <w:tc>
          <w:tcPr>
            <w:tcW w:w="20" w:type="dxa"/>
            <w:vAlign w:val="bottom"/>
            <w:tcBorders>
              <w:top w:val="single" w:sz="8" w:color="0000FF"/>
            </w:tcBorders>
            <w:shd w:val="clear" w:color="auto" w:fill="F0F0F0"/>
          </w:tcPr>
          <w:p>
            <w:pPr>
              <w:spacing w:after="0"/>
              <w:rPr>
                <w:sz w:val="18"/>
                <w:szCs w:val="18"/>
                <w:color w:val="auto"/>
              </w:rPr>
            </w:pPr>
          </w:p>
        </w:tc>
        <w:tc>
          <w:tcPr>
            <w:tcW w:w="20" w:type="dxa"/>
            <w:vAlign w:val="bottom"/>
            <w:tcBorders>
              <w:top w:val="single" w:sz="8" w:color="F0F0F0"/>
            </w:tcBorders>
            <w:shd w:val="clear" w:color="auto" w:fill="F0F0F0"/>
          </w:tcPr>
          <w:p>
            <w:pPr>
              <w:spacing w:after="0"/>
              <w:rPr>
                <w:sz w:val="18"/>
                <w:szCs w:val="18"/>
                <w:color w:val="auto"/>
              </w:rPr>
            </w:pPr>
          </w:p>
        </w:tc>
        <w:tc>
          <w:tcPr>
            <w:tcW w:w="160" w:type="dxa"/>
            <w:vAlign w:val="bottom"/>
            <w:tcBorders>
              <w:top w:val="single" w:sz="8" w:color="F0F0F0"/>
            </w:tcBorders>
            <w:shd w:val="clear" w:color="auto" w:fill="F0F0F0"/>
          </w:tcPr>
          <w:p>
            <w:pPr>
              <w:spacing w:after="0"/>
              <w:rPr>
                <w:sz w:val="18"/>
                <w:szCs w:val="18"/>
                <w:color w:val="auto"/>
              </w:rPr>
            </w:pPr>
          </w:p>
        </w:tc>
        <w:tc>
          <w:tcPr>
            <w:tcW w:w="8740" w:type="dxa"/>
            <w:vAlign w:val="bottom"/>
            <w:tcBorders>
              <w:top w:val="single" w:sz="8" w:color="F0F0F0"/>
            </w:tcBorders>
            <w:shd w:val="clear" w:color="auto" w:fill="F0F0F0"/>
          </w:tcPr>
          <w:p>
            <w:pPr>
              <w:ind w:left="140"/>
              <w:spacing w:after="0"/>
              <w:rPr>
                <w:sz w:val="20"/>
                <w:szCs w:val="20"/>
                <w:color w:val="auto"/>
              </w:rPr>
            </w:pPr>
            <w:r>
              <w:rPr>
                <w:rFonts w:ascii="Times New Roman" w:cs="Times New Roman" w:eastAsia="Times New Roman" w:hAnsi="Times New Roman"/>
                <w:sz w:val="18"/>
                <w:szCs w:val="18"/>
                <w:color w:val="auto"/>
              </w:rPr>
              <w:t>Report on Form 10-K for 2022).*</w:t>
            </w:r>
          </w:p>
        </w:tc>
      </w:tr>
      <w:tr>
        <w:trPr>
          <w:trHeight w:val="189"/>
        </w:trPr>
        <w:tc>
          <w:tcPr>
            <w:tcW w:w="20" w:type="dxa"/>
            <w:vAlign w:val="bottom"/>
          </w:tcPr>
          <w:p>
            <w:pPr>
              <w:spacing w:after="0"/>
              <w:rPr>
                <w:sz w:val="16"/>
                <w:szCs w:val="16"/>
                <w:color w:val="auto"/>
              </w:rPr>
            </w:pPr>
          </w:p>
        </w:tc>
        <w:tc>
          <w:tcPr>
            <w:tcW w:w="960" w:type="dxa"/>
            <w:vAlign w:val="bottom"/>
            <w:gridSpan w:val="8"/>
          </w:tcPr>
          <w:p>
            <w:pPr>
              <w:spacing w:after="0" w:line="189" w:lineRule="exact"/>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10(iii)(c.3)</w:t>
              </w:r>
            </w:hyperlink>
          </w:p>
        </w:tc>
        <w:tc>
          <w:tcPr>
            <w:tcW w:w="874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ExxonMobil Additional Payments Plan (incorporated by reference to Exhibit 10(iii)(c.3) to the Registrant’s Annual</w:t>
            </w:r>
          </w:p>
        </w:tc>
      </w:tr>
      <w:tr>
        <w:trPr>
          <w:trHeight w:val="210"/>
        </w:trPr>
        <w:tc>
          <w:tcPr>
            <w:tcW w:w="2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Report on Form 10-K for 2023).*</w:t>
            </w:r>
          </w:p>
        </w:tc>
      </w:tr>
      <w:tr>
        <w:trPr>
          <w:trHeight w:val="189"/>
        </w:trPr>
        <w:tc>
          <w:tcPr>
            <w:tcW w:w="20" w:type="dxa"/>
            <w:vAlign w:val="bottom"/>
            <w:shd w:val="clear" w:color="auto" w:fill="F0F0F0"/>
          </w:tcPr>
          <w:p>
            <w:pPr>
              <w:spacing w:after="0"/>
              <w:rPr>
                <w:sz w:val="16"/>
                <w:szCs w:val="16"/>
                <w:color w:val="auto"/>
              </w:rPr>
            </w:pPr>
          </w:p>
        </w:tc>
        <w:tc>
          <w:tcPr>
            <w:tcW w:w="960" w:type="dxa"/>
            <w:vAlign w:val="bottom"/>
            <w:gridSpan w:val="8"/>
            <w:shd w:val="clear" w:color="auto" w:fill="F0F0F0"/>
          </w:tcPr>
          <w:p>
            <w:pPr>
              <w:spacing w:after="0" w:line="189" w:lineRule="exact"/>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10(iii)(d)</w:t>
              </w:r>
            </w:hyperlink>
          </w:p>
        </w:tc>
        <w:tc>
          <w:tcPr>
            <w:tcW w:w="8740" w:type="dxa"/>
            <w:vAlign w:val="bottom"/>
            <w:shd w:val="clear" w:color="auto" w:fill="F0F0F0"/>
          </w:tcPr>
          <w:p>
            <w:pPr>
              <w:ind w:left="140"/>
              <w:spacing w:after="0" w:line="189" w:lineRule="exact"/>
              <w:rPr>
                <w:sz w:val="20"/>
                <w:szCs w:val="20"/>
                <w:color w:val="auto"/>
              </w:rPr>
            </w:pPr>
            <w:r>
              <w:rPr>
                <w:rFonts w:ascii="Times New Roman" w:cs="Times New Roman" w:eastAsia="Times New Roman" w:hAnsi="Times New Roman"/>
                <w:sz w:val="18"/>
                <w:szCs w:val="18"/>
                <w:color w:val="auto"/>
              </w:rPr>
              <w:t>ExxonMobil Executive Life Insurance and Death Benefit Plan (incorporated by reference to Exhibit 10(iii)(d) to the</w:t>
            </w:r>
          </w:p>
        </w:tc>
      </w:tr>
      <w:tr>
        <w:trPr>
          <w:trHeight w:val="210"/>
        </w:trPr>
        <w:tc>
          <w:tcPr>
            <w:tcW w:w="20" w:type="dxa"/>
            <w:vAlign w:val="bottom"/>
            <w:tcBorders>
              <w:top w:val="single" w:sz="8" w:color="F0F0F0"/>
            </w:tcBorders>
            <w:shd w:val="clear" w:color="auto" w:fill="F0F0F0"/>
          </w:tcPr>
          <w:p>
            <w:pPr>
              <w:spacing w:after="0"/>
              <w:rPr>
                <w:sz w:val="18"/>
                <w:szCs w:val="18"/>
                <w:color w:val="auto"/>
              </w:rPr>
            </w:pPr>
          </w:p>
        </w:tc>
        <w:tc>
          <w:tcPr>
            <w:tcW w:w="260" w:type="dxa"/>
            <w:vAlign w:val="bottom"/>
            <w:tcBorders>
              <w:top w:val="single" w:sz="8" w:color="0000FF"/>
            </w:tcBorders>
            <w:shd w:val="clear" w:color="auto" w:fill="F0F0F0"/>
          </w:tcPr>
          <w:p>
            <w:pPr>
              <w:spacing w:after="0"/>
              <w:rPr>
                <w:sz w:val="18"/>
                <w:szCs w:val="18"/>
                <w:color w:val="auto"/>
              </w:rPr>
            </w:pPr>
          </w:p>
        </w:tc>
        <w:tc>
          <w:tcPr>
            <w:tcW w:w="60" w:type="dxa"/>
            <w:vAlign w:val="bottom"/>
            <w:tcBorders>
              <w:top w:val="single" w:sz="8" w:color="0000FF"/>
            </w:tcBorders>
            <w:shd w:val="clear" w:color="auto" w:fill="F0F0F0"/>
          </w:tcPr>
          <w:p>
            <w:pPr>
              <w:spacing w:after="0"/>
              <w:rPr>
                <w:sz w:val="18"/>
                <w:szCs w:val="18"/>
                <w:color w:val="auto"/>
              </w:rPr>
            </w:pPr>
          </w:p>
        </w:tc>
        <w:tc>
          <w:tcPr>
            <w:tcW w:w="40" w:type="dxa"/>
            <w:vAlign w:val="bottom"/>
            <w:tcBorders>
              <w:top w:val="single" w:sz="8" w:color="0000FF"/>
            </w:tcBorders>
            <w:shd w:val="clear" w:color="auto" w:fill="F0F0F0"/>
          </w:tcPr>
          <w:p>
            <w:pPr>
              <w:spacing w:after="0"/>
              <w:rPr>
                <w:sz w:val="18"/>
                <w:szCs w:val="18"/>
                <w:color w:val="auto"/>
              </w:rPr>
            </w:pPr>
          </w:p>
        </w:tc>
        <w:tc>
          <w:tcPr>
            <w:tcW w:w="300" w:type="dxa"/>
            <w:vAlign w:val="bottom"/>
            <w:tcBorders>
              <w:top w:val="single" w:sz="8" w:color="0000FF"/>
            </w:tcBorders>
            <w:shd w:val="clear" w:color="auto" w:fill="F0F0F0"/>
          </w:tcPr>
          <w:p>
            <w:pPr>
              <w:spacing w:after="0"/>
              <w:rPr>
                <w:sz w:val="18"/>
                <w:szCs w:val="18"/>
                <w:color w:val="auto"/>
              </w:rPr>
            </w:pPr>
          </w:p>
        </w:tc>
        <w:tc>
          <w:tcPr>
            <w:tcW w:w="100" w:type="dxa"/>
            <w:vAlign w:val="bottom"/>
            <w:tcBorders>
              <w:top w:val="single" w:sz="8" w:color="F0F0F0"/>
            </w:tcBorders>
            <w:shd w:val="clear" w:color="auto" w:fill="F0F0F0"/>
          </w:tcPr>
          <w:p>
            <w:pPr>
              <w:spacing w:after="0"/>
              <w:rPr>
                <w:sz w:val="18"/>
                <w:szCs w:val="18"/>
                <w:color w:val="auto"/>
              </w:rPr>
            </w:pPr>
          </w:p>
        </w:tc>
        <w:tc>
          <w:tcPr>
            <w:tcW w:w="20" w:type="dxa"/>
            <w:vAlign w:val="bottom"/>
            <w:tcBorders>
              <w:top w:val="single" w:sz="8" w:color="F0F0F0"/>
            </w:tcBorders>
            <w:shd w:val="clear" w:color="auto" w:fill="F0F0F0"/>
          </w:tcPr>
          <w:p>
            <w:pPr>
              <w:spacing w:after="0"/>
              <w:rPr>
                <w:sz w:val="18"/>
                <w:szCs w:val="18"/>
                <w:color w:val="auto"/>
              </w:rPr>
            </w:pPr>
          </w:p>
        </w:tc>
        <w:tc>
          <w:tcPr>
            <w:tcW w:w="20" w:type="dxa"/>
            <w:vAlign w:val="bottom"/>
            <w:tcBorders>
              <w:top w:val="single" w:sz="8" w:color="F0F0F0"/>
            </w:tcBorders>
            <w:shd w:val="clear" w:color="auto" w:fill="F0F0F0"/>
          </w:tcPr>
          <w:p>
            <w:pPr>
              <w:spacing w:after="0"/>
              <w:rPr>
                <w:sz w:val="18"/>
                <w:szCs w:val="18"/>
                <w:color w:val="auto"/>
              </w:rPr>
            </w:pPr>
          </w:p>
        </w:tc>
        <w:tc>
          <w:tcPr>
            <w:tcW w:w="160" w:type="dxa"/>
            <w:vAlign w:val="bottom"/>
            <w:tcBorders>
              <w:top w:val="single" w:sz="8" w:color="F0F0F0"/>
            </w:tcBorders>
            <w:shd w:val="clear" w:color="auto" w:fill="F0F0F0"/>
          </w:tcPr>
          <w:p>
            <w:pPr>
              <w:spacing w:after="0"/>
              <w:rPr>
                <w:sz w:val="18"/>
                <w:szCs w:val="18"/>
                <w:color w:val="auto"/>
              </w:rPr>
            </w:pPr>
          </w:p>
        </w:tc>
        <w:tc>
          <w:tcPr>
            <w:tcW w:w="8740" w:type="dxa"/>
            <w:vAlign w:val="bottom"/>
            <w:tcBorders>
              <w:top w:val="single" w:sz="8" w:color="F0F0F0"/>
            </w:tcBorders>
            <w:shd w:val="clear" w:color="auto" w:fill="F0F0F0"/>
          </w:tcPr>
          <w:p>
            <w:pPr>
              <w:ind w:left="140"/>
              <w:spacing w:after="0"/>
              <w:rPr>
                <w:sz w:val="20"/>
                <w:szCs w:val="20"/>
                <w:color w:val="auto"/>
              </w:rPr>
            </w:pPr>
            <w:r>
              <w:rPr>
                <w:rFonts w:ascii="Times New Roman" w:cs="Times New Roman" w:eastAsia="Times New Roman" w:hAnsi="Times New Roman"/>
                <w:sz w:val="18"/>
                <w:szCs w:val="18"/>
                <w:color w:val="auto"/>
              </w:rPr>
              <w:t>Registrant’s Annual Report on Form 10-K for 2016).*</w:t>
            </w:r>
          </w:p>
        </w:tc>
      </w:tr>
      <w:tr>
        <w:trPr>
          <w:trHeight w:val="189"/>
        </w:trPr>
        <w:tc>
          <w:tcPr>
            <w:tcW w:w="20" w:type="dxa"/>
            <w:vAlign w:val="bottom"/>
          </w:tcPr>
          <w:p>
            <w:pPr>
              <w:spacing w:after="0"/>
              <w:rPr>
                <w:sz w:val="16"/>
                <w:szCs w:val="16"/>
                <w:color w:val="auto"/>
              </w:rPr>
            </w:pPr>
          </w:p>
        </w:tc>
        <w:tc>
          <w:tcPr>
            <w:tcW w:w="960" w:type="dxa"/>
            <w:vAlign w:val="bottom"/>
            <w:gridSpan w:val="8"/>
          </w:tcPr>
          <w:p>
            <w:pPr>
              <w:spacing w:after="0" w:line="189" w:lineRule="exact"/>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10(iii)(f.1)</w:t>
              </w:r>
            </w:hyperlink>
          </w:p>
        </w:tc>
        <w:tc>
          <w:tcPr>
            <w:tcW w:w="874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2004 Non-Employee Director Restricted Stock Plan (incorporated by reference to Exhibit 10(iii)(f.1) to the</w:t>
            </w:r>
          </w:p>
        </w:tc>
      </w:tr>
      <w:tr>
        <w:trPr>
          <w:trHeight w:val="210"/>
        </w:trPr>
        <w:tc>
          <w:tcPr>
            <w:tcW w:w="20" w:type="dxa"/>
            <w:vAlign w:val="bottom"/>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Registrant’s Annual Report on Form 10-K for 2018).*</w:t>
            </w:r>
          </w:p>
        </w:tc>
      </w:tr>
      <w:tr>
        <w:trPr>
          <w:trHeight w:val="189"/>
        </w:trPr>
        <w:tc>
          <w:tcPr>
            <w:tcW w:w="20" w:type="dxa"/>
            <w:vAlign w:val="bottom"/>
            <w:shd w:val="clear" w:color="auto" w:fill="F0F0F0"/>
          </w:tcPr>
          <w:p>
            <w:pPr>
              <w:spacing w:after="0"/>
              <w:rPr>
                <w:sz w:val="16"/>
                <w:szCs w:val="16"/>
                <w:color w:val="auto"/>
              </w:rPr>
            </w:pPr>
          </w:p>
        </w:tc>
        <w:tc>
          <w:tcPr>
            <w:tcW w:w="960" w:type="dxa"/>
            <w:vAlign w:val="bottom"/>
            <w:gridSpan w:val="8"/>
            <w:shd w:val="clear" w:color="auto" w:fill="F0F0F0"/>
          </w:tcPr>
          <w:p>
            <w:pPr>
              <w:spacing w:after="0" w:line="189" w:lineRule="exact"/>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10(iii)(f.2)</w:t>
              </w:r>
            </w:hyperlink>
          </w:p>
        </w:tc>
        <w:tc>
          <w:tcPr>
            <w:tcW w:w="8740" w:type="dxa"/>
            <w:vAlign w:val="bottom"/>
            <w:shd w:val="clear" w:color="auto" w:fill="F0F0F0"/>
          </w:tcPr>
          <w:p>
            <w:pPr>
              <w:ind w:left="140"/>
              <w:spacing w:after="0" w:line="189" w:lineRule="exact"/>
              <w:rPr>
                <w:sz w:val="20"/>
                <w:szCs w:val="20"/>
                <w:color w:val="auto"/>
              </w:rPr>
            </w:pPr>
            <w:r>
              <w:rPr>
                <w:rFonts w:ascii="Times New Roman" w:cs="Times New Roman" w:eastAsia="Times New Roman" w:hAnsi="Times New Roman"/>
                <w:sz w:val="18"/>
                <w:szCs w:val="18"/>
                <w:color w:val="auto"/>
              </w:rPr>
              <w:t>Standing resolution for non-employee director restricted grants dated September 26, 2007 (incorporated by reference</w:t>
            </w:r>
          </w:p>
        </w:tc>
      </w:tr>
      <w:tr>
        <w:trPr>
          <w:trHeight w:val="209"/>
        </w:trPr>
        <w:tc>
          <w:tcPr>
            <w:tcW w:w="20" w:type="dxa"/>
            <w:vAlign w:val="bottom"/>
            <w:tcBorders>
              <w:top w:val="single" w:sz="8" w:color="F0F0F0"/>
            </w:tcBorders>
            <w:shd w:val="clear" w:color="auto" w:fill="F0F0F0"/>
          </w:tcPr>
          <w:p>
            <w:pPr>
              <w:spacing w:after="0"/>
              <w:rPr>
                <w:sz w:val="18"/>
                <w:szCs w:val="18"/>
                <w:color w:val="auto"/>
              </w:rPr>
            </w:pPr>
          </w:p>
        </w:tc>
        <w:tc>
          <w:tcPr>
            <w:tcW w:w="260" w:type="dxa"/>
            <w:vAlign w:val="bottom"/>
            <w:tcBorders>
              <w:top w:val="single" w:sz="8" w:color="0000FF"/>
            </w:tcBorders>
            <w:shd w:val="clear" w:color="auto" w:fill="F0F0F0"/>
          </w:tcPr>
          <w:p>
            <w:pPr>
              <w:spacing w:after="0"/>
              <w:rPr>
                <w:sz w:val="18"/>
                <w:szCs w:val="18"/>
                <w:color w:val="auto"/>
              </w:rPr>
            </w:pPr>
          </w:p>
        </w:tc>
        <w:tc>
          <w:tcPr>
            <w:tcW w:w="60" w:type="dxa"/>
            <w:vAlign w:val="bottom"/>
            <w:tcBorders>
              <w:top w:val="single" w:sz="8" w:color="0000FF"/>
            </w:tcBorders>
            <w:shd w:val="clear" w:color="auto" w:fill="F0F0F0"/>
          </w:tcPr>
          <w:p>
            <w:pPr>
              <w:spacing w:after="0"/>
              <w:rPr>
                <w:sz w:val="18"/>
                <w:szCs w:val="18"/>
                <w:color w:val="auto"/>
              </w:rPr>
            </w:pPr>
          </w:p>
        </w:tc>
        <w:tc>
          <w:tcPr>
            <w:tcW w:w="40" w:type="dxa"/>
            <w:vAlign w:val="bottom"/>
            <w:tcBorders>
              <w:top w:val="single" w:sz="8" w:color="0000FF"/>
            </w:tcBorders>
            <w:shd w:val="clear" w:color="auto" w:fill="F0F0F0"/>
          </w:tcPr>
          <w:p>
            <w:pPr>
              <w:spacing w:after="0"/>
              <w:rPr>
                <w:sz w:val="18"/>
                <w:szCs w:val="18"/>
                <w:color w:val="auto"/>
              </w:rPr>
            </w:pPr>
          </w:p>
        </w:tc>
        <w:tc>
          <w:tcPr>
            <w:tcW w:w="300" w:type="dxa"/>
            <w:vAlign w:val="bottom"/>
            <w:tcBorders>
              <w:top w:val="single" w:sz="8" w:color="0000FF"/>
            </w:tcBorders>
            <w:shd w:val="clear" w:color="auto" w:fill="F0F0F0"/>
          </w:tcPr>
          <w:p>
            <w:pPr>
              <w:spacing w:after="0"/>
              <w:rPr>
                <w:sz w:val="18"/>
                <w:szCs w:val="18"/>
                <w:color w:val="auto"/>
              </w:rPr>
            </w:pPr>
          </w:p>
        </w:tc>
        <w:tc>
          <w:tcPr>
            <w:tcW w:w="100" w:type="dxa"/>
            <w:vAlign w:val="bottom"/>
            <w:tcBorders>
              <w:top w:val="single" w:sz="8" w:color="0000FF"/>
            </w:tcBorders>
            <w:shd w:val="clear" w:color="auto" w:fill="F0F0F0"/>
          </w:tcPr>
          <w:p>
            <w:pPr>
              <w:spacing w:after="0"/>
              <w:rPr>
                <w:sz w:val="18"/>
                <w:szCs w:val="18"/>
                <w:color w:val="auto"/>
              </w:rPr>
            </w:pPr>
          </w:p>
        </w:tc>
        <w:tc>
          <w:tcPr>
            <w:tcW w:w="20" w:type="dxa"/>
            <w:vAlign w:val="bottom"/>
            <w:tcBorders>
              <w:top w:val="single" w:sz="8" w:color="F0F0F0"/>
            </w:tcBorders>
            <w:shd w:val="clear" w:color="auto" w:fill="F0F0F0"/>
          </w:tcPr>
          <w:p>
            <w:pPr>
              <w:spacing w:after="0"/>
              <w:rPr>
                <w:sz w:val="18"/>
                <w:szCs w:val="18"/>
                <w:color w:val="auto"/>
              </w:rPr>
            </w:pPr>
          </w:p>
        </w:tc>
        <w:tc>
          <w:tcPr>
            <w:tcW w:w="20" w:type="dxa"/>
            <w:vAlign w:val="bottom"/>
            <w:tcBorders>
              <w:top w:val="single" w:sz="8" w:color="F0F0F0"/>
            </w:tcBorders>
            <w:shd w:val="clear" w:color="auto" w:fill="F0F0F0"/>
          </w:tcPr>
          <w:p>
            <w:pPr>
              <w:spacing w:after="0"/>
              <w:rPr>
                <w:sz w:val="18"/>
                <w:szCs w:val="18"/>
                <w:color w:val="auto"/>
              </w:rPr>
            </w:pPr>
          </w:p>
        </w:tc>
        <w:tc>
          <w:tcPr>
            <w:tcW w:w="160" w:type="dxa"/>
            <w:vAlign w:val="bottom"/>
            <w:tcBorders>
              <w:top w:val="single" w:sz="8" w:color="F0F0F0"/>
            </w:tcBorders>
            <w:shd w:val="clear" w:color="auto" w:fill="F0F0F0"/>
          </w:tcPr>
          <w:p>
            <w:pPr>
              <w:spacing w:after="0"/>
              <w:rPr>
                <w:sz w:val="18"/>
                <w:szCs w:val="18"/>
                <w:color w:val="auto"/>
              </w:rPr>
            </w:pPr>
          </w:p>
        </w:tc>
        <w:tc>
          <w:tcPr>
            <w:tcW w:w="8740" w:type="dxa"/>
            <w:vAlign w:val="bottom"/>
            <w:tcBorders>
              <w:top w:val="single" w:sz="8" w:color="F0F0F0"/>
            </w:tcBorders>
            <w:shd w:val="clear" w:color="auto" w:fill="F0F0F0"/>
          </w:tcPr>
          <w:p>
            <w:pPr>
              <w:ind w:left="140"/>
              <w:spacing w:after="0"/>
              <w:rPr>
                <w:sz w:val="20"/>
                <w:szCs w:val="20"/>
                <w:color w:val="auto"/>
              </w:rPr>
            </w:pPr>
            <w:r>
              <w:rPr>
                <w:rFonts w:ascii="Times New Roman" w:cs="Times New Roman" w:eastAsia="Times New Roman" w:hAnsi="Times New Roman"/>
                <w:sz w:val="18"/>
                <w:szCs w:val="18"/>
                <w:color w:val="auto"/>
              </w:rPr>
              <w:t>to Exhibit 10(iii)(f.2) to the Registrant’s Annual Report on Form 10-K for 2016).*</w:t>
            </w:r>
          </w:p>
        </w:tc>
      </w:tr>
      <w:tr>
        <w:trPr>
          <w:trHeight w:val="189"/>
        </w:trPr>
        <w:tc>
          <w:tcPr>
            <w:tcW w:w="20" w:type="dxa"/>
            <w:vAlign w:val="bottom"/>
          </w:tcPr>
          <w:p>
            <w:pPr>
              <w:spacing w:after="0"/>
              <w:rPr>
                <w:sz w:val="16"/>
                <w:szCs w:val="16"/>
                <w:color w:val="auto"/>
              </w:rPr>
            </w:pPr>
          </w:p>
        </w:tc>
        <w:tc>
          <w:tcPr>
            <w:tcW w:w="96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FF"/>
              </w:rPr>
              <w:t>10(iii)(f.3)</w:t>
            </w:r>
          </w:p>
        </w:tc>
        <w:tc>
          <w:tcPr>
            <w:tcW w:w="874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Form of restricted stock grant letter for non-employee directors.*</w:t>
            </w:r>
          </w:p>
        </w:tc>
      </w:tr>
      <w:tr>
        <w:trPr>
          <w:trHeight w:val="48"/>
        </w:trPr>
        <w:tc>
          <w:tcPr>
            <w:tcW w:w="2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740" w:type="dxa"/>
            <w:vAlign w:val="bottom"/>
          </w:tcPr>
          <w:p>
            <w:pPr>
              <w:spacing w:after="0"/>
              <w:rPr>
                <w:sz w:val="4"/>
                <w:szCs w:val="4"/>
                <w:color w:val="auto"/>
              </w:rPr>
            </w:pPr>
          </w:p>
        </w:tc>
      </w:tr>
      <w:tr>
        <w:trPr>
          <w:trHeight w:val="189"/>
        </w:trPr>
        <w:tc>
          <w:tcPr>
            <w:tcW w:w="20" w:type="dxa"/>
            <w:vAlign w:val="bottom"/>
            <w:shd w:val="clear" w:color="auto" w:fill="F0F0F0"/>
          </w:tcPr>
          <w:p>
            <w:pPr>
              <w:spacing w:after="0"/>
              <w:rPr>
                <w:sz w:val="16"/>
                <w:szCs w:val="16"/>
                <w:color w:val="auto"/>
              </w:rPr>
            </w:pPr>
          </w:p>
        </w:tc>
        <w:tc>
          <w:tcPr>
            <w:tcW w:w="960" w:type="dxa"/>
            <w:vAlign w:val="bottom"/>
            <w:gridSpan w:val="8"/>
            <w:shd w:val="clear" w:color="auto" w:fill="F0F0F0"/>
          </w:tcPr>
          <w:p>
            <w:pPr>
              <w:spacing w:after="0" w:line="189" w:lineRule="exact"/>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10(iii)(f.4)</w:t>
              </w:r>
            </w:hyperlink>
          </w:p>
        </w:tc>
        <w:tc>
          <w:tcPr>
            <w:tcW w:w="8740" w:type="dxa"/>
            <w:vAlign w:val="bottom"/>
            <w:shd w:val="clear" w:color="auto" w:fill="F0F0F0"/>
          </w:tcPr>
          <w:p>
            <w:pPr>
              <w:ind w:left="140"/>
              <w:spacing w:after="0" w:line="189" w:lineRule="exact"/>
              <w:rPr>
                <w:sz w:val="20"/>
                <w:szCs w:val="20"/>
                <w:color w:val="auto"/>
              </w:rPr>
            </w:pPr>
            <w:r>
              <w:rPr>
                <w:rFonts w:ascii="Times New Roman" w:cs="Times New Roman" w:eastAsia="Times New Roman" w:hAnsi="Times New Roman"/>
                <w:sz w:val="18"/>
                <w:szCs w:val="18"/>
                <w:color w:val="auto"/>
              </w:rPr>
              <w:t>Standing resolution for non-employee director cash fees dated March 1, 2020, as amended effective July 29, 2024</w:t>
            </w:r>
          </w:p>
        </w:tc>
      </w:tr>
      <w:tr>
        <w:trPr>
          <w:trHeight w:val="151"/>
        </w:trPr>
        <w:tc>
          <w:tcPr>
            <w:tcW w:w="20" w:type="dxa"/>
            <w:vAlign w:val="bottom"/>
            <w:tcBorders>
              <w:top w:val="single" w:sz="8" w:color="F0F0F0"/>
            </w:tcBorders>
            <w:shd w:val="clear" w:color="auto" w:fill="F0F0F0"/>
          </w:tcPr>
          <w:p>
            <w:pPr>
              <w:spacing w:after="0"/>
              <w:rPr>
                <w:sz w:val="13"/>
                <w:szCs w:val="13"/>
                <w:color w:val="auto"/>
              </w:rPr>
            </w:pPr>
          </w:p>
        </w:tc>
        <w:tc>
          <w:tcPr>
            <w:tcW w:w="260" w:type="dxa"/>
            <w:vAlign w:val="bottom"/>
            <w:tcBorders>
              <w:top w:val="single" w:sz="8" w:color="0000FF"/>
            </w:tcBorders>
            <w:shd w:val="clear" w:color="auto" w:fill="F0F0F0"/>
          </w:tcPr>
          <w:p>
            <w:pPr>
              <w:spacing w:after="0"/>
              <w:rPr>
                <w:sz w:val="13"/>
                <w:szCs w:val="13"/>
                <w:color w:val="auto"/>
              </w:rPr>
            </w:pPr>
          </w:p>
        </w:tc>
        <w:tc>
          <w:tcPr>
            <w:tcW w:w="60" w:type="dxa"/>
            <w:vAlign w:val="bottom"/>
            <w:tcBorders>
              <w:top w:val="single" w:sz="8" w:color="0000FF"/>
            </w:tcBorders>
            <w:shd w:val="clear" w:color="auto" w:fill="F0F0F0"/>
          </w:tcPr>
          <w:p>
            <w:pPr>
              <w:spacing w:after="0"/>
              <w:rPr>
                <w:sz w:val="13"/>
                <w:szCs w:val="13"/>
                <w:color w:val="auto"/>
              </w:rPr>
            </w:pPr>
          </w:p>
        </w:tc>
        <w:tc>
          <w:tcPr>
            <w:tcW w:w="40" w:type="dxa"/>
            <w:vAlign w:val="bottom"/>
            <w:tcBorders>
              <w:top w:val="single" w:sz="8" w:color="0000FF"/>
            </w:tcBorders>
            <w:shd w:val="clear" w:color="auto" w:fill="F0F0F0"/>
          </w:tcPr>
          <w:p>
            <w:pPr>
              <w:spacing w:after="0"/>
              <w:rPr>
                <w:sz w:val="13"/>
                <w:szCs w:val="13"/>
                <w:color w:val="auto"/>
              </w:rPr>
            </w:pPr>
          </w:p>
        </w:tc>
        <w:tc>
          <w:tcPr>
            <w:tcW w:w="300" w:type="dxa"/>
            <w:vAlign w:val="bottom"/>
            <w:tcBorders>
              <w:top w:val="single" w:sz="8" w:color="0000FF"/>
            </w:tcBorders>
            <w:shd w:val="clear" w:color="auto" w:fill="F0F0F0"/>
          </w:tcPr>
          <w:p>
            <w:pPr>
              <w:spacing w:after="0"/>
              <w:rPr>
                <w:sz w:val="13"/>
                <w:szCs w:val="13"/>
                <w:color w:val="auto"/>
              </w:rPr>
            </w:pPr>
          </w:p>
        </w:tc>
        <w:tc>
          <w:tcPr>
            <w:tcW w:w="100" w:type="dxa"/>
            <w:vAlign w:val="bottom"/>
            <w:tcBorders>
              <w:top w:val="single" w:sz="8" w:color="0000FF"/>
            </w:tcBorders>
            <w:shd w:val="clear" w:color="auto" w:fill="F0F0F0"/>
          </w:tcPr>
          <w:p>
            <w:pPr>
              <w:spacing w:after="0"/>
              <w:rPr>
                <w:sz w:val="13"/>
                <w:szCs w:val="13"/>
                <w:color w:val="auto"/>
              </w:rPr>
            </w:pPr>
          </w:p>
        </w:tc>
        <w:tc>
          <w:tcPr>
            <w:tcW w:w="20" w:type="dxa"/>
            <w:vAlign w:val="bottom"/>
            <w:tcBorders>
              <w:top w:val="single" w:sz="8" w:color="F0F0F0"/>
            </w:tcBorders>
            <w:shd w:val="clear" w:color="auto" w:fill="F0F0F0"/>
          </w:tcPr>
          <w:p>
            <w:pPr>
              <w:spacing w:after="0"/>
              <w:rPr>
                <w:sz w:val="13"/>
                <w:szCs w:val="13"/>
                <w:color w:val="auto"/>
              </w:rPr>
            </w:pPr>
          </w:p>
        </w:tc>
        <w:tc>
          <w:tcPr>
            <w:tcW w:w="20" w:type="dxa"/>
            <w:vAlign w:val="bottom"/>
            <w:tcBorders>
              <w:top w:val="single" w:sz="8" w:color="F0F0F0"/>
            </w:tcBorders>
            <w:shd w:val="clear" w:color="auto" w:fill="F0F0F0"/>
          </w:tcPr>
          <w:p>
            <w:pPr>
              <w:spacing w:after="0"/>
              <w:rPr>
                <w:sz w:val="13"/>
                <w:szCs w:val="13"/>
                <w:color w:val="auto"/>
              </w:rPr>
            </w:pPr>
          </w:p>
        </w:tc>
        <w:tc>
          <w:tcPr>
            <w:tcW w:w="160" w:type="dxa"/>
            <w:vAlign w:val="bottom"/>
            <w:tcBorders>
              <w:top w:val="single" w:sz="8" w:color="F0F0F0"/>
            </w:tcBorders>
            <w:shd w:val="clear" w:color="auto" w:fill="F0F0F0"/>
          </w:tcPr>
          <w:p>
            <w:pPr>
              <w:spacing w:after="0"/>
              <w:rPr>
                <w:sz w:val="13"/>
                <w:szCs w:val="13"/>
                <w:color w:val="auto"/>
              </w:rPr>
            </w:pPr>
          </w:p>
        </w:tc>
        <w:tc>
          <w:tcPr>
            <w:tcW w:w="8740" w:type="dxa"/>
            <w:vAlign w:val="bottom"/>
            <w:tcBorders>
              <w:top w:val="single" w:sz="8" w:color="F0F0F0"/>
            </w:tcBorders>
            <w:shd w:val="clear" w:color="auto" w:fill="F0F0F0"/>
          </w:tcPr>
          <w:p>
            <w:pPr>
              <w:ind w:left="140"/>
              <w:spacing w:after="0" w:line="150" w:lineRule="exact"/>
              <w:rPr>
                <w:sz w:val="20"/>
                <w:szCs w:val="20"/>
                <w:color w:val="auto"/>
              </w:rPr>
            </w:pPr>
            <w:r>
              <w:rPr>
                <w:rFonts w:ascii="Times New Roman" w:cs="Times New Roman" w:eastAsia="Times New Roman" w:hAnsi="Times New Roman"/>
                <w:sz w:val="17"/>
                <w:szCs w:val="17"/>
                <w:color w:val="auto"/>
              </w:rPr>
              <w:t>(incorporated by reference to Exhibit 10(iii)(f.4) to the Registrant’s Report on Form 10-Q for the quarter ended</w:t>
            </w:r>
          </w:p>
        </w:tc>
      </w:tr>
      <w:tr>
        <w:trPr>
          <w:trHeight w:val="234"/>
        </w:trPr>
        <w:tc>
          <w:tcPr>
            <w:tcW w:w="20" w:type="dxa"/>
            <w:vAlign w:val="bottom"/>
            <w:shd w:val="clear" w:color="auto" w:fill="F0F0F0"/>
          </w:tcPr>
          <w:p>
            <w:pPr>
              <w:spacing w:after="0"/>
              <w:rPr>
                <w:sz w:val="20"/>
                <w:szCs w:val="20"/>
                <w:color w:val="auto"/>
              </w:rPr>
            </w:pPr>
          </w:p>
        </w:tc>
        <w:tc>
          <w:tcPr>
            <w:tcW w:w="260" w:type="dxa"/>
            <w:vAlign w:val="bottom"/>
            <w:shd w:val="clear" w:color="auto" w:fill="F0F0F0"/>
          </w:tcPr>
          <w:p>
            <w:pPr>
              <w:spacing w:after="0"/>
              <w:rPr>
                <w:sz w:val="20"/>
                <w:szCs w:val="20"/>
                <w:color w:val="auto"/>
              </w:rPr>
            </w:pPr>
          </w:p>
        </w:tc>
        <w:tc>
          <w:tcPr>
            <w:tcW w:w="60" w:type="dxa"/>
            <w:vAlign w:val="bottom"/>
            <w:shd w:val="clear" w:color="auto" w:fill="F0F0F0"/>
          </w:tcPr>
          <w:p>
            <w:pPr>
              <w:spacing w:after="0"/>
              <w:rPr>
                <w:sz w:val="20"/>
                <w:szCs w:val="20"/>
                <w:color w:val="auto"/>
              </w:rPr>
            </w:pPr>
          </w:p>
        </w:tc>
        <w:tc>
          <w:tcPr>
            <w:tcW w:w="40" w:type="dxa"/>
            <w:vAlign w:val="bottom"/>
            <w:shd w:val="clear" w:color="auto" w:fill="F0F0F0"/>
          </w:tcPr>
          <w:p>
            <w:pPr>
              <w:spacing w:after="0"/>
              <w:rPr>
                <w:sz w:val="20"/>
                <w:szCs w:val="20"/>
                <w:color w:val="auto"/>
              </w:rPr>
            </w:pPr>
          </w:p>
        </w:tc>
        <w:tc>
          <w:tcPr>
            <w:tcW w:w="300" w:type="dxa"/>
            <w:vAlign w:val="bottom"/>
            <w:shd w:val="clear" w:color="auto" w:fill="F0F0F0"/>
          </w:tcPr>
          <w:p>
            <w:pPr>
              <w:spacing w:after="0"/>
              <w:rPr>
                <w:sz w:val="20"/>
                <w:szCs w:val="20"/>
                <w:color w:val="auto"/>
              </w:rPr>
            </w:pPr>
          </w:p>
        </w:tc>
        <w:tc>
          <w:tcPr>
            <w:tcW w:w="100" w:type="dxa"/>
            <w:vAlign w:val="bottom"/>
            <w:shd w:val="clear" w:color="auto" w:fill="F0F0F0"/>
          </w:tcPr>
          <w:p>
            <w:pPr>
              <w:spacing w:after="0"/>
              <w:rPr>
                <w:sz w:val="20"/>
                <w:szCs w:val="20"/>
                <w:color w:val="auto"/>
              </w:rPr>
            </w:pPr>
          </w:p>
        </w:tc>
        <w:tc>
          <w:tcPr>
            <w:tcW w:w="20" w:type="dxa"/>
            <w:vAlign w:val="bottom"/>
            <w:shd w:val="clear" w:color="auto" w:fill="F0F0F0"/>
          </w:tcPr>
          <w:p>
            <w:pPr>
              <w:spacing w:after="0"/>
              <w:rPr>
                <w:sz w:val="20"/>
                <w:szCs w:val="20"/>
                <w:color w:val="auto"/>
              </w:rPr>
            </w:pPr>
          </w:p>
        </w:tc>
        <w:tc>
          <w:tcPr>
            <w:tcW w:w="20" w:type="dxa"/>
            <w:vAlign w:val="bottom"/>
            <w:shd w:val="clear" w:color="auto" w:fill="F0F0F0"/>
          </w:tcPr>
          <w:p>
            <w:pPr>
              <w:spacing w:after="0"/>
              <w:rPr>
                <w:sz w:val="20"/>
                <w:szCs w:val="20"/>
                <w:color w:val="auto"/>
              </w:rPr>
            </w:pPr>
          </w:p>
        </w:tc>
        <w:tc>
          <w:tcPr>
            <w:tcW w:w="160" w:type="dxa"/>
            <w:vAlign w:val="bottom"/>
            <w:shd w:val="clear" w:color="auto" w:fill="F0F0F0"/>
          </w:tcPr>
          <w:p>
            <w:pPr>
              <w:spacing w:after="0"/>
              <w:rPr>
                <w:sz w:val="20"/>
                <w:szCs w:val="20"/>
                <w:color w:val="auto"/>
              </w:rPr>
            </w:pPr>
          </w:p>
        </w:tc>
        <w:tc>
          <w:tcPr>
            <w:tcW w:w="8740" w:type="dxa"/>
            <w:vAlign w:val="bottom"/>
            <w:shd w:val="clear" w:color="auto" w:fill="F0F0F0"/>
          </w:tcPr>
          <w:p>
            <w:pPr>
              <w:ind w:left="140"/>
              <w:spacing w:after="0"/>
              <w:rPr>
                <w:sz w:val="20"/>
                <w:szCs w:val="20"/>
                <w:color w:val="auto"/>
              </w:rPr>
            </w:pPr>
            <w:r>
              <w:rPr>
                <w:rFonts w:ascii="Times New Roman" w:cs="Times New Roman" w:eastAsia="Times New Roman" w:hAnsi="Times New Roman"/>
                <w:sz w:val="18"/>
                <w:szCs w:val="18"/>
                <w:color w:val="auto"/>
              </w:rPr>
              <w:t>September 30, 2024).*</w:t>
            </w:r>
          </w:p>
        </w:tc>
      </w:tr>
      <w:tr>
        <w:trPr>
          <w:trHeight w:val="189"/>
        </w:trPr>
        <w:tc>
          <w:tcPr>
            <w:tcW w:w="20" w:type="dxa"/>
            <w:vAlign w:val="bottom"/>
          </w:tcPr>
          <w:p>
            <w:pPr>
              <w:spacing w:after="0"/>
              <w:rPr>
                <w:sz w:val="16"/>
                <w:szCs w:val="16"/>
                <w:color w:val="auto"/>
              </w:rPr>
            </w:pPr>
          </w:p>
        </w:tc>
        <w:tc>
          <w:tcPr>
            <w:tcW w:w="960" w:type="dxa"/>
            <w:vAlign w:val="bottom"/>
            <w:gridSpan w:val="8"/>
          </w:tcPr>
          <w:p>
            <w:pPr>
              <w:spacing w:after="0" w:line="189" w:lineRule="exact"/>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10(iii)(g)</w:t>
              </w:r>
            </w:hyperlink>
          </w:p>
        </w:tc>
        <w:tc>
          <w:tcPr>
            <w:tcW w:w="874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w w:val="99"/>
              </w:rPr>
              <w:t>Aircraft Time Share Agreement dated as of August 29, 2023, between Exxon Mobil Corporation and Darren W. Woods</w:t>
            </w:r>
          </w:p>
        </w:tc>
      </w:tr>
      <w:tr>
        <w:trPr>
          <w:trHeight w:val="151"/>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740" w:type="dxa"/>
            <w:vAlign w:val="bottom"/>
          </w:tcPr>
          <w:p>
            <w:pPr>
              <w:ind w:left="140"/>
              <w:spacing w:after="0" w:line="150" w:lineRule="exact"/>
              <w:rPr>
                <w:sz w:val="20"/>
                <w:szCs w:val="20"/>
                <w:color w:val="auto"/>
              </w:rPr>
            </w:pPr>
            <w:r>
              <w:rPr>
                <w:rFonts w:ascii="Times New Roman" w:cs="Times New Roman" w:eastAsia="Times New Roman" w:hAnsi="Times New Roman"/>
                <w:sz w:val="17"/>
                <w:szCs w:val="17"/>
                <w:color w:val="auto"/>
              </w:rPr>
              <w:t>(incorporated by reference to Exhibit 10(iii)(g) to the Registrant’s Report on Form 10-Q for the quarter ended October</w:t>
            </w:r>
          </w:p>
        </w:tc>
      </w:tr>
      <w:tr>
        <w:trPr>
          <w:trHeight w:val="234"/>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 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0</wp:posOffset>
            </wp:positionV>
            <wp:extent cx="6172200" cy="16319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7">
                      <a:extLst>
                        <a:ext uri="{28A0092B-C50C-407E-A947-70E740481C1C}"/>
                      </a:extLst>
                    </a:blip>
                    <a:srcRect/>
                    <a:stretch>
                      <a:fillRect/>
                    </a:stretch>
                  </pic:blipFill>
                  <pic:spPr bwMode="auto">
                    <a:xfrm>
                      <a:off x="0" y="0"/>
                      <a:ext cx="6172200" cy="163195"/>
                    </a:xfrm>
                    <a:prstGeom prst="rect">
                      <a:avLst/>
                    </a:prstGeom>
                    <a:noFill/>
                  </pic:spPr>
                </pic:pic>
              </a:graphicData>
            </a:graphic>
          </wp:anchor>
        </w:drawing>
      </w:r>
    </w:p>
    <w:p>
      <w:pPr>
        <w:ind w:left="1880" w:hanging="1098"/>
        <w:spacing w:after="0"/>
        <w:tabs>
          <w:tab w:leader="none" w:pos="1880" w:val="left"/>
        </w:tabs>
        <w:numPr>
          <w:ilvl w:val="0"/>
          <w:numId w:val="76"/>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Code of Ethics and Business Conduct.</w:t>
      </w:r>
    </w:p>
    <w:p>
      <w:pPr>
        <w:spacing w:after="0" w:line="45" w:lineRule="exact"/>
        <w:rPr>
          <w:sz w:val="20"/>
          <w:szCs w:val="20"/>
          <w:color w:val="auto"/>
        </w:rPr>
      </w:pPr>
    </w:p>
    <w:p>
      <w:pPr>
        <w:ind w:left="1880" w:hanging="1098"/>
        <w:spacing w:after="0"/>
        <w:tabs>
          <w:tab w:leader="none" w:pos="1880" w:val="left"/>
        </w:tabs>
        <w:numPr>
          <w:ilvl w:val="0"/>
          <w:numId w:val="77"/>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Insider Trading Policy.</w:t>
      </w:r>
    </w:p>
    <w:p>
      <w:pPr>
        <w:spacing w:after="0" w:line="50" w:lineRule="exact"/>
        <w:rPr>
          <w:sz w:val="20"/>
          <w:szCs w:val="20"/>
          <w:color w:val="auto"/>
        </w:rPr>
      </w:pPr>
    </w:p>
    <w:p>
      <w:pPr>
        <w:ind w:left="1880" w:hanging="1098"/>
        <w:spacing w:after="0"/>
        <w:tabs>
          <w:tab w:leader="none" w:pos="1880" w:val="left"/>
        </w:tabs>
        <w:numPr>
          <w:ilvl w:val="0"/>
          <w:numId w:val="78"/>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Subsidiaries of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-127635</wp:posOffset>
            </wp:positionV>
            <wp:extent cx="6172200" cy="16319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8">
                      <a:extLst>
                        <a:ext uri="{28A0092B-C50C-407E-A947-70E740481C1C}"/>
                      </a:extLst>
                    </a:blip>
                    <a:srcRect/>
                    <a:stretch>
                      <a:fillRect/>
                    </a:stretch>
                  </pic:blipFill>
                  <pic:spPr bwMode="auto">
                    <a:xfrm>
                      <a:off x="0" y="0"/>
                      <a:ext cx="6172200" cy="163195"/>
                    </a:xfrm>
                    <a:prstGeom prst="rect">
                      <a:avLst/>
                    </a:prstGeom>
                    <a:noFill/>
                  </pic:spPr>
                </pic:pic>
              </a:graphicData>
            </a:graphic>
          </wp:anchor>
        </w:drawing>
      </w:r>
    </w:p>
    <w:p>
      <w:pPr>
        <w:spacing w:after="0" w:line="30" w:lineRule="exact"/>
        <w:rPr>
          <w:sz w:val="20"/>
          <w:szCs w:val="20"/>
          <w:color w:val="auto"/>
        </w:rPr>
      </w:pPr>
    </w:p>
    <w:p>
      <w:pPr>
        <w:ind w:left="1880" w:hanging="1098"/>
        <w:spacing w:after="0"/>
        <w:tabs>
          <w:tab w:leader="none" w:pos="1880" w:val="left"/>
        </w:tabs>
        <w:numPr>
          <w:ilvl w:val="0"/>
          <w:numId w:val="79"/>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Consent of PricewaterhouseCoopers LLP, Independent Registered Public Accounting Firm.</w:t>
      </w:r>
    </w:p>
    <w:p>
      <w:pPr>
        <w:spacing w:after="0" w:line="36" w:lineRule="exact"/>
        <w:rPr>
          <w:sz w:val="20"/>
          <w:szCs w:val="20"/>
          <w:color w:val="auto"/>
        </w:rPr>
      </w:pPr>
    </w:p>
    <w:tbl>
      <w:tblPr>
        <w:tblLayout w:type="fixed"/>
        <w:tblInd w:w="760" w:type="dxa"/>
        <w:tblCellMar>
          <w:top w:w="0" w:type="dxa"/>
          <w:left w:w="0" w:type="dxa"/>
          <w:bottom w:w="0" w:type="dxa"/>
          <w:right w:w="0" w:type="dxa"/>
        </w:tblCellMar>
      </w:tblPr>
      <w:tr>
        <w:trPr>
          <w:trHeight w:val="254"/>
        </w:trPr>
        <w:tc>
          <w:tcPr>
            <w:tcW w:w="20" w:type="dxa"/>
            <w:vAlign w:val="bottom"/>
            <w:tcBorders>
              <w:bottom w:val="single" w:sz="8" w:color="F0F0F0"/>
            </w:tcBorders>
            <w:shd w:val="clear" w:color="auto" w:fill="F0F0F0"/>
          </w:tcPr>
          <w:p>
            <w:pPr>
              <w:spacing w:after="0"/>
              <w:rPr>
                <w:sz w:val="22"/>
                <w:szCs w:val="22"/>
                <w:color w:val="auto"/>
              </w:rPr>
            </w:pPr>
          </w:p>
        </w:tc>
        <w:tc>
          <w:tcPr>
            <w:tcW w:w="320" w:type="dxa"/>
            <w:vAlign w:val="bottom"/>
            <w:tcBorders>
              <w:bottom w:val="single" w:sz="8" w:color="0000FF"/>
            </w:tcBorders>
            <w:shd w:val="clear" w:color="auto" w:fill="F0F0F0"/>
          </w:tcPr>
          <w:p>
            <w:pPr>
              <w:jc w:val="right"/>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9380" w:type="dxa"/>
            <w:vAlign w:val="bottom"/>
            <w:tcBorders>
              <w:bottom w:val="single" w:sz="8" w:color="F0F0F0"/>
            </w:tcBorders>
            <w:gridSpan w:val="2"/>
            <w:shd w:val="clear" w:color="auto" w:fill="F0F0F0"/>
          </w:tcPr>
          <w:p>
            <w:pPr>
              <w:ind w:left="780"/>
              <w:spacing w:after="0"/>
              <w:rPr>
                <w:sz w:val="20"/>
                <w:szCs w:val="20"/>
                <w:color w:val="auto"/>
              </w:rPr>
            </w:pPr>
            <w:r>
              <w:rPr>
                <w:rFonts w:ascii="Times New Roman" w:cs="Times New Roman" w:eastAsia="Times New Roman" w:hAnsi="Times New Roman"/>
                <w:sz w:val="18"/>
                <w:szCs w:val="18"/>
                <w:color w:val="auto"/>
              </w:rPr>
              <w:t>Certification (pursuant to Securities Exchange Act Rule 13a-14(a)) by Chief Executive Officer.</w:t>
            </w:r>
          </w:p>
        </w:tc>
      </w:tr>
      <w:tr>
        <w:trPr>
          <w:trHeight w:val="189"/>
        </w:trPr>
        <w:tc>
          <w:tcPr>
            <w:tcW w:w="3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9380" w:type="dxa"/>
            <w:vAlign w:val="bottom"/>
            <w:gridSpan w:val="2"/>
          </w:tcPr>
          <w:p>
            <w:pPr>
              <w:ind w:left="780"/>
              <w:spacing w:after="0" w:line="189" w:lineRule="exact"/>
              <w:rPr>
                <w:sz w:val="20"/>
                <w:szCs w:val="20"/>
                <w:color w:val="auto"/>
              </w:rPr>
            </w:pPr>
            <w:r>
              <w:rPr>
                <w:rFonts w:ascii="Times New Roman" w:cs="Times New Roman" w:eastAsia="Times New Roman" w:hAnsi="Times New Roman"/>
                <w:sz w:val="18"/>
                <w:szCs w:val="18"/>
                <w:color w:val="auto"/>
              </w:rPr>
              <w:t>Certification (pursuant to Securities Exchange Act Rule 13a-14(a)) by Chief Financial Officer.</w:t>
            </w:r>
          </w:p>
        </w:tc>
      </w:tr>
      <w:tr>
        <w:trPr>
          <w:trHeight w:val="48"/>
        </w:trPr>
        <w:tc>
          <w:tcPr>
            <w:tcW w:w="2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740" w:type="dxa"/>
            <w:vAlign w:val="bottom"/>
          </w:tcPr>
          <w:p>
            <w:pPr>
              <w:spacing w:after="0"/>
              <w:rPr>
                <w:sz w:val="4"/>
                <w:szCs w:val="4"/>
                <w:color w:val="auto"/>
              </w:rPr>
            </w:pPr>
          </w:p>
        </w:tc>
        <w:tc>
          <w:tcPr>
            <w:tcW w:w="7640" w:type="dxa"/>
            <w:vAlign w:val="bottom"/>
          </w:tcPr>
          <w:p>
            <w:pPr>
              <w:spacing w:after="0"/>
              <w:rPr>
                <w:sz w:val="4"/>
                <w:szCs w:val="4"/>
                <w:color w:val="auto"/>
              </w:rPr>
            </w:pPr>
          </w:p>
        </w:tc>
      </w:tr>
      <w:tr>
        <w:trPr>
          <w:trHeight w:val="237"/>
        </w:trPr>
        <w:tc>
          <w:tcPr>
            <w:tcW w:w="20" w:type="dxa"/>
            <w:vAlign w:val="bottom"/>
            <w:tcBorders>
              <w:bottom w:val="single" w:sz="8" w:color="F0F0F0"/>
            </w:tcBorders>
            <w:shd w:val="clear" w:color="auto" w:fill="F0F0F0"/>
          </w:tcPr>
          <w:p>
            <w:pPr>
              <w:spacing w:after="0"/>
              <w:rPr>
                <w:sz w:val="20"/>
                <w:szCs w:val="20"/>
                <w:color w:val="auto"/>
              </w:rPr>
            </w:pPr>
          </w:p>
        </w:tc>
        <w:tc>
          <w:tcPr>
            <w:tcW w:w="320" w:type="dxa"/>
            <w:vAlign w:val="bottom"/>
            <w:tcBorders>
              <w:bottom w:val="single" w:sz="8" w:color="0000FF"/>
            </w:tcBorders>
            <w:shd w:val="clear" w:color="auto" w:fill="F0F0F0"/>
          </w:tcPr>
          <w:p>
            <w:pPr>
              <w:jc w:val="right"/>
              <w:spacing w:after="0" w:line="189" w:lineRule="exact"/>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3</w:t>
            </w:r>
          </w:p>
        </w:tc>
        <w:tc>
          <w:tcPr>
            <w:tcW w:w="9380" w:type="dxa"/>
            <w:vAlign w:val="bottom"/>
            <w:tcBorders>
              <w:bottom w:val="single" w:sz="8" w:color="F0F0F0"/>
            </w:tcBorders>
            <w:gridSpan w:val="2"/>
            <w:shd w:val="clear" w:color="auto" w:fill="F0F0F0"/>
          </w:tcPr>
          <w:p>
            <w:pPr>
              <w:ind w:left="780"/>
              <w:spacing w:after="0" w:line="189" w:lineRule="exact"/>
              <w:rPr>
                <w:sz w:val="20"/>
                <w:szCs w:val="20"/>
                <w:color w:val="auto"/>
              </w:rPr>
            </w:pPr>
            <w:r>
              <w:rPr>
                <w:rFonts w:ascii="Times New Roman" w:cs="Times New Roman" w:eastAsia="Times New Roman" w:hAnsi="Times New Roman"/>
                <w:sz w:val="18"/>
                <w:szCs w:val="18"/>
                <w:color w:val="auto"/>
              </w:rPr>
              <w:t>Certification (pursuant to Securities Exchange Act Rule 13a-14(a)) by Principal Accounting Officer.</w:t>
            </w:r>
          </w:p>
        </w:tc>
      </w:tr>
      <w:tr>
        <w:trPr>
          <w:trHeight w:val="189"/>
        </w:trPr>
        <w:tc>
          <w:tcPr>
            <w:tcW w:w="3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1740" w:type="dxa"/>
            <w:vAlign w:val="bottom"/>
          </w:tcPr>
          <w:p>
            <w:pPr>
              <w:ind w:left="780"/>
              <w:spacing w:after="0" w:line="189" w:lineRule="exact"/>
              <w:rPr>
                <w:sz w:val="20"/>
                <w:szCs w:val="20"/>
                <w:color w:val="auto"/>
              </w:rPr>
            </w:pPr>
            <w:r>
              <w:rPr>
                <w:rFonts w:ascii="Times New Roman" w:cs="Times New Roman" w:eastAsia="Times New Roman" w:hAnsi="Times New Roman"/>
                <w:sz w:val="18"/>
                <w:szCs w:val="18"/>
                <w:color w:val="auto"/>
                <w:w w:val="99"/>
              </w:rPr>
              <w:t>Section 1350</w:t>
            </w:r>
          </w:p>
        </w:tc>
        <w:tc>
          <w:tcPr>
            <w:tcW w:w="76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Certification (pursuant to Sarbanes-Oxley Section 906) by Chief Executive Officer.</w:t>
            </w:r>
          </w:p>
        </w:tc>
      </w:tr>
      <w:tr>
        <w:trPr>
          <w:trHeight w:val="48"/>
        </w:trPr>
        <w:tc>
          <w:tcPr>
            <w:tcW w:w="2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1740" w:type="dxa"/>
            <w:vAlign w:val="bottom"/>
          </w:tcPr>
          <w:p>
            <w:pPr>
              <w:spacing w:after="0"/>
              <w:rPr>
                <w:sz w:val="4"/>
                <w:szCs w:val="4"/>
                <w:color w:val="auto"/>
              </w:rPr>
            </w:pPr>
          </w:p>
        </w:tc>
        <w:tc>
          <w:tcPr>
            <w:tcW w:w="7640" w:type="dxa"/>
            <w:vAlign w:val="bottom"/>
          </w:tcPr>
          <w:p>
            <w:pPr>
              <w:spacing w:after="0"/>
              <w:rPr>
                <w:sz w:val="4"/>
                <w:szCs w:val="4"/>
                <w:color w:val="auto"/>
              </w:rPr>
            </w:pPr>
          </w:p>
        </w:tc>
      </w:tr>
      <w:tr>
        <w:trPr>
          <w:trHeight w:val="237"/>
        </w:trPr>
        <w:tc>
          <w:tcPr>
            <w:tcW w:w="20" w:type="dxa"/>
            <w:vAlign w:val="bottom"/>
            <w:tcBorders>
              <w:bottom w:val="single" w:sz="8" w:color="F0F0F0"/>
            </w:tcBorders>
            <w:shd w:val="clear" w:color="auto" w:fill="F0F0F0"/>
          </w:tcPr>
          <w:p>
            <w:pPr>
              <w:spacing w:after="0"/>
              <w:rPr>
                <w:sz w:val="20"/>
                <w:szCs w:val="20"/>
                <w:color w:val="auto"/>
              </w:rPr>
            </w:pPr>
          </w:p>
        </w:tc>
        <w:tc>
          <w:tcPr>
            <w:tcW w:w="320" w:type="dxa"/>
            <w:vAlign w:val="bottom"/>
            <w:tcBorders>
              <w:bottom w:val="single" w:sz="8" w:color="0000FF"/>
            </w:tcBorders>
            <w:shd w:val="clear" w:color="auto" w:fill="F0F0F0"/>
          </w:tcPr>
          <w:p>
            <w:pPr>
              <w:jc w:val="right"/>
              <w:spacing w:after="0" w:line="189" w:lineRule="exact"/>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2</w:t>
            </w:r>
          </w:p>
        </w:tc>
        <w:tc>
          <w:tcPr>
            <w:tcW w:w="1740" w:type="dxa"/>
            <w:vAlign w:val="bottom"/>
            <w:tcBorders>
              <w:bottom w:val="single" w:sz="8" w:color="F0F0F0"/>
            </w:tcBorders>
            <w:shd w:val="clear" w:color="auto" w:fill="F0F0F0"/>
          </w:tcPr>
          <w:p>
            <w:pPr>
              <w:ind w:left="780"/>
              <w:spacing w:after="0" w:line="189" w:lineRule="exact"/>
              <w:rPr>
                <w:sz w:val="20"/>
                <w:szCs w:val="20"/>
                <w:color w:val="auto"/>
              </w:rPr>
            </w:pPr>
            <w:r>
              <w:rPr>
                <w:rFonts w:ascii="Times New Roman" w:cs="Times New Roman" w:eastAsia="Times New Roman" w:hAnsi="Times New Roman"/>
                <w:sz w:val="18"/>
                <w:szCs w:val="18"/>
                <w:color w:val="auto"/>
                <w:w w:val="99"/>
              </w:rPr>
              <w:t>Section 1350</w:t>
            </w:r>
          </w:p>
        </w:tc>
        <w:tc>
          <w:tcPr>
            <w:tcW w:w="7640" w:type="dxa"/>
            <w:vAlign w:val="bottom"/>
            <w:tcBorders>
              <w:bottom w:val="single" w:sz="8" w:color="F0F0F0"/>
            </w:tcBorders>
            <w:shd w:val="clear" w:color="auto" w:fill="F0F0F0"/>
          </w:tcPr>
          <w:p>
            <w:pPr>
              <w:ind w:left="20"/>
              <w:spacing w:after="0" w:line="189" w:lineRule="exact"/>
              <w:rPr>
                <w:sz w:val="20"/>
                <w:szCs w:val="20"/>
                <w:color w:val="auto"/>
              </w:rPr>
            </w:pPr>
            <w:r>
              <w:rPr>
                <w:rFonts w:ascii="Times New Roman" w:cs="Times New Roman" w:eastAsia="Times New Roman" w:hAnsi="Times New Roman"/>
                <w:sz w:val="18"/>
                <w:szCs w:val="18"/>
                <w:color w:val="auto"/>
              </w:rPr>
              <w:t>Certification (pursuant to Sarbanes-Oxley Section 906) by Chief Financial Officer.</w:t>
            </w:r>
          </w:p>
        </w:tc>
      </w:tr>
      <w:tr>
        <w:trPr>
          <w:trHeight w:val="189"/>
        </w:trPr>
        <w:tc>
          <w:tcPr>
            <w:tcW w:w="20" w:type="dxa"/>
            <w:vAlign w:val="bottom"/>
          </w:tcPr>
          <w:p>
            <w:pPr>
              <w:spacing w:after="0"/>
              <w:rPr>
                <w:sz w:val="16"/>
                <w:szCs w:val="16"/>
                <w:color w:val="auto"/>
              </w:rPr>
            </w:pPr>
          </w:p>
        </w:tc>
        <w:tc>
          <w:tcPr>
            <w:tcW w:w="320" w:type="dxa"/>
            <w:vAlign w:val="bottom"/>
            <w:tcBorders>
              <w:bottom w:val="single" w:sz="8" w:color="0000FF"/>
            </w:tcBorders>
          </w:tcPr>
          <w:p>
            <w:pPr>
              <w:jc w:val="right"/>
              <w:spacing w:after="0" w:line="189" w:lineRule="exact"/>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3</w:t>
            </w:r>
          </w:p>
        </w:tc>
        <w:tc>
          <w:tcPr>
            <w:tcW w:w="1740" w:type="dxa"/>
            <w:vAlign w:val="bottom"/>
          </w:tcPr>
          <w:p>
            <w:pPr>
              <w:ind w:left="780"/>
              <w:spacing w:after="0" w:line="189" w:lineRule="exact"/>
              <w:rPr>
                <w:sz w:val="20"/>
                <w:szCs w:val="20"/>
                <w:color w:val="auto"/>
              </w:rPr>
            </w:pPr>
            <w:r>
              <w:rPr>
                <w:rFonts w:ascii="Times New Roman" w:cs="Times New Roman" w:eastAsia="Times New Roman" w:hAnsi="Times New Roman"/>
                <w:sz w:val="18"/>
                <w:szCs w:val="18"/>
                <w:color w:val="auto"/>
                <w:w w:val="99"/>
              </w:rPr>
              <w:t>Section 1350</w:t>
            </w:r>
          </w:p>
        </w:tc>
        <w:tc>
          <w:tcPr>
            <w:tcW w:w="76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Certification (pursuant to Sarbanes-Oxley Section 906) by Principal Accounting Officer.</w:t>
            </w:r>
          </w:p>
        </w:tc>
      </w:tr>
    </w:tbl>
    <w:p>
      <w:pPr>
        <w:spacing w:after="0" w:line="49" w:lineRule="exact"/>
        <w:rPr>
          <w:sz w:val="20"/>
          <w:szCs w:val="20"/>
          <w:color w:val="auto"/>
        </w:rPr>
      </w:pPr>
    </w:p>
    <w:p>
      <w:pPr>
        <w:ind w:left="1880" w:right="780" w:hanging="1098"/>
        <w:spacing w:after="0" w:line="237" w:lineRule="auto"/>
        <w:tabs>
          <w:tab w:leader="none" w:pos="1880" w:val="left"/>
        </w:tabs>
        <w:numPr>
          <w:ilvl w:val="0"/>
          <w:numId w:val="80"/>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Policy Relating to Recovery of Erroneously Awarded Compensation (incorporated by reference to Exhibit 97 to the Registrant’s Annual Report on Form 10-K for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-255905</wp:posOffset>
            </wp:positionV>
            <wp:extent cx="6172200" cy="26606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9">
                      <a:extLst>
                        <a:ext uri="{28A0092B-C50C-407E-A947-70E740481C1C}"/>
                      </a:extLst>
                    </a:blip>
                    <a:srcRect/>
                    <a:stretch>
                      <a:fillRect/>
                    </a:stretch>
                  </pic:blipFill>
                  <pic:spPr bwMode="auto">
                    <a:xfrm>
                      <a:off x="0" y="0"/>
                      <a:ext cx="6172200" cy="266065"/>
                    </a:xfrm>
                    <a:prstGeom prst="rect">
                      <a:avLst/>
                    </a:prstGeom>
                    <a:noFill/>
                  </pic:spPr>
                </pic:pic>
              </a:graphicData>
            </a:graphic>
          </wp:anchor>
        </w:drawing>
      </w:r>
    </w:p>
    <w:tbl>
      <w:tblPr>
        <w:tblLayout w:type="fixed"/>
        <w:tblInd w:w="760" w:type="dxa"/>
        <w:tblCellMar>
          <w:top w:w="0" w:type="dxa"/>
          <w:left w:w="0" w:type="dxa"/>
          <w:bottom w:w="0" w:type="dxa"/>
          <w:right w:w="0" w:type="dxa"/>
        </w:tblCellMar>
      </w:tblPr>
      <w:tr>
        <w:trPr>
          <w:trHeight w:val="234"/>
        </w:trPr>
        <w:tc>
          <w:tcPr>
            <w:tcW w:w="7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101</w:t>
            </w:r>
          </w:p>
        </w:tc>
        <w:tc>
          <w:tcPr>
            <w:tcW w:w="90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Interactive data files (formatted as Inline XBRL).</w:t>
            </w:r>
          </w:p>
        </w:tc>
      </w:tr>
      <w:tr>
        <w:trPr>
          <w:trHeight w:val="27"/>
        </w:trPr>
        <w:tc>
          <w:tcPr>
            <w:tcW w:w="700" w:type="dxa"/>
            <w:vAlign w:val="bottom"/>
          </w:tcPr>
          <w:p>
            <w:pPr>
              <w:spacing w:after="0"/>
              <w:rPr>
                <w:sz w:val="2"/>
                <w:szCs w:val="2"/>
                <w:color w:val="auto"/>
              </w:rPr>
            </w:pPr>
          </w:p>
        </w:tc>
        <w:tc>
          <w:tcPr>
            <w:tcW w:w="9020" w:type="dxa"/>
            <w:vAlign w:val="bottom"/>
          </w:tcPr>
          <w:p>
            <w:pPr>
              <w:spacing w:after="0"/>
              <w:rPr>
                <w:sz w:val="2"/>
                <w:szCs w:val="2"/>
                <w:color w:val="auto"/>
              </w:rPr>
            </w:pPr>
          </w:p>
        </w:tc>
      </w:tr>
      <w:tr>
        <w:trPr>
          <w:trHeight w:val="234"/>
        </w:trPr>
        <w:tc>
          <w:tcPr>
            <w:tcW w:w="700" w:type="dxa"/>
            <w:vAlign w:val="bottom"/>
            <w:shd w:val="clear" w:color="auto" w:fill="F0F0F0"/>
          </w:tcPr>
          <w:p>
            <w:pPr>
              <w:jc w:val="right"/>
              <w:ind w:right="310"/>
              <w:spacing w:after="0"/>
              <w:rPr>
                <w:sz w:val="20"/>
                <w:szCs w:val="20"/>
                <w:color w:val="auto"/>
              </w:rPr>
            </w:pPr>
            <w:r>
              <w:rPr>
                <w:rFonts w:ascii="Times New Roman" w:cs="Times New Roman" w:eastAsia="Times New Roman" w:hAnsi="Times New Roman"/>
                <w:sz w:val="18"/>
                <w:szCs w:val="18"/>
                <w:color w:val="auto"/>
              </w:rPr>
              <w:t>104</w:t>
            </w:r>
          </w:p>
        </w:tc>
        <w:tc>
          <w:tcPr>
            <w:tcW w:w="9020" w:type="dxa"/>
            <w:vAlign w:val="bottom"/>
            <w:shd w:val="clear" w:color="auto" w:fill="F0F0F0"/>
          </w:tcPr>
          <w:p>
            <w:pPr>
              <w:ind w:left="42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22"/>
        </w:trPr>
        <w:tc>
          <w:tcPr>
            <w:tcW w:w="700" w:type="dxa"/>
            <w:vAlign w:val="bottom"/>
            <w:shd w:val="clear" w:color="auto" w:fill="F0F0F0"/>
          </w:tcPr>
          <w:p>
            <w:pPr>
              <w:spacing w:after="0" w:line="20" w:lineRule="exact"/>
              <w:rPr>
                <w:sz w:val="1"/>
                <w:szCs w:val="1"/>
                <w:color w:val="auto"/>
              </w:rPr>
            </w:pPr>
          </w:p>
        </w:tc>
        <w:tc>
          <w:tcPr>
            <w:tcW w:w="9020" w:type="dxa"/>
            <w:vAlign w:val="bottom"/>
            <w:shd w:val="clear" w:color="auto" w:fill="F0F0F0"/>
          </w:tcPr>
          <w:p>
            <w:pPr>
              <w:spacing w:after="0" w:line="20" w:lineRule="exact"/>
              <w:rPr>
                <w:sz w:val="1"/>
                <w:szCs w:val="1"/>
                <w:color w:val="auto"/>
              </w:rPr>
            </w:pPr>
          </w:p>
        </w:tc>
      </w:tr>
    </w:tbl>
    <w:p>
      <w:pPr>
        <w:ind w:left="780"/>
        <w:spacing w:after="0"/>
        <w:rPr>
          <w:sz w:val="20"/>
          <w:szCs w:val="20"/>
          <w:color w:val="auto"/>
        </w:rPr>
      </w:pPr>
      <w:r>
        <w:rPr>
          <w:rFonts w:ascii="Times New Roman" w:cs="Times New Roman" w:eastAsia="Times New Roman" w:hAnsi="Times New Roman"/>
          <w:sz w:val="14"/>
          <w:szCs w:val="14"/>
          <w:color w:val="auto"/>
        </w:rPr>
        <w:t>* Management contract or compensatory plan or arrangement required to be identified pursuant to Item 15(a)(3) of this Annual Report on Form 10-K.</w:t>
      </w:r>
    </w:p>
    <w:p>
      <w:pPr>
        <w:spacing w:after="0" w:line="15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registrant has not filed with this report copies of the instruments defining the rights of holders of long-term debt of the registrant and its subsidiaries for which consolidated or unconsolidated financial statements are required to be filed. The registrant agrees to furnish a copy of any such instrument to the Securities and Exchange Commission upon request.</w:t>
      </w:r>
    </w:p>
    <w:p>
      <w:pPr>
        <w:sectPr>
          <w:pgSz w:w="11900" w:h="16838" w:orient="portrait"/>
          <w:cols w:equalWidth="0" w:num="1">
            <w:col w:w="11240"/>
          </w:cols>
          <w:pgMar w:left="320" w:top="941" w:right="3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type w:val="continuous"/>
        </w:sectPr>
      </w:pPr>
    </w:p>
    <w:bookmarkStart w:id="137" w:name="page138"/>
    <w:bookmarkEnd w:id="137"/>
    <w:p>
      <w:pPr>
        <w:jc w:val="center"/>
        <w:ind w:right="20"/>
        <w:spacing w:after="0"/>
        <w:rPr>
          <w:sz w:val="20"/>
          <w:szCs w:val="20"/>
          <w:color w:val="auto"/>
        </w:rPr>
      </w:pPr>
      <w:r>
        <w:rPr>
          <w:rFonts w:ascii="Times New Roman" w:cs="Times New Roman" w:eastAsia="Times New Roman" w:hAnsi="Times New Roman"/>
          <w:sz w:val="18"/>
          <w:szCs w:val="18"/>
          <w:b w:val="1"/>
          <w:bCs w:val="1"/>
          <w:color w:val="0C479D"/>
        </w:rPr>
        <w:t>SIGNATURES</w:t>
      </w:r>
    </w:p>
    <w:p>
      <w:pPr>
        <w:spacing w:after="0" w:line="216" w:lineRule="exact"/>
        <w:rPr>
          <w:sz w:val="20"/>
          <w:szCs w:val="20"/>
          <w:color w:val="auto"/>
        </w:rPr>
      </w:pPr>
    </w:p>
    <w:p>
      <w:pPr>
        <w:ind w:left="240" w:right="340"/>
        <w:spacing w:after="0" w:line="250"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1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EXXON MOBIL CORPORATION</w:t>
      </w:r>
    </w:p>
    <w:p>
      <w:pPr>
        <w:spacing w:after="0" w:line="297" w:lineRule="exact"/>
        <w:rPr>
          <w:sz w:val="20"/>
          <w:szCs w:val="20"/>
          <w:color w:val="auto"/>
        </w:rPr>
      </w:pPr>
    </w:p>
    <w:tbl>
      <w:tblPr>
        <w:tblLayout w:type="fixed"/>
        <w:tblInd w:w="240" w:type="dxa"/>
        <w:tblCellMar>
          <w:top w:w="0" w:type="dxa"/>
          <w:left w:w="0" w:type="dxa"/>
          <w:bottom w:w="0" w:type="dxa"/>
          <w:right w:w="0" w:type="dxa"/>
        </w:tblCellMar>
      </w:tblPr>
      <w:tr>
        <w:trPr>
          <w:trHeight w:val="275"/>
        </w:trPr>
        <w:tc>
          <w:tcPr>
            <w:tcW w:w="5060" w:type="dxa"/>
            <w:vAlign w:val="bottom"/>
          </w:tcPr>
          <w:p>
            <w:pPr>
              <w:ind w:left="464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DARREN W. WOODS</w:t>
            </w:r>
          </w:p>
        </w:tc>
      </w:tr>
      <w:tr>
        <w:trPr>
          <w:trHeight w:val="228"/>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19, 2025</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Darren W. Woods, Chairman of the Board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537210</wp:posOffset>
            </wp:positionV>
            <wp:extent cx="608647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1">
                      <a:extLst>
                        <a:ext uri="{28A0092B-C50C-407E-A947-70E740481C1C}"/>
                      </a:extLst>
                    </a:blip>
                    <a:srcRect/>
                    <a:stretch>
                      <a:fillRect/>
                    </a:stretch>
                  </pic:blipFill>
                  <pic:spPr bwMode="auto">
                    <a:xfrm>
                      <a:off x="0" y="0"/>
                      <a:ext cx="608647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0C479D"/>
        </w:rPr>
        <w:t>POWER OF ATTORNEY</w:t>
      </w: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Each person whose signature appears below constitutes and appoints Matthew R. Rasmussen, Brian J. Conjelko, and Antony E.</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Peters and each of them,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their or his or her substitute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substitutes, may lawfully do or cause to be done by virtue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613791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2">
                      <a:extLst>
                        <a:ext uri="{28A0092B-C50C-407E-A947-70E740481C1C}"/>
                      </a:extLst>
                    </a:blip>
                    <a:srcRect/>
                    <a:stretch>
                      <a:fillRect/>
                    </a:stretch>
                  </pic:blipFill>
                  <pic:spPr bwMode="auto">
                    <a:xfrm>
                      <a:off x="0" y="0"/>
                      <a:ext cx="6137910" cy="8890"/>
                    </a:xfrm>
                    <a:prstGeom prst="rect">
                      <a:avLst/>
                    </a:prstGeom>
                    <a:noFill/>
                  </pic:spPr>
                </pic:pic>
              </a:graphicData>
            </a:graphic>
          </wp:anchor>
        </w:drawing>
      </w:r>
    </w:p>
    <w:p>
      <w:pPr>
        <w:spacing w:after="0" w:line="388" w:lineRule="exact"/>
        <w:rPr>
          <w:sz w:val="20"/>
          <w:szCs w:val="20"/>
          <w:color w:val="auto"/>
        </w:rPr>
      </w:pPr>
    </w:p>
    <w:p>
      <w:pPr>
        <w:jc w:val="both"/>
        <w:ind w:right="40"/>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and on February 19, 2025.</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860" w:type="dxa"/>
            <w:vAlign w:val="bottom"/>
            <w:shd w:val="clear" w:color="auto" w:fill="F0F0F0"/>
          </w:tcPr>
          <w:p>
            <w:pPr>
              <w:jc w:val="center"/>
              <w:spacing w:after="0"/>
              <w:rPr>
                <w:sz w:val="20"/>
                <w:szCs w:val="20"/>
                <w:color w:val="auto"/>
              </w:rPr>
            </w:pPr>
            <w:r>
              <w:rPr>
                <w:rFonts w:ascii="Times New Roman" w:cs="Times New Roman" w:eastAsia="Times New Roman" w:hAnsi="Times New Roman"/>
                <w:sz w:val="18"/>
                <w:szCs w:val="18"/>
                <w:b w:val="1"/>
                <w:bCs w:val="1"/>
                <w:color w:val="0C479D"/>
                <w:w w:val="99"/>
              </w:rPr>
              <w:t>Principal Executive Officer</w:t>
            </w:r>
          </w:p>
        </w:tc>
        <w:tc>
          <w:tcPr>
            <w:tcW w:w="460" w:type="dxa"/>
            <w:vAlign w:val="bottom"/>
            <w:tcBorders>
              <w:right w:val="single" w:sz="8" w:color="0C479D"/>
            </w:tcBorders>
          </w:tcPr>
          <w:p>
            <w:pPr>
              <w:spacing w:after="0"/>
              <w:rPr>
                <w:sz w:val="23"/>
                <w:szCs w:val="23"/>
                <w:color w:val="auto"/>
              </w:rPr>
            </w:pPr>
          </w:p>
        </w:tc>
        <w:tc>
          <w:tcPr>
            <w:tcW w:w="420" w:type="dxa"/>
            <w:vAlign w:val="bottom"/>
          </w:tcPr>
          <w:p>
            <w:pPr>
              <w:spacing w:after="0"/>
              <w:rPr>
                <w:sz w:val="23"/>
                <w:szCs w:val="23"/>
                <w:color w:val="auto"/>
              </w:rPr>
            </w:pPr>
          </w:p>
        </w:tc>
        <w:tc>
          <w:tcPr>
            <w:tcW w:w="2560" w:type="dxa"/>
            <w:vAlign w:val="bottom"/>
            <w:shd w:val="clear" w:color="auto" w:fill="F0F0F0"/>
          </w:tcPr>
          <w:p>
            <w:pPr>
              <w:spacing w:after="0"/>
              <w:rPr>
                <w:sz w:val="23"/>
                <w:szCs w:val="23"/>
                <w:color w:val="auto"/>
              </w:rPr>
            </w:pPr>
          </w:p>
        </w:tc>
        <w:tc>
          <w:tcPr>
            <w:tcW w:w="3360" w:type="dxa"/>
            <w:vAlign w:val="bottom"/>
            <w:gridSpan w:val="3"/>
            <w:shd w:val="clear" w:color="auto" w:fill="F0F0F0"/>
          </w:tcPr>
          <w:p>
            <w:pPr>
              <w:ind w:left="40"/>
              <w:spacing w:after="0"/>
              <w:rPr>
                <w:sz w:val="20"/>
                <w:szCs w:val="20"/>
                <w:color w:val="auto"/>
              </w:rPr>
            </w:pPr>
            <w:r>
              <w:rPr>
                <w:rFonts w:ascii="Times New Roman" w:cs="Times New Roman" w:eastAsia="Times New Roman" w:hAnsi="Times New Roman"/>
                <w:sz w:val="18"/>
                <w:szCs w:val="18"/>
                <w:b w:val="1"/>
                <w:bCs w:val="1"/>
                <w:color w:val="0C479D"/>
              </w:rPr>
              <w:t>Directors</w:t>
            </w:r>
          </w:p>
        </w:tc>
      </w:tr>
      <w:tr>
        <w:trPr>
          <w:trHeight w:val="702"/>
        </w:trPr>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DARREN W. WOODS</w:t>
            </w:r>
          </w:p>
        </w:tc>
        <w:tc>
          <w:tcPr>
            <w:tcW w:w="460" w:type="dxa"/>
            <w:vAlign w:val="bottom"/>
            <w:tcBorders>
              <w:right w:val="single" w:sz="8" w:color="0C479D"/>
            </w:tcBorders>
          </w:tcPr>
          <w:p>
            <w:pPr>
              <w:spacing w:after="0"/>
              <w:rPr>
                <w:sz w:val="24"/>
                <w:szCs w:val="24"/>
                <w:color w:val="auto"/>
              </w:rPr>
            </w:pPr>
          </w:p>
        </w:tc>
        <w:tc>
          <w:tcPr>
            <w:tcW w:w="420" w:type="dxa"/>
            <w:vAlign w:val="bottom"/>
          </w:tcPr>
          <w:p>
            <w:pPr>
              <w:spacing w:after="0"/>
              <w:rPr>
                <w:sz w:val="24"/>
                <w:szCs w:val="24"/>
                <w:color w:val="auto"/>
              </w:rPr>
            </w:pPr>
          </w:p>
        </w:tc>
        <w:tc>
          <w:tcPr>
            <w:tcW w:w="256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w w:val="99"/>
              </w:rPr>
              <w:t>/s/ MICHAEL J. ANGELAKIS</w:t>
            </w:r>
          </w:p>
        </w:tc>
        <w:tc>
          <w:tcPr>
            <w:tcW w:w="22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STEVEN A. KANDARIAN</w:t>
            </w:r>
          </w:p>
        </w:tc>
      </w:tr>
      <w:tr>
        <w:trPr>
          <w:trHeight w:val="178"/>
        </w:trPr>
        <w:tc>
          <w:tcPr>
            <w:tcW w:w="28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8"/>
              </w:rPr>
              <w:t>Darren W. Woods, Chairman of the</w:t>
            </w:r>
          </w:p>
        </w:tc>
        <w:tc>
          <w:tcPr>
            <w:tcW w:w="460" w:type="dxa"/>
            <w:vAlign w:val="bottom"/>
            <w:tcBorders>
              <w:right w:val="single" w:sz="8" w:color="0C479D"/>
            </w:tcBorders>
          </w:tcPr>
          <w:p>
            <w:pPr>
              <w:spacing w:after="0"/>
              <w:rPr>
                <w:sz w:val="15"/>
                <w:szCs w:val="15"/>
                <w:color w:val="auto"/>
              </w:rPr>
            </w:pPr>
          </w:p>
        </w:tc>
        <w:tc>
          <w:tcPr>
            <w:tcW w:w="420" w:type="dxa"/>
            <w:vAlign w:val="bottom"/>
          </w:tcPr>
          <w:p>
            <w:pPr>
              <w:spacing w:after="0"/>
              <w:rPr>
                <w:sz w:val="15"/>
                <w:szCs w:val="15"/>
                <w:color w:val="auto"/>
              </w:rPr>
            </w:pPr>
          </w:p>
        </w:tc>
        <w:tc>
          <w:tcPr>
            <w:tcW w:w="2560" w:type="dxa"/>
            <w:vAlign w:val="bottom"/>
          </w:tcPr>
          <w:p>
            <w:pPr>
              <w:jc w:val="center"/>
              <w:ind w:left="110"/>
              <w:spacing w:after="0" w:line="177" w:lineRule="exact"/>
              <w:rPr>
                <w:sz w:val="20"/>
                <w:szCs w:val="20"/>
                <w:color w:val="auto"/>
              </w:rPr>
            </w:pPr>
            <w:r>
              <w:rPr>
                <w:rFonts w:ascii="Times New Roman" w:cs="Times New Roman" w:eastAsia="Times New Roman" w:hAnsi="Times New Roman"/>
                <w:sz w:val="18"/>
                <w:szCs w:val="18"/>
                <w:color w:val="auto"/>
                <w:w w:val="99"/>
              </w:rPr>
              <w:t>Michael J. Angelakis</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Steven A. Kandarian</w:t>
            </w:r>
          </w:p>
        </w:tc>
      </w:tr>
      <w:tr>
        <w:trPr>
          <w:trHeight w:val="234"/>
        </w:trPr>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Board</w:t>
            </w:r>
          </w:p>
        </w:tc>
        <w:tc>
          <w:tcPr>
            <w:tcW w:w="460" w:type="dxa"/>
            <w:vAlign w:val="bottom"/>
            <w:tcBorders>
              <w:right w:val="single" w:sz="8" w:color="0C479D"/>
            </w:tcBorders>
          </w:tcPr>
          <w:p>
            <w:pPr>
              <w:spacing w:after="0"/>
              <w:rPr>
                <w:sz w:val="20"/>
                <w:szCs w:val="20"/>
                <w:color w:val="auto"/>
              </w:rPr>
            </w:pPr>
          </w:p>
        </w:tc>
        <w:tc>
          <w:tcPr>
            <w:tcW w:w="4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540"/>
        </w:trPr>
        <w:tc>
          <w:tcPr>
            <w:tcW w:w="2860" w:type="dxa"/>
            <w:vAlign w:val="bottom"/>
            <w:tcBorders>
              <w:bottom w:val="single" w:sz="8" w:color="F0F0F0"/>
            </w:tcBorders>
          </w:tcPr>
          <w:p>
            <w:pPr>
              <w:spacing w:after="0"/>
              <w:rPr>
                <w:sz w:val="24"/>
                <w:szCs w:val="24"/>
                <w:color w:val="auto"/>
              </w:rPr>
            </w:pPr>
          </w:p>
        </w:tc>
        <w:tc>
          <w:tcPr>
            <w:tcW w:w="460" w:type="dxa"/>
            <w:vAlign w:val="bottom"/>
            <w:tcBorders>
              <w:right w:val="single" w:sz="8" w:color="0C479D"/>
            </w:tcBorders>
          </w:tcPr>
          <w:p>
            <w:pPr>
              <w:spacing w:after="0"/>
              <w:rPr>
                <w:sz w:val="24"/>
                <w:szCs w:val="24"/>
                <w:color w:val="auto"/>
              </w:rPr>
            </w:pPr>
          </w:p>
        </w:tc>
        <w:tc>
          <w:tcPr>
            <w:tcW w:w="420" w:type="dxa"/>
            <w:vAlign w:val="bottom"/>
          </w:tcPr>
          <w:p>
            <w:pPr>
              <w:spacing w:after="0"/>
              <w:rPr>
                <w:sz w:val="24"/>
                <w:szCs w:val="24"/>
                <w:color w:val="auto"/>
              </w:rPr>
            </w:pPr>
          </w:p>
        </w:tc>
        <w:tc>
          <w:tcPr>
            <w:tcW w:w="256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w w:val="98"/>
              </w:rPr>
              <w:t>/s/ ANGELA F. BRALY</w:t>
            </w:r>
          </w:p>
        </w:tc>
        <w:tc>
          <w:tcPr>
            <w:tcW w:w="22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ALEXANDER A. KARSNER</w:t>
            </w:r>
          </w:p>
        </w:tc>
      </w:tr>
      <w:tr>
        <w:trPr>
          <w:trHeight w:val="250"/>
        </w:trPr>
        <w:tc>
          <w:tcPr>
            <w:tcW w:w="2860" w:type="dxa"/>
            <w:vAlign w:val="bottom"/>
            <w:shd w:val="clear" w:color="auto" w:fill="F0F0F0"/>
          </w:tcPr>
          <w:p>
            <w:pPr>
              <w:jc w:val="center"/>
              <w:spacing w:after="0"/>
              <w:rPr>
                <w:sz w:val="20"/>
                <w:szCs w:val="20"/>
                <w:color w:val="auto"/>
              </w:rPr>
            </w:pPr>
            <w:r>
              <w:rPr>
                <w:rFonts w:ascii="Times New Roman" w:cs="Times New Roman" w:eastAsia="Times New Roman" w:hAnsi="Times New Roman"/>
                <w:sz w:val="18"/>
                <w:szCs w:val="18"/>
                <w:b w:val="1"/>
                <w:bCs w:val="1"/>
                <w:color w:val="0C479D"/>
              </w:rPr>
              <w:t>Principal Financial Officer</w:t>
            </w:r>
          </w:p>
        </w:tc>
        <w:tc>
          <w:tcPr>
            <w:tcW w:w="460" w:type="dxa"/>
            <w:vAlign w:val="bottom"/>
            <w:tcBorders>
              <w:right w:val="single" w:sz="8" w:color="0C479D"/>
            </w:tcBorders>
          </w:tcPr>
          <w:p>
            <w:pPr>
              <w:spacing w:after="0"/>
              <w:rPr>
                <w:sz w:val="21"/>
                <w:szCs w:val="21"/>
                <w:color w:val="auto"/>
              </w:rPr>
            </w:pPr>
          </w:p>
        </w:tc>
        <w:tc>
          <w:tcPr>
            <w:tcW w:w="420" w:type="dxa"/>
            <w:vAlign w:val="bottom"/>
          </w:tcPr>
          <w:p>
            <w:pPr>
              <w:spacing w:after="0"/>
              <w:rPr>
                <w:sz w:val="21"/>
                <w:szCs w:val="21"/>
                <w:color w:val="auto"/>
              </w:rPr>
            </w:pPr>
          </w:p>
        </w:tc>
        <w:tc>
          <w:tcPr>
            <w:tcW w:w="25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Angela F. Braly</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Alexander A. Karsner</w:t>
            </w:r>
          </w:p>
        </w:tc>
      </w:tr>
      <w:tr>
        <w:trPr>
          <w:trHeight w:val="770"/>
        </w:trPr>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KATHRYN A. MIKELLS</w:t>
            </w:r>
          </w:p>
        </w:tc>
        <w:tc>
          <w:tcPr>
            <w:tcW w:w="460" w:type="dxa"/>
            <w:vAlign w:val="bottom"/>
            <w:tcBorders>
              <w:right w:val="single" w:sz="8" w:color="0C479D"/>
            </w:tcBorders>
          </w:tcPr>
          <w:p>
            <w:pPr>
              <w:spacing w:after="0"/>
              <w:rPr>
                <w:sz w:val="24"/>
                <w:szCs w:val="24"/>
                <w:color w:val="auto"/>
              </w:rPr>
            </w:pPr>
          </w:p>
        </w:tc>
        <w:tc>
          <w:tcPr>
            <w:tcW w:w="420" w:type="dxa"/>
            <w:vAlign w:val="bottom"/>
          </w:tcPr>
          <w:p>
            <w:pPr>
              <w:spacing w:after="0"/>
              <w:rPr>
                <w:sz w:val="24"/>
                <w:szCs w:val="24"/>
                <w:color w:val="auto"/>
              </w:rPr>
            </w:pPr>
          </w:p>
        </w:tc>
        <w:tc>
          <w:tcPr>
            <w:tcW w:w="256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w w:val="99"/>
              </w:rPr>
              <w:t>/s/ MARIA S. DREYFUS</w:t>
            </w:r>
          </w:p>
        </w:tc>
        <w:tc>
          <w:tcPr>
            <w:tcW w:w="22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LAWRENCE W. KELLNER</w:t>
            </w:r>
          </w:p>
        </w:tc>
      </w:tr>
      <w:tr>
        <w:trPr>
          <w:trHeight w:val="178"/>
        </w:trPr>
        <w:tc>
          <w:tcPr>
            <w:tcW w:w="28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Kathryn A. Mikells, Senior Vice</w:t>
            </w:r>
          </w:p>
        </w:tc>
        <w:tc>
          <w:tcPr>
            <w:tcW w:w="460" w:type="dxa"/>
            <w:vAlign w:val="bottom"/>
            <w:tcBorders>
              <w:right w:val="single" w:sz="8" w:color="0C479D"/>
            </w:tcBorders>
          </w:tcPr>
          <w:p>
            <w:pPr>
              <w:spacing w:after="0"/>
              <w:rPr>
                <w:sz w:val="15"/>
                <w:szCs w:val="15"/>
                <w:color w:val="auto"/>
              </w:rPr>
            </w:pPr>
          </w:p>
        </w:tc>
        <w:tc>
          <w:tcPr>
            <w:tcW w:w="420" w:type="dxa"/>
            <w:vAlign w:val="bottom"/>
          </w:tcPr>
          <w:p>
            <w:pPr>
              <w:spacing w:after="0"/>
              <w:rPr>
                <w:sz w:val="15"/>
                <w:szCs w:val="15"/>
                <w:color w:val="auto"/>
              </w:rPr>
            </w:pPr>
          </w:p>
        </w:tc>
        <w:tc>
          <w:tcPr>
            <w:tcW w:w="2560" w:type="dxa"/>
            <w:vAlign w:val="bottom"/>
          </w:tcPr>
          <w:p>
            <w:pPr>
              <w:jc w:val="center"/>
              <w:ind w:left="110"/>
              <w:spacing w:after="0" w:line="177" w:lineRule="exact"/>
              <w:rPr>
                <w:sz w:val="20"/>
                <w:szCs w:val="20"/>
                <w:color w:val="auto"/>
              </w:rPr>
            </w:pPr>
            <w:r>
              <w:rPr>
                <w:rFonts w:ascii="Times New Roman" w:cs="Times New Roman" w:eastAsia="Times New Roman" w:hAnsi="Times New Roman"/>
                <w:sz w:val="18"/>
                <w:szCs w:val="18"/>
                <w:color w:val="auto"/>
                <w:w w:val="99"/>
              </w:rPr>
              <w:t>Maria S. Dreyfus</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Lawrence W. Kellner</w:t>
            </w:r>
          </w:p>
        </w:tc>
      </w:tr>
      <w:tr>
        <w:trPr>
          <w:trHeight w:val="234"/>
        </w:trPr>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President and Chief Financial Officer</w:t>
            </w:r>
          </w:p>
        </w:tc>
        <w:tc>
          <w:tcPr>
            <w:tcW w:w="460" w:type="dxa"/>
            <w:vAlign w:val="bottom"/>
            <w:tcBorders>
              <w:right w:val="single" w:sz="8" w:color="0C479D"/>
            </w:tcBorders>
          </w:tcPr>
          <w:p>
            <w:pPr>
              <w:spacing w:after="0"/>
              <w:rPr>
                <w:sz w:val="20"/>
                <w:szCs w:val="20"/>
                <w:color w:val="auto"/>
              </w:rPr>
            </w:pPr>
          </w:p>
        </w:tc>
        <w:tc>
          <w:tcPr>
            <w:tcW w:w="4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607"/>
        </w:trPr>
        <w:tc>
          <w:tcPr>
            <w:tcW w:w="2860" w:type="dxa"/>
            <w:vAlign w:val="bottom"/>
            <w:tcBorders>
              <w:bottom w:val="single" w:sz="8" w:color="F0F0F0"/>
            </w:tcBorders>
          </w:tcPr>
          <w:p>
            <w:pPr>
              <w:spacing w:after="0"/>
              <w:rPr>
                <w:sz w:val="24"/>
                <w:szCs w:val="24"/>
                <w:color w:val="auto"/>
              </w:rPr>
            </w:pPr>
          </w:p>
        </w:tc>
        <w:tc>
          <w:tcPr>
            <w:tcW w:w="460" w:type="dxa"/>
            <w:vAlign w:val="bottom"/>
            <w:tcBorders>
              <w:right w:val="single" w:sz="8" w:color="0C479D"/>
            </w:tcBorders>
          </w:tcPr>
          <w:p>
            <w:pPr>
              <w:spacing w:after="0"/>
              <w:rPr>
                <w:sz w:val="24"/>
                <w:szCs w:val="24"/>
                <w:color w:val="auto"/>
              </w:rPr>
            </w:pPr>
          </w:p>
        </w:tc>
        <w:tc>
          <w:tcPr>
            <w:tcW w:w="420" w:type="dxa"/>
            <w:vAlign w:val="bottom"/>
          </w:tcPr>
          <w:p>
            <w:pPr>
              <w:spacing w:after="0"/>
              <w:rPr>
                <w:sz w:val="24"/>
                <w:szCs w:val="24"/>
                <w:color w:val="auto"/>
              </w:rPr>
            </w:pPr>
          </w:p>
        </w:tc>
        <w:tc>
          <w:tcPr>
            <w:tcW w:w="256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rPr>
              <w:t>/s/ JOHN D. HARRIS II</w:t>
            </w:r>
          </w:p>
        </w:tc>
        <w:tc>
          <w:tcPr>
            <w:tcW w:w="22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DINA POWELL MCCORMICK</w:t>
            </w:r>
          </w:p>
        </w:tc>
      </w:tr>
      <w:tr>
        <w:trPr>
          <w:trHeight w:val="250"/>
        </w:trPr>
        <w:tc>
          <w:tcPr>
            <w:tcW w:w="2860" w:type="dxa"/>
            <w:vAlign w:val="bottom"/>
            <w:shd w:val="clear" w:color="auto" w:fill="F0F0F0"/>
          </w:tcPr>
          <w:p>
            <w:pPr>
              <w:jc w:val="center"/>
              <w:spacing w:after="0"/>
              <w:rPr>
                <w:sz w:val="20"/>
                <w:szCs w:val="20"/>
                <w:color w:val="auto"/>
              </w:rPr>
            </w:pPr>
            <w:r>
              <w:rPr>
                <w:rFonts w:ascii="Times New Roman" w:cs="Times New Roman" w:eastAsia="Times New Roman" w:hAnsi="Times New Roman"/>
                <w:sz w:val="18"/>
                <w:szCs w:val="18"/>
                <w:b w:val="1"/>
                <w:bCs w:val="1"/>
                <w:color w:val="0C479D"/>
              </w:rPr>
              <w:t>Principal Accounting Officer</w:t>
            </w:r>
          </w:p>
        </w:tc>
        <w:tc>
          <w:tcPr>
            <w:tcW w:w="460" w:type="dxa"/>
            <w:vAlign w:val="bottom"/>
            <w:tcBorders>
              <w:right w:val="single" w:sz="8" w:color="0C479D"/>
            </w:tcBorders>
          </w:tcPr>
          <w:p>
            <w:pPr>
              <w:spacing w:after="0"/>
              <w:rPr>
                <w:sz w:val="21"/>
                <w:szCs w:val="21"/>
                <w:color w:val="auto"/>
              </w:rPr>
            </w:pPr>
          </w:p>
        </w:tc>
        <w:tc>
          <w:tcPr>
            <w:tcW w:w="420" w:type="dxa"/>
            <w:vAlign w:val="bottom"/>
          </w:tcPr>
          <w:p>
            <w:pPr>
              <w:spacing w:after="0"/>
              <w:rPr>
                <w:sz w:val="21"/>
                <w:szCs w:val="21"/>
                <w:color w:val="auto"/>
              </w:rPr>
            </w:pPr>
          </w:p>
        </w:tc>
        <w:tc>
          <w:tcPr>
            <w:tcW w:w="25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John D. Harris II</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Dina Powell McCormick</w:t>
            </w:r>
          </w:p>
        </w:tc>
      </w:tr>
      <w:tr>
        <w:trPr>
          <w:trHeight w:val="702"/>
        </w:trPr>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LEN M. FOX</w:t>
            </w:r>
          </w:p>
        </w:tc>
        <w:tc>
          <w:tcPr>
            <w:tcW w:w="460" w:type="dxa"/>
            <w:vAlign w:val="bottom"/>
            <w:tcBorders>
              <w:right w:val="single" w:sz="8" w:color="0C479D"/>
            </w:tcBorders>
          </w:tcPr>
          <w:p>
            <w:pPr>
              <w:spacing w:after="0"/>
              <w:rPr>
                <w:sz w:val="24"/>
                <w:szCs w:val="24"/>
                <w:color w:val="auto"/>
              </w:rPr>
            </w:pPr>
          </w:p>
        </w:tc>
        <w:tc>
          <w:tcPr>
            <w:tcW w:w="420" w:type="dxa"/>
            <w:vAlign w:val="bottom"/>
          </w:tcPr>
          <w:p>
            <w:pPr>
              <w:spacing w:after="0"/>
              <w:rPr>
                <w:sz w:val="24"/>
                <w:szCs w:val="24"/>
                <w:color w:val="auto"/>
              </w:rPr>
            </w:pPr>
          </w:p>
        </w:tc>
        <w:tc>
          <w:tcPr>
            <w:tcW w:w="256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w w:val="98"/>
              </w:rPr>
              <w:t>/s/ KAISA H. HIETALA</w:t>
            </w:r>
          </w:p>
        </w:tc>
        <w:tc>
          <w:tcPr>
            <w:tcW w:w="22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JEFFREY W. UBBEN</w:t>
            </w:r>
          </w:p>
        </w:tc>
      </w:tr>
      <w:tr>
        <w:trPr>
          <w:trHeight w:val="178"/>
        </w:trPr>
        <w:tc>
          <w:tcPr>
            <w:tcW w:w="28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Len M. Fox, Vice President,</w:t>
            </w:r>
          </w:p>
        </w:tc>
        <w:tc>
          <w:tcPr>
            <w:tcW w:w="460" w:type="dxa"/>
            <w:vAlign w:val="bottom"/>
            <w:tcBorders>
              <w:right w:val="single" w:sz="8" w:color="0C479D"/>
            </w:tcBorders>
          </w:tcPr>
          <w:p>
            <w:pPr>
              <w:spacing w:after="0"/>
              <w:rPr>
                <w:sz w:val="15"/>
                <w:szCs w:val="15"/>
                <w:color w:val="auto"/>
              </w:rPr>
            </w:pPr>
          </w:p>
        </w:tc>
        <w:tc>
          <w:tcPr>
            <w:tcW w:w="420" w:type="dxa"/>
            <w:vAlign w:val="bottom"/>
          </w:tcPr>
          <w:p>
            <w:pPr>
              <w:spacing w:after="0"/>
              <w:rPr>
                <w:sz w:val="15"/>
                <w:szCs w:val="15"/>
                <w:color w:val="auto"/>
              </w:rPr>
            </w:pPr>
          </w:p>
        </w:tc>
        <w:tc>
          <w:tcPr>
            <w:tcW w:w="2560" w:type="dxa"/>
            <w:vAlign w:val="bottom"/>
          </w:tcPr>
          <w:p>
            <w:pPr>
              <w:jc w:val="center"/>
              <w:ind w:left="130"/>
              <w:spacing w:after="0" w:line="177" w:lineRule="exact"/>
              <w:rPr>
                <w:sz w:val="20"/>
                <w:szCs w:val="20"/>
                <w:color w:val="auto"/>
              </w:rPr>
            </w:pPr>
            <w:r>
              <w:rPr>
                <w:rFonts w:ascii="Times New Roman" w:cs="Times New Roman" w:eastAsia="Times New Roman" w:hAnsi="Times New Roman"/>
                <w:sz w:val="18"/>
                <w:szCs w:val="18"/>
                <w:color w:val="auto"/>
                <w:w w:val="98"/>
              </w:rPr>
              <w:t>Kaisa H. Hietala</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8"/>
              </w:rPr>
              <w:t>Jeffrey W. Ubben</w:t>
            </w:r>
          </w:p>
        </w:tc>
      </w:tr>
      <w:tr>
        <w:trPr>
          <w:trHeight w:val="234"/>
        </w:trPr>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Controller and Tax</w:t>
            </w:r>
          </w:p>
        </w:tc>
        <w:tc>
          <w:tcPr>
            <w:tcW w:w="460" w:type="dxa"/>
            <w:vAlign w:val="bottom"/>
            <w:tcBorders>
              <w:right w:val="single" w:sz="8" w:color="0C479D"/>
            </w:tcBorders>
          </w:tcPr>
          <w:p>
            <w:pPr>
              <w:spacing w:after="0"/>
              <w:rPr>
                <w:sz w:val="20"/>
                <w:szCs w:val="20"/>
                <w:color w:val="auto"/>
              </w:rPr>
            </w:pPr>
          </w:p>
        </w:tc>
        <w:tc>
          <w:tcPr>
            <w:tcW w:w="4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540"/>
        </w:trPr>
        <w:tc>
          <w:tcPr>
            <w:tcW w:w="2860" w:type="dxa"/>
            <w:vAlign w:val="bottom"/>
          </w:tcPr>
          <w:p>
            <w:pPr>
              <w:spacing w:after="0"/>
              <w:rPr>
                <w:sz w:val="24"/>
                <w:szCs w:val="24"/>
                <w:color w:val="auto"/>
              </w:rPr>
            </w:pPr>
          </w:p>
        </w:tc>
        <w:tc>
          <w:tcPr>
            <w:tcW w:w="460" w:type="dxa"/>
            <w:vAlign w:val="bottom"/>
            <w:tcBorders>
              <w:right w:val="single" w:sz="8" w:color="0C479D"/>
            </w:tcBorders>
          </w:tcPr>
          <w:p>
            <w:pPr>
              <w:spacing w:after="0"/>
              <w:rPr>
                <w:sz w:val="24"/>
                <w:szCs w:val="24"/>
                <w:color w:val="auto"/>
              </w:rPr>
            </w:pPr>
          </w:p>
        </w:tc>
        <w:tc>
          <w:tcPr>
            <w:tcW w:w="420" w:type="dxa"/>
            <w:vAlign w:val="bottom"/>
          </w:tcPr>
          <w:p>
            <w:pPr>
              <w:spacing w:after="0"/>
              <w:rPr>
                <w:sz w:val="24"/>
                <w:szCs w:val="24"/>
                <w:color w:val="auto"/>
              </w:rPr>
            </w:pPr>
          </w:p>
        </w:tc>
        <w:tc>
          <w:tcPr>
            <w:tcW w:w="256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/s/ JOSEPH L. HOOLEY</w:t>
            </w:r>
          </w:p>
        </w:tc>
        <w:tc>
          <w:tcPr>
            <w:tcW w:w="22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28"/>
        </w:trPr>
        <w:tc>
          <w:tcPr>
            <w:tcW w:w="2860" w:type="dxa"/>
            <w:vAlign w:val="bottom"/>
          </w:tcPr>
          <w:p>
            <w:pPr>
              <w:spacing w:after="0"/>
              <w:rPr>
                <w:sz w:val="19"/>
                <w:szCs w:val="19"/>
                <w:color w:val="auto"/>
              </w:rPr>
            </w:pPr>
          </w:p>
        </w:tc>
        <w:tc>
          <w:tcPr>
            <w:tcW w:w="460" w:type="dxa"/>
            <w:vAlign w:val="bottom"/>
            <w:tcBorders>
              <w:right w:val="single" w:sz="8" w:color="0C479D"/>
            </w:tcBorders>
          </w:tcPr>
          <w:p>
            <w:pPr>
              <w:spacing w:after="0"/>
              <w:rPr>
                <w:sz w:val="19"/>
                <w:szCs w:val="19"/>
                <w:color w:val="auto"/>
              </w:rPr>
            </w:pPr>
          </w:p>
        </w:tc>
        <w:tc>
          <w:tcPr>
            <w:tcW w:w="420" w:type="dxa"/>
            <w:vAlign w:val="bottom"/>
          </w:tcPr>
          <w:p>
            <w:pPr>
              <w:spacing w:after="0"/>
              <w:rPr>
                <w:sz w:val="19"/>
                <w:szCs w:val="19"/>
                <w:color w:val="auto"/>
              </w:rPr>
            </w:pPr>
          </w:p>
        </w:tc>
        <w:tc>
          <w:tcPr>
            <w:tcW w:w="256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Joseph L. Hooley</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184"/>
        </w:trPr>
        <w:tc>
          <w:tcPr>
            <w:tcW w:w="2860" w:type="dxa"/>
            <w:vAlign w:val="bottom"/>
          </w:tcPr>
          <w:p>
            <w:pPr>
              <w:spacing w:after="0"/>
              <w:rPr>
                <w:sz w:val="16"/>
                <w:szCs w:val="16"/>
                <w:color w:val="auto"/>
              </w:rPr>
            </w:pPr>
          </w:p>
        </w:tc>
        <w:tc>
          <w:tcPr>
            <w:tcW w:w="460" w:type="dxa"/>
            <w:vAlign w:val="bottom"/>
            <w:tcBorders>
              <w:right w:val="single" w:sz="8" w:color="0C479D"/>
            </w:tcBorders>
          </w:tcPr>
          <w:p>
            <w:pPr>
              <w:spacing w:after="0"/>
              <w:rPr>
                <w:sz w:val="16"/>
                <w:szCs w:val="16"/>
                <w:color w:val="auto"/>
              </w:rPr>
            </w:pPr>
          </w:p>
        </w:tc>
        <w:tc>
          <w:tcPr>
            <w:tcW w:w="4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tcPr>
          <w:p>
            <w:pPr>
              <w:spacing w:after="0"/>
              <w:rPr>
                <w:sz w:val="16"/>
                <w:szCs w:val="16"/>
                <w:color w:val="auto"/>
              </w:rPr>
            </w:pPr>
          </w:p>
        </w:tc>
      </w:tr>
    </w:tbl>
    <w:p>
      <w:pPr>
        <w:spacing w:after="0" w:line="200" w:lineRule="exact"/>
        <w:rPr>
          <w:sz w:val="20"/>
          <w:szCs w:val="20"/>
          <w:color w:val="auto"/>
        </w:rPr>
      </w:pPr>
    </w:p>
    <w:p>
      <w:pPr>
        <w:sectPr>
          <w:pgSz w:w="11900" w:h="16838" w:orient="portrait"/>
          <w:cols w:equalWidth="0" w:num="1">
            <w:col w:w="9660"/>
          </w:cols>
          <w:pgMar w:left="1120" w:top="941" w:right="1119" w:bottom="1440" w:gutter="0" w:footer="0" w:header="0"/>
        </w:sectPr>
      </w:pPr>
    </w:p>
    <w:p>
      <w:pPr>
        <w:spacing w:after="0" w:line="3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9660"/>
          </w:cols>
          <w:pgMar w:left="1120" w:top="941" w:right="1119" w:bottom="1440" w:gutter="0" w:footer="0" w:header="0"/>
          <w:type w:val="continuous"/>
        </w:sectPr>
      </w:pPr>
    </w:p>
    <w:bookmarkStart w:id="138" w:name="page139"/>
    <w:bookmarkEnd w:id="138"/>
    <w:p>
      <w:pPr>
        <w:spacing w:after="0" w:line="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10(iii)(a.3)</w:t>
      </w:r>
    </w:p>
    <w:p>
      <w:pPr>
        <w:spacing w:after="0" w:line="22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Exxon Mobil Corporation</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2024 Extended Provisions for Restricted Stock Unit Agreements</w:t>
      </w:r>
    </w:p>
    <w:p>
      <w:pPr>
        <w:spacing w:after="0" w:line="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Settled in Stock</w:t>
      </w:r>
    </w:p>
    <w:p>
      <w:pPr>
        <w:spacing w:after="0" w:line="200" w:lineRule="exact"/>
        <w:rPr>
          <w:sz w:val="20"/>
          <w:szCs w:val="20"/>
          <w:color w:val="auto"/>
        </w:rPr>
      </w:pPr>
    </w:p>
    <w:p>
      <w:pPr>
        <w:spacing w:after="0" w:line="236" w:lineRule="exact"/>
        <w:rPr>
          <w:sz w:val="20"/>
          <w:szCs w:val="20"/>
          <w:color w:val="auto"/>
        </w:rPr>
      </w:pPr>
    </w:p>
    <w:p>
      <w:pPr>
        <w:jc w:val="both"/>
        <w:ind w:left="340" w:hanging="332"/>
        <w:spacing w:after="0" w:line="224" w:lineRule="auto"/>
        <w:tabs>
          <w:tab w:leader="none" w:pos="3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 and Credit of Restricted Stock Units</w:t>
      </w:r>
      <w:r>
        <w:rPr>
          <w:rFonts w:ascii="Times New Roman" w:cs="Times New Roman" w:eastAsia="Times New Roman" w:hAnsi="Times New Roman"/>
          <w:sz w:val="18"/>
          <w:szCs w:val="18"/>
          <w:color w:val="auto"/>
        </w:rPr>
        <w:t>. If Grantee accepts the award on or before March 1, 2025, this Agreement will become effective the date the Corporation receives the award acceptance. After this agreement becomes effective, the Corporation will credit to Grantee the number of restricted stock units specified in the Incentive Award Summary. Subject to the terms and conditions of this Agreement, each restricted stock unit ("unit") will entitle Grantee to receive in settlement of the unit one share of the Corporation's common stock.</w:t>
      </w:r>
    </w:p>
    <w:p>
      <w:pPr>
        <w:spacing w:after="0" w:line="37" w:lineRule="exact"/>
        <w:rPr>
          <w:rFonts w:ascii="Times New Roman" w:cs="Times New Roman" w:eastAsia="Times New Roman" w:hAnsi="Times New Roman"/>
          <w:sz w:val="18"/>
          <w:szCs w:val="18"/>
          <w:color w:val="auto"/>
        </w:rPr>
      </w:pPr>
    </w:p>
    <w:p>
      <w:pPr>
        <w:jc w:val="both"/>
        <w:ind w:left="340" w:hanging="332"/>
        <w:spacing w:after="0" w:line="231" w:lineRule="auto"/>
        <w:tabs>
          <w:tab w:leader="none" w:pos="3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w:t>
      </w:r>
      <w:r>
        <w:rPr>
          <w:rFonts w:ascii="Times New Roman" w:cs="Times New Roman" w:eastAsia="Times New Roman" w:hAnsi="Times New Roman"/>
          <w:sz w:val="18"/>
          <w:szCs w:val="18"/>
          <w:color w:val="auto"/>
        </w:rPr>
        <w:t>. If credited, the units will be subject to the provisions of this Agreement, and to such regulations and requirements as the administrative authority of the Program may establish from time to time. The units will be credited to Grantee only on the condition that Grantee accepts such provisions, regulations, and requirements.</w:t>
      </w:r>
    </w:p>
    <w:p>
      <w:pPr>
        <w:spacing w:after="0" w:line="36" w:lineRule="exact"/>
        <w:rPr>
          <w:rFonts w:ascii="Times New Roman" w:cs="Times New Roman" w:eastAsia="Times New Roman" w:hAnsi="Times New Roman"/>
          <w:sz w:val="18"/>
          <w:szCs w:val="18"/>
          <w:color w:val="auto"/>
        </w:rPr>
      </w:pPr>
    </w:p>
    <w:p>
      <w:pPr>
        <w:jc w:val="both"/>
        <w:ind w:left="340" w:hanging="332"/>
        <w:spacing w:after="0" w:line="226" w:lineRule="auto"/>
        <w:tabs>
          <w:tab w:leader="none" w:pos="3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and Risk of Forfeiture</w:t>
      </w:r>
      <w:r>
        <w:rPr>
          <w:rFonts w:ascii="Times New Roman" w:cs="Times New Roman" w:eastAsia="Times New Roman" w:hAnsi="Times New Roman"/>
          <w:sz w:val="18"/>
          <w:szCs w:val="18"/>
          <w:color w:val="auto"/>
        </w:rPr>
        <w:t>. During the applicable restricted periods specified in section 4 of this Agreement, (a) the units under restriction may not be sold, assigned, transferred, pledged, or otherwise disposed of or encumbered, and any attempt to do so will be null and void; and (b) the units under restriction may be forfeited as provided in section 6.</w:t>
      </w:r>
    </w:p>
    <w:p>
      <w:pPr>
        <w:spacing w:after="0" w:line="36" w:lineRule="exact"/>
        <w:rPr>
          <w:rFonts w:ascii="Times New Roman" w:cs="Times New Roman" w:eastAsia="Times New Roman" w:hAnsi="Times New Roman"/>
          <w:sz w:val="18"/>
          <w:szCs w:val="18"/>
          <w:color w:val="auto"/>
        </w:rPr>
      </w:pPr>
    </w:p>
    <w:p>
      <w:pPr>
        <w:jc w:val="both"/>
        <w:ind w:left="340" w:hanging="332"/>
        <w:spacing w:after="0" w:line="224" w:lineRule="auto"/>
        <w:tabs>
          <w:tab w:leader="none" w:pos="3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Periods</w:t>
      </w:r>
      <w:r>
        <w:rPr>
          <w:rFonts w:ascii="Times New Roman" w:cs="Times New Roman" w:eastAsia="Times New Roman" w:hAnsi="Times New Roman"/>
          <w:sz w:val="18"/>
          <w:szCs w:val="18"/>
          <w:color w:val="auto"/>
        </w:rPr>
        <w:t>. The restricted periods will commence when the units are credited to Grantee and, unless the units have been forfeited earlier under section 6, will expire as follows, whether or not Grantee is still an employee, (a) with respect to 50% of the units on November 26, 2029, and, (b) with respect to the remaining units on November 26, 2034, except that (c) the restricted periods will automatically expire with respect to all units on the death of Grantee.</w:t>
      </w:r>
    </w:p>
    <w:p>
      <w:pPr>
        <w:spacing w:after="0" w:line="37" w:lineRule="exact"/>
        <w:rPr>
          <w:rFonts w:ascii="Times New Roman" w:cs="Times New Roman" w:eastAsia="Times New Roman" w:hAnsi="Times New Roman"/>
          <w:sz w:val="18"/>
          <w:szCs w:val="18"/>
          <w:color w:val="auto"/>
        </w:rPr>
      </w:pPr>
    </w:p>
    <w:p>
      <w:pPr>
        <w:jc w:val="both"/>
        <w:ind w:left="340" w:hanging="332"/>
        <w:spacing w:after="0" w:line="220" w:lineRule="auto"/>
        <w:tabs>
          <w:tab w:leader="none" w:pos="3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 to Credit Units</w:t>
      </w:r>
      <w:r>
        <w:rPr>
          <w:rFonts w:ascii="Times New Roman" w:cs="Times New Roman" w:eastAsia="Times New Roman" w:hAnsi="Times New Roman"/>
          <w:sz w:val="18"/>
          <w:szCs w:val="18"/>
          <w:color w:val="auto"/>
        </w:rPr>
        <w:t>. The Corporation will have no obligation to credit any units and will have no other obligation to Grantee with respect to the subject matter of this Agreement if Grantee fails to accept the award on or before March 1, 2025. In addition, whether or not Grantee has accepted the award, the Corporation will have no obligation to credit any units and will have no other obligation to Grantee with respect to the subject matter of this Agreement if, before the units are credited, (a) Grantee terminates (other than by death) before standard retirement time within the meaning of the Program, except to the extent the administrative authority of the Program determines Grantee may receive units under this Agreement; or (b) Grantee is determined to have engaged in detrimental activity within the meaning of the Program.</w:t>
      </w:r>
    </w:p>
    <w:p>
      <w:pPr>
        <w:spacing w:after="0" w:line="36" w:lineRule="exact"/>
        <w:rPr>
          <w:rFonts w:ascii="Times New Roman" w:cs="Times New Roman" w:eastAsia="Times New Roman" w:hAnsi="Times New Roman"/>
          <w:sz w:val="18"/>
          <w:szCs w:val="18"/>
          <w:color w:val="auto"/>
        </w:rPr>
      </w:pPr>
    </w:p>
    <w:p>
      <w:pPr>
        <w:ind w:left="340" w:right="20" w:hanging="332"/>
        <w:spacing w:after="0" w:line="237" w:lineRule="auto"/>
        <w:tabs>
          <w:tab w:leader="none" w:pos="3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 of Units After Crediting</w:t>
      </w:r>
      <w:r>
        <w:rPr>
          <w:rFonts w:ascii="Times New Roman" w:cs="Times New Roman" w:eastAsia="Times New Roman" w:hAnsi="Times New Roman"/>
          <w:sz w:val="18"/>
          <w:szCs w:val="18"/>
          <w:color w:val="auto"/>
        </w:rPr>
        <w:t>. Until the applicable restricted period specified in section 4 has expired, the units under restriction will be forfeited or subject to forfeiture in the following circumstances:</w:t>
      </w:r>
    </w:p>
    <w:p>
      <w:pPr>
        <w:spacing w:after="0" w:line="36" w:lineRule="exact"/>
        <w:rPr>
          <w:rFonts w:ascii="Times New Roman" w:cs="Times New Roman" w:eastAsia="Times New Roman" w:hAnsi="Times New Roman"/>
          <w:sz w:val="18"/>
          <w:szCs w:val="18"/>
          <w:color w:val="auto"/>
        </w:rPr>
      </w:pPr>
    </w:p>
    <w:p>
      <w:pPr>
        <w:jc w:val="both"/>
        <w:ind w:left="980" w:hanging="324"/>
        <w:spacing w:after="0" w:line="231" w:lineRule="auto"/>
        <w:tabs>
          <w:tab w:leader="none" w:pos="975"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 If Grantee terminates (other than by death) before standard retirement time within the meaning of the Program, all units for which the applicable restricted periods have not expired will be automatically forfeited as of the date of termination, except to the extent the administrative authority determines Grantee may retain units issued under this Agreement.</w:t>
      </w:r>
    </w:p>
    <w:p>
      <w:pPr>
        <w:spacing w:after="0" w:line="36" w:lineRule="exact"/>
        <w:rPr>
          <w:rFonts w:ascii="Times New Roman" w:cs="Times New Roman" w:eastAsia="Times New Roman" w:hAnsi="Times New Roman"/>
          <w:sz w:val="18"/>
          <w:szCs w:val="18"/>
          <w:color w:val="auto"/>
        </w:rPr>
      </w:pPr>
    </w:p>
    <w:p>
      <w:pPr>
        <w:jc w:val="both"/>
        <w:ind w:left="980" w:hanging="324"/>
        <w:spacing w:after="0" w:line="226" w:lineRule="auto"/>
        <w:tabs>
          <w:tab w:leader="none" w:pos="975"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Detrimental Activity - If Grantee is determined to have engaged in detrimental activity within the meaning of the Program, either before or after termination, all units for which the applicable restricted periods have not expired will be automatically forfeited as of the date of such determination.</w:t>
      </w:r>
    </w:p>
    <w:p>
      <w:pPr>
        <w:spacing w:after="0" w:line="36" w:lineRule="exact"/>
        <w:rPr>
          <w:rFonts w:ascii="Times New Roman" w:cs="Times New Roman" w:eastAsia="Times New Roman" w:hAnsi="Times New Roman"/>
          <w:sz w:val="18"/>
          <w:szCs w:val="18"/>
          <w:color w:val="auto"/>
        </w:rPr>
      </w:pPr>
    </w:p>
    <w:p>
      <w:pPr>
        <w:ind w:left="980" w:right="20" w:hanging="324"/>
        <w:spacing w:after="0" w:line="250" w:lineRule="auto"/>
        <w:tabs>
          <w:tab w:leader="none" w:pos="103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Attempted Transfer - The units are subject to forfeiture at the discretion of the administrative authority if Grantee attempts to sell, assign, transfer, pledge, or otherwise dispose of or encumber them during the applicable restricted periods.</w:t>
      </w:r>
    </w:p>
    <w:p>
      <w:pPr>
        <w:spacing w:after="0" w:line="27" w:lineRule="exact"/>
        <w:rPr>
          <w:rFonts w:ascii="Times New Roman" w:cs="Times New Roman" w:eastAsia="Times New Roman" w:hAnsi="Times New Roman"/>
          <w:sz w:val="18"/>
          <w:szCs w:val="18"/>
          <w:color w:val="auto"/>
        </w:rPr>
      </w:pPr>
    </w:p>
    <w:p>
      <w:pPr>
        <w:jc w:val="both"/>
        <w:ind w:left="980" w:hanging="324"/>
        <w:spacing w:after="0" w:line="226" w:lineRule="auto"/>
        <w:tabs>
          <w:tab w:leader="none" w:pos="975"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 - The units are subject to forfeiture in whole or in part as the administrative authority deems necessary to comply with applicable law or Corporation policy including, without limitation, any clawback obligations determined to be owed by Grantee to the Corporation in connection with this or other awards.</w:t>
      </w:r>
    </w:p>
    <w:p>
      <w:pPr>
        <w:spacing w:after="0" w:line="36" w:lineRule="exact"/>
        <w:rPr>
          <w:rFonts w:ascii="Times New Roman" w:cs="Times New Roman" w:eastAsia="Times New Roman" w:hAnsi="Times New Roman"/>
          <w:sz w:val="18"/>
          <w:szCs w:val="18"/>
          <w:color w:val="auto"/>
        </w:rPr>
      </w:pPr>
    </w:p>
    <w:p>
      <w:pPr>
        <w:jc w:val="both"/>
        <w:ind w:left="340" w:hanging="332"/>
        <w:spacing w:after="0" w:line="223" w:lineRule="auto"/>
        <w:tabs>
          <w:tab w:leader="none" w:pos="3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Notwithstanding the restrictions on transfer that otherwise apply, the Corporation in its sole discretion may withhold units, or shares otherwise deliverable in settlement of units, either at the time of crediting, at the time of settlement, or at any other time in order to satisfy any required withholding, Social Security, and similar taxes or contributions (collectively, "required taxes"). Withheld units or shares may be retained by the Corporation or sold on behalf of Grantee. The Corporation in its sole discretion may also withhold any required taxes from dividend equivalents paid on the units.</w:t>
      </w:r>
    </w:p>
    <w:p>
      <w:pPr>
        <w:spacing w:after="0" w:line="37" w:lineRule="exact"/>
        <w:rPr>
          <w:rFonts w:ascii="Times New Roman" w:cs="Times New Roman" w:eastAsia="Times New Roman" w:hAnsi="Times New Roman"/>
          <w:sz w:val="18"/>
          <w:szCs w:val="18"/>
          <w:color w:val="auto"/>
        </w:rPr>
      </w:pPr>
    </w:p>
    <w:p>
      <w:pPr>
        <w:jc w:val="both"/>
        <w:ind w:left="340" w:hanging="332"/>
        <w:spacing w:after="0" w:line="226" w:lineRule="auto"/>
        <w:tabs>
          <w:tab w:leader="none" w:pos="3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of Units; No Shareholder Status</w:t>
      </w:r>
      <w:r>
        <w:rPr>
          <w:rFonts w:ascii="Times New Roman" w:cs="Times New Roman" w:eastAsia="Times New Roman" w:hAnsi="Times New Roman"/>
          <w:sz w:val="18"/>
          <w:szCs w:val="18"/>
          <w:color w:val="auto"/>
        </w:rPr>
        <w:t>. The units will be represented by book-entry credits in records maintained by or on behalf of the Corporation. Units will be unfunded and unsecured promises by the Corporation to deliver shares in the future upon the terms and subject to the conditions of this Agreement. Grantee will not be a shareholder of the Corporation with respect to units.</w:t>
      </w:r>
    </w:p>
    <w:p>
      <w:pPr>
        <w:spacing w:after="0" w:line="36"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Units</w:t>
      </w:r>
      <w:r>
        <w:rPr>
          <w:rFonts w:ascii="Times New Roman" w:cs="Times New Roman" w:eastAsia="Times New Roman" w:hAnsi="Times New Roman"/>
          <w:sz w:val="18"/>
          <w:szCs w:val="18"/>
          <w:color w:val="auto"/>
        </w:rPr>
        <w:t>. If and when the applicable restricted period expires with respect to any units, subject to section 7, the Corporation will issue shares, free of restriction and registered in the name of Grantee, in</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72" w:lineRule="exact"/>
        <w:rPr>
          <w:sz w:val="20"/>
          <w:szCs w:val="20"/>
          <w:color w:val="auto"/>
        </w:rPr>
      </w:pPr>
    </w:p>
    <w:p>
      <w:pPr>
        <w:ind w:left="340"/>
        <w:spacing w:after="0" w:line="237" w:lineRule="auto"/>
        <w:rPr>
          <w:sz w:val="20"/>
          <w:szCs w:val="20"/>
          <w:color w:val="auto"/>
        </w:rPr>
      </w:pPr>
      <w:r>
        <w:rPr>
          <w:rFonts w:ascii="Times New Roman" w:cs="Times New Roman" w:eastAsia="Times New Roman" w:hAnsi="Times New Roman"/>
          <w:sz w:val="18"/>
          <w:szCs w:val="18"/>
          <w:color w:val="auto"/>
        </w:rPr>
        <w:t>settlement of such units. Such shares will be delivered promptly after such expiration to or for the account of Grantee either in certificated form or by book-entry transfer in accordance with the procedures of the administrative authority in effect at the time.</w:t>
      </w:r>
    </w:p>
    <w:p>
      <w:pPr>
        <w:spacing w:after="0" w:line="37" w:lineRule="exact"/>
        <w:rPr>
          <w:sz w:val="20"/>
          <w:szCs w:val="20"/>
          <w:color w:val="auto"/>
        </w:rPr>
      </w:pPr>
    </w:p>
    <w:p>
      <w:pPr>
        <w:jc w:val="both"/>
        <w:ind w:left="340" w:hanging="332"/>
        <w:spacing w:after="0" w:line="224" w:lineRule="auto"/>
        <w:tabs>
          <w:tab w:leader="none" w:pos="33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The Corporation will pay to Grantee cash with respect to each credited unit corresponding in amount, currency, and timing to cash dividends that would be payable with respect to a share of common stock outstanding on each record date that occurs during the applicable restricted period. Alternatively, the administrative authority may determine to reinvest such dividend equivalents in additional units which will be held subject to all the terms and conditions otherwise applicable to units under this Agreement.</w:t>
      </w:r>
    </w:p>
    <w:p>
      <w:pPr>
        <w:spacing w:after="0" w:line="37" w:lineRule="exact"/>
        <w:rPr>
          <w:rFonts w:ascii="Times New Roman" w:cs="Times New Roman" w:eastAsia="Times New Roman" w:hAnsi="Times New Roman"/>
          <w:sz w:val="18"/>
          <w:szCs w:val="18"/>
          <w:color w:val="auto"/>
        </w:rPr>
      </w:pPr>
    </w:p>
    <w:p>
      <w:pPr>
        <w:jc w:val="both"/>
        <w:ind w:left="340" w:hanging="332"/>
        <w:spacing w:after="0" w:line="220" w:lineRule="auto"/>
        <w:tabs>
          <w:tab w:leader="none" w:pos="32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Capitalization</w:t>
      </w:r>
      <w:r>
        <w:rPr>
          <w:rFonts w:ascii="Times New Roman" w:cs="Times New Roman" w:eastAsia="Times New Roman" w:hAnsi="Times New Roman"/>
          <w:sz w:val="18"/>
          <w:szCs w:val="18"/>
          <w:color w:val="auto"/>
        </w:rPr>
        <w:t>. If during the applicable restricted periods a stock split, stock dividend, or other relevant change in capitalization of the Corporation occurs, the administrative authority will make such adjustments in the number of units credited to Grantee, or in the number and type of securities deliverable to Grantee in settlement of such units, and used in determining dividend equivalent amounts, as the administrative authority may determine to be appropriate. Any resulting new units or securities credited with respect to previously credited units that are still restricted under this Agreement will be delivered to and held by or on behalf of the Corporation and will be subject to the same provisions, restrictions, and requirements as those previously credited units.</w:t>
      </w:r>
    </w:p>
    <w:p>
      <w:pPr>
        <w:spacing w:after="0" w:line="36" w:lineRule="exact"/>
        <w:rPr>
          <w:rFonts w:ascii="Times New Roman" w:cs="Times New Roman" w:eastAsia="Times New Roman" w:hAnsi="Times New Roman"/>
          <w:sz w:val="18"/>
          <w:szCs w:val="18"/>
          <w:color w:val="auto"/>
        </w:rPr>
      </w:pPr>
    </w:p>
    <w:p>
      <w:pPr>
        <w:jc w:val="both"/>
        <w:ind w:left="340" w:hanging="332"/>
        <w:spacing w:after="0" w:line="231" w:lineRule="auto"/>
        <w:tabs>
          <w:tab w:leader="none" w:pos="33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Limits on the Corporation’s Obligations</w:t>
      </w:r>
      <w:r>
        <w:rPr>
          <w:rFonts w:ascii="Times New Roman" w:cs="Times New Roman" w:eastAsia="Times New Roman" w:hAnsi="Times New Roman"/>
          <w:sz w:val="18"/>
          <w:szCs w:val="18"/>
          <w:color w:val="auto"/>
        </w:rPr>
        <w:t xml:space="preserve"> . Notwithstanding anything else contained in this Agreement, under no circumstances will the Corporation be required to credit any units or issue or deliver any shares in settlement of units if doing so would violate any law or listing requirement that the administrative authority determines to be applicable.</w:t>
      </w:r>
    </w:p>
    <w:p>
      <w:pPr>
        <w:spacing w:after="0" w:line="3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Receipt or Access to Program</w:t>
      </w:r>
      <w:r>
        <w:rPr>
          <w:rFonts w:ascii="Times New Roman" w:cs="Times New Roman" w:eastAsia="Times New Roman" w:hAnsi="Times New Roman"/>
          <w:sz w:val="18"/>
          <w:szCs w:val="18"/>
          <w:color w:val="auto"/>
        </w:rPr>
        <w:t>. Grantee acknowledges receipt of or access to the full text of the Program.</w:t>
      </w:r>
    </w:p>
    <w:p>
      <w:pPr>
        <w:spacing w:after="0" w:line="63" w:lineRule="exact"/>
        <w:rPr>
          <w:rFonts w:ascii="Times New Roman" w:cs="Times New Roman" w:eastAsia="Times New Roman" w:hAnsi="Times New Roman"/>
          <w:sz w:val="18"/>
          <w:szCs w:val="18"/>
          <w:color w:val="auto"/>
        </w:rPr>
      </w:pPr>
    </w:p>
    <w:p>
      <w:pPr>
        <w:jc w:val="both"/>
        <w:ind w:left="340" w:hanging="332"/>
        <w:spacing w:after="0" w:line="226" w:lineRule="auto"/>
        <w:tabs>
          <w:tab w:leader="none" w:pos="33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Addresses for Communications</w:t>
      </w:r>
      <w:r>
        <w:rPr>
          <w:rFonts w:ascii="Times New Roman" w:cs="Times New Roman" w:eastAsia="Times New Roman" w:hAnsi="Times New Roman"/>
          <w:sz w:val="18"/>
          <w:szCs w:val="18"/>
          <w:color w:val="auto"/>
        </w:rPr>
        <w:t>. To facilitate communications regarding this Agreement, Grantee agrees to notify the Corporation promptly of changes in current mailing and e-mail addresses. Communications to the Corporation in connection with this Agreement should be directed to the Incentive Processing Office or to such other address as the Corporation may designate by further notice to Grantee.</w:t>
      </w:r>
    </w:p>
    <w:p>
      <w:pPr>
        <w:spacing w:after="0" w:line="36" w:lineRule="exact"/>
        <w:rPr>
          <w:rFonts w:ascii="Times New Roman" w:cs="Times New Roman" w:eastAsia="Times New Roman" w:hAnsi="Times New Roman"/>
          <w:sz w:val="18"/>
          <w:szCs w:val="18"/>
          <w:color w:val="auto"/>
        </w:rPr>
      </w:pPr>
    </w:p>
    <w:p>
      <w:pPr>
        <w:jc w:val="both"/>
        <w:ind w:left="340" w:hanging="332"/>
        <w:spacing w:after="0" w:line="215" w:lineRule="auto"/>
        <w:tabs>
          <w:tab w:leader="none" w:pos="33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Personal Data</w:t>
      </w:r>
      <w:r>
        <w:rPr>
          <w:rFonts w:ascii="Times New Roman" w:cs="Times New Roman" w:eastAsia="Times New Roman" w:hAnsi="Times New Roman"/>
          <w:sz w:val="18"/>
          <w:szCs w:val="18"/>
          <w:color w:val="auto"/>
        </w:rPr>
        <w:t>. The administration of the Program and this Agreement, including any subsequent ownership of shares; involves the collection, use, and transfer of personal data about Grantee between and among the Corporation, selected subsidiaries and other affiliates of the Corporation, and third-party service providers such as Morgan Stanley and Computershare (the Corporation's transfer agent), as well as various regulatory and tax authorities around the world. This data includes Grantee's name, age, date of birth, contact information, work location, employment status, tax status, Social Security number, salary, nationality, job title, share ownership, and details of incentive awards granted, cancelled, vested or unvested, and related information. By accepting this award, Grantee authorizes such collection, use, and transfer of this data. Grantee may, at any time and without charge, view such data and require necessary corrections to it. Such data will at all times be held in accordance with applicable laws, regulations, and agreements. For more information on data privacy, see the data privacy statement on the Incentive Award Program website.</w:t>
      </w:r>
    </w:p>
    <w:p>
      <w:pPr>
        <w:spacing w:after="0" w:line="42" w:lineRule="exact"/>
        <w:rPr>
          <w:rFonts w:ascii="Times New Roman" w:cs="Times New Roman" w:eastAsia="Times New Roman" w:hAnsi="Times New Roman"/>
          <w:sz w:val="18"/>
          <w:szCs w:val="18"/>
          <w:color w:val="auto"/>
        </w:rPr>
      </w:pPr>
    </w:p>
    <w:p>
      <w:pPr>
        <w:jc w:val="both"/>
        <w:ind w:left="340" w:hanging="332"/>
        <w:spacing w:after="0" w:line="223" w:lineRule="auto"/>
        <w:tabs>
          <w:tab w:leader="none" w:pos="33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Employment Contract or Entitlement to Other or Future Awards</w:t>
      </w:r>
      <w:r>
        <w:rPr>
          <w:rFonts w:ascii="Times New Roman" w:cs="Times New Roman" w:eastAsia="Times New Roman" w:hAnsi="Times New Roman"/>
          <w:sz w:val="18"/>
          <w:szCs w:val="18"/>
          <w:color w:val="auto"/>
        </w:rPr>
        <w:t>. This Agreement, the Corporation's incentive programs, and Grantee's selection for incentive awards do not imply or form a part of any contract or assurance of employment, and they do not in any way limit or restrict the ability of Grantee's employer to terminate Grantee's employment. Grantee acknowledges that the Corporation maintains and administers its incentive programs entirely in its discretion and that Grantee is not entitled to any other or future incentive awards of any kind in addition to those that have already been granted.</w:t>
      </w:r>
    </w:p>
    <w:p>
      <w:pPr>
        <w:spacing w:after="0" w:line="37" w:lineRule="exact"/>
        <w:rPr>
          <w:rFonts w:ascii="Times New Roman" w:cs="Times New Roman" w:eastAsia="Times New Roman" w:hAnsi="Times New Roman"/>
          <w:sz w:val="18"/>
          <w:szCs w:val="18"/>
          <w:color w:val="auto"/>
        </w:rPr>
      </w:pPr>
    </w:p>
    <w:p>
      <w:pPr>
        <w:jc w:val="both"/>
        <w:ind w:left="340" w:hanging="332"/>
        <w:spacing w:after="0" w:line="224" w:lineRule="auto"/>
        <w:tabs>
          <w:tab w:leader="none" w:pos="33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and Consent to Jurisdiction</w:t>
      </w:r>
      <w:r>
        <w:rPr>
          <w:rFonts w:ascii="Times New Roman" w:cs="Times New Roman" w:eastAsia="Times New Roman" w:hAnsi="Times New Roman"/>
          <w:sz w:val="18"/>
          <w:szCs w:val="18"/>
          <w:color w:val="auto"/>
        </w:rPr>
        <w:t>. This Agreement and the Program are governed by the laws of the State of New York without regard to any conflict of law rules. Any dispute arising out of or relating to this Agreement or the Program may be resolved in any state or federal court located within Harris County, Texas, U.S.A. Grantee accepts that venue and submits to the personal jurisdiction of any such court. Similarly, the Corporation accepts such venue and submits to such jurisdiction.</w:t>
      </w:r>
    </w:p>
    <w:p>
      <w:pPr>
        <w:spacing w:after="0" w:line="37" w:lineRule="exact"/>
        <w:rPr>
          <w:rFonts w:ascii="Times New Roman" w:cs="Times New Roman" w:eastAsia="Times New Roman" w:hAnsi="Times New Roman"/>
          <w:sz w:val="18"/>
          <w:szCs w:val="18"/>
          <w:color w:val="auto"/>
        </w:rPr>
      </w:pPr>
    </w:p>
    <w:p>
      <w:pPr>
        <w:ind w:left="340" w:hanging="332"/>
        <w:spacing w:after="0" w:line="237" w:lineRule="auto"/>
        <w:tabs>
          <w:tab w:leader="none" w:pos="33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applicable electronically signed acceptance constitutes the entire understanding between Grantee and the Corporation with respect to the subject matter of this Agreement.</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140" w:name="page141"/>
    <w:bookmarkEnd w:id="140"/>
    <w:p>
      <w:pPr>
        <w:ind w:left="9580"/>
        <w:spacing w:after="0"/>
        <w:rPr>
          <w:sz w:val="20"/>
          <w:szCs w:val="20"/>
          <w:color w:val="auto"/>
        </w:rPr>
      </w:pPr>
      <w:r>
        <w:rPr>
          <w:rFonts w:ascii="Times New Roman" w:cs="Times New Roman" w:eastAsia="Times New Roman" w:hAnsi="Times New Roman"/>
          <w:sz w:val="17"/>
          <w:szCs w:val="17"/>
          <w:b w:val="1"/>
          <w:bCs w:val="1"/>
          <w:color w:val="auto"/>
        </w:rPr>
        <w:t>EXHIBIT 10(iii)(f.3)</w:t>
      </w:r>
    </w:p>
    <w:p>
      <w:pPr>
        <w:sectPr>
          <w:pgSz w:w="11900" w:h="16838" w:orient="portrait"/>
          <w:cols w:equalWidth="0" w:num="1">
            <w:col w:w="11220"/>
          </w:cols>
          <w:pgMar w:left="320" w:top="630" w:right="359" w:bottom="1440" w:gutter="0" w:footer="0" w:header="0"/>
        </w:sectPr>
      </w:pPr>
    </w:p>
    <w:p>
      <w:pPr>
        <w:spacing w:after="0" w:line="33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6D6D6D"/>
        </w:rPr>
        <w:t>Exxon Mobil Corporation</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b w:val="1"/>
          <w:bCs w:val="1"/>
          <w:color w:val="6D6D6D"/>
        </w:rPr>
        <w:t>Jeff A. Taylor</w:t>
      </w:r>
    </w:p>
    <w:p>
      <w:pPr>
        <w:spacing w:after="0" w:line="69" w:lineRule="exact"/>
        <w:rPr>
          <w:sz w:val="20"/>
          <w:szCs w:val="20"/>
          <w:color w:val="auto"/>
        </w:rPr>
      </w:pPr>
    </w:p>
    <w:p>
      <w:pPr>
        <w:sectPr>
          <w:pgSz w:w="11900" w:h="16838" w:orient="portrait"/>
          <w:cols w:equalWidth="0" w:num="2">
            <w:col w:w="6360" w:space="720"/>
            <w:col w:w="4140"/>
          </w:cols>
          <w:pgMar w:left="320" w:top="630" w:right="359" w:bottom="1440" w:gutter="0" w:footer="0" w:header="0"/>
          <w:type w:val="continuous"/>
        </w:sectPr>
      </w:pPr>
    </w:p>
    <w:p>
      <w:pPr>
        <w:ind w:left="20"/>
        <w:spacing w:after="0"/>
        <w:rPr>
          <w:sz w:val="20"/>
          <w:szCs w:val="20"/>
          <w:color w:val="auto"/>
        </w:rPr>
      </w:pPr>
      <w:r>
        <w:rPr>
          <w:rFonts w:ascii="Arial" w:cs="Arial" w:eastAsia="Arial" w:hAnsi="Arial"/>
          <w:sz w:val="14"/>
          <w:szCs w:val="14"/>
          <w:color w:val="6D6D6D"/>
        </w:rPr>
        <w:t>22777 Springwoods Village Parkway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6D6D6D"/>
        </w:rPr>
        <w:t>Vice President, General Counsel &amp; Secretary</w:t>
      </w:r>
    </w:p>
    <w:p>
      <w:pPr>
        <w:spacing w:after="0" w:line="69" w:lineRule="exact"/>
        <w:rPr>
          <w:sz w:val="20"/>
          <w:szCs w:val="20"/>
          <w:color w:val="auto"/>
        </w:rPr>
      </w:pPr>
    </w:p>
    <w:p>
      <w:pPr>
        <w:sectPr>
          <w:pgSz w:w="11900" w:h="16838" w:orient="portrait"/>
          <w:cols w:equalWidth="0" w:num="2">
            <w:col w:w="6360" w:space="720"/>
            <w:col w:w="4140"/>
          </w:cols>
          <w:pgMar w:left="320" w:top="630" w:right="359" w:bottom="1440" w:gutter="0" w:footer="0" w:header="0"/>
          <w:type w:val="continuous"/>
        </w:sectPr>
      </w:pPr>
    </w:p>
    <w:p>
      <w:pPr>
        <w:ind w:left="20"/>
        <w:spacing w:after="0"/>
        <w:rPr>
          <w:sz w:val="20"/>
          <w:szCs w:val="20"/>
          <w:color w:val="auto"/>
        </w:rPr>
      </w:pPr>
      <w:r>
        <w:rPr>
          <w:rFonts w:ascii="Arial" w:cs="Arial" w:eastAsia="Arial" w:hAnsi="Arial"/>
          <w:sz w:val="14"/>
          <w:szCs w:val="14"/>
          <w:color w:val="6D6D6D"/>
        </w:rPr>
        <w:t>Spring, TX 77389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220980</wp:posOffset>
            </wp:positionV>
            <wp:extent cx="1757045" cy="41148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3">
                      <a:extLst>
                        <a:ext uri="{28A0092B-C50C-407E-A947-70E740481C1C}"/>
                      </a:extLst>
                    </a:blip>
                    <a:srcRect/>
                    <a:stretch>
                      <a:fillRect/>
                    </a:stretch>
                  </pic:blipFill>
                  <pic:spPr bwMode="auto">
                    <a:xfrm>
                      <a:off x="0" y="0"/>
                      <a:ext cx="1757045" cy="411480"/>
                    </a:xfrm>
                    <a:prstGeom prst="rect">
                      <a:avLst/>
                    </a:prstGeom>
                    <a:noFill/>
                  </pic:spPr>
                </pic:pic>
              </a:graphicData>
            </a:graphic>
          </wp:anchor>
        </w:drawing>
      </w:r>
    </w:p>
    <w:p>
      <w:pPr>
        <w:sectPr>
          <w:pgSz w:w="11900" w:h="16838" w:orient="portrait"/>
          <w:cols w:equalWidth="0" w:num="1">
            <w:col w:w="11220"/>
          </w:cols>
          <w:pgMar w:left="320" w:top="63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500"/>
        <w:spacing w:after="0"/>
        <w:rPr>
          <w:sz w:val="20"/>
          <w:szCs w:val="20"/>
          <w:color w:val="auto"/>
        </w:rPr>
      </w:pPr>
      <w:r>
        <w:rPr>
          <w:rFonts w:ascii="Arial" w:cs="Arial" w:eastAsia="Arial" w:hAnsi="Arial"/>
          <w:sz w:val="20"/>
          <w:szCs w:val="20"/>
          <w:color w:val="auto"/>
        </w:rPr>
        <w:t>January 2, 2025</w:t>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color w:val="auto"/>
        </w:rPr>
        <w:t>[Name of Non-Employee Director]</w:t>
      </w:r>
    </w:p>
    <w:p>
      <w:pPr>
        <w:spacing w:after="0" w:line="229" w:lineRule="exact"/>
        <w:rPr>
          <w:sz w:val="20"/>
          <w:szCs w:val="20"/>
          <w:color w:val="auto"/>
        </w:rPr>
      </w:pPr>
    </w:p>
    <w:p>
      <w:pPr>
        <w:ind w:right="180"/>
        <w:spacing w:after="0"/>
        <w:rPr>
          <w:sz w:val="20"/>
          <w:szCs w:val="20"/>
          <w:color w:val="auto"/>
        </w:rPr>
      </w:pPr>
      <w:r>
        <w:rPr>
          <w:rFonts w:ascii="Arial" w:cs="Arial" w:eastAsia="Arial" w:hAnsi="Arial"/>
          <w:sz w:val="20"/>
          <w:szCs w:val="20"/>
          <w:color w:val="auto"/>
        </w:rPr>
        <w:t>I am pleased to inform you that on January 2, 2024, you were granted 2,500 shares of restricted stock under Exxon Mobil Corporation's 2004 Non-Employee Director Restricted Stock Plan (the "Plan") and in accordance with the Board's standing resolution regarding grants under the Plan. This letter summarizes key terms of your award and is qualified by reference to the Plan. You should refer to the text of the Plan for a detailed description of the terms and conditions of your award. Copies of the Plan have been previously distributed to you and are also available on request to me at any time.</w:t>
      </w:r>
    </w:p>
    <w:p>
      <w:pPr>
        <w:spacing w:after="0" w:line="214" w:lineRule="exact"/>
        <w:rPr>
          <w:sz w:val="20"/>
          <w:szCs w:val="20"/>
          <w:color w:val="auto"/>
        </w:rPr>
      </w:pPr>
    </w:p>
    <w:p>
      <w:pPr>
        <w:jc w:val="both"/>
        <w:ind w:right="60"/>
        <w:spacing w:after="0" w:line="237" w:lineRule="auto"/>
        <w:rPr>
          <w:sz w:val="20"/>
          <w:szCs w:val="20"/>
          <w:color w:val="auto"/>
        </w:rPr>
      </w:pPr>
      <w:r>
        <w:rPr>
          <w:rFonts w:ascii="Arial" w:cs="Arial" w:eastAsia="Arial" w:hAnsi="Arial"/>
          <w:sz w:val="20"/>
          <w:szCs w:val="20"/>
          <w:color w:val="auto"/>
        </w:rPr>
        <w:t>The restricted stock has been registered in your name and will be held in book-entry form by the Corporation's agent during the restricted period. As the owner of record, you have the right to vote the shares and receive cash dividends. However, during the restricted period the shares may not be sold, assigned, transferred, pledged, or otherwise disposed of or encumbered, and your restricted stock account will be subject to stop transfer instructions. When the restricted period expires, shares will be delivered to or for your account free of restrictions.</w:t>
      </w:r>
    </w:p>
    <w:p>
      <w:pPr>
        <w:spacing w:after="0" w:line="214" w:lineRule="exact"/>
        <w:rPr>
          <w:sz w:val="20"/>
          <w:szCs w:val="20"/>
          <w:color w:val="auto"/>
        </w:rPr>
      </w:pPr>
    </w:p>
    <w:p>
      <w:pPr>
        <w:ind w:right="80"/>
        <w:spacing w:after="0"/>
        <w:rPr>
          <w:sz w:val="20"/>
          <w:szCs w:val="20"/>
          <w:color w:val="auto"/>
        </w:rPr>
      </w:pPr>
      <w:r>
        <w:rPr>
          <w:rFonts w:ascii="Arial" w:cs="Arial" w:eastAsia="Arial" w:hAnsi="Arial"/>
          <w:sz w:val="20"/>
          <w:szCs w:val="20"/>
          <w:color w:val="auto"/>
        </w:rPr>
        <w:t>The restricted period for this award began at the time of grant. The restricted period will expire on the earliest of grantee leaving the Board after reaching retirement age (currently age 75), leaving the Board in good standing (as determined by the Board) before reaching retirement age, or by reason of death. By accepting this award, you agree to all its terms and conditions, including the restrictions on transfer and events of forfeiture.</w:t>
      </w:r>
    </w:p>
    <w:p>
      <w:pPr>
        <w:spacing w:after="0" w:line="201" w:lineRule="exact"/>
        <w:rPr>
          <w:sz w:val="20"/>
          <w:szCs w:val="20"/>
          <w:color w:val="auto"/>
        </w:rPr>
      </w:pPr>
    </w:p>
    <w:p>
      <w:pPr>
        <w:spacing w:after="0" w:line="245" w:lineRule="auto"/>
        <w:rPr>
          <w:sz w:val="20"/>
          <w:szCs w:val="20"/>
          <w:color w:val="auto"/>
        </w:rPr>
      </w:pPr>
      <w:r>
        <w:rPr>
          <w:rFonts w:ascii="Arial" w:cs="Arial" w:eastAsia="Arial" w:hAnsi="Arial"/>
          <w:sz w:val="20"/>
          <w:szCs w:val="20"/>
          <w:color w:val="auto"/>
        </w:rPr>
        <w:t>You are entitled to designate a beneficiary for your restricted stock account. Please contact Micki Sage at (346) 502-7352 for the necessary form should you wish to do so. Additional information concerning your award, including information on the tax consequences of your award and certain additional information required by the Securities Act of 1933, is also enclosed with this letter.</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Should you have any questions concerning the Plan or this award, please feel free to contact me at (346) 335-5071.</w:t>
      </w:r>
    </w:p>
    <w:p>
      <w:pPr>
        <w:spacing w:after="0" w:line="200" w:lineRule="exact"/>
        <w:rPr>
          <w:sz w:val="20"/>
          <w:szCs w:val="20"/>
          <w:color w:val="auto"/>
        </w:rPr>
      </w:pPr>
    </w:p>
    <w:p>
      <w:pPr>
        <w:spacing w:after="0" w:line="272"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Sincerely,</w:t>
      </w:r>
    </w:p>
    <w:p>
      <w:pPr>
        <w:spacing w:after="0" w:line="200" w:lineRule="exact"/>
        <w:rPr>
          <w:sz w:val="20"/>
          <w:szCs w:val="20"/>
          <w:color w:val="auto"/>
        </w:rPr>
      </w:pPr>
    </w:p>
    <w:p>
      <w:pPr>
        <w:spacing w:after="0" w:line="286" w:lineRule="exact"/>
        <w:rPr>
          <w:sz w:val="20"/>
          <w:szCs w:val="20"/>
          <w:color w:val="auto"/>
        </w:rPr>
      </w:pPr>
    </w:p>
    <w:p>
      <w:pPr>
        <w:jc w:val="center"/>
        <w:ind w:right="-299"/>
        <w:spacing w:after="0"/>
        <w:rPr>
          <w:sz w:val="20"/>
          <w:szCs w:val="20"/>
          <w:color w:val="auto"/>
        </w:rPr>
      </w:pPr>
      <w:r>
        <w:rPr>
          <w:rFonts w:ascii="Arial" w:cs="Arial" w:eastAsia="Arial" w:hAnsi="Arial"/>
          <w:sz w:val="20"/>
          <w:szCs w:val="20"/>
          <w:color w:val="auto"/>
        </w:rPr>
        <w:t>[signed by Jeffrey A. Taylor]</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Enclosures</w:t>
      </w:r>
    </w:p>
    <w:p>
      <w:pPr>
        <w:sectPr>
          <w:pgSz w:w="11900" w:h="16838" w:orient="portrait"/>
          <w:cols w:equalWidth="0" w:num="1">
            <w:col w:w="11220"/>
          </w:cols>
          <w:pgMar w:left="320" w:top="630" w:right="359" w:bottom="1440" w:gutter="0" w:footer="0" w:header="0"/>
          <w:type w:val="continuous"/>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14</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CODE OF ETHICS AND BUSINESS CONDUCT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Ethics Policy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policy of Exxon Mobil Corporation is to comply with all governmental laws, rules, and regulations applicable to its business.</w:t>
      </w:r>
    </w:p>
    <w:p>
      <w:pPr>
        <w:spacing w:after="0" w:line="2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Corporation's Ethics policy does not stop there. Even where the law is permissive, the Corporation chooses the course of highest integrity. Local customs, traditions, and mores differ from place to place, and this must be recognized. But honesty is not subject to criticism in any culture. Shades of dishonesty simply invite demoralizing and reprehensible judgments. A well-founded reputation for scrupulous dealing is itself a priceless corporate asset.</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Corporation cares how results are obtained, not just that they are obtained. Directors, officers, and employees should deal fairly with each other and with the Corporation's suppliers, customers, competitors, and other third parties.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Corporation expects compliance with its standard of integrity throughout the organization and will not tolerate employees who achieve results at the cost of violation of law or who deal unscrupulously. The Corporation's directors and officers support, and expect the Corporation's employees to support, any employee who passes up an opportunity or advantage that would sacrifice ethical standards.</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It is the Corporation's policy that all transactions will be accurately reflected in its books and records. This, of course, means that falsification of books and records and the creation or maintenance of any off-the-record bank accounts are strictly prohibited. Employees are expected to record all transactions accurately in the Corporation's books and records, and to be honest and forthcoming with the Corporation's internal and independent auditors.</w:t>
      </w:r>
    </w:p>
    <w:p>
      <w:pPr>
        <w:spacing w:after="0" w:line="20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Corporation expects candor from employees at all levels and adherence to its policies and internal controls. One harm which results when employees conceal information from higher management or the auditors is that other employees think they are being given a signal that the Corporation's policies and internal controls can be ignored when they are inconvenient. That can result in corruption and demoralization of an organization. The Corporation's system of management will not work without honesty, including honest bookkeeping, honest budget proposals, and honest economic evaluation of projects.</w:t>
      </w:r>
    </w:p>
    <w:p>
      <w:pPr>
        <w:spacing w:after="0" w:line="2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It is the Corporation's policy to make full, fair, accurate, timely, and understandable disclosure in reports and documents that the Corporation files with the United States Securities and Exchange Commission, and in other public communications. All employees are responsible for reporting material information known to them to higher management so that the information will be available to senior executives responsible for making disclosure decisions.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Conflicts of Interest Policy</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It is the policy of Exxon Mobil Corporation that directors, officers, and employees are expected to avoid any actual or apparent conflict between their own personal interests and the interests of the Corporation. A conflict of interest can arise when a director, officer, or employee takes actions or has personal interests that may interfere with his or her objective and effective performance of work for the Corporation. For example, directors, officers, and employees are expected to avoid actual or apparent conflict in dealings with suppliers, customers, competitors, and other third parties. Directors, officers, and employees are expected to refrain from taking for themselves opportunities discovered through their use of corporate assets or through their positions with the Corporation. Directors, officers, and employees are expected to avoid securities transactions based on material, nonpublic information learned through their positions with the Corporation. Directors, officers, and employees are expected to refrain from competing with the Corporation.</w:t>
      </w:r>
    </w:p>
    <w:p>
      <w:pPr>
        <w:sectPr>
          <w:pgSz w:w="11900" w:h="16838" w:orient="portrait"/>
          <w:cols w:equalWidth="0" w:num="1">
            <w:col w:w="11240"/>
          </w:cols>
          <w:pgMar w:left="320" w:top="1400"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color w:val="auto"/>
        </w:rPr>
        <w:t>Corporate Assets Policy</w:t>
      </w:r>
    </w:p>
    <w:p>
      <w:pPr>
        <w:spacing w:after="0" w:line="2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It is the policy of Exxon Mobil Corporation that directors, officers, and employees are expected to protect the assets of the Corporation and use them efficiently to advance the interests of the Corporation. Those assets include tangible assets and intangible assets, such as confidential information of the Corporation or personal information held by the Corporation. No director, officer, or employee should use or disclose at any time during or subsequent to employment or other service to the Corporation, without proper authority or mandate, personal or confidential information obtained from any source in the course of the Corporation’s business. Examples of confidential information include nonpublic information about the Corporation’s plans, earnings, financial forecasts, business forecasts, discoveries, competitive bids, technologies, and personnel.</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Directorships Policy</w:t>
      </w:r>
    </w:p>
    <w:p>
      <w:pPr>
        <w:spacing w:after="0" w:line="24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It is the policy of Exxon Mobil Corporation to restrict the holding by officers and employees of directorships in nonaffiliated, for-profit organizations and to prohibit the acceptance by any officer or employee of such directorships that would involve a conflict of interest with, or interfere with, the discharge of the officer's or employee's duties to the Corporation. Any officer or employee may hold directorships in nonaffiliated, nonprofit organizations, unless such directorships would involve a conflict of interest with, or interfere with, the discharge of the officer's or employee's duties to the Corporation, or obligate the Corporation to provide support to the nonaffiliated, nonprofit organizations. Officers and employees may serve as directors of affiliated companies and such service may be part of their normal work assignments.</w:t>
      </w:r>
    </w:p>
    <w:p>
      <w:pPr>
        <w:spacing w:after="0" w:line="2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All directorships in public companies held by directors of the Corporation are subject to review and approval by the Board of Directors of the Corporation. In all other cases, directorships in nonaffiliated, for-profit organizations are subject to review and approval by the management of the Corporation, as directed by the Chairman.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Procedures and Open Door Communication</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Exxon Mobil Corporation encourages employees to ask questions, voice concerns, and make appropriate suggestions regarding the business practices of the Corporation. Employees are expected to report promptly to management suspected violations of law, the Corporation's policies, and the Corporation's internal controls, so that management can take appropriate corrective action. The Corporation promptly investigates reports of suspected violations of law, policies, and internal control procedures.</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Management is ultimately responsible for the investigation of and appropriate response to reports of suspected violations of law, policies, and internal control procedures. Internal Audit has primary responsibility for investigating violations of the Corporation's internal controls, with assistance from others, depending on the subject matter of the inquiry. The persons who investigate suspected violations are expected to exercise independent and objective judgment.</w:t>
      </w:r>
    </w:p>
    <w:p>
      <w:pPr>
        <w:spacing w:after="0" w:line="2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Normally, an employee should discuss such matters with the employee's immediate supervisor. Each supervisor is expected to be available to subordinates for that purpose. If an employee is dissatisfied following review with the employee's immediate supervisor, that employee is encouraged to request further reviews, in the presence of the supervisor or otherwise. Reviews should continue to the level of management appropriate to resolve the issue.</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Depending on the subject matter of the question, concern, or suggestion, each employee has access to alternative channels of communication, for example, the Controller's Department; Internal Audit; the Human Resources Department; the Law Department; the Safety, Health and Environment Department; the Security Department; and the Treasurer's Department.</w:t>
      </w:r>
    </w:p>
    <w:p>
      <w:pPr>
        <w:spacing w:after="0" w:line="20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Suspected violations of law or the Corporation's policies involving a director or executive officer, as well as any concern regarding questionable accounting or auditing matters, should be referred directly to the General Auditor of the Corporation. The Board Affairs Committee of the Board of Directors of the Corporation will initially review all issues involving directors or executive officers, and will then refer all such issues to the Board of Directors of the Corporation.</w:t>
      </w:r>
    </w:p>
    <w:p>
      <w:pPr>
        <w:sectPr>
          <w:pgSz w:w="11900" w:h="16838" w:orient="portrait"/>
          <w:cols w:equalWidth="0" w:num="1">
            <w:col w:w="11240"/>
          </w:cols>
          <w:pgMar w:left="320" w:top="1400" w:right="339" w:bottom="1440" w:gutter="0" w:footer="0" w:header="0"/>
        </w:sectPr>
      </w:pPr>
    </w:p>
    <w:bookmarkStart w:id="143" w:name="page144"/>
    <w:bookmarkEnd w:id="143"/>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Employees may also address communications to individual nonemployee directors or to the nonemployee directors as a group by writing them at Exxon Mobil Corporation, 22777 Springwoods Village Parkway, Spring, Texas 77389, U.S.A., or such other addresses as the Corporation may designate and publish from time to time.</w:t>
      </w:r>
    </w:p>
    <w:p>
      <w:pPr>
        <w:spacing w:after="0" w:line="163"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Employees wishing to make complaints without identifying themselves may do so by telephoning 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800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963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9966 or 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346-335-6100, or by writing the Global Security Manager, Exxon Mobil Corporation, P.O. Box 7537, Spring, Texas 77387, U.S.A., or such other telephone numbers and addresses as the Corporation may designate and publish from time to time. All complaints to those telephone numbers and addresses concerning accounting, internal accounting controls, or auditing matters will be referred to the Audit Committee of the Board of Directors of the Corporation.</w:t>
      </w:r>
    </w:p>
    <w:p>
      <w:pPr>
        <w:spacing w:after="0" w:line="20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All persons responding to employees' questions, concerns, complaints, and suggestions are expected to use appropriate discretion regarding anonymity and confidentiality, although the preservation of anonymity and confidentiality may or may not be practical, depending on the circumstances. For example, investigations of significant complaints typically necessitate revealing to others information about the complaint and complainant. Similarly, disclosure can result from government investigations and litigation.</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action may be taken or threatened against any employee for asking questions, voicing concerns, or making complaints or suggestions in conformity with the procedures described above, unless the employee acts with willful disregard of the truth.</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Failure to behave honestly, and failure to comply with law, the Corporation's policies, and the Corporation's internal controls may result in disciplinary action, up to and including separation.</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No one in the Corporation has the authority to make exceptions or grant waivers to the Corporation's foundation policies. It is recognized that there will be questions about the application of the policies to specific activities and situations. In cases of doubt, directors, officers, and employees are expected to seek clarification and guidance. In those instances where the Corporation, after review, approves an activity or situation, the Corporation is not granting an exception or waiver but is determining that there is no policy violation. If the Corporation determines that there is or would be a policy violation, appropriate action is taken.</w:t>
      </w:r>
    </w:p>
    <w:p>
      <w:pPr>
        <w:sectPr>
          <w:pgSz w:w="11900" w:h="16838" w:orient="portrait"/>
          <w:cols w:equalWidth="0" w:num="1">
            <w:col w:w="11240"/>
          </w:cols>
          <w:pgMar w:left="320" w:top="1440"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b w:val="1"/>
          <w:bCs w:val="1"/>
          <w:color w:val="auto"/>
        </w:rPr>
        <w:t>EXHIBIT 19</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EXXON MOBIL CORPORATION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INSIDER TRADING POLICY</w:t>
      </w:r>
    </w:p>
    <w:p>
      <w:pPr>
        <w:spacing w:after="0" w:line="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It is the policy of Exxon Mobil Corporation (the “Company” or “ExxonMobil”) that all directors, officers, and employees of ExxonMobil and its subsidiaries are expected to avoid securities transactions based on material non-public information learned through their positions with the Company. This Insider Trading Policy (this “Policy”) provides the standards of Exxon Mobil Corporation concerning trading in securities (including stocks, bonds, notes or other equity or debt securities, whether or not issued by the Company) while in possession of material non-public information.</w:t>
      </w:r>
    </w:p>
    <w:p>
      <w:pPr>
        <w:spacing w:after="0" w:line="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the policy of Exxon Mobil Corporation to comply with all applicable laws and regulations applicable to its business, including the securities laws related to the Company trading in its own securities.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Guidelines Applicable to All Employees and Directors</w:t>
      </w:r>
    </w:p>
    <w:p>
      <w:pPr>
        <w:spacing w:after="0" w:line="200" w:lineRule="exact"/>
        <w:rPr>
          <w:sz w:val="20"/>
          <w:szCs w:val="20"/>
          <w:color w:val="auto"/>
        </w:rPr>
      </w:pPr>
    </w:p>
    <w:p>
      <w:pPr>
        <w:spacing w:after="0" w:line="23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following guidelines apply to transactions involving ExxonMobil securities by all employees of the Company and its subsidiaries, all officers of the Company and its subsidiaries, and all members of the Company's board of directors. It also applies to transactions involving securities of other companies to the extent these employees, officers, or directors learn confidential information relating to such company during the course of their work at ExxonMobil.</w:t>
      </w:r>
    </w:p>
    <w:p>
      <w:pPr>
        <w:spacing w:after="0" w:line="5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It is a violation of federal securities laws and a violation of this Policy for any person to buy or sell securities if he or she is in possession of material non-public information. Specifically:</w:t>
      </w:r>
    </w:p>
    <w:p>
      <w:pPr>
        <w:spacing w:after="0" w:line="41" w:lineRule="exact"/>
        <w:rPr>
          <w:sz w:val="20"/>
          <w:szCs w:val="20"/>
          <w:color w:val="auto"/>
        </w:rPr>
      </w:pPr>
    </w:p>
    <w:p>
      <w:pPr>
        <w:ind w:left="660" w:hanging="328"/>
        <w:spacing w:after="0" w:line="282" w:lineRule="auto"/>
        <w:tabs>
          <w:tab w:leader="none" w:pos="65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officers, directors, and their spouses and dependent family members may not purchase or sell any Company securities while in possession of material non-public information about the Company.</w:t>
      </w:r>
    </w:p>
    <w:p>
      <w:pPr>
        <w:spacing w:after="0" w:line="26"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officers, and directors who learn material non-public information about suppliers, customers, competitors, or others through their work at the Company should keep such information confidential and not buy or sell securities using such information until the information becomes public. Employees, officers, and directors must not give tips about such securities.</w:t>
      </w:r>
    </w:p>
    <w:p>
      <w:pPr>
        <w:spacing w:after="0" w:line="5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officers, and directors may not communicate confidential information or material non-public information about the Company to any other person without proper authority or mandate, or recommend to any person to buy or sell Company securities while in possession of material non-public information about the Company.</w:t>
      </w:r>
    </w:p>
    <w:p>
      <w:pPr>
        <w:spacing w:after="0" w:line="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consistent with the Company’s Conflicts of Interest Policy, no executive, management, professional, or technical ("EMPT") employee, EMPT employee's spouse, or dependent member of an EMPT employee's family should be a party to a derivative or similar financial instrument, including puts, calls, or other options, future or forward contracts, or equity swaps or collars (“Derivatives”), with respect to the Company’s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b w:val="1"/>
          <w:bCs w:val="1"/>
          <w:color w:val="auto"/>
        </w:rPr>
        <w:t>Material Information</w:t>
      </w:r>
      <w:r>
        <w:rPr>
          <w:rFonts w:ascii="Times New Roman" w:cs="Times New Roman" w:eastAsia="Times New Roman" w:hAnsi="Times New Roman"/>
          <w:sz w:val="18"/>
          <w:szCs w:val="18"/>
          <w:color w:val="auto"/>
        </w:rPr>
        <w:t>: Information is generally considered material if there is a substantial likelihood that a reasonable investor would consider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important in determining whether to buy or sell a particular security, and a substantial likelihood that a reasonable investor would view the information as having significantly altered the total balance of information disclosed to the public. As a practical matter, this means information that could be expected to cause a change in the market price or prompt a person who was holding the security to want to buy, sell or hedge their position. Material information is not limited to the financial results of ExxonMobil. It also includes knowledge of events affecting ExxonMobil that have not yet been publicly disclosed.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Examples of information that could be considered material include:</w:t>
      </w:r>
    </w:p>
    <w:p>
      <w:pPr>
        <w:spacing w:after="0" w:line="90" w:lineRule="exact"/>
        <w:rPr>
          <w:sz w:val="20"/>
          <w:szCs w:val="20"/>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key performance indicators of the Company</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anticipated, or targeted earnings and dividends and other financial information</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sales, and other significant internal business forecasts, or a change in previously released estimates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acquisitions or dispositions, or the expansion or curtailment of operations</w:t>
      </w:r>
    </w:p>
    <w:p>
      <w:pPr>
        <w:sectPr>
          <w:pgSz w:w="11900" w:h="16838" w:orient="portrait"/>
          <w:cols w:equalWidth="0" w:num="1">
            <w:col w:w="11240"/>
          </w:cols>
          <w:pgMar w:left="320" w:top="860" w:right="339" w:bottom="1440" w:gutter="0" w:footer="0" w:header="0"/>
        </w:sectPr>
      </w:pPr>
    </w:p>
    <w:bookmarkStart w:id="145" w:name="page146"/>
    <w:bookmarkEnd w:id="145"/>
    <w:p>
      <w:pPr>
        <w:ind w:left="660" w:hanging="328"/>
        <w:spacing w:after="0" w:line="266" w:lineRule="auto"/>
        <w:tabs>
          <w:tab w:leader="none" w:pos="65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events affecting the Company’s operations, including any breach of information systems that compromises the functioning of the Company’s information or other systems or results in the exposure or loss of customer information, in particular personal information</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equity or debt offerings or significant borrowing</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debt ratings, or analyst upgrades or downgrades of the issuer or one of its securities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accounting treatment, write-offs, or effective tax rate</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significant litigation or governmental investigation</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top management or the board of directors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splits or other corporate actions.</w:t>
      </w:r>
    </w:p>
    <w:p>
      <w:pPr>
        <w:spacing w:after="0" w:line="8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b w:val="1"/>
          <w:bCs w:val="1"/>
          <w:color w:val="auto"/>
        </w:rPr>
        <w:t>Non-public Information</w:t>
      </w:r>
      <w:r>
        <w:rPr>
          <w:rFonts w:ascii="Times New Roman" w:cs="Times New Roman" w:eastAsia="Times New Roman" w:hAnsi="Times New Roman"/>
          <w:sz w:val="18"/>
          <w:szCs w:val="18"/>
          <w:color w:val="auto"/>
        </w:rPr>
        <w:t>: Information is non-public if it has not been adequately communicated to the entire marketplace. Generally, only disclosure in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ExxonMobil (1) press release, (2) SEC filing, or (3) webcast open live to all members of the public (and with advanced notice) will meet this standard. Posting of information on the ExxonMobil website may be considered public disclosure but only under special circumstances that should be reviewed and approved in advance by the Law Department. Information discussed in other channels (including speculation in press reports) is still non-public information and is not viewed by the SEC as being reflected in the trading price of the securities. If it is not clear whether material information has been sufficiently publicized, it should be treated as non-public information.</w:t>
      </w:r>
    </w:p>
    <w:p>
      <w:pPr>
        <w:spacing w:after="0" w:line="53" w:lineRule="exact"/>
        <w:rPr>
          <w:sz w:val="20"/>
          <w:szCs w:val="20"/>
          <w:color w:val="auto"/>
        </w:rPr>
      </w:pPr>
    </w:p>
    <w:p>
      <w:pPr>
        <w:ind w:right="640"/>
        <w:spacing w:after="0" w:line="338" w:lineRule="auto"/>
        <w:rPr>
          <w:sz w:val="20"/>
          <w:szCs w:val="20"/>
          <w:color w:val="auto"/>
        </w:rPr>
      </w:pPr>
      <w:r>
        <w:rPr>
          <w:rFonts w:ascii="Times New Roman" w:cs="Times New Roman" w:eastAsia="Times New Roman" w:hAnsi="Times New Roman"/>
          <w:sz w:val="18"/>
          <w:szCs w:val="18"/>
          <w:b w:val="1"/>
          <w:bCs w:val="1"/>
          <w:color w:val="auto"/>
        </w:rPr>
        <w:t xml:space="preserve">Securities: </w:t>
      </w:r>
      <w:r>
        <w:rPr>
          <w:rFonts w:ascii="Times New Roman" w:cs="Times New Roman" w:eastAsia="Times New Roman" w:hAnsi="Times New Roman"/>
          <w:sz w:val="18"/>
          <w:szCs w:val="18"/>
          <w:color w:val="auto"/>
        </w:rPr>
        <w:t>Securities include stocks, bonds, notes, or other equity or debt securities, whether or not issued by the Company, including Derivatives.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Restrictions for Employees in Certain Positions</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Employees who have access to material non-public information due to the nature of their position, as well as their spouses and dependents should not engage in any market transactions (purchases or sales) of ExxonMobil securities from the time they first come into possession of such information until after the close of trading on the day the information is released to the public. The foregoing restrictions do not apply to the continuation of regular ongoing transactions such as monthly contributions to an ExxonMobil Savings Plan or dividend reinvestment. However, such persons should not change their existing savings plan or dividend reinvestment elections at a time when they may possess material non-public information.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Examples of employees to which the above restrictions may apply include:</w:t>
      </w:r>
    </w:p>
    <w:p>
      <w:pPr>
        <w:spacing w:after="0" w:line="90" w:lineRule="exact"/>
        <w:rPr>
          <w:sz w:val="20"/>
          <w:szCs w:val="20"/>
          <w:color w:val="auto"/>
        </w:rPr>
      </w:pPr>
    </w:p>
    <w:p>
      <w:pPr>
        <w:ind w:left="660" w:right="20" w:hanging="328"/>
        <w:spacing w:after="0" w:line="266" w:lineRule="auto"/>
        <w:tabs>
          <w:tab w:leader="none" w:pos="65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develop, or participate in the development of publications containing significant earnings information (e.g. Reports on Forms 10-K and 10-Q, press releases, etc.);</w:t>
      </w:r>
    </w:p>
    <w:p>
      <w:pPr>
        <w:spacing w:after="0" w:line="40"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with access to tools or systems that provide access to significant earnings information, including systems administration and maintenance; and</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in a role that has a high likelihood for incidental exposure to material earnings information.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Violations of this Policy</w:t>
      </w:r>
    </w:p>
    <w:p>
      <w:pPr>
        <w:spacing w:after="0" w:line="90" w:lineRule="exact"/>
        <w:rPr>
          <w:sz w:val="20"/>
          <w:szCs w:val="20"/>
          <w:color w:val="auto"/>
        </w:rPr>
      </w:pPr>
    </w:p>
    <w:p>
      <w:pPr>
        <w:jc w:val="both"/>
        <w:ind w:left="340" w:hanging="332"/>
        <w:spacing w:after="0" w:line="260" w:lineRule="auto"/>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Legal Penalties</w:t>
      </w:r>
      <w:r>
        <w:rPr>
          <w:rFonts w:ascii="Times New Roman" w:cs="Times New Roman" w:eastAsia="Times New Roman" w:hAnsi="Times New Roman"/>
          <w:sz w:val="18"/>
          <w:szCs w:val="18"/>
          <w:color w:val="auto"/>
        </w:rPr>
        <w:t>: An individual who breaches the securities laws related to insider trading, or anyone who trades on information provided by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individual, could be exposed to criminal fines of several times the profits earned and a substantial jail term, in addition to civil penalties up to multiple times profits earned, and injunctive actions.</w:t>
      </w:r>
    </w:p>
    <w:p>
      <w:pPr>
        <w:spacing w:after="0" w:line="42" w:lineRule="exact"/>
        <w:rPr>
          <w:rFonts w:ascii="Times New Roman" w:cs="Times New Roman" w:eastAsia="Times New Roman" w:hAnsi="Times New Roman"/>
          <w:sz w:val="18"/>
          <w:szCs w:val="18"/>
          <w:color w:val="auto"/>
        </w:rPr>
      </w:pPr>
    </w:p>
    <w:p>
      <w:pPr>
        <w:ind w:left="340" w:hanging="332"/>
        <w:spacing w:after="0" w:line="271" w:lineRule="auto"/>
        <w:tabs>
          <w:tab w:leader="none" w:pos="3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Company-imposed Penalties</w:t>
      </w:r>
      <w:r>
        <w:rPr>
          <w:rFonts w:ascii="Times New Roman" w:cs="Times New Roman" w:eastAsia="Times New Roman" w:hAnsi="Times New Roman"/>
          <w:sz w:val="18"/>
          <w:szCs w:val="18"/>
          <w:color w:val="auto"/>
        </w:rPr>
        <w:t>: Any employee engaging in any activity that violates this Policy is subject to disciplinary action, up to and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of employment.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Compliance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Questions regarding this Policy or the securities laws applicable to ExxonMobil securities transactions should be directed to the Law Department.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Guidelines Applicable to Officers and Directors of Exxon Mobil Corporation</w:t>
      </w:r>
    </w:p>
    <w:p>
      <w:pPr>
        <w:spacing w:after="0" w:line="9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following provisions apply to transactions involving Company securities by “Covered Persons” (as defined below) during blackout periods established from time to time, including in connection with quarterly earnings announcements. During blackout periods, Covered Persons generally possess or are presumed to possess material non-public information about the Company's financial results. The absence of a blackout period does not necessarily mean that a Covered Person is free to trade; such Covered Person must still comply with the Insider Trading Policy and guidelines applicable to all employees.</w:t>
      </w:r>
    </w:p>
    <w:p>
      <w:pPr>
        <w:sectPr>
          <w:pgSz w:w="11900" w:h="16838" w:orient="portrait"/>
          <w:cols w:equalWidth="0" w:num="1">
            <w:col w:w="11240"/>
          </w:cols>
          <w:pgMar w:left="320" w:top="864" w:right="339" w:bottom="1440" w:gutter="0" w:footer="0" w:header="0"/>
        </w:sectPr>
      </w:pPr>
    </w:p>
    <w:bookmarkStart w:id="146" w:name="page147"/>
    <w:bookmarkEnd w:id="146"/>
    <w:p>
      <w:pPr>
        <w:jc w:val="both"/>
        <w:spacing w:after="0" w:line="252" w:lineRule="auto"/>
        <w:rPr>
          <w:sz w:val="20"/>
          <w:szCs w:val="20"/>
          <w:color w:val="auto"/>
        </w:rPr>
      </w:pPr>
      <w:r>
        <w:rPr>
          <w:rFonts w:ascii="Times New Roman" w:cs="Times New Roman" w:eastAsia="Times New Roman" w:hAnsi="Times New Roman"/>
          <w:sz w:val="18"/>
          <w:szCs w:val="18"/>
          <w:b w:val="1"/>
          <w:bCs w:val="1"/>
          <w:u w:val="single" w:color="auto"/>
          <w:color w:val="auto"/>
        </w:rPr>
        <w:t>Covered Persons</w:t>
      </w:r>
      <w:r>
        <w:rPr>
          <w:rFonts w:ascii="Times New Roman" w:cs="Times New Roman" w:eastAsia="Times New Roman" w:hAnsi="Times New Roman"/>
          <w:sz w:val="18"/>
          <w:szCs w:val="18"/>
          <w:color w:val="auto"/>
        </w:rPr>
        <w:t>: “Covered Persons” includes” (1) directors and executive officers of ExxonMobil who are subject to the reporting and other requirements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Section 16 under the Securities Exchange Act of 1934, and (2) a director’s or executive officer’s spouse, minor children, or others living in the same household, and any other person whose ownership of ExxonMobil equity securities is included in the applicable Form 4 and 5 reports.</w:t>
      </w:r>
    </w:p>
    <w:p>
      <w:pPr>
        <w:spacing w:after="0" w:line="5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u w:val="single" w:color="auto"/>
          <w:color w:val="auto"/>
        </w:rPr>
        <w:t>Blackout Periods</w:t>
      </w:r>
      <w:r>
        <w:rPr>
          <w:rFonts w:ascii="Times New Roman" w:cs="Times New Roman" w:eastAsia="Times New Roman" w:hAnsi="Times New Roman"/>
          <w:sz w:val="18"/>
          <w:szCs w:val="18"/>
          <w:color w:val="auto"/>
        </w:rPr>
        <w:t>: The regular quarterly blackout periods during which trading in the Company’s securities is prohibited by Covered Persons (1) begin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the opening of trading on the 20th day of the last month of each fiscal quarter (March 20, June 20, September 20, and December 20) or at the close of trading on the last trading day preceding the 20th if the 20th falls on a weekend or observed holiday, and (2) end at the opening of trading on the first trading day following the day ExxonMobil publicly announces estimated earnings for that period.</w:t>
      </w:r>
    </w:p>
    <w:p>
      <w:pPr>
        <w:spacing w:after="0" w:line="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u w:val="single" w:color="auto"/>
          <w:color w:val="auto"/>
        </w:rPr>
        <w:t>Special Blackout Periods: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time to time, other types of material non-public information regarding the Company (such as negotiation of mergers,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acquisitions or dispositions or new product developments) may be pending and not be publicly disclosed. While such material non-public information is pending, the Company may impose special blackout periods during which certain Covered Persons are prohibited from trading in the Company's securities. If the Company imposes a special blackout period, it will notify the Covered Persons affected.</w:t>
      </w:r>
    </w:p>
    <w:p>
      <w:pPr>
        <w:spacing w:after="0" w:line="4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u w:val="single" w:color="auto"/>
          <w:color w:val="auto"/>
        </w:rPr>
        <w:t>Prohibited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approved in advance by the Chairman (or, in the case of the Chairman, the Nominating and Governance Committee)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permitted under this Policy, Covered Persons are prohibited from engaging in the below transactions (except transactions pursuant to 10b5-1 plans previously approved as set forth below pursuant to this Policy).</w:t>
      </w:r>
    </w:p>
    <w:p>
      <w:pPr>
        <w:spacing w:after="0" w:line="47" w:lineRule="exact"/>
        <w:rPr>
          <w:sz w:val="20"/>
          <w:szCs w:val="20"/>
          <w:color w:val="auto"/>
        </w:rPr>
      </w:pPr>
    </w:p>
    <w:p>
      <w:pPr>
        <w:ind w:left="340" w:hanging="332"/>
        <w:spacing w:after="0"/>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 blackout period, Covered Persons are prohibited from engaging in:</w:t>
      </w:r>
    </w:p>
    <w:p>
      <w:pPr>
        <w:spacing w:after="0" w:line="90"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or sales of ExxonMobil securities in the open market, including any sales of common stock received upon exercise of options or vesting of restricted stock into the market (including pursuant to net share settlement);</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allocation or instructions for the purchase or sale of ExxonMobil securities in an ExxonMobil Savings Plan;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ExxonMobil equity securities if the transaction would be matchable for liability purposes under Section 16.</w:t>
      </w:r>
    </w:p>
    <w:p>
      <w:pPr>
        <w:spacing w:after="0" w:line="9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Covered Persons are always prohibited from:</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derivative or hedging transactions or similar arrangements with respect to ExxonMobil securities;</w:t>
      </w:r>
    </w:p>
    <w:p>
      <w:pPr>
        <w:spacing w:after="0" w:line="90"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“short-swing” transactions. Short-swing transactions occur when a purchase and sale, or sale and purchase, of Company equity securities of the same class are made within a period of less than six months of each other;</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Effecting “short sales” of ExxonMobil securities;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Pledging ExxonMobil securities, including by purchasing on margin or holding in a margin account.</w:t>
      </w:r>
    </w:p>
    <w:p>
      <w:pPr>
        <w:spacing w:after="0" w:line="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b w:val="1"/>
          <w:bCs w:val="1"/>
          <w:u w:val="single" w:color="auto"/>
          <w:color w:val="auto"/>
        </w:rPr>
        <w:t>Permitted Transactions; Pre-clearance Process</w:t>
      </w:r>
      <w:r>
        <w:rPr>
          <w:rFonts w:ascii="Times New Roman" w:cs="Times New Roman" w:eastAsia="Times New Roman" w:hAnsi="Times New Roman"/>
          <w:sz w:val="18"/>
          <w:szCs w:val="18"/>
          <w:color w:val="auto"/>
        </w:rPr>
        <w:t>: Without limiting the obligations under the above guidelines applicable to all employees and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that are not prohibited in the preceding section generally may be carried out during a blackout period. However, if the proposed transaction involves discretion on the part of the Covered Person to be exercised during a blackout period, pre-clearance by appropriate management is recommended. Any proposed transaction should be reviewed with the Law Department to determine that the transaction is consistent with this Policy and with applicable law.</w:t>
      </w:r>
    </w:p>
    <w:p>
      <w:pPr>
        <w:spacing w:after="0" w:line="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Examples of transactions that are generally permitted during a blackout period, subject to review and approval by the Law Department, include the following:</w:t>
      </w:r>
    </w:p>
    <w:p>
      <w:pPr>
        <w:spacing w:after="0" w:line="41" w:lineRule="exact"/>
        <w:rPr>
          <w:sz w:val="20"/>
          <w:szCs w:val="20"/>
          <w:color w:val="auto"/>
        </w:rPr>
      </w:pPr>
    </w:p>
    <w:p>
      <w:pPr>
        <w:ind w:left="660" w:hanging="328"/>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Charitable donations; and</w:t>
      </w:r>
    </w:p>
    <w:p>
      <w:pPr>
        <w:spacing w:after="0" w:line="90" w:lineRule="exact"/>
        <w:rPr>
          <w:rFonts w:ascii="Times New Roman" w:cs="Times New Roman" w:eastAsia="Times New Roman" w:hAnsi="Times New Roman"/>
          <w:sz w:val="18"/>
          <w:szCs w:val="18"/>
          <w:color w:val="auto"/>
        </w:rPr>
      </w:pPr>
    </w:p>
    <w:p>
      <w:pPr>
        <w:ind w:right="1360" w:firstLine="332"/>
        <w:spacing w:after="0" w:line="344" w:lineRule="auto"/>
        <w:tabs>
          <w:tab w:leader="none" w:pos="643"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Bona fide gifts to family members, provided the recipient does not sell the shares in the open market during the blackout period. Examples of transactions that are generally permitted during a blackout period and do not require prior review include the following:</w:t>
      </w:r>
    </w:p>
    <w:p>
      <w:pPr>
        <w:ind w:left="660" w:hanging="328"/>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continuation of regular-schedule ExxonMobil Savings Plan purchases;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continuation of dividend reinvestment;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of shares to satisfy taxes due on restricted stock.</w:t>
      </w:r>
    </w:p>
    <w:p>
      <w:pPr>
        <w:spacing w:after="0" w:line="8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u w:val="single" w:color="auto"/>
          <w:color w:val="auto"/>
        </w:rPr>
        <w:t>Exception for Qualified 10b5-1 Plans: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foregoing prohibited transactions do not apply to transactions pursuant to written plans for trading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comply with Rule 10b5-1 under the Securities Exchange Act of 1934, (“10b5-1 Plans”). However, Covered Persons may not enter into, amend or terminate a 10b5-1 Plan relating to</w:t>
      </w:r>
    </w:p>
    <w:p>
      <w:pPr>
        <w:sectPr>
          <w:pgSz w:w="11900" w:h="16838" w:orient="portrait"/>
          <w:cols w:equalWidth="0" w:num="1">
            <w:col w:w="11240"/>
          </w:cols>
          <w:pgMar w:left="320" w:top="860" w:right="339" w:bottom="1440" w:gutter="0" w:footer="0" w:header="0"/>
        </w:sectPr>
      </w:pPr>
    </w:p>
    <w:bookmarkStart w:id="147" w:name="page148"/>
    <w:bookmarkEnd w:id="147"/>
    <w:p>
      <w:pPr>
        <w:jc w:val="both"/>
        <w:spacing w:after="0" w:line="250" w:lineRule="auto"/>
        <w:rPr>
          <w:sz w:val="20"/>
          <w:szCs w:val="20"/>
          <w:color w:val="auto"/>
        </w:rPr>
      </w:pPr>
      <w:r>
        <w:rPr>
          <w:rFonts w:ascii="Times New Roman" w:cs="Times New Roman" w:eastAsia="Times New Roman" w:hAnsi="Times New Roman"/>
          <w:sz w:val="18"/>
          <w:szCs w:val="18"/>
          <w:color w:val="auto"/>
        </w:rPr>
        <w:t>Company securities without the prior approval from the Law Department, which will only be given outside of a blackout period and only if the Covered Person does not have knowledge of material non-public information. The Company is required to publicly disclose in its quarterly Form 10-Q and annual Form 10-K filings all directors and Section 16 officers that use a 10b5-1 Plan or non-10b5-1 trading arrangement for trading Company securities and must also include the material terms of such plans.</w:t>
      </w:r>
    </w:p>
    <w:p>
      <w:pPr>
        <w:sectPr>
          <w:pgSz w:w="11900" w:h="16838" w:orient="portrait"/>
          <w:cols w:equalWidth="0" w:num="1">
            <w:col w:w="11240"/>
          </w:cols>
          <w:pgMar w:left="320" w:top="864" w:right="339" w:bottom="1440" w:gutter="0" w:footer="0" w:header="0"/>
        </w:sectPr>
      </w:pPr>
    </w:p>
    <w:bookmarkStart w:id="148" w:name="page149"/>
    <w:bookmarkEnd w:id="148"/>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80" w:type="dxa"/>
            <w:vAlign w:val="bottom"/>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w w:val="98"/>
              </w:rPr>
              <w:t>EXHIBIT 21</w:t>
            </w:r>
          </w:p>
        </w:tc>
        <w:tc>
          <w:tcPr>
            <w:tcW w:w="0" w:type="dxa"/>
            <w:vAlign w:val="bottom"/>
          </w:tcPr>
          <w:p>
            <w:pPr>
              <w:spacing w:after="0"/>
              <w:rPr>
                <w:sz w:val="1"/>
                <w:szCs w:val="1"/>
                <w:color w:val="auto"/>
              </w:rPr>
            </w:pPr>
          </w:p>
        </w:tc>
      </w:tr>
      <w:tr>
        <w:trPr>
          <w:trHeight w:val="392"/>
        </w:trPr>
        <w:tc>
          <w:tcPr>
            <w:tcW w:w="6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Subsidiaries of the Registrant </w:t>
            </w:r>
            <w:r>
              <w:rPr>
                <w:rFonts w:ascii="Times New Roman" w:cs="Times New Roman" w:eastAsia="Times New Roman" w:hAnsi="Times New Roman"/>
                <w:sz w:val="18"/>
                <w:szCs w:val="18"/>
                <w:b w:val="1"/>
                <w:bCs w:val="1"/>
                <w:i w:val="1"/>
                <w:iCs w:val="1"/>
                <w:color w:val="auto"/>
              </w:rPr>
              <w:t>(1), (2)</w:t>
            </w:r>
            <w:r>
              <w:rPr>
                <w:rFonts w:ascii="Times New Roman" w:cs="Times New Roman" w:eastAsia="Times New Roman" w:hAnsi="Times New Roman"/>
                <w:sz w:val="18"/>
                <w:szCs w:val="18"/>
                <w:b w:val="1"/>
                <w:bCs w:val="1"/>
                <w:color w:val="auto"/>
              </w:rPr>
              <w:t xml:space="preserve"> and </w:t>
            </w:r>
            <w:r>
              <w:rPr>
                <w:rFonts w:ascii="Times New Roman" w:cs="Times New Roman" w:eastAsia="Times New Roman" w:hAnsi="Times New Roman"/>
                <w:sz w:val="18"/>
                <w:szCs w:val="18"/>
                <w:b w:val="1"/>
                <w:bCs w:val="1"/>
                <w:i w:val="1"/>
                <w:iCs w:val="1"/>
                <w:color w:val="auto"/>
              </w:rPr>
              <w:t>(3)</w:t>
            </w:r>
            <w:r>
              <w:rPr>
                <w:rFonts w:ascii="Times New Roman" w:cs="Times New Roman" w:eastAsia="Times New Roman" w:hAnsi="Times New Roman"/>
                <w:sz w:val="18"/>
                <w:szCs w:val="18"/>
                <w:b w:val="1"/>
                <w:bCs w:val="1"/>
                <w:color w:val="auto"/>
              </w:rPr>
              <w:t xml:space="preserve"> – at December 31, 2024</w:t>
            </w:r>
          </w:p>
        </w:tc>
        <w:tc>
          <w:tcPr>
            <w:tcW w:w="2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6780" w:type="dxa"/>
            <w:vAlign w:val="bottom"/>
          </w:tcPr>
          <w:p>
            <w:pPr>
              <w:spacing w:after="0"/>
              <w:rPr>
                <w:sz w:val="24"/>
                <w:szCs w:val="24"/>
                <w:color w:val="auto"/>
              </w:rPr>
            </w:pPr>
          </w:p>
        </w:tc>
        <w:tc>
          <w:tcPr>
            <w:tcW w:w="23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Percentage of</w:t>
            </w: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18"/>
                <w:szCs w:val="18"/>
                <w:color w:val="auto"/>
              </w:rPr>
            </w:pPr>
          </w:p>
        </w:tc>
        <w:tc>
          <w:tcPr>
            <w:tcW w:w="23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Voting Securities</w:t>
            </w:r>
          </w:p>
        </w:tc>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18"/>
                <w:szCs w:val="18"/>
                <w:color w:val="auto"/>
              </w:rPr>
            </w:pPr>
          </w:p>
        </w:tc>
        <w:tc>
          <w:tcPr>
            <w:tcW w:w="23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Owned Directly</w:t>
            </w:r>
          </w:p>
        </w:tc>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18"/>
                <w:szCs w:val="18"/>
                <w:color w:val="auto"/>
              </w:rPr>
            </w:pPr>
          </w:p>
        </w:tc>
        <w:tc>
          <w:tcPr>
            <w:tcW w:w="23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or Indirectly by</w:t>
            </w:r>
          </w:p>
        </w:tc>
        <w:tc>
          <w:tcPr>
            <w:tcW w:w="20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State or</w:t>
            </w:r>
          </w:p>
        </w:tc>
        <w:tc>
          <w:tcPr>
            <w:tcW w:w="0" w:type="dxa"/>
            <w:vAlign w:val="bottom"/>
          </w:tcPr>
          <w:p>
            <w:pPr>
              <w:spacing w:after="0"/>
              <w:rPr>
                <w:sz w:val="1"/>
                <w:szCs w:val="1"/>
                <w:color w:val="auto"/>
              </w:rPr>
            </w:pPr>
          </w:p>
        </w:tc>
      </w:tr>
      <w:tr>
        <w:trPr>
          <w:trHeight w:val="234"/>
        </w:trPr>
        <w:tc>
          <w:tcPr>
            <w:tcW w:w="6780" w:type="dxa"/>
            <w:vAlign w:val="bottom"/>
          </w:tcPr>
          <w:p>
            <w:pPr>
              <w:spacing w:after="0"/>
              <w:rPr>
                <w:sz w:val="20"/>
                <w:szCs w:val="20"/>
                <w:color w:val="auto"/>
              </w:rPr>
            </w:pPr>
          </w:p>
        </w:tc>
        <w:tc>
          <w:tcPr>
            <w:tcW w:w="2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Registrant</w:t>
            </w:r>
          </w:p>
        </w:tc>
        <w:tc>
          <w:tcPr>
            <w:tcW w:w="2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Country of Organization</w:t>
            </w:r>
          </w:p>
        </w:tc>
        <w:tc>
          <w:tcPr>
            <w:tcW w:w="0" w:type="dxa"/>
            <w:vAlign w:val="bottom"/>
          </w:tcPr>
          <w:p>
            <w:pPr>
              <w:spacing w:after="0"/>
              <w:rPr>
                <w:sz w:val="1"/>
                <w:szCs w:val="1"/>
                <w:color w:val="auto"/>
              </w:rPr>
            </w:pPr>
          </w:p>
        </w:tc>
      </w:tr>
      <w:tr>
        <w:trPr>
          <w:trHeight w:val="27"/>
        </w:trPr>
        <w:tc>
          <w:tcPr>
            <w:tcW w:w="6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AKG Marketing Company Limited</w:t>
            </w:r>
          </w:p>
        </w:tc>
        <w:tc>
          <w:tcPr>
            <w:tcW w:w="22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80" w:type="dxa"/>
            <w:vAlign w:val="bottom"/>
            <w:vMerge w:val="continue"/>
          </w:tcPr>
          <w:p>
            <w:pPr>
              <w:spacing w:after="0"/>
              <w:rPr>
                <w:sz w:val="21"/>
                <w:szCs w:val="21"/>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87.5</w:t>
            </w:r>
          </w:p>
        </w:tc>
        <w:tc>
          <w:tcPr>
            <w:tcW w:w="140" w:type="dxa"/>
            <w:vAlign w:val="bottom"/>
          </w:tcPr>
          <w:p>
            <w:pPr>
              <w:spacing w:after="0"/>
              <w:rPr>
                <w:sz w:val="21"/>
                <w:szCs w:val="21"/>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Bahamas</w:t>
            </w:r>
          </w:p>
        </w:tc>
        <w:tc>
          <w:tcPr>
            <w:tcW w:w="0" w:type="dxa"/>
            <w:vAlign w:val="bottom"/>
          </w:tcPr>
          <w:p>
            <w:pPr>
              <w:spacing w:after="0"/>
              <w:rPr>
                <w:sz w:val="1"/>
                <w:szCs w:val="1"/>
                <w:color w:val="auto"/>
              </w:rPr>
            </w:pPr>
          </w:p>
        </w:tc>
      </w:tr>
      <w:tr>
        <w:trPr>
          <w:trHeight w:val="297"/>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Al-Jubail Petrochemical Company </w:t>
            </w:r>
            <w:r>
              <w:rPr>
                <w:rFonts w:ascii="Times New Roman" w:cs="Times New Roman" w:eastAsia="Times New Roman" w:hAnsi="Times New Roman"/>
                <w:sz w:val="18"/>
                <w:szCs w:val="18"/>
                <w:i w:val="1"/>
                <w:iCs w:val="1"/>
                <w:color w:val="auto"/>
              </w:rPr>
              <w:t>(4) (5)</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40" w:type="dxa"/>
            <w:vAlign w:val="bottom"/>
          </w:tcPr>
          <w:p>
            <w:pPr>
              <w:spacing w:after="0"/>
              <w:rPr>
                <w:sz w:val="24"/>
                <w:szCs w:val="24"/>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Saudi Arabia</w:t>
            </w:r>
          </w:p>
        </w:tc>
        <w:tc>
          <w:tcPr>
            <w:tcW w:w="0" w:type="dxa"/>
            <w:vAlign w:val="bottom"/>
          </w:tcPr>
          <w:p>
            <w:pPr>
              <w:spacing w:after="0"/>
              <w:rPr>
                <w:sz w:val="1"/>
                <w:szCs w:val="1"/>
                <w:color w:val="auto"/>
              </w:rPr>
            </w:pPr>
          </w:p>
        </w:tc>
      </w:tr>
      <w:tr>
        <w:trPr>
          <w:trHeight w:val="297"/>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Alberta Products Pipe Line Ltd. </w:t>
            </w:r>
            <w:r>
              <w:rPr>
                <w:rFonts w:ascii="Times New Roman" w:cs="Times New Roman" w:eastAsia="Times New Roman" w:hAnsi="Times New Roman"/>
                <w:sz w:val="18"/>
                <w:szCs w:val="18"/>
                <w:i w:val="1"/>
                <w:iCs w:val="1"/>
                <w:color w:val="auto"/>
              </w:rPr>
              <w:t>(5)</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140" w:type="dxa"/>
            <w:vAlign w:val="bottom"/>
          </w:tcPr>
          <w:p>
            <w:pPr>
              <w:spacing w:after="0"/>
              <w:rPr>
                <w:sz w:val="24"/>
                <w:szCs w:val="24"/>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97"/>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Ancon Insurance Company Inc.</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4"/>
                <w:szCs w:val="24"/>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Vermont</w:t>
            </w:r>
          </w:p>
        </w:tc>
        <w:tc>
          <w:tcPr>
            <w:tcW w:w="0" w:type="dxa"/>
            <w:vAlign w:val="bottom"/>
          </w:tcPr>
          <w:p>
            <w:pPr>
              <w:spacing w:after="0"/>
              <w:rPr>
                <w:sz w:val="1"/>
                <w:szCs w:val="1"/>
                <w:color w:val="auto"/>
              </w:rPr>
            </w:pPr>
          </w:p>
        </w:tc>
      </w:tr>
      <w:tr>
        <w:trPr>
          <w:trHeight w:val="297"/>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Barzan Gas Company Limited (5)</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40" w:type="dxa"/>
            <w:vAlign w:val="bottom"/>
          </w:tcPr>
          <w:p>
            <w:pPr>
              <w:spacing w:after="0"/>
              <w:rPr>
                <w:sz w:val="24"/>
                <w:szCs w:val="24"/>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Qatar</w:t>
            </w:r>
          </w:p>
        </w:tc>
        <w:tc>
          <w:tcPr>
            <w:tcW w:w="0" w:type="dxa"/>
            <w:vAlign w:val="bottom"/>
          </w:tcPr>
          <w:p>
            <w:pPr>
              <w:spacing w:after="0"/>
              <w:rPr>
                <w:sz w:val="1"/>
                <w:szCs w:val="1"/>
                <w:color w:val="auto"/>
              </w:rPr>
            </w:pPr>
          </w:p>
        </w:tc>
      </w:tr>
      <w:tr>
        <w:trPr>
          <w:trHeight w:val="297"/>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BEB Erdgas und Erdoel GmbH &amp; Co. KG </w:t>
            </w:r>
            <w:r>
              <w:rPr>
                <w:rFonts w:ascii="Times New Roman" w:cs="Times New Roman" w:eastAsia="Times New Roman" w:hAnsi="Times New Roman"/>
                <w:sz w:val="18"/>
                <w:szCs w:val="18"/>
                <w:i w:val="1"/>
                <w:iCs w:val="1"/>
                <w:color w:val="auto"/>
              </w:rPr>
              <w:t>(4) (5)</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40" w:type="dxa"/>
            <w:vAlign w:val="bottom"/>
          </w:tcPr>
          <w:p>
            <w:pPr>
              <w:spacing w:after="0"/>
              <w:rPr>
                <w:sz w:val="24"/>
                <w:szCs w:val="24"/>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97"/>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 Imperial Oil Limited</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69.6</w:t>
            </w:r>
          </w:p>
        </w:tc>
        <w:tc>
          <w:tcPr>
            <w:tcW w:w="140" w:type="dxa"/>
            <w:vAlign w:val="bottom"/>
          </w:tcPr>
          <w:p>
            <w:pPr>
              <w:spacing w:after="0"/>
              <w:rPr>
                <w:sz w:val="24"/>
                <w:szCs w:val="24"/>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97"/>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Caspian Pipeline Consortium </w:t>
            </w:r>
            <w:r>
              <w:rPr>
                <w:rFonts w:ascii="Times New Roman" w:cs="Times New Roman" w:eastAsia="Times New Roman" w:hAnsi="Times New Roman"/>
                <w:sz w:val="18"/>
                <w:szCs w:val="18"/>
                <w:i w:val="1"/>
                <w:iCs w:val="1"/>
                <w:color w:val="auto"/>
              </w:rPr>
              <w:t>(5)</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7.50</w:t>
            </w:r>
          </w:p>
        </w:tc>
        <w:tc>
          <w:tcPr>
            <w:tcW w:w="140" w:type="dxa"/>
            <w:vAlign w:val="bottom"/>
          </w:tcPr>
          <w:p>
            <w:pPr>
              <w:spacing w:after="0"/>
              <w:rPr>
                <w:sz w:val="24"/>
                <w:szCs w:val="24"/>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Russia/Kazakhstan</w:t>
            </w:r>
          </w:p>
        </w:tc>
        <w:tc>
          <w:tcPr>
            <w:tcW w:w="0" w:type="dxa"/>
            <w:vAlign w:val="bottom"/>
          </w:tcPr>
          <w:p>
            <w:pPr>
              <w:spacing w:after="0"/>
              <w:rPr>
                <w:sz w:val="1"/>
                <w:szCs w:val="1"/>
                <w:color w:val="auto"/>
              </w:rPr>
            </w:pPr>
          </w:p>
        </w:tc>
      </w:tr>
      <w:tr>
        <w:trPr>
          <w:trHeight w:val="297"/>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Coral FLNG S.A. </w:t>
            </w:r>
            <w:r>
              <w:rPr>
                <w:rFonts w:ascii="Times New Roman" w:cs="Times New Roman" w:eastAsia="Times New Roman" w:hAnsi="Times New Roman"/>
                <w:sz w:val="18"/>
                <w:szCs w:val="18"/>
                <w:i w:val="1"/>
                <w:iCs w:val="1"/>
                <w:color w:val="auto"/>
              </w:rPr>
              <w:t>(5)</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140" w:type="dxa"/>
            <w:vAlign w:val="bottom"/>
          </w:tcPr>
          <w:p>
            <w:pPr>
              <w:spacing w:after="0"/>
              <w:rPr>
                <w:sz w:val="24"/>
                <w:szCs w:val="24"/>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Mozambique</w:t>
            </w:r>
          </w:p>
        </w:tc>
        <w:tc>
          <w:tcPr>
            <w:tcW w:w="0" w:type="dxa"/>
            <w:vAlign w:val="bottom"/>
          </w:tcPr>
          <w:p>
            <w:pPr>
              <w:spacing w:after="0"/>
              <w:rPr>
                <w:sz w:val="1"/>
                <w:szCs w:val="1"/>
                <w:color w:val="auto"/>
              </w:rPr>
            </w:pPr>
          </w:p>
        </w:tc>
      </w:tr>
      <w:tr>
        <w:trPr>
          <w:trHeight w:val="297"/>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Cross Timbers Energy LLC </w:t>
            </w:r>
            <w:r>
              <w:rPr>
                <w:rFonts w:ascii="Times New Roman" w:cs="Times New Roman" w:eastAsia="Times New Roman" w:hAnsi="Times New Roman"/>
                <w:sz w:val="18"/>
                <w:szCs w:val="18"/>
                <w:i w:val="1"/>
                <w:iCs w:val="1"/>
                <w:color w:val="auto"/>
              </w:rPr>
              <w:t>(4) (5)</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40" w:type="dxa"/>
            <w:vAlign w:val="bottom"/>
          </w:tcPr>
          <w:p>
            <w:pPr>
              <w:spacing w:after="0"/>
              <w:rPr>
                <w:sz w:val="24"/>
                <w:szCs w:val="24"/>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97"/>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Denbury Green Pipeline-Texas, LLC</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4"/>
                <w:szCs w:val="24"/>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97"/>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Denbury Gulf Coast Pipelines, LLC</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4"/>
                <w:szCs w:val="24"/>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97"/>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Denbury Onshore, LLC</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4"/>
                <w:szCs w:val="24"/>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97"/>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Ellora Energy Inc.</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4"/>
                <w:szCs w:val="24"/>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97"/>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Esso Australia Resources Pty Ltd</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4"/>
                <w:szCs w:val="24"/>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Australia</w:t>
            </w:r>
          </w:p>
        </w:tc>
        <w:tc>
          <w:tcPr>
            <w:tcW w:w="0" w:type="dxa"/>
            <w:vAlign w:val="bottom"/>
          </w:tcPr>
          <w:p>
            <w:pPr>
              <w:spacing w:after="0"/>
              <w:rPr>
                <w:sz w:val="1"/>
                <w:szCs w:val="1"/>
                <w:color w:val="auto"/>
              </w:rPr>
            </w:pPr>
          </w:p>
        </w:tc>
      </w:tr>
      <w:tr>
        <w:trPr>
          <w:trHeight w:val="297"/>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Esso Deutschland GmbH</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4"/>
                <w:szCs w:val="24"/>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97"/>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Esso Erdgas Beteiligungsgesellschaft mbH</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4"/>
                <w:szCs w:val="24"/>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97"/>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Esso Exploration and Production Angola (Overseas) Limited</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4"/>
                <w:szCs w:val="24"/>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Bahamas</w:t>
            </w:r>
          </w:p>
        </w:tc>
        <w:tc>
          <w:tcPr>
            <w:tcW w:w="0" w:type="dxa"/>
            <w:vAlign w:val="bottom"/>
          </w:tcPr>
          <w:p>
            <w:pPr>
              <w:spacing w:after="0"/>
              <w:rPr>
                <w:sz w:val="1"/>
                <w:szCs w:val="1"/>
                <w:color w:val="auto"/>
              </w:rPr>
            </w:pPr>
          </w:p>
        </w:tc>
      </w:tr>
      <w:tr>
        <w:trPr>
          <w:trHeight w:val="297"/>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Esso Exploration and Production Nigeria (Deepwater) Limited</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4"/>
                <w:szCs w:val="24"/>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Nigeria</w:t>
            </w:r>
          </w:p>
        </w:tc>
        <w:tc>
          <w:tcPr>
            <w:tcW w:w="0" w:type="dxa"/>
            <w:vAlign w:val="bottom"/>
          </w:tcPr>
          <w:p>
            <w:pPr>
              <w:spacing w:after="0"/>
              <w:rPr>
                <w:sz w:val="1"/>
                <w:szCs w:val="1"/>
                <w:color w:val="auto"/>
              </w:rPr>
            </w:pPr>
          </w:p>
        </w:tc>
      </w:tr>
      <w:tr>
        <w:trPr>
          <w:trHeight w:val="297"/>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Esso Exploration and Production Nigeria Limited</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4"/>
                <w:szCs w:val="24"/>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Nigeria</w:t>
            </w:r>
          </w:p>
        </w:tc>
        <w:tc>
          <w:tcPr>
            <w:tcW w:w="0" w:type="dxa"/>
            <w:vAlign w:val="bottom"/>
          </w:tcPr>
          <w:p>
            <w:pPr>
              <w:spacing w:after="0"/>
              <w:rPr>
                <w:sz w:val="1"/>
                <w:szCs w:val="1"/>
                <w:color w:val="auto"/>
              </w:rPr>
            </w:pPr>
          </w:p>
        </w:tc>
      </w:tr>
      <w:tr>
        <w:trPr>
          <w:trHeight w:val="297"/>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Esso Exploration and Production UK Limited</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4"/>
                <w:szCs w:val="24"/>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97"/>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Esso Exploration Angola (Block 15) Limited</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4"/>
                <w:szCs w:val="24"/>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Bahamas</w:t>
            </w:r>
          </w:p>
        </w:tc>
        <w:tc>
          <w:tcPr>
            <w:tcW w:w="0" w:type="dxa"/>
            <w:vAlign w:val="bottom"/>
          </w:tcPr>
          <w:p>
            <w:pPr>
              <w:spacing w:after="0"/>
              <w:rPr>
                <w:sz w:val="1"/>
                <w:szCs w:val="1"/>
                <w:color w:val="auto"/>
              </w:rPr>
            </w:pPr>
          </w:p>
        </w:tc>
      </w:tr>
      <w:tr>
        <w:trPr>
          <w:trHeight w:val="297"/>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Esso Exploration Angola (Block 17) Limited</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4"/>
                <w:szCs w:val="24"/>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Bahamas</w:t>
            </w:r>
          </w:p>
        </w:tc>
        <w:tc>
          <w:tcPr>
            <w:tcW w:w="0" w:type="dxa"/>
            <w:vAlign w:val="bottom"/>
          </w:tcPr>
          <w:p>
            <w:pPr>
              <w:spacing w:after="0"/>
              <w:rPr>
                <w:sz w:val="1"/>
                <w:szCs w:val="1"/>
                <w:color w:val="auto"/>
              </w:rPr>
            </w:pPr>
          </w:p>
        </w:tc>
      </w:tr>
      <w:tr>
        <w:trPr>
          <w:trHeight w:val="297"/>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Esso Italiana S.r.l.</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4"/>
                <w:szCs w:val="24"/>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0" w:type="dxa"/>
            <w:vAlign w:val="bottom"/>
          </w:tcPr>
          <w:p>
            <w:pPr>
              <w:spacing w:after="0"/>
              <w:rPr>
                <w:sz w:val="1"/>
                <w:szCs w:val="1"/>
                <w:color w:val="auto"/>
              </w:rPr>
            </w:pPr>
          </w:p>
        </w:tc>
      </w:tr>
      <w:tr>
        <w:trPr>
          <w:trHeight w:val="297"/>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Esso Nederland B.V.</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4"/>
                <w:szCs w:val="24"/>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Netherlands</w:t>
            </w:r>
          </w:p>
        </w:tc>
        <w:tc>
          <w:tcPr>
            <w:tcW w:w="0" w:type="dxa"/>
            <w:vAlign w:val="bottom"/>
          </w:tcPr>
          <w:p>
            <w:pPr>
              <w:spacing w:after="0"/>
              <w:rPr>
                <w:sz w:val="1"/>
                <w:szCs w:val="1"/>
                <w:color w:val="auto"/>
              </w:rPr>
            </w:pPr>
          </w:p>
        </w:tc>
      </w:tr>
      <w:tr>
        <w:trPr>
          <w:trHeight w:val="297"/>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Esso Norge AS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4"/>
                <w:szCs w:val="24"/>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Norway</w:t>
            </w:r>
          </w:p>
        </w:tc>
        <w:tc>
          <w:tcPr>
            <w:tcW w:w="0" w:type="dxa"/>
            <w:vAlign w:val="bottom"/>
          </w:tcPr>
          <w:p>
            <w:pPr>
              <w:spacing w:after="0"/>
              <w:rPr>
                <w:sz w:val="1"/>
                <w:szCs w:val="1"/>
                <w:color w:val="auto"/>
              </w:rPr>
            </w:pPr>
          </w:p>
        </w:tc>
      </w:tr>
      <w:tr>
        <w:trPr>
          <w:trHeight w:val="297"/>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Esso Petroleum Company Limited</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4"/>
                <w:szCs w:val="24"/>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97"/>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Esso Societe Anonyme Francaise</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82.89</w:t>
            </w:r>
          </w:p>
        </w:tc>
        <w:tc>
          <w:tcPr>
            <w:tcW w:w="140" w:type="dxa"/>
            <w:vAlign w:val="bottom"/>
          </w:tcPr>
          <w:p>
            <w:pPr>
              <w:spacing w:after="0"/>
              <w:rPr>
                <w:sz w:val="24"/>
                <w:szCs w:val="24"/>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297"/>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Exxon Azerbaijan Limited</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4"/>
                <w:szCs w:val="24"/>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Bahamas</w:t>
            </w:r>
          </w:p>
        </w:tc>
        <w:tc>
          <w:tcPr>
            <w:tcW w:w="0" w:type="dxa"/>
            <w:vAlign w:val="bottom"/>
          </w:tcPr>
          <w:p>
            <w:pPr>
              <w:spacing w:after="0"/>
              <w:rPr>
                <w:sz w:val="1"/>
                <w:szCs w:val="1"/>
                <w:color w:val="auto"/>
              </w:rPr>
            </w:pPr>
          </w:p>
        </w:tc>
      </w:tr>
      <w:tr>
        <w:trPr>
          <w:trHeight w:val="297"/>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Exxon Chemical Arabia Inc.</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4"/>
                <w:szCs w:val="24"/>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97"/>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ExxonMobil (China) Investment Co. Ltd.</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4"/>
                <w:szCs w:val="24"/>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97"/>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ExxonMobil (Huizhou) Chemical Co. Ltd.</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4"/>
                <w:szCs w:val="24"/>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97"/>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ExxonMobil (Taicang) Petroleum Co. Ltd.</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4"/>
                <w:szCs w:val="24"/>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97"/>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ExxonMobil Abu Dhabi Offshore Petroleum Company Limited</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4"/>
                <w:szCs w:val="24"/>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Bahamas</w:t>
            </w:r>
          </w:p>
        </w:tc>
        <w:tc>
          <w:tcPr>
            <w:tcW w:w="0" w:type="dxa"/>
            <w:vAlign w:val="bottom"/>
          </w:tcPr>
          <w:p>
            <w:pPr>
              <w:spacing w:after="0"/>
              <w:rPr>
                <w:sz w:val="1"/>
                <w:szCs w:val="1"/>
                <w:color w:val="auto"/>
              </w:rPr>
            </w:pPr>
          </w:p>
        </w:tc>
      </w:tr>
      <w:tr>
        <w:trPr>
          <w:trHeight w:val="297"/>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ExxonMobil Africa and Middle East Management Ltd</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4"/>
                <w:szCs w:val="24"/>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 Arab Emirates</w:t>
            </w:r>
          </w:p>
        </w:tc>
        <w:tc>
          <w:tcPr>
            <w:tcW w:w="0" w:type="dxa"/>
            <w:vAlign w:val="bottom"/>
          </w:tcPr>
          <w:p>
            <w:pPr>
              <w:spacing w:after="0"/>
              <w:rPr>
                <w:sz w:val="1"/>
                <w:szCs w:val="1"/>
                <w:color w:val="auto"/>
              </w:rPr>
            </w:pPr>
          </w:p>
        </w:tc>
      </w:tr>
      <w:tr>
        <w:trPr>
          <w:trHeight w:val="297"/>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ExxonMobil Alaska Production Inc.</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4"/>
                <w:szCs w:val="24"/>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97"/>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ExxonMobil Asia Pacific Pte. Ltd.</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4"/>
                <w:szCs w:val="24"/>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0" w:type="dxa"/>
            <w:vAlign w:val="bottom"/>
          </w:tcPr>
          <w:p>
            <w:pPr>
              <w:spacing w:after="0"/>
              <w:rPr>
                <w:sz w:val="1"/>
                <w:szCs w:val="1"/>
                <w:color w:val="auto"/>
              </w:rPr>
            </w:pPr>
          </w:p>
        </w:tc>
      </w:tr>
      <w:tr>
        <w:trPr>
          <w:trHeight w:val="297"/>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ExxonMobil Australia Pty Ltd</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4"/>
                <w:szCs w:val="24"/>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Australia</w:t>
            </w:r>
          </w:p>
        </w:tc>
        <w:tc>
          <w:tcPr>
            <w:tcW w:w="0" w:type="dxa"/>
            <w:vAlign w:val="bottom"/>
          </w:tcPr>
          <w:p>
            <w:pPr>
              <w:spacing w:after="0"/>
              <w:rPr>
                <w:sz w:val="1"/>
                <w:szCs w:val="1"/>
                <w:color w:val="auto"/>
              </w:rPr>
            </w:pPr>
          </w:p>
        </w:tc>
      </w:tr>
      <w:tr>
        <w:trPr>
          <w:trHeight w:val="297"/>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ExxonMobil Barzan Limited</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4"/>
                <w:szCs w:val="24"/>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Bahamas</w:t>
            </w:r>
          </w:p>
        </w:tc>
        <w:tc>
          <w:tcPr>
            <w:tcW w:w="0" w:type="dxa"/>
            <w:vAlign w:val="bottom"/>
          </w:tcPr>
          <w:p>
            <w:pPr>
              <w:spacing w:after="0"/>
              <w:rPr>
                <w:sz w:val="1"/>
                <w:szCs w:val="1"/>
                <w:color w:val="auto"/>
              </w:rPr>
            </w:pPr>
          </w:p>
        </w:tc>
      </w:tr>
      <w:tr>
        <w:trPr>
          <w:trHeight w:val="297"/>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ExxonMobil Canada Ltd.</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4"/>
                <w:szCs w:val="24"/>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65" w:right="339" w:bottom="6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765" w:right="339" w:bottom="646" w:gutter="0" w:footer="0" w:header="0"/>
          <w:type w:val="continuous"/>
        </w:sectPr>
      </w:pPr>
    </w:p>
    <w:bookmarkStart w:id="149" w:name="page150"/>
    <w:bookmarkEnd w:id="149"/>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2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Percentage of</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18"/>
                <w:szCs w:val="18"/>
                <w:color w:val="auto"/>
              </w:rPr>
            </w:pPr>
          </w:p>
        </w:tc>
        <w:tc>
          <w:tcPr>
            <w:tcW w:w="2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Voting Securities</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18"/>
                <w:szCs w:val="18"/>
                <w:color w:val="auto"/>
              </w:rPr>
            </w:pPr>
          </w:p>
        </w:tc>
        <w:tc>
          <w:tcPr>
            <w:tcW w:w="2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Owned Directly</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18"/>
                <w:szCs w:val="18"/>
                <w:color w:val="auto"/>
              </w:rPr>
            </w:pPr>
          </w:p>
        </w:tc>
        <w:tc>
          <w:tcPr>
            <w:tcW w:w="2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or Indirectly by</w:t>
            </w:r>
          </w:p>
        </w:tc>
        <w:tc>
          <w:tcPr>
            <w:tcW w:w="20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State or</w:t>
            </w:r>
          </w:p>
        </w:tc>
        <w:tc>
          <w:tcPr>
            <w:tcW w:w="0" w:type="dxa"/>
            <w:vAlign w:val="bottom"/>
          </w:tcPr>
          <w:p>
            <w:pPr>
              <w:spacing w:after="0"/>
              <w:rPr>
                <w:sz w:val="1"/>
                <w:szCs w:val="1"/>
                <w:color w:val="auto"/>
              </w:rPr>
            </w:pPr>
          </w:p>
        </w:tc>
      </w:tr>
      <w:tr>
        <w:trPr>
          <w:trHeight w:val="234"/>
        </w:trPr>
        <w:tc>
          <w:tcPr>
            <w:tcW w:w="6760" w:type="dxa"/>
            <w:vAlign w:val="bottom"/>
          </w:tcPr>
          <w:p>
            <w:pPr>
              <w:spacing w:after="0"/>
              <w:rPr>
                <w:sz w:val="20"/>
                <w:szCs w:val="20"/>
                <w:color w:val="auto"/>
              </w:rPr>
            </w:pPr>
          </w:p>
        </w:tc>
        <w:tc>
          <w:tcPr>
            <w:tcW w:w="2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Registrant</w:t>
            </w:r>
          </w:p>
        </w:tc>
        <w:tc>
          <w:tcPr>
            <w:tcW w:w="2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Country of Organization</w:t>
            </w:r>
          </w:p>
        </w:tc>
        <w:tc>
          <w:tcPr>
            <w:tcW w:w="0" w:type="dxa"/>
            <w:vAlign w:val="bottom"/>
          </w:tcPr>
          <w:p>
            <w:pPr>
              <w:spacing w:after="0"/>
              <w:rPr>
                <w:sz w:val="1"/>
                <w:szCs w:val="1"/>
                <w:color w:val="auto"/>
              </w:rPr>
            </w:pPr>
          </w:p>
        </w:tc>
      </w:tr>
      <w:tr>
        <w:trPr>
          <w:trHeight w:val="27"/>
        </w:trPr>
        <w:tc>
          <w:tcPr>
            <w:tcW w:w="6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ExxonMobil Canada Properties</w:t>
            </w:r>
          </w:p>
        </w:tc>
        <w:tc>
          <w:tcPr>
            <w:tcW w:w="2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60" w:type="dxa"/>
            <w:vAlign w:val="bottom"/>
            <w:vMerge w:val="continue"/>
          </w:tcPr>
          <w:p>
            <w:pPr>
              <w:spacing w:after="0"/>
              <w:rPr>
                <w:sz w:val="21"/>
                <w:szCs w:val="21"/>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160" w:type="dxa"/>
            <w:vAlign w:val="bottom"/>
          </w:tcPr>
          <w:p>
            <w:pPr>
              <w:spacing w:after="0"/>
              <w:rPr>
                <w:sz w:val="21"/>
                <w:szCs w:val="21"/>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ExxonMobil Capital Hungary Kft.</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1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Hungary</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ExxonMobil Central Europe Holding GmbH</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1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ExxonMobil Chemical France</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1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ExxonMobil Chemical Gulf Coast Investments LLC</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1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ExxonMobil China Petroleum &amp; Petrochemical Company Private Limited</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1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ExxonMobil Development Africa B.V.</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1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ExxonMobil Egypt (S.A.E.)</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1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Egypt</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ExxonMobil Exploracao Brasil Ltda</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1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ExxonMobil Exploration and Production Malaysia Inc.</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1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ExxonMobil Finance Company Limited</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1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ExxonMobil Financial Investment Company Limited</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1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ExxonMobil Financial Services B.V.</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1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ExxonMobil Gas Marketing Europe Limited</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1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ExxonMobil Global Services Company</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1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ExxonMobil Guyana Ltd.</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1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Bahamas</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ExxonMobil Holding Company Holland LLC</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1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ExxonMobil Italiana Gas S.r.l.</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1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ExxonMobil Kazakhstan Inc.</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1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Bahamas</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ExxonMobil Kazakhstan Ventures Inc.</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1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ExxonMobil Marine Limited</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1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ExxonMobil Mexico S.A. de C.V.</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1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ExxonMobil Oil Corporation</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1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ExxonMobil Permian Highway Pipeline LLC</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1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ExxonMobil Petroleum &amp; Chemical BV</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1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Belgium</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ExxonMobil Pipeline Company LLC</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1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ExxonMobil PNG Antelope Limited</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1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Papua New Guinea</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ExxonMobil PNG Limited</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1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Papua New Guinea</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ExxonMobil Qatargas (II) Limited</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1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Bahamas</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ExxonMobil Qatargas Inc.</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1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ExxonMobil Ras Laffan (III) Limited</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1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Bahamas</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ExxonMobil Rasgas Inc.</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1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ExxonMobil Sales and Supply LLC</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1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ExxonMobil Technology and Engineering Company</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1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ExxonMobil Upstream Integrated Solutions Company</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1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ExxonMobil Ventures Cyprus Limited</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1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Cyprus</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Fujian Refining &amp; Petrochemical Co. Ltd. </w:t>
            </w:r>
            <w:r>
              <w:rPr>
                <w:rFonts w:ascii="Times New Roman" w:cs="Times New Roman" w:eastAsia="Times New Roman" w:hAnsi="Times New Roman"/>
                <w:sz w:val="18"/>
                <w:szCs w:val="18"/>
                <w:i w:val="1"/>
                <w:iCs w:val="1"/>
                <w:color w:val="auto"/>
              </w:rPr>
              <w:t>(5)</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1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GasTerra B.V. </w:t>
            </w:r>
            <w:r>
              <w:rPr>
                <w:rFonts w:ascii="Times New Roman" w:cs="Times New Roman" w:eastAsia="Times New Roman" w:hAnsi="Times New Roman"/>
                <w:sz w:val="18"/>
                <w:szCs w:val="18"/>
                <w:i w:val="1"/>
                <w:iCs w:val="1"/>
                <w:color w:val="auto"/>
              </w:rPr>
              <w:t>(5)</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1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Golden Pass LNG Terminal Investments LLC</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1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Golden Pass LNG Terminal LLC </w:t>
            </w:r>
            <w:r>
              <w:rPr>
                <w:rFonts w:ascii="Times New Roman" w:cs="Times New Roman" w:eastAsia="Times New Roman" w:hAnsi="Times New Roman"/>
                <w:sz w:val="18"/>
                <w:szCs w:val="18"/>
                <w:i w:val="1"/>
                <w:iCs w:val="1"/>
                <w:color w:val="auto"/>
              </w:rPr>
              <w:t>(5)</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1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Golden Pass Pipeline LLC </w:t>
            </w:r>
            <w:r>
              <w:rPr>
                <w:rFonts w:ascii="Times New Roman" w:cs="Times New Roman" w:eastAsia="Times New Roman" w:hAnsi="Times New Roman"/>
                <w:sz w:val="18"/>
                <w:szCs w:val="18"/>
                <w:i w:val="1"/>
                <w:iCs w:val="1"/>
                <w:color w:val="auto"/>
              </w:rPr>
              <w:t>(5)</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16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40" w:top="823" w:right="35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00"/>
          </w:cols>
          <w:pgMar w:left="340" w:top="823" w:right="359" w:bottom="1440" w:gutter="0" w:footer="0" w:header="0"/>
          <w:type w:val="continuous"/>
        </w:sectPr>
      </w:pPr>
    </w:p>
    <w:bookmarkStart w:id="150" w:name="page151"/>
    <w:bookmarkEnd w:id="150"/>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2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Percentage of</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18"/>
                <w:szCs w:val="18"/>
                <w:color w:val="auto"/>
              </w:rPr>
            </w:pPr>
          </w:p>
        </w:tc>
        <w:tc>
          <w:tcPr>
            <w:tcW w:w="2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Voting Securities</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18"/>
                <w:szCs w:val="18"/>
                <w:color w:val="auto"/>
              </w:rPr>
            </w:pPr>
          </w:p>
        </w:tc>
        <w:tc>
          <w:tcPr>
            <w:tcW w:w="2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Owned Directly</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18"/>
                <w:szCs w:val="18"/>
                <w:color w:val="auto"/>
              </w:rPr>
            </w:pPr>
          </w:p>
        </w:tc>
        <w:tc>
          <w:tcPr>
            <w:tcW w:w="2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or Indirectly by</w:t>
            </w:r>
          </w:p>
        </w:tc>
        <w:tc>
          <w:tcPr>
            <w:tcW w:w="20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State or</w:t>
            </w:r>
          </w:p>
        </w:tc>
        <w:tc>
          <w:tcPr>
            <w:tcW w:w="0" w:type="dxa"/>
            <w:vAlign w:val="bottom"/>
          </w:tcPr>
          <w:p>
            <w:pPr>
              <w:spacing w:after="0"/>
              <w:rPr>
                <w:sz w:val="1"/>
                <w:szCs w:val="1"/>
                <w:color w:val="auto"/>
              </w:rPr>
            </w:pPr>
          </w:p>
        </w:tc>
      </w:tr>
      <w:tr>
        <w:trPr>
          <w:trHeight w:val="234"/>
        </w:trPr>
        <w:tc>
          <w:tcPr>
            <w:tcW w:w="6760" w:type="dxa"/>
            <w:vAlign w:val="bottom"/>
          </w:tcPr>
          <w:p>
            <w:pPr>
              <w:spacing w:after="0"/>
              <w:rPr>
                <w:sz w:val="20"/>
                <w:szCs w:val="20"/>
                <w:color w:val="auto"/>
              </w:rPr>
            </w:pPr>
          </w:p>
        </w:tc>
        <w:tc>
          <w:tcPr>
            <w:tcW w:w="2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Registrant</w:t>
            </w:r>
          </w:p>
        </w:tc>
        <w:tc>
          <w:tcPr>
            <w:tcW w:w="2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Country of Organization</w:t>
            </w:r>
          </w:p>
        </w:tc>
        <w:tc>
          <w:tcPr>
            <w:tcW w:w="0" w:type="dxa"/>
            <w:vAlign w:val="bottom"/>
          </w:tcPr>
          <w:p>
            <w:pPr>
              <w:spacing w:after="0"/>
              <w:rPr>
                <w:sz w:val="1"/>
                <w:szCs w:val="1"/>
                <w:color w:val="auto"/>
              </w:rPr>
            </w:pPr>
          </w:p>
        </w:tc>
      </w:tr>
      <w:tr>
        <w:trPr>
          <w:trHeight w:val="27"/>
        </w:trPr>
        <w:tc>
          <w:tcPr>
            <w:tcW w:w="6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Gulf Coast Growth Ventures LLC </w:t>
            </w:r>
            <w:r>
              <w:rPr>
                <w:rFonts w:ascii="Times New Roman" w:cs="Times New Roman" w:eastAsia="Times New Roman" w:hAnsi="Times New Roman"/>
                <w:sz w:val="18"/>
                <w:szCs w:val="18"/>
                <w:i w:val="1"/>
                <w:iCs w:val="1"/>
                <w:color w:val="auto"/>
              </w:rPr>
              <w:t>(4) (5)</w:t>
            </w:r>
          </w:p>
        </w:tc>
        <w:tc>
          <w:tcPr>
            <w:tcW w:w="2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60" w:type="dxa"/>
            <w:vAlign w:val="bottom"/>
            <w:vMerge w:val="continue"/>
          </w:tcPr>
          <w:p>
            <w:pPr>
              <w:spacing w:after="0"/>
              <w:rPr>
                <w:sz w:val="21"/>
                <w:szCs w:val="21"/>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60" w:type="dxa"/>
            <w:vAlign w:val="bottom"/>
          </w:tcPr>
          <w:p>
            <w:pPr>
              <w:spacing w:after="0"/>
              <w:rPr>
                <w:sz w:val="21"/>
                <w:szCs w:val="21"/>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Imperial Oil Limited</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tcPr>
          <w:p>
            <w:pPr>
              <w:spacing w:after="0"/>
              <w:rPr>
                <w:sz w:val="24"/>
                <w:szCs w:val="24"/>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Imperial Oil Resources Limited</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tcPr>
          <w:p>
            <w:pPr>
              <w:spacing w:after="0"/>
              <w:rPr>
                <w:sz w:val="24"/>
                <w:szCs w:val="24"/>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Imperial Oil Resources N.W.T. Limited</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tcPr>
          <w:p>
            <w:pPr>
              <w:spacing w:after="0"/>
              <w:rPr>
                <w:sz w:val="24"/>
                <w:szCs w:val="24"/>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Imperial Oil/Petroliere Imperiale</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tcPr>
          <w:p>
            <w:pPr>
              <w:spacing w:after="0"/>
              <w:rPr>
                <w:sz w:val="24"/>
                <w:szCs w:val="24"/>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Infineum USA L.P. </w:t>
            </w:r>
            <w:r>
              <w:rPr>
                <w:rFonts w:ascii="Times New Roman" w:cs="Times New Roman" w:eastAsia="Times New Roman" w:hAnsi="Times New Roman"/>
                <w:sz w:val="18"/>
                <w:szCs w:val="18"/>
                <w:i w:val="1"/>
                <w:iCs w:val="1"/>
                <w:color w:val="auto"/>
              </w:rPr>
              <w:t>(4) (5)</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60" w:type="dxa"/>
            <w:vAlign w:val="bottom"/>
          </w:tcPr>
          <w:p>
            <w:pPr>
              <w:spacing w:after="0"/>
              <w:rPr>
                <w:sz w:val="24"/>
                <w:szCs w:val="24"/>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Marine Well Containment Company LLC </w:t>
            </w:r>
            <w:r>
              <w:rPr>
                <w:rFonts w:ascii="Times New Roman" w:cs="Times New Roman" w:eastAsia="Times New Roman" w:hAnsi="Times New Roman"/>
                <w:sz w:val="18"/>
                <w:szCs w:val="18"/>
                <w:i w:val="1"/>
                <w:iCs w:val="1"/>
                <w:color w:val="auto"/>
              </w:rPr>
              <w:t>(5)</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11.11</w:t>
            </w:r>
          </w:p>
        </w:tc>
        <w:tc>
          <w:tcPr>
            <w:tcW w:w="160" w:type="dxa"/>
            <w:vAlign w:val="bottom"/>
          </w:tcPr>
          <w:p>
            <w:pPr>
              <w:spacing w:after="0"/>
              <w:rPr>
                <w:sz w:val="24"/>
                <w:szCs w:val="24"/>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Mobil Australia Resources Company Pty Limited</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24"/>
                <w:szCs w:val="24"/>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Mobil Oil Australia Pty Ltd</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24"/>
                <w:szCs w:val="24"/>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Mobil Oil Exploration &amp; Producing Southeast Inc.</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24"/>
                <w:szCs w:val="24"/>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Mobil Oil New Zealand Limited</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24"/>
                <w:szCs w:val="24"/>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Zealand</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Mobil Yanbu Petrochemical Company Inc.</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24"/>
                <w:szCs w:val="24"/>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Mobil Yanbu Refining Company Inc.</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24"/>
                <w:szCs w:val="24"/>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Mozambique Rovuma Venture S.p.A. </w:t>
            </w:r>
            <w:r>
              <w:rPr>
                <w:rFonts w:ascii="Times New Roman" w:cs="Times New Roman" w:eastAsia="Times New Roman" w:hAnsi="Times New Roman"/>
                <w:sz w:val="18"/>
                <w:szCs w:val="18"/>
                <w:i w:val="1"/>
                <w:iCs w:val="1"/>
                <w:color w:val="auto"/>
              </w:rPr>
              <w:t>(5)</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35.714</w:t>
            </w:r>
          </w:p>
        </w:tc>
        <w:tc>
          <w:tcPr>
            <w:tcW w:w="160" w:type="dxa"/>
            <w:vAlign w:val="bottom"/>
          </w:tcPr>
          <w:p>
            <w:pPr>
              <w:spacing w:after="0"/>
              <w:rPr>
                <w:sz w:val="24"/>
                <w:szCs w:val="24"/>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Nederlandse Aardolie Maatschappij B.V. </w:t>
            </w:r>
            <w:r>
              <w:rPr>
                <w:rFonts w:ascii="Times New Roman" w:cs="Times New Roman" w:eastAsia="Times New Roman" w:hAnsi="Times New Roman"/>
                <w:sz w:val="18"/>
                <w:szCs w:val="18"/>
                <w:i w:val="1"/>
                <w:iCs w:val="1"/>
                <w:color w:val="auto"/>
              </w:rPr>
              <w:t>(4) (5)</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60" w:type="dxa"/>
            <w:vAlign w:val="bottom"/>
          </w:tcPr>
          <w:p>
            <w:pPr>
              <w:spacing w:after="0"/>
              <w:rPr>
                <w:sz w:val="24"/>
                <w:szCs w:val="24"/>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Palmetto Transoceanic LLC</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24"/>
                <w:szCs w:val="24"/>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Papua New Guinea Liquefied Natural Gas Global Company LDC </w:t>
            </w:r>
            <w:r>
              <w:rPr>
                <w:rFonts w:ascii="Times New Roman" w:cs="Times New Roman" w:eastAsia="Times New Roman" w:hAnsi="Times New Roman"/>
                <w:sz w:val="18"/>
                <w:szCs w:val="18"/>
                <w:i w:val="1"/>
                <w:iCs w:val="1"/>
                <w:color w:val="auto"/>
              </w:rPr>
              <w:t>(5)</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33.2</w:t>
            </w:r>
          </w:p>
        </w:tc>
        <w:tc>
          <w:tcPr>
            <w:tcW w:w="160" w:type="dxa"/>
            <w:vAlign w:val="bottom"/>
          </w:tcPr>
          <w:p>
            <w:pPr>
              <w:spacing w:after="0"/>
              <w:rPr>
                <w:sz w:val="24"/>
                <w:szCs w:val="24"/>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Bahamas</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Permian Express Partners LLC </w:t>
            </w:r>
            <w:r>
              <w:rPr>
                <w:rFonts w:ascii="Times New Roman" w:cs="Times New Roman" w:eastAsia="Times New Roman" w:hAnsi="Times New Roman"/>
                <w:sz w:val="18"/>
                <w:szCs w:val="18"/>
                <w:i w:val="1"/>
                <w:iCs w:val="1"/>
                <w:color w:val="auto"/>
              </w:rPr>
              <w:t>(5)</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tcPr>
          <w:p>
            <w:pPr>
              <w:spacing w:after="0"/>
              <w:rPr>
                <w:sz w:val="24"/>
                <w:szCs w:val="24"/>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Permian Highway Pipeline LLC </w:t>
            </w:r>
            <w:r>
              <w:rPr>
                <w:rFonts w:ascii="Times New Roman" w:cs="Times New Roman" w:eastAsia="Times New Roman" w:hAnsi="Times New Roman"/>
                <w:sz w:val="18"/>
                <w:szCs w:val="18"/>
                <w:i w:val="1"/>
                <w:iCs w:val="1"/>
                <w:color w:val="auto"/>
              </w:rPr>
              <w:t>(5)</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160" w:type="dxa"/>
            <w:vAlign w:val="bottom"/>
          </w:tcPr>
          <w:p>
            <w:pPr>
              <w:spacing w:after="0"/>
              <w:rPr>
                <w:sz w:val="24"/>
                <w:szCs w:val="24"/>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Phillips Exploration LLC</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24"/>
                <w:szCs w:val="24"/>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Pioneer Natural Resources Company</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24"/>
                <w:szCs w:val="24"/>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Pioneer Natural Resources USA, Inc.</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24"/>
                <w:szCs w:val="24"/>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Pioneer Water Management LLC</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24"/>
                <w:szCs w:val="24"/>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QatarEnergy LNG N (2) </w:t>
            </w:r>
            <w:r>
              <w:rPr>
                <w:rFonts w:ascii="Times New Roman" w:cs="Times New Roman" w:eastAsia="Times New Roman" w:hAnsi="Times New Roman"/>
                <w:sz w:val="18"/>
                <w:szCs w:val="18"/>
                <w:i w:val="1"/>
                <w:iCs w:val="1"/>
                <w:color w:val="auto"/>
              </w:rPr>
              <w:t>(5)</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24.15</w:t>
            </w:r>
          </w:p>
        </w:tc>
        <w:tc>
          <w:tcPr>
            <w:tcW w:w="160" w:type="dxa"/>
            <w:vAlign w:val="bottom"/>
          </w:tcPr>
          <w:p>
            <w:pPr>
              <w:spacing w:after="0"/>
              <w:rPr>
                <w:sz w:val="24"/>
                <w:szCs w:val="24"/>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Qatar</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PT ExxonMobil Lubricants Indonesia</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24"/>
                <w:szCs w:val="24"/>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Indonesia</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QatarEnergy LNG NFE (3) </w:t>
            </w:r>
            <w:r>
              <w:rPr>
                <w:rFonts w:ascii="Times New Roman" w:cs="Times New Roman" w:eastAsia="Times New Roman" w:hAnsi="Times New Roman"/>
                <w:sz w:val="18"/>
                <w:szCs w:val="18"/>
                <w:i w:val="1"/>
                <w:iCs w:val="1"/>
                <w:color w:val="auto"/>
              </w:rPr>
              <w:t>(5)</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160" w:type="dxa"/>
            <w:vAlign w:val="bottom"/>
          </w:tcPr>
          <w:p>
            <w:pPr>
              <w:spacing w:after="0"/>
              <w:rPr>
                <w:sz w:val="24"/>
                <w:szCs w:val="24"/>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Qatar</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QatarEnergy LNG S (1) </w:t>
            </w:r>
            <w:r>
              <w:rPr>
                <w:rFonts w:ascii="Times New Roman" w:cs="Times New Roman" w:eastAsia="Times New Roman" w:hAnsi="Times New Roman"/>
                <w:sz w:val="18"/>
                <w:szCs w:val="18"/>
                <w:i w:val="1"/>
                <w:iCs w:val="1"/>
                <w:color w:val="auto"/>
              </w:rPr>
              <w:t>(5)</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24.999</w:t>
            </w:r>
          </w:p>
        </w:tc>
        <w:tc>
          <w:tcPr>
            <w:tcW w:w="160" w:type="dxa"/>
            <w:vAlign w:val="bottom"/>
          </w:tcPr>
          <w:p>
            <w:pPr>
              <w:spacing w:after="0"/>
              <w:rPr>
                <w:sz w:val="24"/>
                <w:szCs w:val="24"/>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Qatar</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QatarEnergy LNG S (2) </w:t>
            </w:r>
            <w:r>
              <w:rPr>
                <w:rFonts w:ascii="Times New Roman" w:cs="Times New Roman" w:eastAsia="Times New Roman" w:hAnsi="Times New Roman"/>
                <w:sz w:val="18"/>
                <w:szCs w:val="18"/>
                <w:i w:val="1"/>
                <w:iCs w:val="1"/>
                <w:color w:val="auto"/>
              </w:rPr>
              <w:t>(5)</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30.517</w:t>
            </w:r>
          </w:p>
        </w:tc>
        <w:tc>
          <w:tcPr>
            <w:tcW w:w="160" w:type="dxa"/>
            <w:vAlign w:val="bottom"/>
          </w:tcPr>
          <w:p>
            <w:pPr>
              <w:spacing w:after="0"/>
              <w:rPr>
                <w:sz w:val="24"/>
                <w:szCs w:val="24"/>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Qatar</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QatarEnergy LNG S (3) </w:t>
            </w:r>
            <w:r>
              <w:rPr>
                <w:rFonts w:ascii="Times New Roman" w:cs="Times New Roman" w:eastAsia="Times New Roman" w:hAnsi="Times New Roman"/>
                <w:sz w:val="18"/>
                <w:szCs w:val="18"/>
                <w:i w:val="1"/>
                <w:iCs w:val="1"/>
                <w:color w:val="auto"/>
              </w:rPr>
              <w:t>(5)</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160" w:type="dxa"/>
            <w:vAlign w:val="bottom"/>
          </w:tcPr>
          <w:p>
            <w:pPr>
              <w:spacing w:after="0"/>
              <w:rPr>
                <w:sz w:val="24"/>
                <w:szCs w:val="24"/>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Qatar</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Saudi Aramco Mobil Refinery Company Ltd. </w:t>
            </w:r>
            <w:r>
              <w:rPr>
                <w:rFonts w:ascii="Times New Roman" w:cs="Times New Roman" w:eastAsia="Times New Roman" w:hAnsi="Times New Roman"/>
                <w:sz w:val="18"/>
                <w:szCs w:val="18"/>
                <w:i w:val="1"/>
                <w:iCs w:val="1"/>
                <w:color w:val="auto"/>
              </w:rPr>
              <w:t>(4) (5)</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60" w:type="dxa"/>
            <w:vAlign w:val="bottom"/>
          </w:tcPr>
          <w:p>
            <w:pPr>
              <w:spacing w:after="0"/>
              <w:rPr>
                <w:sz w:val="24"/>
                <w:szCs w:val="24"/>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Saudi Arabia</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Saudi Yanbu Petrochemical Co. </w:t>
            </w:r>
            <w:r>
              <w:rPr>
                <w:rFonts w:ascii="Times New Roman" w:cs="Times New Roman" w:eastAsia="Times New Roman" w:hAnsi="Times New Roman"/>
                <w:sz w:val="18"/>
                <w:szCs w:val="18"/>
                <w:i w:val="1"/>
                <w:iCs w:val="1"/>
                <w:color w:val="auto"/>
              </w:rPr>
              <w:t>(4) (5)</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60" w:type="dxa"/>
            <w:vAlign w:val="bottom"/>
          </w:tcPr>
          <w:p>
            <w:pPr>
              <w:spacing w:after="0"/>
              <w:rPr>
                <w:sz w:val="24"/>
                <w:szCs w:val="24"/>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Saudi Arabia</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SeaRiver Maritime Inc.</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24"/>
                <w:szCs w:val="24"/>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SeaRiver Maritime LLC</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24"/>
                <w:szCs w:val="24"/>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South Hook LNG Terminal Company Limited </w:t>
            </w:r>
            <w:r>
              <w:rPr>
                <w:rFonts w:ascii="Times New Roman" w:cs="Times New Roman" w:eastAsia="Times New Roman" w:hAnsi="Times New Roman"/>
                <w:sz w:val="18"/>
                <w:szCs w:val="18"/>
                <w:i w:val="1"/>
                <w:iCs w:val="1"/>
                <w:color w:val="auto"/>
              </w:rPr>
              <w:t>(5)</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24.15</w:t>
            </w:r>
          </w:p>
        </w:tc>
        <w:tc>
          <w:tcPr>
            <w:tcW w:w="160" w:type="dxa"/>
            <w:vAlign w:val="bottom"/>
          </w:tcPr>
          <w:p>
            <w:pPr>
              <w:spacing w:after="0"/>
              <w:rPr>
                <w:sz w:val="24"/>
                <w:szCs w:val="24"/>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Tengizchevroil LLP </w:t>
            </w:r>
            <w:r>
              <w:rPr>
                <w:rFonts w:ascii="Times New Roman" w:cs="Times New Roman" w:eastAsia="Times New Roman" w:hAnsi="Times New Roman"/>
                <w:sz w:val="18"/>
                <w:szCs w:val="18"/>
                <w:i w:val="1"/>
                <w:iCs w:val="1"/>
                <w:color w:val="auto"/>
              </w:rPr>
              <w:t>(5)</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160" w:type="dxa"/>
            <w:vAlign w:val="bottom"/>
          </w:tcPr>
          <w:p>
            <w:pPr>
              <w:spacing w:after="0"/>
              <w:rPr>
                <w:sz w:val="24"/>
                <w:szCs w:val="24"/>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Kazakhstan</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Wink to Webster Pipeline LLC</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46.875</w:t>
            </w:r>
          </w:p>
        </w:tc>
        <w:tc>
          <w:tcPr>
            <w:tcW w:w="160" w:type="dxa"/>
            <w:vAlign w:val="bottom"/>
          </w:tcPr>
          <w:p>
            <w:pPr>
              <w:spacing w:after="0"/>
              <w:rPr>
                <w:sz w:val="24"/>
                <w:szCs w:val="24"/>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XH LLC</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24"/>
                <w:szCs w:val="24"/>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XTO Delaware Basin LLC</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24"/>
                <w:szCs w:val="24"/>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XTO Energy Inc.</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24"/>
                <w:szCs w:val="24"/>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XTO Holdings LLC</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24"/>
                <w:szCs w:val="24"/>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XTO Permian Midstream LLC</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24"/>
                <w:szCs w:val="24"/>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9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XTO Permian Operating LLC</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24"/>
                <w:szCs w:val="24"/>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Texas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40" w:top="823" w:right="359" w:bottom="40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00"/>
          </w:cols>
          <w:pgMar w:left="340" w:top="823" w:right="359" w:bottom="403" w:gutter="0" w:footer="0" w:header="0"/>
          <w:type w:val="continuous"/>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auto"/>
        </w:rPr>
        <w:t>NOTES:</w:t>
      </w:r>
    </w:p>
    <w:p>
      <w:pPr>
        <w:spacing w:after="0" w:line="120" w:lineRule="exact"/>
        <w:rPr>
          <w:sz w:val="20"/>
          <w:szCs w:val="20"/>
          <w:color w:val="auto"/>
        </w:rPr>
      </w:pPr>
    </w:p>
    <w:p>
      <w:pPr>
        <w:jc w:val="both"/>
        <w:ind w:left="340" w:hanging="332"/>
        <w:spacing w:after="0" w:line="273" w:lineRule="auto"/>
        <w:tabs>
          <w:tab w:leader="none" w:pos="340" w:val="left"/>
        </w:tabs>
        <w:numPr>
          <w:ilvl w:val="0"/>
          <w:numId w:val="9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For the purposes of this list, if the registrant owns directly or indirectly approximately 50 percent of the voting securities of any person and approximately 50 percent of the voting securities of such person is owned directly or indirectly by another interest, or if the registrant includes its share of net income of any other unconsolidated person in consolidated net income, such person is deemed to be a subsidiary.</w:t>
      </w:r>
    </w:p>
    <w:p>
      <w:pPr>
        <w:spacing w:after="0" w:line="6" w:lineRule="exact"/>
        <w:rPr>
          <w:rFonts w:ascii="Times New Roman" w:cs="Times New Roman" w:eastAsia="Times New Roman" w:hAnsi="Times New Roman"/>
          <w:sz w:val="16"/>
          <w:szCs w:val="16"/>
          <w:i w:val="1"/>
          <w:iCs w:val="1"/>
          <w:color w:val="auto"/>
        </w:rPr>
      </w:pPr>
    </w:p>
    <w:p>
      <w:pPr>
        <w:ind w:left="340" w:hanging="332"/>
        <w:spacing w:after="0"/>
        <w:tabs>
          <w:tab w:leader="none" w:pos="340" w:val="left"/>
        </w:tabs>
        <w:numPr>
          <w:ilvl w:val="0"/>
          <w:numId w:val="9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With respect to certain companies, shares in names of nominees and qualifying shares in names of directors are included in the above percentages.</w:t>
      </w:r>
    </w:p>
    <w:p>
      <w:pPr>
        <w:spacing w:after="0" w:line="72" w:lineRule="exact"/>
        <w:rPr>
          <w:rFonts w:ascii="Times New Roman" w:cs="Times New Roman" w:eastAsia="Times New Roman" w:hAnsi="Times New Roman"/>
          <w:sz w:val="16"/>
          <w:szCs w:val="16"/>
          <w:i w:val="1"/>
          <w:iCs w:val="1"/>
          <w:color w:val="auto"/>
        </w:rPr>
      </w:pPr>
    </w:p>
    <w:p>
      <w:pPr>
        <w:ind w:left="340" w:hanging="332"/>
        <w:spacing w:after="0" w:line="283" w:lineRule="auto"/>
        <w:tabs>
          <w:tab w:leader="none" w:pos="340" w:val="left"/>
        </w:tabs>
        <w:numPr>
          <w:ilvl w:val="0"/>
          <w:numId w:val="9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names of other subsidiaries have been omitted from the above list since considered in the aggregate, they would not constitute a significant subsidiary under Securities and Exchange Commission Regulation S-X, Rule 1-02(w).</w:t>
      </w:r>
    </w:p>
    <w:p>
      <w:pPr>
        <w:spacing w:after="0" w:line="11" w:lineRule="exact"/>
        <w:rPr>
          <w:rFonts w:ascii="Times New Roman" w:cs="Times New Roman" w:eastAsia="Times New Roman" w:hAnsi="Times New Roman"/>
          <w:sz w:val="16"/>
          <w:szCs w:val="16"/>
          <w:i w:val="1"/>
          <w:iCs w:val="1"/>
          <w:color w:val="auto"/>
        </w:rPr>
      </w:pPr>
    </w:p>
    <w:p>
      <w:pPr>
        <w:ind w:left="340" w:hanging="332"/>
        <w:spacing w:after="0" w:line="283" w:lineRule="auto"/>
        <w:tabs>
          <w:tab w:leader="none" w:pos="340" w:val="left"/>
        </w:tabs>
        <w:numPr>
          <w:ilvl w:val="0"/>
          <w:numId w:val="9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registrant owns directly or indirectly approximately 50 percent of the securities of this person and approximately 50 percent of the voting securities of this person is owned directly or indirectly by another single interest.</w:t>
      </w:r>
    </w:p>
    <w:p>
      <w:pPr>
        <w:spacing w:after="0" w:line="11" w:lineRule="exact"/>
        <w:rPr>
          <w:rFonts w:ascii="Times New Roman" w:cs="Times New Roman" w:eastAsia="Times New Roman" w:hAnsi="Times New Roman"/>
          <w:sz w:val="16"/>
          <w:szCs w:val="16"/>
          <w:i w:val="1"/>
          <w:iCs w:val="1"/>
          <w:color w:val="auto"/>
        </w:rPr>
      </w:pPr>
    </w:p>
    <w:p>
      <w:pPr>
        <w:ind w:left="340" w:hanging="332"/>
        <w:spacing w:after="0" w:line="283" w:lineRule="auto"/>
        <w:tabs>
          <w:tab w:leader="none" w:pos="340" w:val="left"/>
        </w:tabs>
        <w:numPr>
          <w:ilvl w:val="0"/>
          <w:numId w:val="90"/>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 investment in this unconsolidated person is represented by the registrant's percentage interest in the underlying net assets of such person. The accounting for these unconsolidated persons is referred to as the equity method of accounting.</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012"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(No. 333-270460) and Form S-8 (Nos. 333-145188, 333-110494, 333-183012, 333-264665, 333-117980, and 333-279120) of Exxon Mobil Corporation of our report dated February 19, 2025 relating to the financial statements and the effectiveness of internal control over financial reporting, which appears in this Form 10-K.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19, 2025</w:t>
      </w:r>
    </w:p>
    <w:p>
      <w:pPr>
        <w:sectPr>
          <w:pgSz w:w="11900" w:h="16838" w:orient="portrait"/>
          <w:cols w:equalWidth="0" w:num="1">
            <w:col w:w="11240"/>
          </w:cols>
          <w:pgMar w:left="320" w:top="1008"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Darren W. Woods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Pursuant to Securities Exchange Act Rule 13a-14(a)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Darren W. Woods, certify that:</w:t>
      </w:r>
    </w:p>
    <w:p>
      <w:pPr>
        <w:spacing w:after="0" w:line="225" w:lineRule="exact"/>
        <w:rPr>
          <w:sz w:val="20"/>
          <w:szCs w:val="20"/>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Exxon Mobil Corporation;</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060" w:hanging="404"/>
        <w:spacing w:after="0" w:line="266" w:lineRule="auto"/>
        <w:tabs>
          <w:tab w:leader="none" w:pos="1057"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060" w:hanging="404"/>
        <w:spacing w:after="0" w:line="266" w:lineRule="auto"/>
        <w:tabs>
          <w:tab w:leader="none" w:pos="1054"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060" w:hanging="404"/>
        <w:spacing w:after="0" w:line="282" w:lineRule="auto"/>
        <w:tabs>
          <w:tab w:leader="none" w:pos="1057"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060" w:hanging="404"/>
        <w:spacing w:after="0" w:line="266" w:lineRule="auto"/>
        <w:tabs>
          <w:tab w:leader="none" w:pos="1054"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60" w:right="20" w:hanging="404"/>
        <w:spacing w:after="0" w:line="282" w:lineRule="auto"/>
        <w:tabs>
          <w:tab w:leader="none" w:pos="1057"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060" w:hanging="404"/>
        <w:spacing w:after="0" w:line="282" w:lineRule="auto"/>
        <w:tabs>
          <w:tab w:leader="none" w:pos="1054"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19, 2025</w:t>
      </w:r>
    </w:p>
    <w:p>
      <w:pPr>
        <w:spacing w:after="0" w:line="144"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color w:val="auto"/>
        </w:rPr>
        <w:t>/s/ DARREN W. WOODS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26035</wp:posOffset>
            </wp:positionV>
            <wp:extent cx="254635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4">
                      <a:extLst>
                        <a:ext uri="{28A0092B-C50C-407E-A947-70E740481C1C}"/>
                      </a:extLst>
                    </a:blip>
                    <a:srcRect/>
                    <a:stretch>
                      <a:fillRect/>
                    </a:stretch>
                  </pic:blipFill>
                  <pic:spPr bwMode="auto">
                    <a:xfrm>
                      <a:off x="0" y="0"/>
                      <a:ext cx="2546350" cy="8255"/>
                    </a:xfrm>
                    <a:prstGeom prst="rect">
                      <a:avLst/>
                    </a:prstGeom>
                    <a:noFill/>
                  </pic:spPr>
                </pic:pic>
              </a:graphicData>
            </a:graphic>
          </wp:anchor>
        </w:drawing>
      </w:r>
    </w:p>
    <w:p>
      <w:pPr>
        <w:spacing w:after="0" w:line="30" w:lineRule="exact"/>
        <w:rPr>
          <w:sz w:val="20"/>
          <w:szCs w:val="20"/>
          <w:color w:val="auto"/>
        </w:rPr>
      </w:pPr>
    </w:p>
    <w:p>
      <w:pPr>
        <w:ind w:left="8560"/>
        <w:spacing w:after="0"/>
        <w:rPr>
          <w:sz w:val="20"/>
          <w:szCs w:val="20"/>
          <w:color w:val="auto"/>
        </w:rPr>
      </w:pPr>
      <w:r>
        <w:rPr>
          <w:rFonts w:ascii="Times New Roman" w:cs="Times New Roman" w:eastAsia="Times New Roman" w:hAnsi="Times New Roman"/>
          <w:sz w:val="18"/>
          <w:szCs w:val="18"/>
          <w:color w:val="auto"/>
        </w:rPr>
        <w:t>Darren W. Woods</w:t>
      </w:r>
    </w:p>
    <w:p>
      <w:pPr>
        <w:spacing w:after="0" w:line="27"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Kathryn A. Mikells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Pursuant to Securities Exchange Act Rule 13a-14(a)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Kathryn A. Mikells, certify that:</w:t>
      </w:r>
    </w:p>
    <w:p>
      <w:pPr>
        <w:spacing w:after="0" w:line="225" w:lineRule="exact"/>
        <w:rPr>
          <w:sz w:val="20"/>
          <w:szCs w:val="20"/>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Exxon Mobil Corporation;</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060" w:hanging="404"/>
        <w:spacing w:after="0" w:line="266" w:lineRule="auto"/>
        <w:tabs>
          <w:tab w:leader="none" w:pos="1057"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060" w:hanging="404"/>
        <w:spacing w:after="0" w:line="266" w:lineRule="auto"/>
        <w:tabs>
          <w:tab w:leader="none" w:pos="105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60" w:hanging="404"/>
        <w:spacing w:after="0" w:line="282" w:lineRule="auto"/>
        <w:tabs>
          <w:tab w:leader="none" w:pos="1057"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060" w:hanging="404"/>
        <w:spacing w:after="0" w:line="266" w:lineRule="auto"/>
        <w:tabs>
          <w:tab w:leader="none" w:pos="105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60" w:right="20" w:hanging="404"/>
        <w:spacing w:after="0" w:line="282" w:lineRule="auto"/>
        <w:tabs>
          <w:tab w:leader="none" w:pos="1057"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060" w:hanging="404"/>
        <w:spacing w:after="0" w:line="282" w:lineRule="auto"/>
        <w:tabs>
          <w:tab w:leader="none" w:pos="105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19, 2025</w:t>
      </w:r>
    </w:p>
    <w:p>
      <w:pPr>
        <w:ind w:left="7860"/>
        <w:spacing w:after="0"/>
        <w:rPr>
          <w:sz w:val="20"/>
          <w:szCs w:val="20"/>
          <w:color w:val="auto"/>
        </w:rPr>
      </w:pPr>
      <w:r>
        <w:rPr>
          <w:rFonts w:ascii="Times New Roman" w:cs="Times New Roman" w:eastAsia="Times New Roman" w:hAnsi="Times New Roman"/>
          <w:sz w:val="18"/>
          <w:szCs w:val="18"/>
          <w:color w:val="auto"/>
        </w:rPr>
        <w:t>/s/ KATHRYN A. MIKELLS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13335</wp:posOffset>
            </wp:positionV>
            <wp:extent cx="292290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5">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0"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color w:val="auto"/>
        </w:rPr>
        <w:t>Kathryn A. Mikells</w:t>
      </w:r>
    </w:p>
    <w:p>
      <w:pPr>
        <w:spacing w:after="0" w:line="27"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1240"/>
          </w:cols>
          <w:pgMar w:left="320" w:top="887"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Len M. Fox</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Pursuant to Securities Exchange Act Rule 13a-14(a)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Len M. Fox, certify that:</w:t>
      </w:r>
    </w:p>
    <w:p>
      <w:pPr>
        <w:spacing w:after="0" w:line="225" w:lineRule="exact"/>
        <w:rPr>
          <w:sz w:val="20"/>
          <w:szCs w:val="20"/>
          <w:color w:val="auto"/>
        </w:rPr>
      </w:pPr>
    </w:p>
    <w:p>
      <w:pPr>
        <w:ind w:left="660" w:hanging="328"/>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Exxon Mobil Corporation;</w:t>
      </w:r>
    </w:p>
    <w:p>
      <w:pPr>
        <w:spacing w:after="0" w:line="25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060" w:hanging="404"/>
        <w:spacing w:after="0" w:line="266" w:lineRule="auto"/>
        <w:tabs>
          <w:tab w:leader="none" w:pos="1057"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060" w:hanging="404"/>
        <w:spacing w:after="0" w:line="266" w:lineRule="auto"/>
        <w:tabs>
          <w:tab w:leader="none" w:pos="1054"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60" w:hanging="404"/>
        <w:spacing w:after="0" w:line="282" w:lineRule="auto"/>
        <w:tabs>
          <w:tab w:leader="none" w:pos="1057"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1060" w:hanging="404"/>
        <w:spacing w:after="0" w:line="266" w:lineRule="auto"/>
        <w:tabs>
          <w:tab w:leader="none" w:pos="1054"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60" w:right="20" w:hanging="404"/>
        <w:spacing w:after="0" w:line="282" w:lineRule="auto"/>
        <w:tabs>
          <w:tab w:leader="none" w:pos="1057"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060" w:hanging="404"/>
        <w:spacing w:after="0" w:line="282" w:lineRule="auto"/>
        <w:tabs>
          <w:tab w:leader="none" w:pos="1054"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19, 2025</w:t>
      </w:r>
    </w:p>
    <w:p>
      <w:pPr>
        <w:spacing w:after="0" w:line="158"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8"/>
          <w:szCs w:val="18"/>
          <w:color w:val="auto"/>
        </w:rPr>
        <w:t>/s/ LEN M.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4635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6">
                      <a:extLst>
                        <a:ext uri="{28A0092B-C50C-407E-A947-70E740481C1C}"/>
                      </a:extLst>
                    </a:blip>
                    <a:srcRect/>
                    <a:stretch>
                      <a:fillRect/>
                    </a:stretch>
                  </pic:blipFill>
                  <pic:spPr bwMode="auto">
                    <a:xfrm>
                      <a:off x="0" y="0"/>
                      <a:ext cx="2546350" cy="8255"/>
                    </a:xfrm>
                    <a:prstGeom prst="rect">
                      <a:avLst/>
                    </a:prstGeom>
                    <a:noFill/>
                  </pic:spPr>
                </pic:pic>
              </a:graphicData>
            </a:graphic>
          </wp:anchor>
        </w:drawing>
      </w:r>
    </w:p>
    <w:p>
      <w:pPr>
        <w:spacing w:after="0" w:line="1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Len M. Fox</w:t>
      </w:r>
    </w:p>
    <w:p>
      <w:pPr>
        <w:spacing w:after="0" w:line="27" w:lineRule="exact"/>
        <w:rPr>
          <w:sz w:val="20"/>
          <w:szCs w:val="20"/>
          <w:color w:val="auto"/>
        </w:rPr>
      </w:pPr>
    </w:p>
    <w:p>
      <w:pPr>
        <w:jc w:val="center"/>
        <w:ind w:left="7160"/>
        <w:spacing w:after="0"/>
        <w:rPr>
          <w:sz w:val="20"/>
          <w:szCs w:val="20"/>
          <w:color w:val="auto"/>
        </w:rPr>
      </w:pPr>
      <w:r>
        <w:rPr>
          <w:rFonts w:ascii="Times New Roman" w:cs="Times New Roman" w:eastAsia="Times New Roman" w:hAnsi="Times New Roman"/>
          <w:sz w:val="18"/>
          <w:szCs w:val="18"/>
          <w:color w:val="auto"/>
        </w:rPr>
        <w:t>Vice President, Controller and Tax</w:t>
      </w:r>
    </w:p>
    <w:p>
      <w:pPr>
        <w:spacing w:after="0" w:line="23" w:lineRule="exact"/>
        <w:rPr>
          <w:sz w:val="20"/>
          <w:szCs w:val="20"/>
          <w:color w:val="auto"/>
        </w:rPr>
      </w:pPr>
    </w:p>
    <w:p>
      <w:pPr>
        <w:jc w:val="center"/>
        <w:ind w:left="7160"/>
        <w:spacing w:after="0"/>
        <w:rPr>
          <w:sz w:val="20"/>
          <w:szCs w:val="20"/>
          <w:color w:val="auto"/>
        </w:rPr>
      </w:pPr>
      <w:r>
        <w:rPr>
          <w:rFonts w:ascii="Times New Roman" w:cs="Times New Roman" w:eastAsia="Times New Roman" w:hAnsi="Times New Roman"/>
          <w:sz w:val="18"/>
          <w:szCs w:val="18"/>
          <w:color w:val="auto"/>
        </w:rPr>
        <w:t>(Principal Accounting Officer)</w:t>
      </w:r>
    </w:p>
    <w:p>
      <w:pPr>
        <w:sectPr>
          <w:pgSz w:w="11900" w:h="16838" w:orient="portrait"/>
          <w:cols w:equalWidth="0" w:num="1">
            <w:col w:w="11240"/>
          </w:cols>
          <w:pgMar w:left="320" w:top="887"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purposes of 18 U.S.C. Section 1350, as adopted pursuant to Section 906 of the Sarbanes-Oxley Act of 2002, the undersigned, Darren W. Woods, the chief executive officer of Exxon Mobil Corporation (the “Company”), hereby certifies that, to his knowledge:</w:t>
      </w:r>
    </w:p>
    <w:p>
      <w:pPr>
        <w:spacing w:after="0" w:line="162" w:lineRule="exact"/>
        <w:rPr>
          <w:sz w:val="20"/>
          <w:szCs w:val="20"/>
          <w:color w:val="auto"/>
        </w:rPr>
      </w:pPr>
    </w:p>
    <w:p>
      <w:pPr>
        <w:ind w:left="500" w:hanging="492"/>
        <w:spacing w:after="0" w:line="282" w:lineRule="auto"/>
        <w:tabs>
          <w:tab w:leader="none" w:pos="49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December 31, 2024, as filed with the Securities and Exchange Commission on the date hereof (the “Report”) fully complies with the requirements of section 13(a) or 15(d) of the Securities Exchange Act of 1934; and</w:t>
      </w:r>
    </w:p>
    <w:p>
      <w:pPr>
        <w:spacing w:after="0" w:line="188"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19, 2025</w:t>
      </w:r>
    </w:p>
    <w:p>
      <w:pPr>
        <w:spacing w:after="0" w:line="333"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color w:val="auto"/>
        </w:rPr>
        <w:t>/s/ DARREN W. WOODS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688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7">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6"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8"/>
          <w:szCs w:val="18"/>
          <w:color w:val="auto"/>
        </w:rPr>
        <w:t>Darren W. Woods</w:t>
      </w:r>
    </w:p>
    <w:p>
      <w:pPr>
        <w:spacing w:after="0" w:line="27"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1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Exxon Mobil Corporation and will be retained by Exxon Mobil Corporation and furnished to the Securities and Exchange Commission or its staff upon request.</w:t>
      </w:r>
    </w:p>
    <w:p>
      <w:pPr>
        <w:sectPr>
          <w:pgSz w:w="11900" w:h="16838" w:orient="portrait"/>
          <w:cols w:equalWidth="0" w:num="1">
            <w:col w:w="11240"/>
          </w:cols>
          <w:pgMar w:left="320" w:top="900"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purposes of 18 U.S.C. Section 1350, as adopted pursuant to Section 906 of the Sarbanes-Oxley Act of 2002, the undersigned, Kathryn A. Mikells, the chief financial officer of Exxon Mobil Corporation (the “Company”), hereby certifies that, to her knowledge:</w:t>
      </w:r>
    </w:p>
    <w:p>
      <w:pPr>
        <w:spacing w:after="0" w:line="162" w:lineRule="exact"/>
        <w:rPr>
          <w:sz w:val="20"/>
          <w:szCs w:val="20"/>
          <w:color w:val="auto"/>
        </w:rPr>
      </w:pPr>
    </w:p>
    <w:p>
      <w:pPr>
        <w:ind w:left="500" w:hanging="492"/>
        <w:spacing w:after="0" w:line="282" w:lineRule="auto"/>
        <w:tabs>
          <w:tab w:leader="none" w:pos="49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December 31, 2024, as filed with the Securities and Exchange Commission on the date hereof (the “Report”) fully complies with the requirements of section 13(a) or 15(d) of the Securities Exchange Act of 1934; and</w:t>
      </w:r>
    </w:p>
    <w:p>
      <w:pPr>
        <w:spacing w:after="0" w:line="188"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19, 2025</w:t>
      </w:r>
    </w:p>
    <w:p>
      <w:pPr>
        <w:spacing w:after="0" w:line="333"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color w:val="auto"/>
        </w:rPr>
        <w:t>/s/ KATHRYN A. MIKELLS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17145</wp:posOffset>
            </wp:positionV>
            <wp:extent cx="292290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8">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6"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color w:val="auto"/>
        </w:rPr>
        <w:t>Kathryn A. Mikells</w:t>
      </w:r>
    </w:p>
    <w:p>
      <w:pPr>
        <w:spacing w:after="0" w:line="27"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0" w:lineRule="exact"/>
        <w:rPr>
          <w:sz w:val="20"/>
          <w:szCs w:val="20"/>
          <w:color w:val="auto"/>
        </w:rPr>
      </w:pPr>
    </w:p>
    <w:p>
      <w:pPr>
        <w:spacing w:after="0" w:line="33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Exxon Mobil Corporation and will be retained by Exxon Mobil Corporation and furnished to the Securities and Exchange Commission or its staff upon request.</w:t>
      </w:r>
    </w:p>
    <w:p>
      <w:pPr>
        <w:sectPr>
          <w:pgSz w:w="11900" w:h="16838" w:orient="portrait"/>
          <w:cols w:equalWidth="0" w:num="1">
            <w:col w:w="11240"/>
          </w:cols>
          <w:pgMar w:left="320" w:top="887"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EXHIBIT 32.3</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purposes of 18 U.S.C. Section 1350, as adopted pursuant to Section 906 of the Sarbanes-Oxley Act of 2002, the undersigned, Len M. Fox, the principal accounting officer of Exxon Mobil Corporation (the “Company”), hereby certifies that, to his knowledge:</w:t>
      </w:r>
    </w:p>
    <w:p>
      <w:pPr>
        <w:spacing w:after="0" w:line="162" w:lineRule="exact"/>
        <w:rPr>
          <w:sz w:val="20"/>
          <w:szCs w:val="20"/>
          <w:color w:val="auto"/>
        </w:rPr>
      </w:pPr>
    </w:p>
    <w:p>
      <w:pPr>
        <w:ind w:left="500" w:hanging="492"/>
        <w:spacing w:after="0" w:line="282" w:lineRule="auto"/>
        <w:tabs>
          <w:tab w:leader="none" w:pos="49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December 31, 2024, as filed with the Securities and Exchange Commission on the date hereof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19, 2025</w:t>
      </w:r>
    </w:p>
    <w:p>
      <w:pPr>
        <w:spacing w:after="0" w:line="333"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18"/>
          <w:szCs w:val="18"/>
          <w:color w:val="auto"/>
        </w:rPr>
        <w:t>/s/ LEN M.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688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9">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6"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8"/>
          <w:szCs w:val="18"/>
          <w:color w:val="auto"/>
        </w:rPr>
        <w:t>Len M. Fox</w:t>
      </w:r>
    </w:p>
    <w:p>
      <w:pPr>
        <w:spacing w:after="0" w:line="27" w:lineRule="exact"/>
        <w:rPr>
          <w:sz w:val="20"/>
          <w:szCs w:val="20"/>
          <w:color w:val="auto"/>
        </w:rPr>
      </w:pPr>
    </w:p>
    <w:p>
      <w:pPr>
        <w:jc w:val="center"/>
        <w:ind w:left="7260"/>
        <w:spacing w:after="0"/>
        <w:rPr>
          <w:sz w:val="20"/>
          <w:szCs w:val="20"/>
          <w:color w:val="auto"/>
        </w:rPr>
      </w:pPr>
      <w:r>
        <w:rPr>
          <w:rFonts w:ascii="Times New Roman" w:cs="Times New Roman" w:eastAsia="Times New Roman" w:hAnsi="Times New Roman"/>
          <w:sz w:val="18"/>
          <w:szCs w:val="18"/>
          <w:color w:val="auto"/>
        </w:rPr>
        <w:t>Vice President, Controller and Tax</w:t>
      </w:r>
    </w:p>
    <w:p>
      <w:pPr>
        <w:spacing w:after="0" w:line="23" w:lineRule="exact"/>
        <w:rPr>
          <w:sz w:val="20"/>
          <w:szCs w:val="20"/>
          <w:color w:val="auto"/>
        </w:rPr>
      </w:pPr>
    </w:p>
    <w:p>
      <w:pPr>
        <w:jc w:val="center"/>
        <w:ind w:left="726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31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Exxon Mobil Corporation and will be retained by Exxon Mobil Corporation and furnished to the Securities and Exchange Commission or its staff upon request.</w:t>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abstractNum>
  <w:abstractNum w:abstractNumId="1">
    <w:nsid w:val="684A481A"/>
    <w:multiLevelType w:val="hybridMultilevel"/>
    <w:lvl w:ilvl="0">
      <w:lvlJc w:val="left"/>
      <w:lvlText w:val="☐"/>
      <w:numFmt w:val="bullet"/>
      <w:start w:val="1"/>
    </w:lvl>
  </w:abstractNum>
  <w:abstractNum w:abstractNumId="2">
    <w:nsid w:val="579478FE"/>
    <w:multiLevelType w:val="hybridMultilevel"/>
    <w:lvl w:ilvl="0">
      <w:lvlJc w:val="left"/>
      <w:lvlText w:val="•"/>
      <w:numFmt w:val="bullet"/>
      <w:start w:val="1"/>
    </w:lvl>
  </w:abstractNum>
  <w:abstractNum w:abstractNumId="3">
    <w:nsid w:val="749ABB43"/>
    <w:multiLevelType w:val="hybridMultilevel"/>
    <w:lvl w:ilvl="0">
      <w:lvlJc w:val="left"/>
      <w:lvlText w:val="•"/>
      <w:numFmt w:val="bullet"/>
      <w:start w:val="1"/>
    </w:lvl>
  </w:abstractNum>
  <w:abstractNum w:abstractNumId="4">
    <w:nsid w:val="3DC240FB"/>
    <w:multiLevelType w:val="hybridMultilevel"/>
    <w:lvl w:ilvl="0">
      <w:lvlJc w:val="left"/>
      <w:lvlText w:val="(%1)"/>
      <w:numFmt w:val="decimal"/>
      <w:start w:val="1"/>
    </w:lvl>
  </w:abstractNum>
  <w:abstractNum w:abstractNumId="5">
    <w:nsid w:val="1BA026FA"/>
    <w:multiLevelType w:val="hybridMultilevel"/>
    <w:lvl w:ilvl="0">
      <w:lvlJc w:val="left"/>
      <w:lvlText w:val="(%1)"/>
      <w:numFmt w:val="decimal"/>
      <w:start w:val="1"/>
    </w:lvl>
  </w:abstractNum>
  <w:abstractNum w:abstractNumId="6">
    <w:nsid w:val="79A1DEAA"/>
    <w:multiLevelType w:val="hybridMultilevel"/>
    <w:lvl w:ilvl="0">
      <w:lvlJc w:val="left"/>
      <w:lvlText w:val="(%1)"/>
      <w:numFmt w:val="decimal"/>
      <w:start w:val="1"/>
    </w:lvl>
  </w:abstractNum>
  <w:abstractNum w:abstractNumId="7">
    <w:nsid w:val="75C6C33A"/>
    <w:multiLevelType w:val="hybridMultilevel"/>
    <w:lvl w:ilvl="0">
      <w:lvlJc w:val="left"/>
      <w:lvlText w:val="(%1)"/>
      <w:numFmt w:val="decimal"/>
      <w:start w:val="2"/>
    </w:lvl>
  </w:abstractNum>
  <w:abstractNum w:abstractNumId="8">
    <w:nsid w:val="12E685FB"/>
    <w:multiLevelType w:val="hybridMultilevel"/>
    <w:lvl w:ilvl="0">
      <w:lvlJc w:val="left"/>
      <w:lvlText w:val="■"/>
      <w:numFmt w:val="bullet"/>
      <w:start w:val="1"/>
    </w:lvl>
  </w:abstractNum>
  <w:abstractNum w:abstractNumId="9">
    <w:nsid w:val="70C6A529"/>
    <w:multiLevelType w:val="hybridMultilevel"/>
    <w:lvl w:ilvl="0">
      <w:lvlJc w:val="left"/>
      <w:lvlText w:val="(%1)"/>
      <w:numFmt w:val="decimal"/>
      <w:start w:val="1"/>
    </w:lvl>
  </w:abstractNum>
  <w:abstractNum w:abstractNumId="10">
    <w:nsid w:val="520EEDD1"/>
    <w:multiLevelType w:val="hybridMultilevel"/>
    <w:lvl w:ilvl="0">
      <w:lvlJc w:val="left"/>
      <w:lvlText w:val="(%1)"/>
      <w:numFmt w:val="decimal"/>
      <w:start w:val="1"/>
    </w:lvl>
  </w:abstractNum>
  <w:abstractNum w:abstractNumId="11">
    <w:nsid w:val="374A3FE6"/>
    <w:multiLevelType w:val="hybridMultilevel"/>
    <w:lvl w:ilvl="0">
      <w:lvlJc w:val="left"/>
      <w:lvlText w:val="•"/>
      <w:numFmt w:val="bullet"/>
      <w:start w:val="1"/>
    </w:lvl>
  </w:abstractNum>
  <w:abstractNum w:abstractNumId="12">
    <w:nsid w:val="4F4EF005"/>
    <w:multiLevelType w:val="hybridMultilevel"/>
    <w:lvl w:ilvl="0">
      <w:lvlJc w:val="left"/>
      <w:lvlText w:val="•"/>
      <w:numFmt w:val="bullet"/>
      <w:start w:val="1"/>
    </w:lvl>
  </w:abstractNum>
  <w:abstractNum w:abstractNumId="13">
    <w:nsid w:val="23F9C13C"/>
    <w:multiLevelType w:val="hybridMultilevel"/>
    <w:lvl w:ilvl="0">
      <w:lvlJc w:val="left"/>
      <w:lvlText w:val="(%1)"/>
      <w:numFmt w:val="decimal"/>
      <w:start w:val="1"/>
    </w:lvl>
  </w:abstractNum>
  <w:abstractNum w:abstractNumId="14">
    <w:nsid w:val="649BB77C"/>
    <w:multiLevelType w:val="hybridMultilevel"/>
    <w:lvl w:ilvl="0">
      <w:lvlJc w:val="left"/>
      <w:lvlText w:val="(%1)"/>
      <w:numFmt w:val="decimal"/>
      <w:start w:val="1"/>
    </w:lvl>
  </w:abstractNum>
  <w:abstractNum w:abstractNumId="15">
    <w:nsid w:val="275AC794"/>
    <w:multiLevelType w:val="hybridMultilevel"/>
    <w:lvl w:ilvl="0">
      <w:lvlJc w:val="left"/>
      <w:lvlText w:val="(%1)"/>
      <w:numFmt w:val="decimal"/>
      <w:start w:val="1"/>
    </w:lvl>
  </w:abstractNum>
  <w:abstractNum w:abstractNumId="16">
    <w:nsid w:val="39386575"/>
    <w:multiLevelType w:val="hybridMultilevel"/>
    <w:lvl w:ilvl="0">
      <w:lvlJc w:val="left"/>
      <w:lvlText w:val="•"/>
      <w:numFmt w:val="bullet"/>
      <w:start w:val="1"/>
    </w:lvl>
  </w:abstractNum>
  <w:abstractNum w:abstractNumId="17">
    <w:nsid w:val="1CF10FD8"/>
    <w:multiLevelType w:val="hybridMultilevel"/>
    <w:lvl w:ilvl="0">
      <w:lvlJc w:val="left"/>
      <w:lvlText w:val="(%1)"/>
      <w:numFmt w:val="decimal"/>
      <w:start w:val="1"/>
    </w:lvl>
  </w:abstractNum>
  <w:abstractNum w:abstractNumId="18">
    <w:nsid w:val="180115BE"/>
    <w:multiLevelType w:val="hybridMultilevel"/>
    <w:lvl w:ilvl="0">
      <w:lvlJc w:val="left"/>
      <w:lvlText w:val="(%1)"/>
      <w:numFmt w:val="decimal"/>
      <w:start w:val="1"/>
    </w:lvl>
  </w:abstractNum>
  <w:abstractNum w:abstractNumId="19">
    <w:nsid w:val="235BA861"/>
    <w:multiLevelType w:val="hybridMultilevel"/>
    <w:lvl w:ilvl="0">
      <w:lvlJc w:val="left"/>
      <w:lvlText w:val="*"/>
      <w:numFmt w:val="bullet"/>
      <w:start w:val="1"/>
    </w:lvl>
  </w:abstractNum>
  <w:abstractNum w:abstractNumId="20">
    <w:nsid w:val="47398C89"/>
    <w:multiLevelType w:val="hybridMultilevel"/>
    <w:lvl w:ilvl="0">
      <w:lvlJc w:val="left"/>
      <w:lvlText w:val="•"/>
      <w:numFmt w:val="bullet"/>
      <w:start w:val="1"/>
    </w:lvl>
  </w:abstractNum>
  <w:abstractNum w:abstractNumId="21">
    <w:nsid w:val="354FE9F9"/>
    <w:multiLevelType w:val="hybridMultilevel"/>
    <w:lvl w:ilvl="0">
      <w:lvlJc w:val="left"/>
      <w:lvlText w:val="(%1)"/>
      <w:numFmt w:val="decimal"/>
      <w:start w:val="1"/>
    </w:lvl>
  </w:abstractNum>
  <w:abstractNum w:abstractNumId="22">
    <w:nsid w:val="15B5AF5C"/>
    <w:multiLevelType w:val="hybridMultilevel"/>
    <w:lvl w:ilvl="0">
      <w:lvlJc w:val="left"/>
      <w:lvlText w:val="(%1)"/>
      <w:numFmt w:val="decimal"/>
      <w:start w:val="1"/>
    </w:lvl>
  </w:abstractNum>
  <w:abstractNum w:abstractNumId="23">
    <w:nsid w:val="741226BB"/>
    <w:multiLevelType w:val="hybridMultilevel"/>
    <w:lvl w:ilvl="0">
      <w:lvlJc w:val="left"/>
      <w:lvlText w:val="(%1)"/>
      <w:numFmt w:val="decimal"/>
      <w:start w:val="1"/>
    </w:lvl>
  </w:abstractNum>
  <w:abstractNum w:abstractNumId="24">
    <w:nsid w:val="D34B6A8"/>
    <w:multiLevelType w:val="hybridMultilevel"/>
    <w:lvl w:ilvl="0">
      <w:lvlJc w:val="left"/>
      <w:lvlText w:val="(%1)"/>
      <w:numFmt w:val="decimal"/>
      <w:start w:val="1"/>
    </w:lvl>
  </w:abstractNum>
  <w:abstractNum w:abstractNumId="25">
    <w:nsid w:val="10233C99"/>
    <w:multiLevelType w:val="hybridMultilevel"/>
    <w:lvl w:ilvl="0">
      <w:lvlJc w:val="left"/>
      <w:lvlText w:val="(%1)"/>
      <w:numFmt w:val="decimal"/>
      <w:start w:val="1"/>
    </w:lvl>
  </w:abstractNum>
  <w:abstractNum w:abstractNumId="26">
    <w:nsid w:val="3F6AB60F"/>
    <w:multiLevelType w:val="hybridMultilevel"/>
    <w:lvl w:ilvl="0">
      <w:lvlJc w:val="left"/>
      <w:lvlText w:val="(%1)"/>
      <w:numFmt w:val="decimal"/>
      <w:start w:val="1"/>
    </w:lvl>
  </w:abstractNum>
  <w:abstractNum w:abstractNumId="27">
    <w:nsid w:val="61574095"/>
    <w:multiLevelType w:val="hybridMultilevel"/>
    <w:lvl w:ilvl="0">
      <w:lvlJc w:val="left"/>
      <w:lvlText w:val="(%1)"/>
      <w:numFmt w:val="decimal"/>
      <w:start w:val="1"/>
    </w:lvl>
  </w:abstractNum>
  <w:abstractNum w:abstractNumId="28">
    <w:nsid w:val="7E0C57B1"/>
    <w:multiLevelType w:val="hybridMultilevel"/>
    <w:lvl w:ilvl="0">
      <w:lvlJc w:val="left"/>
      <w:lvlText w:val="(%1)"/>
      <w:numFmt w:val="decimal"/>
      <w:start w:val="1"/>
    </w:lvl>
  </w:abstractNum>
  <w:abstractNum w:abstractNumId="29">
    <w:nsid w:val="77AE35EB"/>
    <w:multiLevelType w:val="hybridMultilevel"/>
    <w:lvl w:ilvl="0">
      <w:lvlJc w:val="left"/>
      <w:lvlText w:val="(%1)"/>
      <w:numFmt w:val="decimal"/>
      <w:start w:val="1"/>
    </w:lvl>
  </w:abstractNum>
  <w:abstractNum w:abstractNumId="30">
    <w:nsid w:val="579BE4F1"/>
    <w:multiLevelType w:val="hybridMultilevel"/>
    <w:lvl w:ilvl="0">
      <w:lvlJc w:val="left"/>
      <w:lvlText w:val="(%1)"/>
      <w:numFmt w:val="decimal"/>
      <w:start w:val="1"/>
    </w:lvl>
  </w:abstractNum>
  <w:abstractNum w:abstractNumId="31">
    <w:nsid w:val="310C50B3"/>
    <w:multiLevelType w:val="hybridMultilevel"/>
    <w:lvl w:ilvl="0">
      <w:lvlJc w:val="left"/>
      <w:lvlText w:val="(%1)"/>
      <w:numFmt w:val="decimal"/>
      <w:start w:val="1"/>
    </w:lvl>
  </w:abstractNum>
  <w:abstractNum w:abstractNumId="32">
    <w:nsid w:val="5FF87E05"/>
    <w:multiLevelType w:val="hybridMultilevel"/>
    <w:lvl w:ilvl="0">
      <w:lvlJc w:val="left"/>
      <w:lvlText w:val="(%1)"/>
      <w:numFmt w:val="decimal"/>
      <w:start w:val="1"/>
    </w:lvl>
  </w:abstractNum>
  <w:abstractNum w:abstractNumId="33">
    <w:nsid w:val="2F305DEF"/>
    <w:multiLevelType w:val="hybridMultilevel"/>
    <w:lvl w:ilvl="0">
      <w:lvlJc w:val="left"/>
      <w:lvlText w:val="(%1)"/>
      <w:numFmt w:val="decimal"/>
      <w:start w:val="1"/>
    </w:lvl>
  </w:abstractNum>
  <w:abstractNum w:abstractNumId="34">
    <w:nsid w:val="25A70BF7"/>
    <w:multiLevelType w:val="hybridMultilevel"/>
    <w:lvl w:ilvl="0">
      <w:lvlJc w:val="left"/>
      <w:lvlText w:val="(%1)"/>
      <w:numFmt w:val="decimal"/>
      <w:start w:val="1"/>
    </w:lvl>
  </w:abstractNum>
  <w:abstractNum w:abstractNumId="35">
    <w:nsid w:val="1DBABF00"/>
    <w:multiLevelType w:val="hybridMultilevel"/>
    <w:lvl w:ilvl="0">
      <w:lvlJc w:val="left"/>
      <w:lvlText w:val="(%1)"/>
      <w:numFmt w:val="decimal"/>
      <w:start w:val="1"/>
    </w:lvl>
  </w:abstractNum>
  <w:abstractNum w:abstractNumId="36">
    <w:nsid w:val="4AD084E9"/>
    <w:multiLevelType w:val="hybridMultilevel"/>
    <w:lvl w:ilvl="0">
      <w:lvlJc w:val="left"/>
      <w:lvlText w:val="(%1)"/>
      <w:numFmt w:val="decimal"/>
      <w:start w:val="1"/>
    </w:lvl>
  </w:abstractNum>
  <w:abstractNum w:abstractNumId="37">
    <w:nsid w:val="1F48EAA1"/>
    <w:multiLevelType w:val="hybridMultilevel"/>
    <w:lvl w:ilvl="0">
      <w:lvlJc w:val="left"/>
      <w:lvlText w:val="(%1)"/>
      <w:numFmt w:val="decimal"/>
      <w:start w:val="1"/>
    </w:lvl>
  </w:abstractNum>
  <w:abstractNum w:abstractNumId="38">
    <w:nsid w:val="1381823A"/>
    <w:multiLevelType w:val="hybridMultilevel"/>
    <w:lvl w:ilvl="0">
      <w:lvlJc w:val="left"/>
      <w:lvlText w:val="(%1)"/>
      <w:numFmt w:val="decimal"/>
      <w:start w:val="1"/>
    </w:lvl>
  </w:abstractNum>
  <w:abstractNum w:abstractNumId="39">
    <w:nsid w:val="5DB70AE5"/>
    <w:multiLevelType w:val="hybridMultilevel"/>
    <w:lvl w:ilvl="0">
      <w:lvlJc w:val="left"/>
      <w:lvlText w:val="(%1)"/>
      <w:numFmt w:val="decimal"/>
      <w:start w:val="1"/>
    </w:lvl>
  </w:abstractNum>
  <w:abstractNum w:abstractNumId="40">
    <w:nsid w:val="100F8FCA"/>
    <w:multiLevelType w:val="hybridMultilevel"/>
    <w:lvl w:ilvl="0">
      <w:lvlJc w:val="left"/>
      <w:lvlText w:val="(%1)"/>
      <w:numFmt w:val="decimal"/>
      <w:start w:val="1"/>
    </w:lvl>
  </w:abstractNum>
  <w:abstractNum w:abstractNumId="41">
    <w:nsid w:val="6590700B"/>
    <w:multiLevelType w:val="hybridMultilevel"/>
    <w:lvl w:ilvl="0">
      <w:lvlJc w:val="left"/>
      <w:lvlText w:val="•"/>
      <w:numFmt w:val="bullet"/>
      <w:start w:val="1"/>
    </w:lvl>
  </w:abstractNum>
  <w:abstractNum w:abstractNumId="42">
    <w:nsid w:val="15014ACB"/>
    <w:multiLevelType w:val="hybridMultilevel"/>
    <w:lvl w:ilvl="0">
      <w:lvlJc w:val="left"/>
      <w:lvlText w:val="(%1)"/>
      <w:numFmt w:val="lowerRoman"/>
      <w:start w:val="2"/>
    </w:lvl>
  </w:abstractNum>
  <w:abstractNum w:abstractNumId="43">
    <w:nsid w:val="5F5E7FD0"/>
    <w:multiLevelType w:val="hybridMultilevel"/>
    <w:lvl w:ilvl="0">
      <w:lvlJc w:val="left"/>
      <w:lvlText w:val="(%1)"/>
      <w:numFmt w:val="decimal"/>
      <w:start w:val="1"/>
    </w:lvl>
  </w:abstractNum>
  <w:abstractNum w:abstractNumId="44">
    <w:nsid w:val="98A3148"/>
    <w:multiLevelType w:val="hybridMultilevel"/>
    <w:lvl w:ilvl="0">
      <w:lvlJc w:val="left"/>
      <w:lvlText w:val="%1."/>
      <w:numFmt w:val="decimal"/>
      <w:start w:val="606"/>
    </w:lvl>
  </w:abstractNum>
  <w:abstractNum w:abstractNumId="45">
    <w:nsid w:val="799D0247"/>
    <w:multiLevelType w:val="hybridMultilevel"/>
    <w:lvl w:ilvl="0">
      <w:lvlJc w:val="left"/>
      <w:lvlText w:val="•"/>
      <w:numFmt w:val="bullet"/>
      <w:start w:val="1"/>
    </w:lvl>
  </w:abstractNum>
  <w:abstractNum w:abstractNumId="46">
    <w:nsid w:val="6B94764"/>
    <w:multiLevelType w:val="hybridMultilevel"/>
    <w:lvl w:ilvl="0">
      <w:lvlJc w:val="left"/>
      <w:lvlText w:val="(%1)"/>
      <w:numFmt w:val="decimal"/>
      <w:start w:val="1"/>
    </w:lvl>
  </w:abstractNum>
  <w:abstractNum w:abstractNumId="47">
    <w:nsid w:val="42C296BD"/>
    <w:multiLevelType w:val="hybridMultilevel"/>
    <w:lvl w:ilvl="0">
      <w:lvlJc w:val="left"/>
      <w:lvlText w:val="(%1)"/>
      <w:numFmt w:val="decimal"/>
      <w:start w:val="1"/>
    </w:lvl>
  </w:abstractNum>
  <w:abstractNum w:abstractNumId="48">
    <w:nsid w:val="168E121F"/>
    <w:multiLevelType w:val="hybridMultilevel"/>
    <w:lvl w:ilvl="0">
      <w:lvlJc w:val="left"/>
      <w:lvlText w:val="(%1)"/>
      <w:numFmt w:val="decimal"/>
      <w:start w:val="1"/>
    </w:lvl>
  </w:abstractNum>
  <w:abstractNum w:abstractNumId="49">
    <w:nsid w:val="1EBA5D23"/>
    <w:multiLevelType w:val="hybridMultilevel"/>
    <w:lvl w:ilvl="0">
      <w:lvlJc w:val="left"/>
      <w:lvlText w:val="(%1)"/>
      <w:numFmt w:val="decimal"/>
      <w:start w:val="2"/>
    </w:lvl>
  </w:abstractNum>
  <w:abstractNum w:abstractNumId="50">
    <w:nsid w:val="661E3F1E"/>
    <w:multiLevelType w:val="hybridMultilevel"/>
    <w:lvl w:ilvl="0">
      <w:lvlJc w:val="left"/>
      <w:lvlText w:val="(%1)"/>
      <w:numFmt w:val="decimal"/>
      <w:start w:val="1"/>
    </w:lvl>
  </w:abstractNum>
  <w:abstractNum w:abstractNumId="51">
    <w:nsid w:val="5DC79EA8"/>
    <w:multiLevelType w:val="hybridMultilevel"/>
    <w:lvl w:ilvl="0">
      <w:lvlJc w:val="left"/>
      <w:lvlText w:val="(%1)"/>
      <w:numFmt w:val="decimal"/>
      <w:start w:val="1"/>
    </w:lvl>
  </w:abstractNum>
  <w:abstractNum w:abstractNumId="52">
    <w:nsid w:val="540A471C"/>
    <w:multiLevelType w:val="hybridMultilevel"/>
    <w:lvl w:ilvl="0">
      <w:lvlJc w:val="left"/>
      <w:lvlText w:val="(%1)"/>
      <w:numFmt w:val="decimal"/>
      <w:start w:val="1"/>
    </w:lvl>
  </w:abstractNum>
  <w:abstractNum w:abstractNumId="53">
    <w:nsid w:val="7BD3EE7B"/>
    <w:multiLevelType w:val="hybridMultilevel"/>
    <w:lvl w:ilvl="0">
      <w:lvlJc w:val="left"/>
      <w:lvlText w:val="(%1)"/>
      <w:numFmt w:val="decimal"/>
      <w:start w:val="1"/>
    </w:lvl>
  </w:abstractNum>
  <w:abstractNum w:abstractNumId="54">
    <w:nsid w:val="51D9C564"/>
    <w:multiLevelType w:val="hybridMultilevel"/>
    <w:lvl w:ilvl="0">
      <w:lvlJc w:val="left"/>
      <w:lvlText w:val="(%1)"/>
      <w:numFmt w:val="decimal"/>
      <w:start w:val="1"/>
    </w:lvl>
  </w:abstractNum>
  <w:abstractNum w:abstractNumId="55">
    <w:nsid w:val="613EFDC5"/>
    <w:multiLevelType w:val="hybridMultilevel"/>
    <w:lvl w:ilvl="0">
      <w:lvlJc w:val="left"/>
      <w:lvlText w:val="(%1)"/>
      <w:numFmt w:val="decimal"/>
      <w:start w:val="1"/>
    </w:lvl>
  </w:abstractNum>
  <w:abstractNum w:abstractNumId="56">
    <w:nsid w:val="BF72B14"/>
    <w:multiLevelType w:val="hybridMultilevel"/>
    <w:lvl w:ilvl="0">
      <w:lvlJc w:val="left"/>
      <w:lvlText w:val="(%1)"/>
      <w:numFmt w:val="decimal"/>
      <w:start w:val="1"/>
    </w:lvl>
  </w:abstractNum>
  <w:abstractNum w:abstractNumId="57">
    <w:nsid w:val="11447B73"/>
    <w:multiLevelType w:val="hybridMultilevel"/>
    <w:lvl w:ilvl="0">
      <w:lvlJc w:val="left"/>
      <w:lvlText w:val="(%1)"/>
      <w:numFmt w:val="decimal"/>
      <w:start w:val="1"/>
    </w:lvl>
  </w:abstractNum>
  <w:abstractNum w:abstractNumId="58">
    <w:nsid w:val="42963E5A"/>
    <w:multiLevelType w:val="hybridMultilevel"/>
    <w:lvl w:ilvl="0">
      <w:lvlJc w:val="left"/>
      <w:lvlText w:val="(%1)"/>
      <w:numFmt w:val="decimal"/>
      <w:start w:val="1"/>
    </w:lvl>
  </w:abstractNum>
  <w:abstractNum w:abstractNumId="59">
    <w:nsid w:val="A0382C5"/>
    <w:multiLevelType w:val="hybridMultilevel"/>
    <w:lvl w:ilvl="0">
      <w:lvlJc w:val="left"/>
      <w:lvlText w:val="(%1)"/>
      <w:numFmt w:val="decimal"/>
      <w:start w:val="1"/>
    </w:lvl>
  </w:abstractNum>
  <w:abstractNum w:abstractNumId="60">
    <w:nsid w:val="8F2B15E"/>
    <w:multiLevelType w:val="hybridMultilevel"/>
    <w:lvl w:ilvl="0">
      <w:lvlJc w:val="left"/>
      <w:lvlText w:val="•"/>
      <w:numFmt w:val="bullet"/>
      <w:start w:val="1"/>
    </w:lvl>
  </w:abstractNum>
  <w:abstractNum w:abstractNumId="61">
    <w:nsid w:val="1A32234B"/>
    <w:multiLevelType w:val="hybridMultilevel"/>
    <w:lvl w:ilvl="0">
      <w:lvlJc w:val="left"/>
      <w:lvlText w:val="(%1)"/>
      <w:numFmt w:val="decimal"/>
      <w:start w:val="1"/>
    </w:lvl>
  </w:abstractNum>
  <w:abstractNum w:abstractNumId="62">
    <w:nsid w:val="3B0FD379"/>
    <w:multiLevelType w:val="hybridMultilevel"/>
    <w:lvl w:ilvl="0">
      <w:lvlJc w:val="left"/>
      <w:lvlText w:val="(%1)"/>
      <w:numFmt w:val="decimal"/>
      <w:start w:val="1"/>
    </w:lvl>
  </w:abstractNum>
  <w:abstractNum w:abstractNumId="63">
    <w:nsid w:val="68EB2F63"/>
    <w:multiLevelType w:val="hybridMultilevel"/>
    <w:lvl w:ilvl="0">
      <w:lvlJc w:val="left"/>
      <w:lvlText w:val="(%1)"/>
      <w:numFmt w:val="decimal"/>
      <w:start w:val="1"/>
    </w:lvl>
  </w:abstractNum>
  <w:abstractNum w:abstractNumId="64">
    <w:nsid w:val="4962813B"/>
    <w:multiLevelType w:val="hybridMultilevel"/>
    <w:lvl w:ilvl="0">
      <w:lvlJc w:val="left"/>
      <w:lvlText w:val="(%1)"/>
      <w:numFmt w:val="decimal"/>
      <w:start w:val="1"/>
    </w:lvl>
  </w:abstractNum>
  <w:abstractNum w:abstractNumId="65">
    <w:nsid w:val="60B6DF70"/>
    <w:multiLevelType w:val="hybridMultilevel"/>
    <w:lvl w:ilvl="0">
      <w:lvlJc w:val="left"/>
      <w:lvlText w:val="(%1)"/>
      <w:numFmt w:val="decimal"/>
      <w:start w:val="1"/>
    </w:lvl>
  </w:abstractNum>
  <w:abstractNum w:abstractNumId="66">
    <w:nsid w:val="6A5EE64"/>
    <w:multiLevelType w:val="hybridMultilevel"/>
    <w:lvl w:ilvl="0">
      <w:lvlJc w:val="left"/>
      <w:lvlText w:val="(%1)"/>
      <w:numFmt w:val="decimal"/>
      <w:start w:val="1"/>
    </w:lvl>
  </w:abstractNum>
  <w:abstractNum w:abstractNumId="67">
    <w:nsid w:val="14330624"/>
    <w:multiLevelType w:val="hybridMultilevel"/>
    <w:lvl w:ilvl="0">
      <w:lvlJc w:val="left"/>
      <w:lvlText w:val="(%1)"/>
      <w:numFmt w:val="decimal"/>
      <w:start w:val="1"/>
    </w:lvl>
  </w:abstractNum>
  <w:abstractNum w:abstractNumId="68">
    <w:nsid w:val="7FFFCA11"/>
    <w:multiLevelType w:val="hybridMultilevel"/>
    <w:lvl w:ilvl="0">
      <w:lvlJc w:val="left"/>
      <w:lvlText w:val="(%1)"/>
      <w:numFmt w:val="decimal"/>
      <w:start w:val="1"/>
    </w:lvl>
  </w:abstractNum>
  <w:abstractNum w:abstractNumId="69">
    <w:nsid w:val="1A27709E"/>
    <w:multiLevelType w:val="hybridMultilevel"/>
    <w:lvl w:ilvl="0">
      <w:lvlJc w:val="left"/>
      <w:lvlText w:val="(%1)"/>
      <w:numFmt w:val="decimal"/>
      <w:start w:val="1"/>
    </w:lvl>
  </w:abstractNum>
  <w:abstractNum w:abstractNumId="70">
    <w:nsid w:val="71EA1109"/>
    <w:multiLevelType w:val="hybridMultilevel"/>
    <w:lvl w:ilvl="0">
      <w:lvlJc w:val="left"/>
      <w:lvlText w:val="(%1)"/>
      <w:numFmt w:val="decimal"/>
      <w:start w:val="1"/>
    </w:lvl>
  </w:abstractNum>
  <w:abstractNum w:abstractNumId="71">
    <w:nsid w:val="100F59DC"/>
    <w:multiLevelType w:val="hybridMultilevel"/>
    <w:lvl w:ilvl="0">
      <w:lvlJc w:val="left"/>
      <w:lvlText w:val="(%1)"/>
      <w:numFmt w:val="decimal"/>
      <w:start w:val="1"/>
    </w:lvl>
  </w:abstractNum>
  <w:abstractNum w:abstractNumId="72">
    <w:nsid w:val="7FB7E0AA"/>
    <w:multiLevelType w:val="hybridMultilevel"/>
    <w:lvl w:ilvl="0">
      <w:lvlJc w:val="left"/>
      <w:lvlText w:val="(%1)"/>
      <w:numFmt w:val="decimal"/>
      <w:start w:val="1"/>
    </w:lvl>
  </w:abstractNum>
  <w:abstractNum w:abstractNumId="73">
    <w:nsid w:val="6EB5BD4"/>
    <w:multiLevelType w:val="hybridMultilevel"/>
    <w:lvl w:ilvl="0">
      <w:lvlJc w:val="left"/>
      <w:lvlText w:val="(%1)"/>
      <w:numFmt w:val="decimal"/>
      <w:start w:val="1"/>
    </w:lvl>
  </w:abstractNum>
  <w:abstractNum w:abstractNumId="74">
    <w:nsid w:val="6F6DD9AC"/>
    <w:multiLevelType w:val="hybridMultilevel"/>
    <w:lvl w:ilvl="0">
      <w:lvlJc w:val="left"/>
      <w:lvlText w:val="(%1)"/>
      <w:numFmt w:val="decimal"/>
      <w:start w:val="1"/>
    </w:lvl>
  </w:abstractNum>
  <w:abstractNum w:abstractNumId="75">
    <w:nsid w:val="94211F2"/>
    <w:multiLevelType w:val="hybridMultilevel"/>
    <w:lvl w:ilvl="0">
      <w:lvlJc w:val="left"/>
      <w:lvlText w:val="%1"/>
      <w:numFmt w:val="decimal"/>
      <w:start w:val="14"/>
    </w:lvl>
  </w:abstractNum>
  <w:abstractNum w:abstractNumId="76">
    <w:nsid w:val="885E1B"/>
    <w:multiLevelType w:val="hybridMultilevel"/>
    <w:lvl w:ilvl="0">
      <w:lvlJc w:val="left"/>
      <w:lvlText w:val="%1"/>
      <w:numFmt w:val="decimal"/>
      <w:start w:val="19"/>
    </w:lvl>
  </w:abstractNum>
  <w:abstractNum w:abstractNumId="77">
    <w:nsid w:val="76272110"/>
    <w:multiLevelType w:val="hybridMultilevel"/>
    <w:lvl w:ilvl="0">
      <w:lvlJc w:val="left"/>
      <w:lvlText w:val="%1"/>
      <w:numFmt w:val="decimal"/>
      <w:start w:val="21"/>
    </w:lvl>
  </w:abstractNum>
  <w:abstractNum w:abstractNumId="78">
    <w:nsid w:val="4C04A8AF"/>
    <w:multiLevelType w:val="hybridMultilevel"/>
    <w:lvl w:ilvl="0">
      <w:lvlJc w:val="left"/>
      <w:lvlText w:val="%1"/>
      <w:numFmt w:val="decimal"/>
      <w:start w:val="23"/>
    </w:lvl>
  </w:abstractNum>
  <w:abstractNum w:abstractNumId="79">
    <w:nsid w:val="1716703B"/>
    <w:multiLevelType w:val="hybridMultilevel"/>
    <w:lvl w:ilvl="0">
      <w:lvlJc w:val="left"/>
      <w:lvlText w:val="%1"/>
      <w:numFmt w:val="decimal"/>
      <w:start w:val="97"/>
    </w:lvl>
  </w:abstractNum>
  <w:abstractNum w:abstractNumId="80">
    <w:nsid w:val="14E17E33"/>
    <w:multiLevelType w:val="hybridMultilevel"/>
    <w:lvl w:ilvl="0">
      <w:lvlJc w:val="left"/>
      <w:lvlText w:val="%1."/>
      <w:numFmt w:val="decimal"/>
      <w:start w:val="1"/>
    </w:lvl>
    <w:lvl w:ilvl="1">
      <w:lvlJc w:val="left"/>
      <w:lvlText w:val="•"/>
      <w:numFmt w:val="bullet"/>
      <w:start w:val="1"/>
    </w:lvl>
  </w:abstractNum>
  <w:abstractNum w:abstractNumId="81">
    <w:nsid w:val="3222E7CD"/>
    <w:multiLevelType w:val="hybridMultilevel"/>
    <w:lvl w:ilvl="0">
      <w:lvlJc w:val="left"/>
      <w:lvlText w:val="%1."/>
      <w:numFmt w:val="decimal"/>
      <w:start w:val="10"/>
    </w:lvl>
  </w:abstractNum>
  <w:abstractNum w:abstractNumId="82">
    <w:nsid w:val="74DE0EE3"/>
    <w:multiLevelType w:val="hybridMultilevel"/>
    <w:lvl w:ilvl="0">
      <w:lvlJc w:val="left"/>
      <w:lvlText w:val="•"/>
      <w:numFmt w:val="bullet"/>
      <w:start w:val="1"/>
    </w:lvl>
  </w:abstractNum>
  <w:abstractNum w:abstractNumId="83">
    <w:nsid w:val="68EBC550"/>
    <w:multiLevelType w:val="hybridMultilevel"/>
    <w:lvl w:ilvl="0">
      <w:lvlJc w:val="left"/>
      <w:lvlText w:val="•"/>
      <w:numFmt w:val="bullet"/>
      <w:start w:val="1"/>
    </w:lvl>
  </w:abstractNum>
  <w:abstractNum w:abstractNumId="84">
    <w:nsid w:val="2DF6D648"/>
    <w:multiLevelType w:val="hybridMultilevel"/>
    <w:lvl w:ilvl="0">
      <w:lvlJc w:val="left"/>
      <w:lvlText w:val="•"/>
      <w:numFmt w:val="bullet"/>
      <w:start w:val="1"/>
    </w:lvl>
  </w:abstractNum>
  <w:abstractNum w:abstractNumId="85">
    <w:nsid w:val="46B7D447"/>
    <w:multiLevelType w:val="hybridMultilevel"/>
    <w:lvl w:ilvl="0">
      <w:lvlJc w:val="left"/>
      <w:lvlText w:val="•"/>
      <w:numFmt w:val="bullet"/>
      <w:start w:val="1"/>
    </w:lvl>
  </w:abstractNum>
  <w:abstractNum w:abstractNumId="86">
    <w:nsid w:val="4A2AC315"/>
    <w:multiLevelType w:val="hybridMultilevel"/>
    <w:lvl w:ilvl="0">
      <w:lvlJc w:val="left"/>
      <w:lvlText w:val="%1."/>
      <w:numFmt w:val="decimal"/>
      <w:start w:val="1"/>
    </w:lvl>
  </w:abstractNum>
  <w:abstractNum w:abstractNumId="87">
    <w:nsid w:val="39EE015C"/>
    <w:multiLevelType w:val="hybridMultilevel"/>
    <w:lvl w:ilvl="0">
      <w:lvlJc w:val="left"/>
      <w:lvlText w:val="%1."/>
      <w:numFmt w:val="decimal"/>
      <w:start w:val="1"/>
    </w:lvl>
    <w:lvl w:ilvl="1">
      <w:lvlJc w:val="left"/>
      <w:lvlText w:val="•"/>
      <w:numFmt w:val="bullet"/>
      <w:start w:val="1"/>
    </w:lvl>
  </w:abstractNum>
  <w:abstractNum w:abstractNumId="88">
    <w:nsid w:val="57FC4FBB"/>
    <w:multiLevelType w:val="hybridMultilevel"/>
    <w:lvl w:ilvl="0">
      <w:lvlJc w:val="left"/>
      <w:lvlText w:val="•"/>
      <w:numFmt w:val="bullet"/>
      <w:start w:val="1"/>
    </w:lvl>
  </w:abstractNum>
  <w:abstractNum w:abstractNumId="89">
    <w:nsid w:val="CC1016F"/>
    <w:multiLevelType w:val="hybridMultilevel"/>
    <w:lvl w:ilvl="0">
      <w:lvlJc w:val="left"/>
      <w:lvlText w:val="(%1)"/>
      <w:numFmt w:val="decimal"/>
      <w:start w:val="1"/>
    </w:lvl>
  </w:abstractNum>
  <w:abstractNum w:abstractNumId="90">
    <w:nsid w:val="43F18422"/>
    <w:multiLevelType w:val="hybridMultilevel"/>
    <w:lvl w:ilvl="0">
      <w:lvlJc w:val="left"/>
      <w:lvlText w:val="%1."/>
      <w:numFmt w:val="decimal"/>
      <w:start w:val="1"/>
    </w:lvl>
    <w:lvl w:ilvl="1">
      <w:lvlJc w:val="left"/>
      <w:lvlText w:val="(%2)"/>
      <w:numFmt w:val="lowerLetter"/>
      <w:start w:val="1"/>
    </w:lvl>
  </w:abstractNum>
  <w:abstractNum w:abstractNumId="91">
    <w:nsid w:val="60EF0119"/>
    <w:multiLevelType w:val="hybridMultilevel"/>
    <w:lvl w:ilvl="0">
      <w:lvlJc w:val="left"/>
      <w:lvlText w:val="%1."/>
      <w:numFmt w:val="decimal"/>
      <w:start w:val="1"/>
    </w:lvl>
    <w:lvl w:ilvl="1">
      <w:lvlJc w:val="left"/>
      <w:lvlText w:val="(%2)"/>
      <w:numFmt w:val="lowerLetter"/>
      <w:start w:val="1"/>
    </w:lvl>
  </w:abstractNum>
  <w:abstractNum w:abstractNumId="92">
    <w:nsid w:val="26F324BA"/>
    <w:multiLevelType w:val="hybridMultilevel"/>
    <w:lvl w:ilvl="0">
      <w:lvlJc w:val="left"/>
      <w:lvlText w:val="%1."/>
      <w:numFmt w:val="decimal"/>
      <w:start w:val="1"/>
    </w:lvl>
    <w:lvl w:ilvl="1">
      <w:lvlJc w:val="left"/>
      <w:lvlText w:val="(%2)"/>
      <w:numFmt w:val="lowerLetter"/>
      <w:start w:val="1"/>
    </w:lvl>
  </w:abstractNum>
  <w:abstractNum w:abstractNumId="93">
    <w:nsid w:val="7F01579B"/>
    <w:multiLevelType w:val="hybridMultilevel"/>
    <w:lvl w:ilvl="0">
      <w:lvlJc w:val="left"/>
      <w:lvlText w:val="(%1)"/>
      <w:numFmt w:val="lowerRoman"/>
      <w:start w:val="1"/>
    </w:lvl>
  </w:abstractNum>
  <w:abstractNum w:abstractNumId="94">
    <w:nsid w:val="49DA307D"/>
    <w:multiLevelType w:val="hybridMultilevel"/>
    <w:lvl w:ilvl="0">
      <w:lvlJc w:val="left"/>
      <w:lvlText w:val="(%1)"/>
      <w:numFmt w:val="lowerRoman"/>
      <w:start w:val="1"/>
    </w:lvl>
  </w:abstractNum>
  <w:abstractNum w:abstractNumId="95">
    <w:nsid w:val="7055A5F5"/>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67" Type="http://schemas.openxmlformats.org/officeDocument/2006/relationships/image" Target="media/image244.png"/><Relationship Id="rId268" Type="http://schemas.openxmlformats.org/officeDocument/2006/relationships/image" Target="media/image245.png"/><Relationship Id="rId269" Type="http://schemas.openxmlformats.org/officeDocument/2006/relationships/image" Target="media/image246.png"/><Relationship Id="rId270" Type="http://schemas.openxmlformats.org/officeDocument/2006/relationships/image" Target="media/image247.png"/><Relationship Id="rId271" Type="http://schemas.openxmlformats.org/officeDocument/2006/relationships/image" Target="media/image248.png"/><Relationship Id="rId272" Type="http://schemas.openxmlformats.org/officeDocument/2006/relationships/image" Target="media/image249.png"/><Relationship Id="rId273" Type="http://schemas.openxmlformats.org/officeDocument/2006/relationships/image" Target="media/image250.jpeg"/><Relationship Id="rId274" Type="http://schemas.openxmlformats.org/officeDocument/2006/relationships/image" Target="media/image251.png"/><Relationship Id="rId275" Type="http://schemas.openxmlformats.org/officeDocument/2006/relationships/image" Target="media/image252.png"/><Relationship Id="rId276" Type="http://schemas.openxmlformats.org/officeDocument/2006/relationships/image" Target="media/image253.png"/><Relationship Id="rId277" Type="http://schemas.openxmlformats.org/officeDocument/2006/relationships/image" Target="media/image254.png"/><Relationship Id="rId278" Type="http://schemas.openxmlformats.org/officeDocument/2006/relationships/image" Target="media/image255.png"/><Relationship Id="rId279" Type="http://schemas.openxmlformats.org/officeDocument/2006/relationships/image" Target="media/image256.png"/><Relationship Id="rId251" Type="http://schemas.openxmlformats.org/officeDocument/2006/relationships/hyperlink" Target="https://www.sec.gov/Archives/edgar/data/34088/000003408816000065/xomexhibit3i.htm" TargetMode="External"/><Relationship Id="rId252" Type="http://schemas.openxmlformats.org/officeDocument/2006/relationships/hyperlink" Target="https://www.sec.gov/Archives/edgar/data/34088/000003408822000060/xomexhibit3ii-20221025.htm" TargetMode="External"/><Relationship Id="rId253" Type="http://schemas.openxmlformats.org/officeDocument/2006/relationships/hyperlink" Target="https://www.sec.gov/Archives/edgar/data/34088/000003408820000016/xomexhibit4vi.htm" TargetMode="External"/><Relationship Id="rId254" Type="http://schemas.openxmlformats.org/officeDocument/2006/relationships/hyperlink" Target="https://www.sec.gov/Archives/edgar/data/34088/000003408818000015/xomexhibit10iiia1.htm" TargetMode="External"/><Relationship Id="rId255" Type="http://schemas.openxmlformats.org/officeDocument/2006/relationships/hyperlink" Target="https://www.sec.gov/Archives/edgar/data/34088/000003408817000017/xomexhibit10iiia2.htm" TargetMode="External"/><Relationship Id="rId256" Type="http://schemas.openxmlformats.org/officeDocument/2006/relationships/hyperlink" Target="https://www.sec.gov/Archives/edgar/data/34088/000003408824000018/xomexhibit10iiib1123123.htm" TargetMode="External"/><Relationship Id="rId257" Type="http://schemas.openxmlformats.org/officeDocument/2006/relationships/hyperlink" Target="https://www.sec.gov/Archives/edgar/data/34088/000003408820000016/xomexhibit10iiib2.htm" TargetMode="External"/><Relationship Id="rId258" Type="http://schemas.openxmlformats.org/officeDocument/2006/relationships/hyperlink" Target="https://www.sec.gov/Archives/edgar/data/34088/000003408821000069/xomexhibit99111232021.htm" TargetMode="External"/><Relationship Id="rId259" Type="http://schemas.openxmlformats.org/officeDocument/2006/relationships/hyperlink" Target="https://www.sec.gov/Archives/edgar/data/34088/000003408823000020/xomexhibit10iiic1123122.htm" TargetMode="External"/><Relationship Id="rId260" Type="http://schemas.openxmlformats.org/officeDocument/2006/relationships/hyperlink" Target="https://www.sec.gov/Archives/edgar/data/34088/000003408823000020/xomexhibit10iiic2123122.htm" TargetMode="External"/><Relationship Id="rId261" Type="http://schemas.openxmlformats.org/officeDocument/2006/relationships/hyperlink" Target="https://www.sec.gov/Archives/edgar/data/34088/000003408824000018/xomexhibit10iiic3123123.htm" TargetMode="External"/><Relationship Id="rId262" Type="http://schemas.openxmlformats.org/officeDocument/2006/relationships/hyperlink" Target="https://www.sec.gov/Archives/edgar/data/34088/000003408817000017/xomexhibit10iiid.htm" TargetMode="External"/><Relationship Id="rId263" Type="http://schemas.openxmlformats.org/officeDocument/2006/relationships/hyperlink" Target="https://www.sec.gov/Archives/edgar/data/34088/000003408819000010/xomexhibit10iiif1.htm" TargetMode="External"/><Relationship Id="rId264" Type="http://schemas.openxmlformats.org/officeDocument/2006/relationships/hyperlink" Target="https://www.sec.gov/Archives/edgar/data/34088/000003408817000017/xomexhibit10iiif2.htm" TargetMode="External"/><Relationship Id="rId265" Type="http://schemas.openxmlformats.org/officeDocument/2006/relationships/hyperlink" Target="https://www.sec.gov/Archives/edgar/data/34088/000003408824000068/exhibit10iiif4110424.htm" TargetMode="External"/><Relationship Id="rId266" Type="http://schemas.openxmlformats.org/officeDocument/2006/relationships/hyperlink" Target="https://www.sec.gov/Archives/edgar/data/34088/000003408823000056/xomexhibit10iiig0930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2025-02-19T16:10:15Z</dcterms:created>
  <dcterms:modified xsi:type="dcterms:W3CDTF">2025-02-19T16:10:15Z</dcterms:modified>
</cp:coreProperties>
</file>