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7,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920" w:type="dxa"/>
            <w:vAlign w:val="bottom"/>
          </w:tcPr>
          <w:p>
            <w:pPr>
              <w:jc w:val="center"/>
              <w:ind w:right="5"/>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3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920" w:type="dxa"/>
            <w:vAlign w:val="bottom"/>
          </w:tcPr>
          <w:p>
            <w:pPr>
              <w:jc w:val="center"/>
              <w:ind w:right="5"/>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920" w:type="dxa"/>
            <w:vAlign w:val="bottom"/>
          </w:tcPr>
          <w:p>
            <w:pPr>
              <w:jc w:val="center"/>
              <w:ind w:right="5"/>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3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7"/>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1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97"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4Q24 Earnings Considerations.</w:t>
            </w:r>
          </w:p>
        </w:tc>
      </w:tr>
      <w:tr>
        <w:trPr>
          <w:trHeight w:val="539"/>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January 7,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40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9"/>
          <w:szCs w:val="19"/>
          <w:color w:val="auto"/>
        </w:rPr>
        <w:t>Vice President, Controller and Tax</w:t>
      </w:r>
    </w:p>
    <w:p>
      <w:pPr>
        <w:spacing w:after="0" w:line="3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4Q 2024 Earnings Considerations</w:t>
      </w:r>
    </w:p>
    <w:p>
      <w:pPr>
        <w:spacing w:after="0" w:line="24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To give perspective regarding market and planned factors affecting 4Q 2024 results, we are providing the following summary of items management believes will impact 4Q 2024 results relative to 3Q 2024 results. These factors are generally limited to significant planned activities, market dynamics, and seasonal demand patterns. This is only intended to provide information regarding current estimates of these factors. It is not comprehensive of all changes between 3Q 2024 and 4Q 2024 results and is not an estimate of 4Q 2024 earnings for the Corporation. For example, the table below does not reflect operating performance; ongoing improvement initiatives; impacts from the seasonality of base operating expenses; unscheduled downtime; or foreign exchange fluctuation, among other factors. Further, this list may not account for all adjustments and charges required to fully reflect the changes in industry conditions and are subject to finalization of the Corporation’s financial reporting process for 4Q 2024.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640" w:type="dxa"/>
            <w:vAlign w:val="bottom"/>
            <w:vMerge w:val="restart"/>
          </w:tcPr>
          <w:p>
            <w:pPr>
              <w:ind w:left="520"/>
              <w:spacing w:after="0"/>
              <w:rPr>
                <w:sz w:val="20"/>
                <w:szCs w:val="20"/>
                <w:color w:val="auto"/>
              </w:rPr>
            </w:pPr>
            <w:r>
              <w:rPr>
                <w:rFonts w:ascii="Arial" w:cs="Arial" w:eastAsia="Arial" w:hAnsi="Arial"/>
                <w:sz w:val="20"/>
                <w:szCs w:val="20"/>
                <w:b w:val="1"/>
                <w:bCs w:val="1"/>
                <w:color w:val="auto"/>
              </w:rPr>
              <w:t>Upstream</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7"/>
              </w:rPr>
              <w:t>Energy</w:t>
            </w:r>
          </w:p>
        </w:tc>
        <w:tc>
          <w:tcPr>
            <w:tcW w:w="1300" w:type="dxa"/>
            <w:vAlign w:val="bottom"/>
          </w:tcPr>
          <w:p>
            <w:pPr>
              <w:ind w:left="220"/>
              <w:spacing w:after="0"/>
              <w:rPr>
                <w:sz w:val="20"/>
                <w:szCs w:val="20"/>
                <w:color w:val="auto"/>
              </w:rPr>
            </w:pPr>
            <w:r>
              <w:rPr>
                <w:rFonts w:ascii="Arial" w:cs="Arial" w:eastAsia="Arial" w:hAnsi="Arial"/>
                <w:sz w:val="20"/>
                <w:szCs w:val="20"/>
                <w:b w:val="1"/>
                <w:bCs w:val="1"/>
                <w:color w:val="auto"/>
              </w:rPr>
              <w:t>Chemical</w:t>
            </w:r>
          </w:p>
        </w:tc>
        <w:tc>
          <w:tcPr>
            <w:tcW w:w="1240" w:type="dxa"/>
            <w:vAlign w:val="bottom"/>
          </w:tcPr>
          <w:p>
            <w:pPr>
              <w:ind w:left="200"/>
              <w:spacing w:after="0"/>
              <w:rPr>
                <w:sz w:val="20"/>
                <w:szCs w:val="20"/>
                <w:color w:val="auto"/>
              </w:rPr>
            </w:pPr>
            <w:r>
              <w:rPr>
                <w:rFonts w:ascii="Arial" w:cs="Arial" w:eastAsia="Arial" w:hAnsi="Arial"/>
                <w:sz w:val="20"/>
                <w:szCs w:val="20"/>
                <w:b w:val="1"/>
                <w:bCs w:val="1"/>
                <w:color w:val="auto"/>
              </w:rPr>
              <w:t>Specialty</w:t>
            </w:r>
          </w:p>
        </w:tc>
        <w:tc>
          <w:tcPr>
            <w:tcW w:w="134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Corp &amp; Fin</w:t>
            </w:r>
          </w:p>
        </w:tc>
        <w:tc>
          <w:tcPr>
            <w:tcW w:w="86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65"/>
        </w:trPr>
        <w:tc>
          <w:tcPr>
            <w:tcW w:w="36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300" w:type="dxa"/>
            <w:vAlign w:val="bottom"/>
            <w:vMerge w:val="restart"/>
          </w:tcPr>
          <w:p>
            <w:pPr>
              <w:ind w:left="240"/>
              <w:spacing w:after="0"/>
              <w:rPr>
                <w:sz w:val="20"/>
                <w:szCs w:val="20"/>
                <w:color w:val="auto"/>
              </w:rPr>
            </w:pPr>
            <w:r>
              <w:rPr>
                <w:rFonts w:ascii="Arial" w:cs="Arial" w:eastAsia="Arial" w:hAnsi="Arial"/>
                <w:sz w:val="20"/>
                <w:szCs w:val="20"/>
                <w:b w:val="1"/>
                <w:bCs w:val="1"/>
                <w:color w:val="auto"/>
              </w:rPr>
              <w:t>Products</w:t>
            </w:r>
          </w:p>
        </w:tc>
        <w:tc>
          <w:tcPr>
            <w:tcW w:w="1240" w:type="dxa"/>
            <w:vAlign w:val="bottom"/>
            <w:vMerge w:val="restart"/>
          </w:tcPr>
          <w:p>
            <w:pPr>
              <w:ind w:left="200"/>
              <w:spacing w:after="0"/>
              <w:rPr>
                <w:sz w:val="20"/>
                <w:szCs w:val="20"/>
                <w:color w:val="auto"/>
              </w:rPr>
            </w:pPr>
            <w:r>
              <w:rPr>
                <w:rFonts w:ascii="Arial" w:cs="Arial" w:eastAsia="Arial" w:hAnsi="Arial"/>
                <w:sz w:val="20"/>
                <w:szCs w:val="20"/>
                <w:b w:val="1"/>
                <w:bCs w:val="1"/>
                <w:color w:val="auto"/>
              </w:rPr>
              <w:t>Products</w:t>
            </w:r>
          </w:p>
        </w:tc>
        <w:tc>
          <w:tcPr>
            <w:tcW w:w="13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3Q24 earnings (loss), U.S. GAAP</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93"/>
              </w:rPr>
              <w:t>6.2</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1.3</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0.9</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0.8</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3"/>
              </w:rPr>
              <w:t>8.6</w:t>
            </w:r>
          </w:p>
        </w:tc>
        <w:tc>
          <w:tcPr>
            <w:tcW w:w="0" w:type="dxa"/>
            <w:vAlign w:val="bottom"/>
          </w:tcPr>
          <w:p>
            <w:pPr>
              <w:spacing w:after="0"/>
              <w:rPr>
                <w:sz w:val="1"/>
                <w:szCs w:val="1"/>
                <w:color w:val="auto"/>
              </w:rPr>
            </w:pPr>
          </w:p>
        </w:tc>
      </w:tr>
      <w:tr>
        <w:trPr>
          <w:trHeight w:val="432"/>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3Q24 Identified Items</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89"/>
              </w:rPr>
              <w:t>–</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0" w:type="dxa"/>
            <w:vAlign w:val="bottom"/>
          </w:tcPr>
          <w:p>
            <w:pPr>
              <w:spacing w:after="0"/>
              <w:rPr>
                <w:sz w:val="1"/>
                <w:szCs w:val="1"/>
                <w:color w:val="auto"/>
              </w:rPr>
            </w:pPr>
          </w:p>
        </w:tc>
      </w:tr>
      <w:tr>
        <w:trPr>
          <w:trHeight w:val="375"/>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3Q24 earnings (loss) excluding</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Identified Items (non-GAAP)</w:t>
            </w:r>
          </w:p>
        </w:tc>
        <w:tc>
          <w:tcPr>
            <w:tcW w:w="1640" w:type="dxa"/>
            <w:vAlign w:val="bottom"/>
          </w:tcPr>
          <w:p>
            <w:pPr>
              <w:jc w:val="center"/>
              <w:ind w:left="201"/>
              <w:spacing w:after="0"/>
              <w:rPr>
                <w:sz w:val="20"/>
                <w:szCs w:val="20"/>
                <w:color w:val="auto"/>
              </w:rPr>
            </w:pPr>
            <w:r>
              <w:rPr>
                <w:rFonts w:ascii="Arial" w:cs="Arial" w:eastAsia="Arial" w:hAnsi="Arial"/>
                <w:sz w:val="20"/>
                <w:szCs w:val="20"/>
                <w:b w:val="1"/>
                <w:bCs w:val="1"/>
                <w:color w:val="auto"/>
                <w:w w:val="93"/>
              </w:rPr>
              <w:t>6.2</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1.3</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0.9</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0.8</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3"/>
              </w:rPr>
              <w:t>8.6</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Due to rounding, numbers presented above may not add up precisely to the totals indicated.</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4Q 2024 results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2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liquids prices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97"/>
              </w:rPr>
              <w:t>- (0.5)</w:t>
            </w:r>
          </w:p>
        </w:tc>
        <w:tc>
          <w:tcPr>
            <w:tcW w:w="1300" w:type="dxa"/>
            <w:vAlign w:val="bottom"/>
            <w:tcBorders>
              <w:top w:val="single" w:sz="8" w:color="auto"/>
              <w:bottom w:val="single" w:sz="8" w:color="auto"/>
            </w:tcBorders>
          </w:tcPr>
          <w:p>
            <w:pPr>
              <w:spacing w:after="0"/>
              <w:rPr>
                <w:sz w:val="24"/>
                <w:szCs w:val="24"/>
                <w:color w:val="auto"/>
              </w:rPr>
            </w:pPr>
          </w:p>
        </w:tc>
        <w:tc>
          <w:tcPr>
            <w:tcW w:w="3840" w:type="dxa"/>
            <w:vAlign w:val="bottom"/>
            <w:tcBorders>
              <w:top w:val="single" w:sz="8" w:color="auto"/>
              <w:bottom w:val="single" w:sz="8" w:color="auto"/>
              <w:right w:val="single" w:sz="8" w:color="auto"/>
            </w:tcBorders>
          </w:tcPr>
          <w:p>
            <w:pPr>
              <w:spacing w:after="0"/>
              <w:rPr>
                <w:sz w:val="24"/>
                <w:szCs w:val="24"/>
                <w:color w:val="auto"/>
              </w:rPr>
            </w:pP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gas prices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99"/>
              </w:rPr>
              <w:t>- 0.4</w:t>
            </w:r>
          </w:p>
        </w:tc>
        <w:tc>
          <w:tcPr>
            <w:tcW w:w="1300" w:type="dxa"/>
            <w:vAlign w:val="bottom"/>
            <w:tcBorders>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industry margins</w:t>
            </w: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(0.7) - (0.3)</w:t>
            </w:r>
          </w:p>
        </w:tc>
        <w:tc>
          <w:tcPr>
            <w:tcW w:w="3840" w:type="dxa"/>
            <w:vAlign w:val="bottom"/>
            <w:tcBorders>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(0.5) - (0.3)    (0.1) - 0.1</w:t>
            </w:r>
          </w:p>
        </w:tc>
      </w:tr>
      <w:tr>
        <w:trPr>
          <w:trHeight w:val="277"/>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timing effects</w:t>
            </w:r>
          </w:p>
        </w:tc>
        <w:tc>
          <w:tcPr>
            <w:tcW w:w="196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(0.2) - 0.2</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(0.9) - (0.5)</w:t>
            </w:r>
          </w:p>
        </w:tc>
        <w:tc>
          <w:tcPr>
            <w:tcW w:w="3840" w:type="dxa"/>
            <w:vAlign w:val="bottom"/>
            <w:tcBorders>
              <w:bottom w:val="single" w:sz="8" w:color="auto"/>
              <w:right w:val="single" w:sz="8" w:color="auto"/>
            </w:tcBorders>
          </w:tcPr>
          <w:p>
            <w:pPr>
              <w:spacing w:after="0"/>
              <w:rPr>
                <w:sz w:val="24"/>
                <w:szCs w:val="24"/>
                <w:color w:val="auto"/>
              </w:rPr>
            </w:pPr>
          </w:p>
        </w:tc>
      </w:tr>
    </w:tbl>
    <w:p>
      <w:pPr>
        <w:spacing w:after="0" w:line="26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planned and seasonal factors, and other items impacting 4Q 2024 results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5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1680" w:type="dxa"/>
            <w:vAlign w:val="bottom"/>
            <w:tcBorders>
              <w:top w:val="single" w:sz="8" w:color="auto"/>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rPr>
              <w:t>(0.1) - 0.1</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99"/>
              </w:rPr>
              <w:t>(0.1) - 0.1</w:t>
            </w:r>
          </w:p>
        </w:tc>
        <w:tc>
          <w:tcPr>
            <w:tcW w:w="1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2560" w:type="dxa"/>
            <w:vAlign w:val="bottom"/>
            <w:tcBorders>
              <w:top w:val="single" w:sz="8" w:color="auto"/>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- 0.1</w:t>
            </w:r>
          </w:p>
        </w:tc>
      </w:tr>
      <w:tr>
        <w:trPr>
          <w:trHeight w:val="277"/>
        </w:trPr>
        <w:tc>
          <w:tcPr>
            <w:tcW w:w="3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Year-end inventory effects</w:t>
            </w:r>
          </w:p>
        </w:tc>
        <w:tc>
          <w:tcPr>
            <w:tcW w:w="16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rPr>
              <w:t>(0.1) - 0.1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0.0 - 0.2</w:t>
            </w: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2560" w:type="dxa"/>
            <w:vAlign w:val="bottom"/>
            <w:tcBorders>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- 0.1</w:t>
            </w:r>
          </w:p>
        </w:tc>
      </w:tr>
      <w:tr>
        <w:trPr>
          <w:trHeight w:val="53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Identified Items</w:t>
            </w: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274"/>
        </w:trPr>
        <w:tc>
          <w:tcPr>
            <w:tcW w:w="3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Divestments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- 0.5</w:t>
            </w:r>
          </w:p>
        </w:tc>
        <w:tc>
          <w:tcPr>
            <w:tcW w:w="1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560" w:type="dxa"/>
            <w:vAlign w:val="bottom"/>
            <w:tcBorders>
              <w:bottom w:val="single" w:sz="8" w:color="auto"/>
              <w:right w:val="single" w:sz="8" w:color="auto"/>
            </w:tcBorders>
          </w:tcPr>
          <w:p>
            <w:pPr>
              <w:spacing w:after="0"/>
              <w:rPr>
                <w:sz w:val="23"/>
                <w:szCs w:val="23"/>
                <w:color w:val="auto"/>
              </w:rPr>
            </w:pPr>
          </w:p>
        </w:tc>
      </w:tr>
      <w:tr>
        <w:trPr>
          <w:trHeight w:val="277"/>
        </w:trPr>
        <w:tc>
          <w:tcPr>
            <w:tcW w:w="3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Impairments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(0.2) - 0.0</w:t>
            </w: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(0.2) - 0.0</w:t>
            </w:r>
          </w:p>
        </w:tc>
        <w:tc>
          <w:tcPr>
            <w:tcW w:w="2560" w:type="dxa"/>
            <w:vAlign w:val="bottom"/>
            <w:tcBorders>
              <w:bottom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- 0.0</w:t>
            </w:r>
          </w:p>
        </w:tc>
      </w:tr>
      <w:tr>
        <w:trPr>
          <w:trHeight w:val="277"/>
        </w:trPr>
        <w:tc>
          <w:tcPr>
            <w:tcW w:w="3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Tax-related Items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0.1 - 0.3</w:t>
            </w:r>
          </w:p>
        </w:tc>
        <w:tc>
          <w:tcPr>
            <w:tcW w:w="128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652" w:right="339" w:bottom="1440" w:gutter="0" w:footer="0" w:header="0"/>
          <w:type w:val="continuous"/>
        </w:sectPr>
      </w:pPr>
    </w:p>
    <w:bookmarkStart w:id="5" w:name="page6"/>
    <w:bookmarkEnd w:id="5"/>
    <w:p>
      <w:pPr>
        <w:ind w:right="20"/>
        <w:spacing w:after="0" w:line="249"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4Q 2024 may vary from our estimates for a number of reasons, including additional unidentified factors related to: sales volume and sales mix numbers; supply and demand imbalances including as a result of direct or indirect restrictions on production; regional pricing differentials and refining and chemical margins; forecasts of economic growth; seasonal impacts on product demand and operating expenses; resolution of trading and derivative positions for the quarter; increases in integration benefits or costs of new start-ups or acquisitions; global and regional hostilities, including decoupling of economies, national or regional tariffs, border disputes, nationalizations, war, terrorism, or civil unrest and its impact on markets and our assets around the world;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or independent administrative bureaucracies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4Q 2024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18"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accordance with Regulation FD, we are hereby providing notice the Company currently intends to furnish its 4Q 2024 financial results both (1) by posting them on our website at www.exxonmobil.com and (2) in a filing on Form 8-K in the Securities and Exchange Commission EDGAR system, each at approximately 5:30 a.m. CT Friday, January 31, 2025.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4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2025-01-07T15:56:33Z</dcterms:created>
  <dcterms:modified xsi:type="dcterms:W3CDTF">2025-01-07T15:56:33Z</dcterms:modified>
</cp:coreProperties>
</file>