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4, 2023</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Exxon Mobil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1340" w:type="dxa"/>
        <w:tblCellMar>
          <w:top w:w="0" w:type="dxa"/>
          <w:left w:w="0" w:type="dxa"/>
          <w:bottom w:w="0" w:type="dxa"/>
          <w:right w:w="0" w:type="dxa"/>
        </w:tblCellMar>
      </w:tblPr>
      <w:tr>
        <w:trPr>
          <w:trHeight w:val="280"/>
        </w:trPr>
        <w:tc>
          <w:tcPr>
            <w:tcW w:w="146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7"/>
              </w:rPr>
              <w:t>New Jersey</w:t>
            </w:r>
          </w:p>
        </w:tc>
        <w:tc>
          <w:tcPr>
            <w:tcW w:w="5580" w:type="dxa"/>
            <w:vAlign w:val="bottom"/>
          </w:tcPr>
          <w:p>
            <w:pPr>
              <w:jc w:val="center"/>
              <w:spacing w:after="0"/>
              <w:rPr>
                <w:sz w:val="20"/>
                <w:szCs w:val="20"/>
                <w:color w:val="auto"/>
              </w:rPr>
            </w:pPr>
            <w:r>
              <w:rPr>
                <w:rFonts w:ascii="Arial" w:cs="Arial" w:eastAsia="Arial" w:hAnsi="Arial"/>
                <w:sz w:val="22"/>
                <w:szCs w:val="22"/>
                <w:b w:val="1"/>
                <w:bCs w:val="1"/>
                <w:color w:val="auto"/>
                <w:w w:val="90"/>
              </w:rPr>
              <w:t>1-2256</w:t>
            </w:r>
          </w:p>
        </w:tc>
        <w:tc>
          <w:tcPr>
            <w:tcW w:w="1520" w:type="dxa"/>
            <w:vAlign w:val="bottom"/>
            <w:gridSpan w:val="2"/>
          </w:tcPr>
          <w:p>
            <w:pPr>
              <w:jc w:val="center"/>
              <w:ind w:left="84"/>
              <w:spacing w:after="0"/>
              <w:rPr>
                <w:sz w:val="20"/>
                <w:szCs w:val="20"/>
                <w:color w:val="auto"/>
              </w:rPr>
            </w:pPr>
            <w:r>
              <w:rPr>
                <w:rFonts w:ascii="Arial" w:cs="Arial" w:eastAsia="Arial" w:hAnsi="Arial"/>
                <w:sz w:val="22"/>
                <w:szCs w:val="22"/>
                <w:b w:val="1"/>
                <w:bCs w:val="1"/>
                <w:color w:val="auto"/>
                <w:w w:val="90"/>
              </w:rPr>
              <w:t>13-5409005</w:t>
            </w:r>
          </w:p>
        </w:tc>
      </w:tr>
      <w:tr>
        <w:trPr>
          <w:trHeight w:val="192"/>
        </w:trPr>
        <w:tc>
          <w:tcPr>
            <w:tcW w:w="1460" w:type="dxa"/>
            <w:vAlign w:val="bottom"/>
            <w:gridSpan w:val="2"/>
          </w:tcPr>
          <w:p>
            <w:pPr>
              <w:jc w:val="center"/>
              <w:ind w:right="240"/>
              <w:spacing w:after="0" w:line="192" w:lineRule="exact"/>
              <w:rPr>
                <w:sz w:val="20"/>
                <w:szCs w:val="20"/>
                <w:color w:val="auto"/>
              </w:rPr>
            </w:pPr>
            <w:r>
              <w:rPr>
                <w:rFonts w:ascii="Arial" w:cs="Arial" w:eastAsia="Arial" w:hAnsi="Arial"/>
                <w:sz w:val="18"/>
                <w:szCs w:val="18"/>
                <w:color w:val="auto"/>
                <w:w w:val="88"/>
              </w:rPr>
              <w:t>(State or other</w:t>
            </w:r>
          </w:p>
        </w:tc>
        <w:tc>
          <w:tcPr>
            <w:tcW w:w="5580" w:type="dxa"/>
            <w:vAlign w:val="bottom"/>
          </w:tcPr>
          <w:p>
            <w:pPr>
              <w:jc w:val="center"/>
              <w:spacing w:after="0" w:line="192" w:lineRule="exact"/>
              <w:rPr>
                <w:sz w:val="20"/>
                <w:szCs w:val="20"/>
                <w:color w:val="auto"/>
              </w:rPr>
            </w:pPr>
            <w:r>
              <w:rPr>
                <w:rFonts w:ascii="Arial" w:cs="Arial" w:eastAsia="Arial" w:hAnsi="Arial"/>
                <w:sz w:val="18"/>
                <w:szCs w:val="18"/>
                <w:color w:val="auto"/>
                <w:w w:val="93"/>
              </w:rPr>
              <w:t>(Commission</w:t>
            </w:r>
          </w:p>
        </w:tc>
        <w:tc>
          <w:tcPr>
            <w:tcW w:w="1520" w:type="dxa"/>
            <w:vAlign w:val="bottom"/>
            <w:gridSpan w:val="2"/>
          </w:tcPr>
          <w:p>
            <w:pPr>
              <w:jc w:val="center"/>
              <w:ind w:left="84"/>
              <w:spacing w:after="0" w:line="192" w:lineRule="exact"/>
              <w:rPr>
                <w:sz w:val="20"/>
                <w:szCs w:val="20"/>
                <w:color w:val="auto"/>
              </w:rPr>
            </w:pPr>
            <w:r>
              <w:rPr>
                <w:rFonts w:ascii="Arial" w:cs="Arial" w:eastAsia="Arial" w:hAnsi="Arial"/>
                <w:sz w:val="18"/>
                <w:szCs w:val="18"/>
                <w:color w:val="auto"/>
                <w:w w:val="93"/>
              </w:rPr>
              <w:t>(IRS Employer</w:t>
            </w:r>
          </w:p>
        </w:tc>
      </w:tr>
      <w:tr>
        <w:trPr>
          <w:trHeight w:val="176"/>
        </w:trPr>
        <w:tc>
          <w:tcPr>
            <w:tcW w:w="14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6"/>
              </w:rPr>
              <w:t>jurisdiction</w:t>
            </w:r>
          </w:p>
        </w:tc>
        <w:tc>
          <w:tcPr>
            <w:tcW w:w="5580" w:type="dxa"/>
            <w:vAlign w:val="bottom"/>
          </w:tcPr>
          <w:p>
            <w:pPr>
              <w:jc w:val="center"/>
              <w:spacing w:after="0" w:line="176" w:lineRule="exact"/>
              <w:rPr>
                <w:sz w:val="20"/>
                <w:szCs w:val="20"/>
                <w:color w:val="auto"/>
              </w:rPr>
            </w:pPr>
            <w:r>
              <w:rPr>
                <w:rFonts w:ascii="Arial" w:cs="Arial" w:eastAsia="Arial" w:hAnsi="Arial"/>
                <w:sz w:val="18"/>
                <w:szCs w:val="18"/>
                <w:color w:val="auto"/>
                <w:w w:val="94"/>
              </w:rPr>
              <w:t>File Number)</w:t>
            </w:r>
          </w:p>
        </w:tc>
        <w:tc>
          <w:tcPr>
            <w:tcW w:w="1520" w:type="dxa"/>
            <w:vAlign w:val="bottom"/>
            <w:gridSpan w:val="2"/>
          </w:tcPr>
          <w:p>
            <w:pPr>
              <w:jc w:val="center"/>
              <w:ind w:left="84"/>
              <w:spacing w:after="0" w:line="176" w:lineRule="exact"/>
              <w:rPr>
                <w:sz w:val="20"/>
                <w:szCs w:val="20"/>
                <w:color w:val="auto"/>
              </w:rPr>
            </w:pPr>
            <w:r>
              <w:rPr>
                <w:rFonts w:ascii="Arial" w:cs="Arial" w:eastAsia="Arial" w:hAnsi="Arial"/>
                <w:sz w:val="18"/>
                <w:szCs w:val="18"/>
                <w:color w:val="auto"/>
                <w:w w:val="95"/>
              </w:rPr>
              <w:t>Identification No.)</w:t>
            </w:r>
          </w:p>
        </w:tc>
      </w:tr>
      <w:tr>
        <w:trPr>
          <w:trHeight w:val="230"/>
        </w:trPr>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of incorporation)</w:t>
            </w:r>
          </w:p>
        </w:tc>
        <w:tc>
          <w:tcPr>
            <w:tcW w:w="5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9"/>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80" w:type="dxa"/>
            <w:vAlign w:val="bottom"/>
          </w:tcPr>
          <w:p>
            <w:pPr>
              <w:jc w:val="center"/>
              <w:ind w:left="25"/>
              <w:spacing w:after="0"/>
              <w:rPr>
                <w:sz w:val="20"/>
                <w:szCs w:val="20"/>
                <w:color w:val="auto"/>
              </w:rPr>
            </w:pPr>
            <w:r>
              <w:rPr>
                <w:rFonts w:ascii="Arial" w:cs="Arial" w:eastAsia="Arial" w:hAnsi="Arial"/>
                <w:sz w:val="22"/>
                <w:szCs w:val="22"/>
                <w:b w:val="1"/>
                <w:bCs w:val="1"/>
                <w:color w:val="auto"/>
                <w:w w:val="88"/>
              </w:rPr>
              <w:t>5959 Las Colinas Boulevard, Irving, Texas 75039-2298</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21"/>
                <w:szCs w:val="21"/>
                <w:b w:val="1"/>
                <w:bCs w:val="1"/>
                <w:color w:val="auto"/>
                <w:w w:val="90"/>
              </w:rPr>
              <w:t>(972) 940-6000</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5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2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jc w:val="center"/>
              <w:ind w:left="175"/>
              <w:spacing w:after="0"/>
              <w:rPr>
                <w:sz w:val="20"/>
                <w:szCs w:val="20"/>
                <w:color w:val="auto"/>
              </w:rPr>
            </w:pPr>
            <w:r>
              <w:rPr>
                <w:rFonts w:ascii="Arial" w:cs="Arial" w:eastAsia="Arial" w:hAnsi="Arial"/>
                <w:sz w:val="14"/>
                <w:szCs w:val="14"/>
                <w:color w:val="auto"/>
                <w:w w:val="91"/>
              </w:rPr>
              <w:t>Name of Each Exchange</w:t>
            </w:r>
          </w:p>
        </w:tc>
      </w:tr>
      <w:tr>
        <w:trPr>
          <w:trHeight w:val="203"/>
        </w:trPr>
        <w:tc>
          <w:tcPr>
            <w:tcW w:w="3860" w:type="dxa"/>
            <w:vAlign w:val="bottom"/>
          </w:tcPr>
          <w:p>
            <w:pPr>
              <w:ind w:left="20"/>
              <w:spacing w:after="0"/>
              <w:rPr>
                <w:sz w:val="20"/>
                <w:szCs w:val="20"/>
                <w:color w:val="auto"/>
              </w:rPr>
            </w:pPr>
            <w:r>
              <w:rPr>
                <w:rFonts w:ascii="Arial" w:cs="Arial" w:eastAsia="Arial" w:hAnsi="Arial"/>
                <w:sz w:val="14"/>
                <w:szCs w:val="14"/>
                <w:color w:val="auto"/>
              </w:rPr>
              <w:t>Title of Each Class</w:t>
            </w:r>
          </w:p>
        </w:tc>
        <w:tc>
          <w:tcPr>
            <w:tcW w:w="3220" w:type="dxa"/>
            <w:vAlign w:val="bottom"/>
          </w:tcPr>
          <w:p>
            <w:pPr>
              <w:jc w:val="center"/>
              <w:spacing w:after="0"/>
              <w:rPr>
                <w:sz w:val="20"/>
                <w:szCs w:val="20"/>
                <w:color w:val="auto"/>
              </w:rPr>
            </w:pPr>
            <w:r>
              <w:rPr>
                <w:rFonts w:ascii="Arial" w:cs="Arial" w:eastAsia="Arial" w:hAnsi="Arial"/>
                <w:sz w:val="14"/>
                <w:szCs w:val="14"/>
                <w:color w:val="auto"/>
                <w:w w:val="95"/>
              </w:rPr>
              <w:t>Trading Symbol</w:t>
            </w:r>
          </w:p>
        </w:tc>
        <w:tc>
          <w:tcPr>
            <w:tcW w:w="3960" w:type="dxa"/>
            <w:vAlign w:val="bottom"/>
          </w:tcPr>
          <w:p>
            <w:pPr>
              <w:jc w:val="center"/>
              <w:ind w:left="175"/>
              <w:spacing w:after="0"/>
              <w:rPr>
                <w:sz w:val="20"/>
                <w:szCs w:val="20"/>
                <w:color w:val="auto"/>
              </w:rPr>
            </w:pPr>
            <w:r>
              <w:rPr>
                <w:rFonts w:ascii="Arial" w:cs="Arial" w:eastAsia="Arial" w:hAnsi="Arial"/>
                <w:sz w:val="14"/>
                <w:szCs w:val="14"/>
                <w:color w:val="auto"/>
                <w:w w:val="93"/>
              </w:rPr>
              <w:t>on Which Registered</w:t>
            </w:r>
          </w:p>
        </w:tc>
      </w:tr>
      <w:tr>
        <w:trPr>
          <w:trHeight w:val="25"/>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8"/>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rPr>
              <w:t>XOM</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0.142% Notes due 2024</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9"/>
              </w:rPr>
              <w:t>XOM24B</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0.524% Notes due 2028</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rPr>
              <w:t>XOM28</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0.835% Notes due 2032</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rPr>
              <w:t>XOM32</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1.408% Notes due 2039</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9"/>
              </w:rPr>
              <w:t>XOM39A</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0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2"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Regulation FD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2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03" w:right="1440" w:bottom="1440" w:gutter="0" w:footer="0" w:header="0"/>
          <w:type w:val="continuous"/>
        </w:sectPr>
      </w:pPr>
    </w:p>
    <w:bookmarkStart w:id="2" w:name="page3"/>
    <w:bookmarkEnd w:id="2"/>
    <w:p>
      <w:pPr>
        <w:ind w:left="4660"/>
        <w:spacing w:after="0"/>
        <w:rPr>
          <w:sz w:val="20"/>
          <w:szCs w:val="20"/>
          <w:color w:val="auto"/>
        </w:rPr>
      </w:pPr>
      <w:r>
        <w:rPr>
          <w:rFonts w:ascii="Arial" w:cs="Arial" w:eastAsia="Arial" w:hAnsi="Arial"/>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Description</w:t>
            </w:r>
          </w:p>
        </w:tc>
        <w:tc>
          <w:tcPr>
            <w:tcW w:w="3980" w:type="dxa"/>
            <w:vAlign w:val="bottom"/>
          </w:tcPr>
          <w:p>
            <w:pPr>
              <w:spacing w:after="0"/>
              <w:rPr>
                <w:sz w:val="19"/>
                <w:szCs w:val="19"/>
                <w:color w:val="auto"/>
              </w:rPr>
            </w:pPr>
          </w:p>
        </w:tc>
      </w:tr>
      <w:tr>
        <w:trPr>
          <w:trHeight w:val="493"/>
        </w:trPr>
        <w:tc>
          <w:tcPr>
            <w:tcW w:w="920" w:type="dxa"/>
            <w:vAlign w:val="bottom"/>
            <w:gridSpan w:val="2"/>
          </w:tcPr>
          <w:p>
            <w:pPr>
              <w:spacing w:after="0"/>
              <w:rPr>
                <w:sz w:val="20"/>
                <w:szCs w:val="20"/>
                <w:color w:val="auto"/>
              </w:rPr>
            </w:pPr>
            <w:r>
              <w:rPr>
                <w:rFonts w:ascii="Arial" w:cs="Arial" w:eastAsia="Arial" w:hAnsi="Arial"/>
                <w:sz w:val="20"/>
                <w:szCs w:val="20"/>
                <w:color w:val="0000FF"/>
              </w:rPr>
              <w:t>99.</w:t>
            </w:r>
            <w:r>
              <w:rPr>
                <w:rFonts w:ascii="Arial" w:cs="Arial" w:eastAsia="Arial" w:hAnsi="Arial"/>
                <w:sz w:val="20"/>
                <w:szCs w:val="20"/>
                <w:u w:val="single" w:color="auto"/>
                <w:color w:val="0000FF"/>
              </w:rPr>
              <w:t>1</w:t>
            </w: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20"/>
                <w:szCs w:val="20"/>
                <w:color w:val="auto"/>
                <w:w w:val="97"/>
              </w:rPr>
              <w:t>Exxon Mobil Corporation 4Q22 Earnings Considerations.</w:t>
            </w:r>
          </w:p>
        </w:tc>
      </w:tr>
      <w:tr>
        <w:trPr>
          <w:trHeight w:val="538"/>
        </w:trPr>
        <w:tc>
          <w:tcPr>
            <w:tcW w:w="36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20"/>
                <w:szCs w:val="20"/>
                <w:color w:val="auto"/>
                <w:w w:val="91"/>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92" w:right="1440"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EXXON MOBIL CORPORATION</w:t>
      </w:r>
    </w:p>
    <w:p>
      <w:pPr>
        <w:sectPr>
          <w:pgSz w:w="11900" w:h="16838" w:orient="portrait"/>
          <w:cols w:equalWidth="0" w:num="1">
            <w:col w:w="10880"/>
          </w:cols>
          <w:pgMar w:left="320" w:top="892"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January 4,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26035</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92" w:right="699" w:bottom="1440" w:gutter="0" w:footer="0" w:header="0"/>
          <w:type w:val="continuous"/>
        </w:sectPr>
      </w:pPr>
    </w:p>
    <w:p>
      <w:pPr>
        <w:jc w:val="center"/>
        <w:ind w:left="6380"/>
        <w:spacing w:after="0"/>
        <w:rPr>
          <w:sz w:val="20"/>
          <w:szCs w:val="20"/>
          <w:color w:val="auto"/>
        </w:rPr>
      </w:pPr>
      <w:r>
        <w:rPr>
          <w:rFonts w:ascii="Arial" w:cs="Arial" w:eastAsia="Arial" w:hAnsi="Arial"/>
          <w:sz w:val="20"/>
          <w:szCs w:val="20"/>
          <w:color w:val="auto"/>
        </w:rPr>
        <w:t>Len M. Fox</w:t>
      </w:r>
    </w:p>
    <w:p>
      <w:pPr>
        <w:spacing w:after="0" w:line="2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Vice President and Controller</w:t>
      </w:r>
    </w:p>
    <w:p>
      <w:pPr>
        <w:spacing w:after="0" w:line="50"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880"/>
          </w:cols>
          <w:pgMar w:left="320" w:top="892" w:right="699" w:bottom="1440" w:gutter="0" w:footer="0" w:header="0"/>
          <w:type w:val="continuous"/>
        </w:sectPr>
      </w:pPr>
    </w:p>
    <w:bookmarkStart w:id="4" w:name="page5"/>
    <w:bookmarkEnd w:id="4"/>
    <w:p>
      <w:pPr>
        <w:jc w:val="right"/>
        <w:ind w:right="2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4Q22 Earnings Considerations</w:t>
      </w:r>
    </w:p>
    <w:p>
      <w:pPr>
        <w:spacing w:after="0" w:line="267"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To give perspective regarding market and planned factors affecting 4Q 2022 results, we are providing the following summary of factors management believes will impact 4Q 2022 results relative to 3Q 2022 results. These factors are generally limited to market dynamics, seasonal patterns, and planned activities. This information is only intended to provide additional information regarding current estimates of certain limited market and planned factors. It is not meant to be a comprehensive list of all changes between 3Q 2022 results and 4Q 2022 results or to provide an estimate of 4Q 2022 results for the Corporation. For example, the seasonality of base operating expenses which are typically higher in the fourth quarter than in the third, Energy Products trading, timing, and other margin impacts which were particularly strong in the third quarter, unscheduled downtime, foreign exchange fluctuation, and other factors are not included below. Further, this list may not account for all adjustments and charges required to fully reflect the changes in industry conditions and are subject to finalization of the Corporation’s financial reporting process for 4Q 2022. Excluded from the information provided in the table below is any impact related to the European Union tax on the energy sector as we continue to assess the impact on 4Q 2022 and future results.</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 billions</w:t>
            </w:r>
          </w:p>
        </w:tc>
        <w:tc>
          <w:tcPr>
            <w:tcW w:w="1640" w:type="dxa"/>
            <w:vAlign w:val="bottom"/>
            <w:vMerge w:val="restart"/>
          </w:tcPr>
          <w:p>
            <w:pPr>
              <w:ind w:left="500"/>
              <w:spacing w:after="0"/>
              <w:rPr>
                <w:sz w:val="20"/>
                <w:szCs w:val="20"/>
                <w:color w:val="auto"/>
              </w:rPr>
            </w:pPr>
            <w:r>
              <w:rPr>
                <w:rFonts w:ascii="Arial" w:cs="Arial" w:eastAsia="Arial" w:hAnsi="Arial"/>
                <w:sz w:val="20"/>
                <w:szCs w:val="20"/>
                <w:b w:val="1"/>
                <w:bCs w:val="1"/>
                <w:color w:val="auto"/>
              </w:rPr>
              <w:t>Upstream</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Energy</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8"/>
              </w:rPr>
              <w:t>Chemical</w:t>
            </w:r>
          </w:p>
        </w:tc>
        <w:tc>
          <w:tcPr>
            <w:tcW w:w="1180" w:type="dxa"/>
            <w:vAlign w:val="bottom"/>
          </w:tcPr>
          <w:p>
            <w:pPr>
              <w:jc w:val="center"/>
              <w:spacing w:after="0"/>
              <w:rPr>
                <w:sz w:val="20"/>
                <w:szCs w:val="20"/>
                <w:color w:val="auto"/>
              </w:rPr>
            </w:pPr>
            <w:r>
              <w:rPr>
                <w:rFonts w:ascii="Arial" w:cs="Arial" w:eastAsia="Arial" w:hAnsi="Arial"/>
                <w:sz w:val="20"/>
                <w:szCs w:val="20"/>
                <w:b w:val="1"/>
                <w:bCs w:val="1"/>
                <w:color w:val="auto"/>
                <w:w w:val="97"/>
              </w:rPr>
              <w:t>Specialty</w:t>
            </w:r>
          </w:p>
        </w:tc>
        <w:tc>
          <w:tcPr>
            <w:tcW w:w="13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Corp &amp; Fin</w:t>
            </w:r>
          </w:p>
        </w:tc>
        <w:tc>
          <w:tcPr>
            <w:tcW w:w="860" w:type="dxa"/>
            <w:vAlign w:val="bottom"/>
            <w:vMerge w:val="restart"/>
          </w:tcPr>
          <w:p>
            <w:pPr>
              <w:ind w:left="16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40"/>
        </w:trPr>
        <w:tc>
          <w:tcPr>
            <w:tcW w:w="37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2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1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3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3Q22 earnings / (loss), U.S. GAAP</w:t>
            </w:r>
          </w:p>
        </w:tc>
        <w:tc>
          <w:tcPr>
            <w:tcW w:w="1640" w:type="dxa"/>
            <w:vAlign w:val="bottom"/>
          </w:tcPr>
          <w:p>
            <w:pPr>
              <w:jc w:val="center"/>
              <w:ind w:left="181"/>
              <w:spacing w:after="0"/>
              <w:rPr>
                <w:sz w:val="20"/>
                <w:szCs w:val="20"/>
                <w:color w:val="auto"/>
              </w:rPr>
            </w:pPr>
            <w:r>
              <w:rPr>
                <w:rFonts w:ascii="Arial" w:cs="Arial" w:eastAsia="Arial" w:hAnsi="Arial"/>
                <w:sz w:val="20"/>
                <w:szCs w:val="20"/>
                <w:b w:val="1"/>
                <w:bCs w:val="1"/>
                <w:color w:val="auto"/>
              </w:rPr>
              <w:t>12.4</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5.8</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18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300" w:type="dxa"/>
            <w:vAlign w:val="bottom"/>
          </w:tcPr>
          <w:p>
            <w:pPr>
              <w:jc w:val="right"/>
              <w:ind w:right="361"/>
              <w:spacing w:after="0"/>
              <w:rPr>
                <w:sz w:val="20"/>
                <w:szCs w:val="20"/>
                <w:color w:val="auto"/>
              </w:rPr>
            </w:pPr>
            <w:r>
              <w:rPr>
                <w:rFonts w:ascii="Arial" w:cs="Arial" w:eastAsia="Arial" w:hAnsi="Arial"/>
                <w:sz w:val="20"/>
                <w:szCs w:val="20"/>
                <w:b w:val="1"/>
                <w:bCs w:val="1"/>
                <w:color w:val="auto"/>
              </w:rPr>
              <w:t>(0.2)</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7"/>
              </w:rPr>
              <w:t>19.7</w:t>
            </w:r>
          </w:p>
        </w:tc>
        <w:tc>
          <w:tcPr>
            <w:tcW w:w="0" w:type="dxa"/>
            <w:vAlign w:val="bottom"/>
          </w:tcPr>
          <w:p>
            <w:pPr>
              <w:spacing w:after="0"/>
              <w:rPr>
                <w:sz w:val="1"/>
                <w:szCs w:val="1"/>
                <w:color w:val="auto"/>
              </w:rPr>
            </w:pPr>
          </w:p>
        </w:tc>
      </w:tr>
      <w:tr>
        <w:trPr>
          <w:trHeight w:val="431"/>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3Q22 identified items</w:t>
            </w: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Tax and other reserve items</w:t>
            </w:r>
          </w:p>
        </w:tc>
        <w:tc>
          <w:tcPr>
            <w:tcW w:w="1640" w:type="dxa"/>
            <w:vAlign w:val="bottom"/>
          </w:tcPr>
          <w:p>
            <w:pPr>
              <w:jc w:val="center"/>
              <w:ind w:left="181"/>
              <w:spacing w:after="0"/>
              <w:rPr>
                <w:sz w:val="20"/>
                <w:szCs w:val="20"/>
                <w:color w:val="auto"/>
              </w:rPr>
            </w:pPr>
            <w:r>
              <w:rPr>
                <w:rFonts w:ascii="Arial" w:cs="Arial" w:eastAsia="Arial" w:hAnsi="Arial"/>
                <w:sz w:val="20"/>
                <w:szCs w:val="20"/>
                <w:color w:val="auto"/>
              </w:rPr>
              <w:t>0.7</w:t>
            </w: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00" w:type="dxa"/>
            <w:vAlign w:val="bottom"/>
          </w:tcPr>
          <w:p>
            <w:pPr>
              <w:jc w:val="right"/>
              <w:ind w:right="421"/>
              <w:spacing w:after="0"/>
              <w:rPr>
                <w:sz w:val="20"/>
                <w:szCs w:val="20"/>
                <w:color w:val="auto"/>
              </w:rPr>
            </w:pPr>
            <w:r>
              <w:rPr>
                <w:rFonts w:ascii="Arial" w:cs="Arial" w:eastAsia="Arial" w:hAnsi="Arial"/>
                <w:sz w:val="20"/>
                <w:szCs w:val="20"/>
                <w:color w:val="auto"/>
              </w:rPr>
              <w:t>0.4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1.1</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Non-U.S. divestments</w:t>
            </w:r>
          </w:p>
        </w:tc>
        <w:tc>
          <w:tcPr>
            <w:tcW w:w="1640" w:type="dxa"/>
            <w:vAlign w:val="bottom"/>
          </w:tcPr>
          <w:p>
            <w:pPr>
              <w:jc w:val="center"/>
              <w:ind w:left="181"/>
              <w:spacing w:after="0"/>
              <w:rPr>
                <w:sz w:val="20"/>
                <w:szCs w:val="20"/>
                <w:color w:val="auto"/>
              </w:rPr>
            </w:pPr>
            <w:r>
              <w:rPr>
                <w:rFonts w:ascii="Arial" w:cs="Arial" w:eastAsia="Arial" w:hAnsi="Arial"/>
                <w:sz w:val="20"/>
                <w:szCs w:val="20"/>
                <w:color w:val="auto"/>
              </w:rPr>
              <w:t>0.6</w:t>
            </w: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0.6</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Impairments</w:t>
            </w:r>
          </w:p>
        </w:tc>
        <w:tc>
          <w:tcPr>
            <w:tcW w:w="1640" w:type="dxa"/>
            <w:vAlign w:val="bottom"/>
          </w:tcPr>
          <w:p>
            <w:pPr>
              <w:jc w:val="center"/>
              <w:ind w:left="181"/>
              <w:spacing w:after="0"/>
              <w:rPr>
                <w:sz w:val="20"/>
                <w:szCs w:val="20"/>
                <w:color w:val="auto"/>
              </w:rPr>
            </w:pPr>
            <w:r>
              <w:rPr>
                <w:rFonts w:ascii="Arial" w:cs="Arial" w:eastAsia="Arial" w:hAnsi="Arial"/>
                <w:sz w:val="20"/>
                <w:szCs w:val="20"/>
                <w:color w:val="auto"/>
                <w:w w:val="97"/>
              </w:rPr>
              <w:t>(0.7)</w:t>
            </w: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3Q22 earnings / (loss) excluding</w:t>
            </w:r>
          </w:p>
        </w:tc>
        <w:tc>
          <w:tcPr>
            <w:tcW w:w="1640" w:type="dxa"/>
            <w:vAlign w:val="bottom"/>
          </w:tcPr>
          <w:p>
            <w:pPr>
              <w:jc w:val="center"/>
              <w:ind w:left="181"/>
              <w:spacing w:after="0"/>
              <w:rPr>
                <w:sz w:val="20"/>
                <w:szCs w:val="20"/>
                <w:color w:val="auto"/>
              </w:rPr>
            </w:pPr>
            <w:r>
              <w:rPr>
                <w:rFonts w:ascii="Arial" w:cs="Arial" w:eastAsia="Arial" w:hAnsi="Arial"/>
                <w:sz w:val="20"/>
                <w:szCs w:val="20"/>
                <w:b w:val="1"/>
                <w:bCs w:val="1"/>
                <w:color w:val="auto"/>
              </w:rPr>
              <w:t>11.8</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5.8</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18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300" w:type="dxa"/>
            <w:vAlign w:val="bottom"/>
          </w:tcPr>
          <w:p>
            <w:pPr>
              <w:jc w:val="right"/>
              <w:ind w:right="361"/>
              <w:spacing w:after="0"/>
              <w:rPr>
                <w:sz w:val="20"/>
                <w:szCs w:val="20"/>
                <w:color w:val="auto"/>
              </w:rPr>
            </w:pPr>
            <w:r>
              <w:rPr>
                <w:rFonts w:ascii="Arial" w:cs="Arial" w:eastAsia="Arial" w:hAnsi="Arial"/>
                <w:sz w:val="20"/>
                <w:szCs w:val="20"/>
                <w:b w:val="1"/>
                <w:bCs w:val="1"/>
                <w:color w:val="auto"/>
              </w:rPr>
              <w:t>(0.6)</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7"/>
              </w:rPr>
              <w:t>18.7</w:t>
            </w:r>
          </w:p>
        </w:tc>
        <w:tc>
          <w:tcPr>
            <w:tcW w:w="0" w:type="dxa"/>
            <w:vAlign w:val="bottom"/>
          </w:tcPr>
          <w:p>
            <w:pPr>
              <w:spacing w:after="0"/>
              <w:rPr>
                <w:sz w:val="1"/>
                <w:szCs w:val="1"/>
                <w:color w:val="auto"/>
              </w:rPr>
            </w:pPr>
          </w:p>
        </w:tc>
      </w:tr>
      <w:tr>
        <w:trPr>
          <w:trHeight w:val="261"/>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identified items</w:t>
            </w:r>
          </w:p>
        </w:tc>
        <w:tc>
          <w:tcPr>
            <w:tcW w:w="1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market factors impacting 4Q22 results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9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Change in liquids prices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 (1.3)</w:t>
            </w:r>
          </w:p>
        </w:tc>
        <w:tc>
          <w:tcPr>
            <w:tcW w:w="50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gas prices</w:t>
            </w:r>
          </w:p>
        </w:tc>
        <w:tc>
          <w:tcPr>
            <w:tcW w:w="700" w:type="dxa"/>
            <w:vAlign w:val="bottom"/>
          </w:tcPr>
          <w:p>
            <w:pPr>
              <w:jc w:val="right"/>
              <w:spacing w:after="0"/>
              <w:rPr>
                <w:sz w:val="20"/>
                <w:szCs w:val="20"/>
                <w:color w:val="auto"/>
              </w:rPr>
            </w:pPr>
            <w:r>
              <w:rPr>
                <w:rFonts w:ascii="Arial" w:cs="Arial" w:eastAsia="Arial" w:hAnsi="Arial"/>
                <w:sz w:val="20"/>
                <w:szCs w:val="20"/>
                <w:color w:val="auto"/>
              </w:rPr>
              <w:t>(2.4)</w:t>
            </w:r>
          </w:p>
        </w:tc>
        <w:tc>
          <w:tcPr>
            <w:tcW w:w="720" w:type="dxa"/>
            <w:vAlign w:val="bottom"/>
          </w:tcPr>
          <w:p>
            <w:pPr>
              <w:ind w:left="20"/>
              <w:spacing w:after="0"/>
              <w:rPr>
                <w:sz w:val="20"/>
                <w:szCs w:val="20"/>
                <w:color w:val="auto"/>
              </w:rPr>
            </w:pPr>
            <w:r>
              <w:rPr>
                <w:rFonts w:ascii="Arial" w:cs="Arial" w:eastAsia="Arial" w:hAnsi="Arial"/>
                <w:sz w:val="20"/>
                <w:szCs w:val="20"/>
                <w:color w:val="auto"/>
              </w:rPr>
              <w:t>- (2.0)</w:t>
            </w:r>
          </w:p>
        </w:tc>
        <w:tc>
          <w:tcPr>
            <w:tcW w:w="5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industry margins</w:t>
            </w: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2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color w:val="auto"/>
              </w:rPr>
              <w:t>(0.1) - 0.1    (0.6) - (0.4)   (0.1) - 0.1</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9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unsettled derivatives (mark-to-</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1.3</w:t>
            </w:r>
          </w:p>
        </w:tc>
        <w:tc>
          <w:tcPr>
            <w:tcW w:w="720" w:type="dxa"/>
            <w:vAlign w:val="bottom"/>
            <w:vMerge w:val="restart"/>
          </w:tcPr>
          <w:p>
            <w:pPr>
              <w:ind w:left="20"/>
              <w:spacing w:after="0"/>
              <w:rPr>
                <w:sz w:val="20"/>
                <w:szCs w:val="20"/>
                <w:color w:val="auto"/>
              </w:rPr>
            </w:pPr>
            <w:r>
              <w:rPr>
                <w:rFonts w:ascii="Arial" w:cs="Arial" w:eastAsia="Arial" w:hAnsi="Arial"/>
                <w:sz w:val="20"/>
                <w:szCs w:val="20"/>
                <w:color w:val="auto"/>
              </w:rPr>
              <w:t>- 1.5</w:t>
            </w:r>
          </w:p>
        </w:tc>
        <w:tc>
          <w:tcPr>
            <w:tcW w:w="5020" w:type="dxa"/>
            <w:vAlign w:val="bottom"/>
            <w:tcBorders>
              <w:right w:val="single" w:sz="8" w:color="auto"/>
            </w:tcBorders>
            <w:vMerge w:val="restart"/>
          </w:tcPr>
          <w:p>
            <w:pPr>
              <w:jc w:val="right"/>
              <w:ind w:right="3761"/>
              <w:spacing w:after="0"/>
              <w:rPr>
                <w:sz w:val="20"/>
                <w:szCs w:val="20"/>
                <w:color w:val="auto"/>
              </w:rPr>
            </w:pPr>
            <w:r>
              <w:rPr>
                <w:rFonts w:ascii="Arial" w:cs="Arial" w:eastAsia="Arial" w:hAnsi="Arial"/>
                <w:sz w:val="20"/>
                <w:szCs w:val="20"/>
                <w:color w:val="auto"/>
              </w:rPr>
              <w:t>(1.1) - (0.9)</w:t>
            </w:r>
          </w:p>
        </w:tc>
        <w:tc>
          <w:tcPr>
            <w:tcW w:w="0" w:type="dxa"/>
            <w:vAlign w:val="bottom"/>
          </w:tcPr>
          <w:p>
            <w:pPr>
              <w:spacing w:after="0"/>
              <w:rPr>
                <w:sz w:val="1"/>
                <w:szCs w:val="1"/>
                <w:color w:val="auto"/>
              </w:rPr>
            </w:pPr>
          </w:p>
        </w:tc>
      </w:tr>
      <w:tr>
        <w:trPr>
          <w:trHeight w:val="116"/>
        </w:trPr>
        <w:tc>
          <w:tcPr>
            <w:tcW w:w="392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color w:val="auto"/>
              </w:rPr>
              <w:t>market)</w:t>
            </w: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20" w:type="dxa"/>
            <w:vAlign w:val="bottom"/>
            <w:tcBorders>
              <w:lef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planned and seasonal factors, and other items impacting 4Q22 results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7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Change in scheduled maintenance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0.0</w:t>
            </w: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- 0.2</w:t>
            </w:r>
          </w:p>
        </w:tc>
        <w:tc>
          <w:tcPr>
            <w:tcW w:w="1340" w:type="dxa"/>
            <w:vAlign w:val="bottom"/>
            <w:tcBorders>
              <w:top w:val="single" w:sz="8" w:color="auto"/>
            </w:tcBorders>
            <w:gridSpan w:val="2"/>
          </w:tcPr>
          <w:p>
            <w:pPr>
              <w:jc w:val="right"/>
              <w:ind w:right="141"/>
              <w:spacing w:after="0"/>
              <w:rPr>
                <w:sz w:val="20"/>
                <w:szCs w:val="20"/>
                <w:color w:val="auto"/>
              </w:rPr>
            </w:pPr>
            <w:r>
              <w:rPr>
                <w:rFonts w:ascii="Arial" w:cs="Arial" w:eastAsia="Arial" w:hAnsi="Arial"/>
                <w:sz w:val="20"/>
                <w:szCs w:val="20"/>
                <w:color w:val="auto"/>
              </w:rPr>
              <w:t>(0.2) - 0.0</w:t>
            </w:r>
          </w:p>
        </w:tc>
        <w:tc>
          <w:tcPr>
            <w:tcW w:w="124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(0.1) - 0.1</w:t>
            </w:r>
          </w:p>
        </w:tc>
        <w:tc>
          <w:tcPr>
            <w:tcW w:w="2440" w:type="dxa"/>
            <w:vAlign w:val="bottom"/>
            <w:tcBorders>
              <w:top w:val="single" w:sz="8" w:color="auto"/>
              <w:right w:val="single" w:sz="8" w:color="auto"/>
            </w:tcBorders>
          </w:tcPr>
          <w:p>
            <w:pPr>
              <w:jc w:val="right"/>
              <w:ind w:right="1301"/>
              <w:spacing w:after="0"/>
              <w:rPr>
                <w:sz w:val="20"/>
                <w:szCs w:val="20"/>
                <w:color w:val="auto"/>
              </w:rPr>
            </w:pPr>
            <w:r>
              <w:rPr>
                <w:rFonts w:ascii="Arial" w:cs="Arial" w:eastAsia="Arial" w:hAnsi="Arial"/>
                <w:sz w:val="20"/>
                <w:szCs w:val="20"/>
                <w:color w:val="auto"/>
              </w:rPr>
              <w:t>(0.1) - 0.1</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54"/>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seasonal gas demand</w:t>
            </w:r>
          </w:p>
        </w:tc>
        <w:tc>
          <w:tcPr>
            <w:tcW w:w="900" w:type="dxa"/>
            <w:vAlign w:val="bottom"/>
          </w:tcPr>
          <w:p>
            <w:pPr>
              <w:jc w:val="right"/>
              <w:spacing w:after="0"/>
              <w:rPr>
                <w:sz w:val="20"/>
                <w:szCs w:val="20"/>
                <w:color w:val="auto"/>
              </w:rPr>
            </w:pPr>
            <w:r>
              <w:rPr>
                <w:rFonts w:ascii="Arial" w:cs="Arial" w:eastAsia="Arial" w:hAnsi="Arial"/>
                <w:sz w:val="20"/>
                <w:szCs w:val="20"/>
                <w:color w:val="auto"/>
              </w:rPr>
              <w:t>0.0</w:t>
            </w:r>
          </w:p>
        </w:tc>
        <w:tc>
          <w:tcPr>
            <w:tcW w:w="720" w:type="dxa"/>
            <w:vAlign w:val="bottom"/>
          </w:tcPr>
          <w:p>
            <w:pPr>
              <w:ind w:left="20"/>
              <w:spacing w:after="0"/>
              <w:rPr>
                <w:sz w:val="20"/>
                <w:szCs w:val="20"/>
                <w:color w:val="auto"/>
              </w:rPr>
            </w:pPr>
            <w:r>
              <w:rPr>
                <w:rFonts w:ascii="Arial" w:cs="Arial" w:eastAsia="Arial" w:hAnsi="Arial"/>
                <w:sz w:val="20"/>
                <w:szCs w:val="20"/>
                <w:color w:val="auto"/>
              </w:rPr>
              <w:t>- 0.2</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40" w:type="dxa"/>
            <w:vAlign w:val="bottom"/>
            <w:tcBorders>
              <w:right w:val="single" w:sz="8" w:color="auto"/>
            </w:tcBorders>
          </w:tcPr>
          <w:p>
            <w:pPr>
              <w:spacing w:after="0"/>
              <w:rPr>
                <w:sz w:val="22"/>
                <w:szCs w:val="22"/>
                <w:color w:val="auto"/>
              </w:rPr>
            </w:pP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54"/>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Estimated year-end inventory effects</w:t>
            </w: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c>
          <w:tcPr>
            <w:tcW w:w="720" w:type="dxa"/>
            <w:vAlign w:val="bottom"/>
          </w:tcPr>
          <w:p>
            <w:pPr>
              <w:ind w:left="20"/>
              <w:spacing w:after="0"/>
              <w:rPr>
                <w:sz w:val="20"/>
                <w:szCs w:val="20"/>
                <w:color w:val="auto"/>
              </w:rPr>
            </w:pPr>
            <w:r>
              <w:rPr>
                <w:rFonts w:ascii="Arial" w:cs="Arial" w:eastAsia="Arial" w:hAnsi="Arial"/>
                <w:sz w:val="20"/>
                <w:szCs w:val="20"/>
                <w:color w:val="auto"/>
              </w:rPr>
              <w:t>- (0.8)</w:t>
            </w:r>
          </w:p>
        </w:tc>
        <w:tc>
          <w:tcPr>
            <w:tcW w:w="600" w:type="dxa"/>
            <w:vAlign w:val="bottom"/>
          </w:tcPr>
          <w:p>
            <w:pPr>
              <w:jc w:val="right"/>
              <w:spacing w:after="0"/>
              <w:rPr>
                <w:sz w:val="20"/>
                <w:szCs w:val="20"/>
                <w:color w:val="auto"/>
              </w:rPr>
            </w:pPr>
            <w:r>
              <w:rPr>
                <w:rFonts w:ascii="Arial" w:cs="Arial" w:eastAsia="Arial" w:hAnsi="Arial"/>
                <w:sz w:val="20"/>
                <w:szCs w:val="20"/>
                <w:color w:val="auto"/>
              </w:rPr>
              <w:t>0.1</w:t>
            </w:r>
          </w:p>
        </w:tc>
        <w:tc>
          <w:tcPr>
            <w:tcW w:w="740" w:type="dxa"/>
            <w:vAlign w:val="bottom"/>
          </w:tcPr>
          <w:p>
            <w:pPr>
              <w:jc w:val="right"/>
              <w:ind w:right="221"/>
              <w:spacing w:after="0"/>
              <w:rPr>
                <w:sz w:val="20"/>
                <w:szCs w:val="20"/>
                <w:color w:val="auto"/>
              </w:rPr>
            </w:pPr>
            <w:r>
              <w:rPr>
                <w:rFonts w:ascii="Arial" w:cs="Arial" w:eastAsia="Arial" w:hAnsi="Arial"/>
                <w:sz w:val="20"/>
                <w:szCs w:val="20"/>
                <w:color w:val="auto"/>
                <w:w w:val="99"/>
              </w:rPr>
              <w:t>- 0.3</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(0.1) - 0.1</w:t>
            </w:r>
          </w:p>
        </w:tc>
        <w:tc>
          <w:tcPr>
            <w:tcW w:w="2440" w:type="dxa"/>
            <w:vAlign w:val="bottom"/>
            <w:tcBorders>
              <w:right w:val="single" w:sz="8" w:color="auto"/>
            </w:tcBorders>
          </w:tcPr>
          <w:p>
            <w:pPr>
              <w:jc w:val="right"/>
              <w:ind w:right="1301"/>
              <w:spacing w:after="0"/>
              <w:rPr>
                <w:sz w:val="20"/>
                <w:szCs w:val="20"/>
                <w:color w:val="auto"/>
              </w:rPr>
            </w:pPr>
            <w:r>
              <w:rPr>
                <w:rFonts w:ascii="Arial" w:cs="Arial" w:eastAsia="Arial" w:hAnsi="Arial"/>
                <w:sz w:val="20"/>
                <w:szCs w:val="20"/>
                <w:color w:val="auto"/>
              </w:rPr>
              <w:t>(0.1) - 0.1</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673"/>
        </w:trPr>
        <w:tc>
          <w:tcPr>
            <w:tcW w:w="3720" w:type="dxa"/>
            <w:vAlign w:val="bottom"/>
          </w:tcPr>
          <w:p>
            <w:pPr>
              <w:ind w:left="20"/>
              <w:spacing w:after="0"/>
              <w:rPr>
                <w:sz w:val="20"/>
                <w:szCs w:val="20"/>
                <w:color w:val="auto"/>
              </w:rPr>
            </w:pPr>
            <w:r>
              <w:rPr>
                <w:rFonts w:ascii="Arial" w:cs="Arial" w:eastAsia="Arial" w:hAnsi="Arial"/>
                <w:sz w:val="20"/>
                <w:szCs w:val="20"/>
                <w:b w:val="1"/>
                <w:bCs w:val="1"/>
                <w:color w:val="auto"/>
              </w:rPr>
              <w:t>Identified items</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
        </w:trPr>
        <w:tc>
          <w:tcPr>
            <w:tcW w:w="3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Impairments</w:t>
            </w:r>
          </w:p>
        </w:tc>
        <w:tc>
          <w:tcPr>
            <w:tcW w:w="900" w:type="dxa"/>
            <w:vAlign w:val="bottom"/>
          </w:tcPr>
          <w:p>
            <w:pPr>
              <w:jc w:val="right"/>
              <w:spacing w:after="0"/>
              <w:rPr>
                <w:sz w:val="20"/>
                <w:szCs w:val="20"/>
                <w:color w:val="auto"/>
              </w:rPr>
            </w:pPr>
            <w:r>
              <w:rPr>
                <w:rFonts w:ascii="Arial" w:cs="Arial" w:eastAsia="Arial" w:hAnsi="Arial"/>
                <w:sz w:val="20"/>
                <w:szCs w:val="20"/>
                <w:color w:val="auto"/>
              </w:rPr>
              <w:t>(0.3)</w:t>
            </w:r>
          </w:p>
        </w:tc>
        <w:tc>
          <w:tcPr>
            <w:tcW w:w="720" w:type="dxa"/>
            <w:vAlign w:val="bottom"/>
          </w:tcPr>
          <w:p>
            <w:pPr>
              <w:ind w:left="20"/>
              <w:spacing w:after="0"/>
              <w:rPr>
                <w:sz w:val="20"/>
                <w:szCs w:val="20"/>
                <w:color w:val="auto"/>
              </w:rPr>
            </w:pPr>
            <w:r>
              <w:rPr>
                <w:rFonts w:ascii="Arial" w:cs="Arial" w:eastAsia="Arial" w:hAnsi="Arial"/>
                <w:sz w:val="20"/>
                <w:szCs w:val="20"/>
                <w:color w:val="auto"/>
              </w:rPr>
              <w:t>- (0.1)</w:t>
            </w:r>
          </w:p>
        </w:tc>
        <w:tc>
          <w:tcPr>
            <w:tcW w:w="600" w:type="dxa"/>
            <w:vAlign w:val="bottom"/>
          </w:tcPr>
          <w:p>
            <w:pPr>
              <w:jc w:val="right"/>
              <w:spacing w:after="0"/>
              <w:rPr>
                <w:sz w:val="20"/>
                <w:szCs w:val="20"/>
                <w:color w:val="auto"/>
              </w:rPr>
            </w:pPr>
            <w:r>
              <w:rPr>
                <w:rFonts w:ascii="Arial" w:cs="Arial" w:eastAsia="Arial" w:hAnsi="Arial"/>
                <w:sz w:val="20"/>
                <w:szCs w:val="20"/>
                <w:color w:val="auto"/>
              </w:rPr>
              <w:t>(0.4)</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 (0.2)</w:t>
            </w:r>
          </w:p>
        </w:tc>
        <w:tc>
          <w:tcPr>
            <w:tcW w:w="1240" w:type="dxa"/>
            <w:vAlign w:val="bottom"/>
          </w:tcPr>
          <w:p>
            <w:pPr>
              <w:spacing w:after="0"/>
              <w:rPr>
                <w:sz w:val="22"/>
                <w:szCs w:val="22"/>
                <w:color w:val="auto"/>
              </w:rPr>
            </w:pPr>
          </w:p>
        </w:tc>
        <w:tc>
          <w:tcPr>
            <w:tcW w:w="2440" w:type="dxa"/>
            <w:vAlign w:val="bottom"/>
            <w:tcBorders>
              <w:right w:val="single" w:sz="8" w:color="auto"/>
            </w:tcBorders>
          </w:tcPr>
          <w:p>
            <w:pPr>
              <w:spacing w:after="0"/>
              <w:rPr>
                <w:sz w:val="22"/>
                <w:szCs w:val="22"/>
                <w:color w:val="auto"/>
              </w:rPr>
            </w:pP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695"/>
        </w:trPr>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jc w:val="right"/>
              <w:ind w:right="163"/>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20" w:top="958" w:right="319" w:bottom="1440" w:gutter="0" w:footer="0" w:header="0"/>
        </w:sectPr>
      </w:pPr>
    </w:p>
    <w:bookmarkStart w:id="5" w:name="page6"/>
    <w:bookmarkEnd w:id="5"/>
    <w:p>
      <w:pPr>
        <w:spacing w:after="0" w:line="237" w:lineRule="auto"/>
        <w:rPr>
          <w:sz w:val="20"/>
          <w:szCs w:val="20"/>
          <w:color w:val="auto"/>
        </w:rPr>
      </w:pPr>
      <w:r>
        <w:rPr>
          <w:rFonts w:ascii="Arial" w:cs="Arial" w:eastAsia="Arial" w:hAnsi="Arial"/>
          <w:sz w:val="20"/>
          <w:szCs w:val="20"/>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4Q 2022 may vary from our estimates for a number of reasons, including additional unidentified factors related to: sales volume and sales mix numbers; supply and demand imbalances; regional pricing differentials and refining and chemical margins; global and regional hostilities, war, terrorism, or civil unrest and its impact on markets and our assets around the world; resolution of trading and derivative positions for the quarter; price impacts and the broader government responses to inflationary pressures; changes in interest and exchange rates; supply chain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and/or recession; changes in regulatory policies and any associated liabilities; changes in asset valuation or estimates of fair value as of a certain date; updates or corrections of any estimate used herein; and other market conditions in the oil, natural gas, petroleum, and petrochemical industries. Furthermore, additional factors may exist that will be relevant to 4Q 2022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25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Earnings/(loss) excluding identified items is defined as earnings/(loss) excluding individually significant non-operational events with an absolute corporate total earnings impact of at least $250 million in a given quarter. The earnings/(loss) impact of an identified item for an individual segment may be less than $250 million when the item impacts several periods or several segments. Earnings/(loss) excluding identified items does include non-operational earnings events or impacts that are below the $250M threshold utilized for identified items. When the effect of these events is material in aggregate, it is indicated in analysis of period results as part of quarterly earnings press release and teleconference materials.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Earnings/(loss) excluding identified items is not meant to be viewed in isolation or as a substitute for net income/(loss) attributable to ExxonMobil as prepared in accordance with U.S. GAAP.</w:t>
      </w:r>
    </w:p>
    <w:p>
      <w:pPr>
        <w:spacing w:after="0" w:line="248"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accordance with Regulation FD, we are hereby providing notice that the Company currently intends to furnish its fourth quarter 2022 financial results both (1) by posting them on our website at www.exxonmobil.com and (2) in a filing on Form 8-K in the Securities and Exchange Commission EDGAR system, each at approximately 5:30 a.m. CT Tuesday, January 31, 2023. In the event that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Tuesday, January 31, 2023.</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7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2023-01-04T16:34:40Z</dcterms:created>
  <dcterms:modified xsi:type="dcterms:W3CDTF">2023-01-04T16:34:40Z</dcterms:modified>
</cp:coreProperties>
</file>