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November 23, 2021</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Exxon Mobil Corporation</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6" w:lineRule="exact"/>
        <w:rPr>
          <w:sz w:val="24"/>
          <w:szCs w:val="24"/>
          <w:color w:val="auto"/>
        </w:rPr>
      </w:pPr>
    </w:p>
    <w:tbl>
      <w:tblPr>
        <w:tblLayout w:type="fixed"/>
        <w:tblInd w:w="1340" w:type="dxa"/>
        <w:tblCellMar>
          <w:top w:w="0" w:type="dxa"/>
          <w:left w:w="0" w:type="dxa"/>
          <w:bottom w:w="0" w:type="dxa"/>
          <w:right w:w="0" w:type="dxa"/>
        </w:tblCellMar>
      </w:tblPr>
      <w:tr>
        <w:trPr>
          <w:trHeight w:val="280"/>
        </w:trPr>
        <w:tc>
          <w:tcPr>
            <w:tcW w:w="1460" w:type="dxa"/>
            <w:vAlign w:val="bottom"/>
            <w:gridSpan w:val="2"/>
          </w:tcPr>
          <w:p>
            <w:pPr>
              <w:jc w:val="center"/>
              <w:ind w:right="240"/>
              <w:spacing w:after="0"/>
              <w:rPr>
                <w:sz w:val="20"/>
                <w:szCs w:val="20"/>
                <w:color w:val="auto"/>
              </w:rPr>
            </w:pPr>
            <w:r>
              <w:rPr>
                <w:rFonts w:ascii="Arial" w:cs="Arial" w:eastAsia="Arial" w:hAnsi="Arial"/>
                <w:sz w:val="22"/>
                <w:szCs w:val="22"/>
                <w:b w:val="1"/>
                <w:bCs w:val="1"/>
                <w:color w:val="auto"/>
                <w:w w:val="87"/>
              </w:rPr>
              <w:t>New Jersey</w:t>
            </w:r>
          </w:p>
        </w:tc>
        <w:tc>
          <w:tcPr>
            <w:tcW w:w="5580" w:type="dxa"/>
            <w:vAlign w:val="bottom"/>
          </w:tcPr>
          <w:p>
            <w:pPr>
              <w:jc w:val="center"/>
              <w:spacing w:after="0"/>
              <w:rPr>
                <w:sz w:val="20"/>
                <w:szCs w:val="20"/>
                <w:color w:val="auto"/>
              </w:rPr>
            </w:pPr>
            <w:r>
              <w:rPr>
                <w:rFonts w:ascii="Arial" w:cs="Arial" w:eastAsia="Arial" w:hAnsi="Arial"/>
                <w:sz w:val="22"/>
                <w:szCs w:val="22"/>
                <w:b w:val="1"/>
                <w:bCs w:val="1"/>
                <w:color w:val="auto"/>
                <w:w w:val="90"/>
              </w:rPr>
              <w:t>1-2256</w:t>
            </w:r>
          </w:p>
        </w:tc>
        <w:tc>
          <w:tcPr>
            <w:tcW w:w="1520" w:type="dxa"/>
            <w:vAlign w:val="bottom"/>
            <w:gridSpan w:val="2"/>
          </w:tcPr>
          <w:p>
            <w:pPr>
              <w:jc w:val="center"/>
              <w:ind w:left="84"/>
              <w:spacing w:after="0"/>
              <w:rPr>
                <w:sz w:val="20"/>
                <w:szCs w:val="20"/>
                <w:color w:val="auto"/>
              </w:rPr>
            </w:pPr>
            <w:r>
              <w:rPr>
                <w:rFonts w:ascii="Arial" w:cs="Arial" w:eastAsia="Arial" w:hAnsi="Arial"/>
                <w:sz w:val="22"/>
                <w:szCs w:val="22"/>
                <w:b w:val="1"/>
                <w:bCs w:val="1"/>
                <w:color w:val="auto"/>
                <w:w w:val="90"/>
              </w:rPr>
              <w:t>13-5409005</w:t>
            </w:r>
          </w:p>
        </w:tc>
      </w:tr>
      <w:tr>
        <w:trPr>
          <w:trHeight w:val="179"/>
        </w:trPr>
        <w:tc>
          <w:tcPr>
            <w:tcW w:w="1460" w:type="dxa"/>
            <w:vAlign w:val="bottom"/>
            <w:gridSpan w:val="2"/>
          </w:tcPr>
          <w:p>
            <w:pPr>
              <w:jc w:val="center"/>
              <w:ind w:right="240"/>
              <w:spacing w:after="0" w:line="179" w:lineRule="exact"/>
              <w:rPr>
                <w:sz w:val="20"/>
                <w:szCs w:val="20"/>
                <w:color w:val="auto"/>
              </w:rPr>
            </w:pPr>
            <w:r>
              <w:rPr>
                <w:rFonts w:ascii="Arial" w:cs="Arial" w:eastAsia="Arial" w:hAnsi="Arial"/>
                <w:sz w:val="18"/>
                <w:szCs w:val="18"/>
                <w:color w:val="auto"/>
                <w:w w:val="88"/>
              </w:rPr>
              <w:t>(State or other</w:t>
            </w:r>
          </w:p>
        </w:tc>
        <w:tc>
          <w:tcPr>
            <w:tcW w:w="5580" w:type="dxa"/>
            <w:vAlign w:val="bottom"/>
          </w:tcPr>
          <w:p>
            <w:pPr>
              <w:jc w:val="center"/>
              <w:spacing w:after="0" w:line="179" w:lineRule="exact"/>
              <w:rPr>
                <w:sz w:val="20"/>
                <w:szCs w:val="20"/>
                <w:color w:val="auto"/>
              </w:rPr>
            </w:pPr>
            <w:r>
              <w:rPr>
                <w:rFonts w:ascii="Arial" w:cs="Arial" w:eastAsia="Arial" w:hAnsi="Arial"/>
                <w:sz w:val="18"/>
                <w:szCs w:val="18"/>
                <w:color w:val="auto"/>
                <w:w w:val="93"/>
              </w:rPr>
              <w:t>(Commission</w:t>
            </w:r>
          </w:p>
        </w:tc>
        <w:tc>
          <w:tcPr>
            <w:tcW w:w="1520" w:type="dxa"/>
            <w:vAlign w:val="bottom"/>
            <w:gridSpan w:val="2"/>
          </w:tcPr>
          <w:p>
            <w:pPr>
              <w:jc w:val="center"/>
              <w:ind w:left="84"/>
              <w:spacing w:after="0" w:line="179" w:lineRule="exact"/>
              <w:rPr>
                <w:sz w:val="20"/>
                <w:szCs w:val="20"/>
                <w:color w:val="auto"/>
              </w:rPr>
            </w:pPr>
            <w:r>
              <w:rPr>
                <w:rFonts w:ascii="Arial" w:cs="Arial" w:eastAsia="Arial" w:hAnsi="Arial"/>
                <w:sz w:val="18"/>
                <w:szCs w:val="18"/>
                <w:color w:val="auto"/>
                <w:w w:val="93"/>
              </w:rPr>
              <w:t>(IRS Employer</w:t>
            </w:r>
          </w:p>
        </w:tc>
      </w:tr>
      <w:tr>
        <w:trPr>
          <w:trHeight w:val="176"/>
        </w:trPr>
        <w:tc>
          <w:tcPr>
            <w:tcW w:w="1460" w:type="dxa"/>
            <w:vAlign w:val="bottom"/>
            <w:gridSpan w:val="2"/>
          </w:tcPr>
          <w:p>
            <w:pPr>
              <w:jc w:val="center"/>
              <w:ind w:right="240"/>
              <w:spacing w:after="0" w:line="176" w:lineRule="exact"/>
              <w:rPr>
                <w:sz w:val="20"/>
                <w:szCs w:val="20"/>
                <w:color w:val="auto"/>
              </w:rPr>
            </w:pPr>
            <w:r>
              <w:rPr>
                <w:rFonts w:ascii="Arial" w:cs="Arial" w:eastAsia="Arial" w:hAnsi="Arial"/>
                <w:sz w:val="18"/>
                <w:szCs w:val="18"/>
                <w:color w:val="auto"/>
                <w:w w:val="96"/>
              </w:rPr>
              <w:t>jurisdiction</w:t>
            </w:r>
          </w:p>
        </w:tc>
        <w:tc>
          <w:tcPr>
            <w:tcW w:w="5580" w:type="dxa"/>
            <w:vAlign w:val="bottom"/>
          </w:tcPr>
          <w:p>
            <w:pPr>
              <w:jc w:val="center"/>
              <w:spacing w:after="0" w:line="176" w:lineRule="exact"/>
              <w:rPr>
                <w:sz w:val="20"/>
                <w:szCs w:val="20"/>
                <w:color w:val="auto"/>
              </w:rPr>
            </w:pPr>
            <w:r>
              <w:rPr>
                <w:rFonts w:ascii="Arial" w:cs="Arial" w:eastAsia="Arial" w:hAnsi="Arial"/>
                <w:sz w:val="18"/>
                <w:szCs w:val="18"/>
                <w:color w:val="auto"/>
                <w:w w:val="94"/>
              </w:rPr>
              <w:t>File Number)</w:t>
            </w:r>
          </w:p>
        </w:tc>
        <w:tc>
          <w:tcPr>
            <w:tcW w:w="1520" w:type="dxa"/>
            <w:vAlign w:val="bottom"/>
            <w:gridSpan w:val="2"/>
          </w:tcPr>
          <w:p>
            <w:pPr>
              <w:jc w:val="center"/>
              <w:ind w:left="84"/>
              <w:spacing w:after="0" w:line="176" w:lineRule="exact"/>
              <w:rPr>
                <w:sz w:val="20"/>
                <w:szCs w:val="20"/>
                <w:color w:val="auto"/>
              </w:rPr>
            </w:pPr>
            <w:r>
              <w:rPr>
                <w:rFonts w:ascii="Arial" w:cs="Arial" w:eastAsia="Arial" w:hAnsi="Arial"/>
                <w:sz w:val="18"/>
                <w:szCs w:val="18"/>
                <w:color w:val="auto"/>
                <w:w w:val="95"/>
              </w:rPr>
              <w:t>Identification No.)</w:t>
            </w:r>
          </w:p>
        </w:tc>
      </w:tr>
      <w:tr>
        <w:trPr>
          <w:trHeight w:val="230"/>
        </w:trPr>
        <w:tc>
          <w:tcPr>
            <w:tcW w:w="146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of incorporation)</w:t>
            </w:r>
          </w:p>
        </w:tc>
        <w:tc>
          <w:tcPr>
            <w:tcW w:w="5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79"/>
        </w:trPr>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580" w:type="dxa"/>
            <w:vAlign w:val="bottom"/>
          </w:tcPr>
          <w:p>
            <w:pPr>
              <w:jc w:val="center"/>
              <w:ind w:left="25"/>
              <w:spacing w:after="0"/>
              <w:rPr>
                <w:sz w:val="20"/>
                <w:szCs w:val="20"/>
                <w:color w:val="auto"/>
              </w:rPr>
            </w:pPr>
            <w:r>
              <w:rPr>
                <w:rFonts w:ascii="Arial" w:cs="Arial" w:eastAsia="Arial" w:hAnsi="Arial"/>
                <w:sz w:val="22"/>
                <w:szCs w:val="22"/>
                <w:b w:val="1"/>
                <w:bCs w:val="1"/>
                <w:color w:val="auto"/>
                <w:w w:val="88"/>
              </w:rPr>
              <w:t>5959 Las Colinas Boulevard, Irving, Texas 75039-2298</w:t>
            </w: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30"/>
        </w:trPr>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 (Zip Code)</w:t>
            </w: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483"/>
        </w:trPr>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21"/>
                <w:szCs w:val="21"/>
                <w:b w:val="1"/>
                <w:bCs w:val="1"/>
                <w:color w:val="auto"/>
                <w:w w:val="90"/>
              </w:rPr>
              <w:t>(972) 940-6000</w:t>
            </w: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27"/>
        </w:trPr>
        <w:tc>
          <w:tcPr>
            <w:tcW w:w="5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20" w:type="dxa"/>
            <w:vAlign w:val="bottom"/>
          </w:tcPr>
          <w:p>
            <w:pPr>
              <w:spacing w:after="0"/>
              <w:rPr>
                <w:sz w:val="24"/>
                <w:szCs w:val="24"/>
                <w:color w:val="auto"/>
              </w:rPr>
            </w:pPr>
          </w:p>
        </w:tc>
      </w:tr>
      <w:tr>
        <w:trPr>
          <w:trHeight w:val="224"/>
        </w:trPr>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r>
    </w:tbl>
    <w:p>
      <w:pPr>
        <w:spacing w:after="0" w:line="327"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06"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67"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67"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80"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53"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3320" w:type="dxa"/>
            <w:vAlign w:val="bottom"/>
          </w:tcPr>
          <w:p>
            <w:pPr>
              <w:spacing w:after="0"/>
              <w:rPr>
                <w:sz w:val="15"/>
                <w:szCs w:val="15"/>
                <w:color w:val="auto"/>
              </w:rPr>
            </w:pPr>
          </w:p>
        </w:tc>
        <w:tc>
          <w:tcPr>
            <w:tcW w:w="4400" w:type="dxa"/>
            <w:vAlign w:val="bottom"/>
          </w:tcPr>
          <w:p>
            <w:pPr>
              <w:ind w:left="640"/>
              <w:spacing w:after="0"/>
              <w:rPr>
                <w:sz w:val="20"/>
                <w:szCs w:val="20"/>
                <w:color w:val="auto"/>
              </w:rPr>
            </w:pPr>
            <w:r>
              <w:rPr>
                <w:rFonts w:ascii="Arial" w:cs="Arial" w:eastAsia="Arial" w:hAnsi="Arial"/>
                <w:sz w:val="14"/>
                <w:szCs w:val="14"/>
                <w:color w:val="auto"/>
              </w:rPr>
              <w:t>Securities registered pursuant to Section 12(b) of the Act:</w:t>
            </w:r>
          </w:p>
        </w:tc>
        <w:tc>
          <w:tcPr>
            <w:tcW w:w="3320" w:type="dxa"/>
            <w:vAlign w:val="bottom"/>
          </w:tcPr>
          <w:p>
            <w:pPr>
              <w:spacing w:after="0"/>
              <w:rPr>
                <w:sz w:val="15"/>
                <w:szCs w:val="15"/>
                <w:color w:val="auto"/>
              </w:rPr>
            </w:pPr>
          </w:p>
        </w:tc>
      </w:tr>
      <w:tr>
        <w:trPr>
          <w:trHeight w:val="297"/>
        </w:trPr>
        <w:tc>
          <w:tcPr>
            <w:tcW w:w="33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3320" w:type="dxa"/>
            <w:vAlign w:val="bottom"/>
          </w:tcPr>
          <w:p>
            <w:pPr>
              <w:jc w:val="center"/>
              <w:ind w:right="295"/>
              <w:spacing w:after="0"/>
              <w:rPr>
                <w:sz w:val="20"/>
                <w:szCs w:val="20"/>
                <w:color w:val="auto"/>
              </w:rPr>
            </w:pPr>
            <w:r>
              <w:rPr>
                <w:rFonts w:ascii="Arial" w:cs="Arial" w:eastAsia="Arial" w:hAnsi="Arial"/>
                <w:sz w:val="14"/>
                <w:szCs w:val="14"/>
                <w:color w:val="auto"/>
                <w:w w:val="91"/>
              </w:rPr>
              <w:t>Name of Each Exchange</w:t>
            </w:r>
          </w:p>
        </w:tc>
      </w:tr>
      <w:tr>
        <w:trPr>
          <w:trHeight w:val="195"/>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Title of Each Class</w:t>
            </w:r>
          </w:p>
        </w:tc>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Trading Symbol</w:t>
            </w:r>
          </w:p>
        </w:tc>
        <w:tc>
          <w:tcPr>
            <w:tcW w:w="3320" w:type="dxa"/>
            <w:vAlign w:val="bottom"/>
            <w:tcBorders>
              <w:bottom w:val="single" w:sz="8" w:color="auto"/>
            </w:tcBorders>
          </w:tcPr>
          <w:p>
            <w:pPr>
              <w:jc w:val="center"/>
              <w:ind w:right="295"/>
              <w:spacing w:after="0"/>
              <w:rPr>
                <w:sz w:val="20"/>
                <w:szCs w:val="20"/>
                <w:color w:val="auto"/>
              </w:rPr>
            </w:pPr>
            <w:r>
              <w:rPr>
                <w:rFonts w:ascii="Arial" w:cs="Arial" w:eastAsia="Arial" w:hAnsi="Arial"/>
                <w:sz w:val="14"/>
                <w:szCs w:val="14"/>
                <w:color w:val="auto"/>
                <w:w w:val="93"/>
              </w:rPr>
              <w:t>on Which Registered</w:t>
            </w:r>
          </w:p>
        </w:tc>
      </w:tr>
      <w:tr>
        <w:trPr>
          <w:trHeight w:val="224"/>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Common Stock, without par value</w:t>
            </w:r>
          </w:p>
        </w:tc>
        <w:tc>
          <w:tcPr>
            <w:tcW w:w="4400" w:type="dxa"/>
            <w:vAlign w:val="bottom"/>
          </w:tcPr>
          <w:p>
            <w:pPr>
              <w:jc w:val="center"/>
              <w:spacing w:after="0"/>
              <w:rPr>
                <w:sz w:val="20"/>
                <w:szCs w:val="20"/>
                <w:color w:val="auto"/>
              </w:rPr>
            </w:pPr>
            <w:r>
              <w:rPr>
                <w:rFonts w:ascii="Arial" w:cs="Arial" w:eastAsia="Arial" w:hAnsi="Arial"/>
                <w:sz w:val="18"/>
                <w:szCs w:val="18"/>
                <w:b w:val="1"/>
                <w:bCs w:val="1"/>
                <w:color w:val="auto"/>
              </w:rPr>
              <w:t>XOM</w:t>
            </w:r>
          </w:p>
        </w:tc>
        <w:tc>
          <w:tcPr>
            <w:tcW w:w="3320" w:type="dxa"/>
            <w:vAlign w:val="bottom"/>
          </w:tcPr>
          <w:p>
            <w:pPr>
              <w:jc w:val="center"/>
              <w:ind w:right="275"/>
              <w:spacing w:after="0"/>
              <w:rPr>
                <w:sz w:val="20"/>
                <w:szCs w:val="20"/>
                <w:color w:val="auto"/>
              </w:rPr>
            </w:pPr>
            <w:r>
              <w:rPr>
                <w:rFonts w:ascii="Arial" w:cs="Arial" w:eastAsia="Arial" w:hAnsi="Arial"/>
                <w:sz w:val="18"/>
                <w:szCs w:val="18"/>
                <w:b w:val="1"/>
                <w:bCs w:val="1"/>
                <w:color w:val="auto"/>
                <w:w w:val="90"/>
              </w:rPr>
              <w:t>New York Stock Exchange</w:t>
            </w: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0.142% Notes due 2024</w:t>
            </w:r>
          </w:p>
        </w:tc>
        <w:tc>
          <w:tcPr>
            <w:tcW w:w="4400" w:type="dxa"/>
            <w:vAlign w:val="bottom"/>
          </w:tcPr>
          <w:p>
            <w:pPr>
              <w:jc w:val="center"/>
              <w:spacing w:after="0"/>
              <w:rPr>
                <w:sz w:val="20"/>
                <w:szCs w:val="20"/>
                <w:color w:val="auto"/>
              </w:rPr>
            </w:pPr>
            <w:r>
              <w:rPr>
                <w:rFonts w:ascii="Arial" w:cs="Arial" w:eastAsia="Arial" w:hAnsi="Arial"/>
                <w:sz w:val="18"/>
                <w:szCs w:val="18"/>
                <w:b w:val="1"/>
                <w:bCs w:val="1"/>
                <w:color w:val="auto"/>
                <w:w w:val="99"/>
              </w:rPr>
              <w:t>XOM24B</w:t>
            </w:r>
          </w:p>
        </w:tc>
        <w:tc>
          <w:tcPr>
            <w:tcW w:w="3320" w:type="dxa"/>
            <w:vAlign w:val="bottom"/>
          </w:tcPr>
          <w:p>
            <w:pPr>
              <w:jc w:val="center"/>
              <w:ind w:right="275"/>
              <w:spacing w:after="0"/>
              <w:rPr>
                <w:sz w:val="20"/>
                <w:szCs w:val="20"/>
                <w:color w:val="auto"/>
              </w:rPr>
            </w:pPr>
            <w:r>
              <w:rPr>
                <w:rFonts w:ascii="Arial" w:cs="Arial" w:eastAsia="Arial" w:hAnsi="Arial"/>
                <w:sz w:val="18"/>
                <w:szCs w:val="18"/>
                <w:b w:val="1"/>
                <w:bCs w:val="1"/>
                <w:color w:val="auto"/>
                <w:w w:val="90"/>
              </w:rPr>
              <w:t>New York Stock Exchange</w:t>
            </w: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0.524% Notes due 2028</w:t>
            </w:r>
          </w:p>
        </w:tc>
        <w:tc>
          <w:tcPr>
            <w:tcW w:w="4400" w:type="dxa"/>
            <w:vAlign w:val="bottom"/>
          </w:tcPr>
          <w:p>
            <w:pPr>
              <w:jc w:val="center"/>
              <w:spacing w:after="0"/>
              <w:rPr>
                <w:sz w:val="20"/>
                <w:szCs w:val="20"/>
                <w:color w:val="auto"/>
              </w:rPr>
            </w:pPr>
            <w:r>
              <w:rPr>
                <w:rFonts w:ascii="Arial" w:cs="Arial" w:eastAsia="Arial" w:hAnsi="Arial"/>
                <w:sz w:val="18"/>
                <w:szCs w:val="18"/>
                <w:b w:val="1"/>
                <w:bCs w:val="1"/>
                <w:color w:val="auto"/>
              </w:rPr>
              <w:t>XOM28</w:t>
            </w:r>
          </w:p>
        </w:tc>
        <w:tc>
          <w:tcPr>
            <w:tcW w:w="3320" w:type="dxa"/>
            <w:vAlign w:val="bottom"/>
          </w:tcPr>
          <w:p>
            <w:pPr>
              <w:jc w:val="center"/>
              <w:ind w:right="275"/>
              <w:spacing w:after="0"/>
              <w:rPr>
                <w:sz w:val="20"/>
                <w:szCs w:val="20"/>
                <w:color w:val="auto"/>
              </w:rPr>
            </w:pPr>
            <w:r>
              <w:rPr>
                <w:rFonts w:ascii="Arial" w:cs="Arial" w:eastAsia="Arial" w:hAnsi="Arial"/>
                <w:sz w:val="18"/>
                <w:szCs w:val="18"/>
                <w:b w:val="1"/>
                <w:bCs w:val="1"/>
                <w:color w:val="auto"/>
                <w:w w:val="90"/>
              </w:rPr>
              <w:t>New York Stock Exchange</w:t>
            </w: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0.835% Notes due 2032</w:t>
            </w:r>
          </w:p>
        </w:tc>
        <w:tc>
          <w:tcPr>
            <w:tcW w:w="4400" w:type="dxa"/>
            <w:vAlign w:val="bottom"/>
          </w:tcPr>
          <w:p>
            <w:pPr>
              <w:jc w:val="center"/>
              <w:spacing w:after="0"/>
              <w:rPr>
                <w:sz w:val="20"/>
                <w:szCs w:val="20"/>
                <w:color w:val="auto"/>
              </w:rPr>
            </w:pPr>
            <w:r>
              <w:rPr>
                <w:rFonts w:ascii="Arial" w:cs="Arial" w:eastAsia="Arial" w:hAnsi="Arial"/>
                <w:sz w:val="18"/>
                <w:szCs w:val="18"/>
                <w:b w:val="1"/>
                <w:bCs w:val="1"/>
                <w:color w:val="auto"/>
              </w:rPr>
              <w:t>XOM32</w:t>
            </w:r>
          </w:p>
        </w:tc>
        <w:tc>
          <w:tcPr>
            <w:tcW w:w="3320" w:type="dxa"/>
            <w:vAlign w:val="bottom"/>
          </w:tcPr>
          <w:p>
            <w:pPr>
              <w:jc w:val="center"/>
              <w:ind w:right="275"/>
              <w:spacing w:after="0"/>
              <w:rPr>
                <w:sz w:val="20"/>
                <w:szCs w:val="20"/>
                <w:color w:val="auto"/>
              </w:rPr>
            </w:pPr>
            <w:r>
              <w:rPr>
                <w:rFonts w:ascii="Arial" w:cs="Arial" w:eastAsia="Arial" w:hAnsi="Arial"/>
                <w:sz w:val="18"/>
                <w:szCs w:val="18"/>
                <w:b w:val="1"/>
                <w:bCs w:val="1"/>
                <w:color w:val="auto"/>
                <w:w w:val="90"/>
              </w:rPr>
              <w:t>New York Stock Exchange</w:t>
            </w:r>
          </w:p>
        </w:tc>
      </w:tr>
      <w:tr>
        <w:trPr>
          <w:trHeight w:val="234"/>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1.408% Notes due 2039</w:t>
            </w:r>
          </w:p>
        </w:tc>
        <w:tc>
          <w:tcPr>
            <w:tcW w:w="4400" w:type="dxa"/>
            <w:vAlign w:val="bottom"/>
          </w:tcPr>
          <w:p>
            <w:pPr>
              <w:jc w:val="center"/>
              <w:spacing w:after="0"/>
              <w:rPr>
                <w:sz w:val="20"/>
                <w:szCs w:val="20"/>
                <w:color w:val="auto"/>
              </w:rPr>
            </w:pPr>
            <w:r>
              <w:rPr>
                <w:rFonts w:ascii="Arial" w:cs="Arial" w:eastAsia="Arial" w:hAnsi="Arial"/>
                <w:sz w:val="18"/>
                <w:szCs w:val="18"/>
                <w:b w:val="1"/>
                <w:bCs w:val="1"/>
                <w:color w:val="auto"/>
                <w:w w:val="99"/>
              </w:rPr>
              <w:t>XOM39A</w:t>
            </w:r>
          </w:p>
        </w:tc>
        <w:tc>
          <w:tcPr>
            <w:tcW w:w="3320" w:type="dxa"/>
            <w:vAlign w:val="bottom"/>
          </w:tcPr>
          <w:p>
            <w:pPr>
              <w:jc w:val="center"/>
              <w:ind w:right="275"/>
              <w:spacing w:after="0"/>
              <w:rPr>
                <w:sz w:val="20"/>
                <w:szCs w:val="20"/>
                <w:color w:val="auto"/>
              </w:rPr>
            </w:pPr>
            <w:r>
              <w:rPr>
                <w:rFonts w:ascii="Arial" w:cs="Arial" w:eastAsia="Arial" w:hAnsi="Arial"/>
                <w:sz w:val="18"/>
                <w:szCs w:val="18"/>
                <w:b w:val="1"/>
                <w:bCs w:val="1"/>
                <w:color w:val="auto"/>
                <w:w w:val="90"/>
              </w:rPr>
              <w:t>New York Stock Exchange</w:t>
            </w:r>
          </w:p>
        </w:tc>
      </w:tr>
    </w:tbl>
    <w:p>
      <w:pPr>
        <w:spacing w:after="0" w:line="287"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3" w:lineRule="exact"/>
        <w:rPr>
          <w:sz w:val="24"/>
          <w:szCs w:val="24"/>
          <w:color w:val="auto"/>
        </w:rPr>
      </w:pPr>
    </w:p>
    <w:p>
      <w:pPr>
        <w:ind w:left="6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92" w:lineRule="exact"/>
        <w:rPr>
          <w:sz w:val="24"/>
          <w:szCs w:val="24"/>
          <w:color w:val="auto"/>
        </w:rPr>
      </w:pPr>
    </w:p>
    <w:p>
      <w:pPr>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1" w:name="page2"/>
    <w:bookmarkEnd w:id="1"/>
    <w:p>
      <w:pPr>
        <w:ind w:left="20"/>
        <w:spacing w:after="0"/>
        <w:rPr>
          <w:sz w:val="20"/>
          <w:szCs w:val="20"/>
          <w:color w:val="auto"/>
        </w:rPr>
      </w:pPr>
      <w:r>
        <w:rPr>
          <w:rFonts w:ascii="Arial" w:cs="Arial" w:eastAsia="Arial" w:hAnsi="Arial"/>
          <w:sz w:val="18"/>
          <w:szCs w:val="18"/>
          <w:b w:val="1"/>
          <w:bCs w:val="1"/>
          <w:color w:val="auto"/>
        </w:rPr>
        <w:t>Item 5.02</w:t>
      </w:r>
    </w:p>
    <w:p>
      <w:pPr>
        <w:spacing w:after="0" w:line="20" w:lineRule="exact"/>
        <w:rPr>
          <w:sz w:val="20"/>
          <w:szCs w:val="20"/>
          <w:color w:val="auto"/>
        </w:rPr>
      </w:pPr>
      <w:r>
        <w:rPr>
          <w:sz w:val="20"/>
          <w:szCs w:val="20"/>
          <w:color w:val="auto"/>
        </w:rPr>
        <w:br w:type="column"/>
      </w:r>
    </w:p>
    <w:p>
      <w:pPr>
        <w:ind w:right="980"/>
        <w:spacing w:after="0" w:line="267" w:lineRule="auto"/>
        <w:rPr>
          <w:sz w:val="20"/>
          <w:szCs w:val="20"/>
          <w:color w:val="auto"/>
        </w:rPr>
      </w:pPr>
      <w:r>
        <w:rPr>
          <w:rFonts w:ascii="Arial" w:cs="Arial" w:eastAsia="Arial" w:hAnsi="Arial"/>
          <w:sz w:val="20"/>
          <w:szCs w:val="20"/>
          <w:b w:val="1"/>
          <w:bCs w:val="1"/>
          <w:color w:val="auto"/>
        </w:rPr>
        <w:t>Departure of Directors or Certain Officers; Election of Directors; Appointment of Certain Officers; Compensatory Arrangements of Certain Officers</w:t>
      </w:r>
    </w:p>
    <w:p>
      <w:pPr>
        <w:spacing w:after="0" w:line="200" w:lineRule="exact"/>
        <w:rPr>
          <w:sz w:val="20"/>
          <w:szCs w:val="20"/>
          <w:color w:val="auto"/>
        </w:rPr>
      </w:pPr>
    </w:p>
    <w:p>
      <w:pPr>
        <w:sectPr>
          <w:pgSz w:w="11900" w:h="16838" w:orient="portrait"/>
          <w:cols w:equalWidth="0" w:num="2">
            <w:col w:w="1120" w:space="720"/>
            <w:col w:w="9380"/>
          </w:cols>
          <w:pgMar w:left="320" w:top="1210" w:right="359" w:bottom="1440" w:gutter="0" w:footer="0" w:header="0"/>
        </w:sectPr>
      </w:pPr>
    </w:p>
    <w:p>
      <w:pPr>
        <w:spacing w:after="0" w:line="185" w:lineRule="exact"/>
        <w:rPr>
          <w:sz w:val="20"/>
          <w:szCs w:val="20"/>
          <w:color w:val="auto"/>
        </w:rPr>
      </w:pPr>
    </w:p>
    <w:p>
      <w:pPr>
        <w:ind w:firstLine="8"/>
        <w:spacing w:after="0" w:line="250" w:lineRule="auto"/>
        <w:tabs>
          <w:tab w:leader="none" w:pos="269" w:val="left"/>
        </w:tabs>
        <w:numPr>
          <w:ilvl w:val="0"/>
          <w:numId w:val="2"/>
        </w:numPr>
        <w:rPr>
          <w:rFonts w:ascii="Arial" w:cs="Arial" w:eastAsia="Arial" w:hAnsi="Arial"/>
          <w:sz w:val="20"/>
          <w:szCs w:val="20"/>
          <w:color w:val="auto"/>
        </w:rPr>
      </w:pPr>
      <w:r>
        <w:rPr>
          <w:rFonts w:ascii="Arial" w:cs="Arial" w:eastAsia="Arial" w:hAnsi="Arial"/>
          <w:sz w:val="20"/>
          <w:szCs w:val="20"/>
          <w:color w:val="auto"/>
        </w:rPr>
        <w:t>On November 23, 2021, the Compensation Committee of Exxon Mobil Corporation (the "Corporation" or "ExxonMobil") established a total ceiling of $145 million in respect of 2021 to be available for grant under the Corporation's Short Term Incentive Program. Bonuses, paid in full in year of grant, were awarded to certain officers as follows:</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1800" w:type="dxa"/>
            <w:vAlign w:val="bottom"/>
          </w:tcPr>
          <w:p>
            <w:pPr>
              <w:spacing w:after="0"/>
              <w:rPr>
                <w:sz w:val="20"/>
                <w:szCs w:val="20"/>
                <w:color w:val="auto"/>
              </w:rPr>
            </w:pPr>
            <w:r>
              <w:rPr>
                <w:rFonts w:ascii="Arial" w:cs="Arial" w:eastAsia="Arial" w:hAnsi="Arial"/>
                <w:sz w:val="20"/>
                <w:szCs w:val="20"/>
                <w:color w:val="auto"/>
              </w:rPr>
              <w:t>D. W. Woods</w:t>
            </w:r>
          </w:p>
        </w:tc>
        <w:tc>
          <w:tcPr>
            <w:tcW w:w="1320" w:type="dxa"/>
            <w:vAlign w:val="bottom"/>
          </w:tcPr>
          <w:p>
            <w:pPr>
              <w:jc w:val="right"/>
              <w:spacing w:after="0"/>
              <w:rPr>
                <w:sz w:val="20"/>
                <w:szCs w:val="20"/>
                <w:color w:val="auto"/>
              </w:rPr>
            </w:pPr>
            <w:r>
              <w:rPr>
                <w:rFonts w:ascii="Arial" w:cs="Arial" w:eastAsia="Arial" w:hAnsi="Arial"/>
                <w:sz w:val="20"/>
                <w:szCs w:val="20"/>
                <w:color w:val="auto"/>
              </w:rPr>
              <w:t>$3,142,000</w:t>
            </w:r>
          </w:p>
        </w:tc>
      </w:tr>
      <w:tr>
        <w:trPr>
          <w:trHeight w:val="243"/>
        </w:trPr>
        <w:tc>
          <w:tcPr>
            <w:tcW w:w="1800" w:type="dxa"/>
            <w:vAlign w:val="bottom"/>
          </w:tcPr>
          <w:p>
            <w:pPr>
              <w:spacing w:after="0"/>
              <w:rPr>
                <w:sz w:val="20"/>
                <w:szCs w:val="20"/>
                <w:color w:val="auto"/>
              </w:rPr>
            </w:pPr>
            <w:r>
              <w:rPr>
                <w:rFonts w:ascii="Arial" w:cs="Arial" w:eastAsia="Arial" w:hAnsi="Arial"/>
                <w:sz w:val="20"/>
                <w:szCs w:val="20"/>
                <w:color w:val="auto"/>
              </w:rPr>
              <w:t>K. A. Mikells</w:t>
            </w:r>
          </w:p>
        </w:tc>
        <w:tc>
          <w:tcPr>
            <w:tcW w:w="1320" w:type="dxa"/>
            <w:vAlign w:val="bottom"/>
          </w:tcPr>
          <w:p>
            <w:pPr>
              <w:jc w:val="right"/>
              <w:spacing w:after="0"/>
              <w:rPr>
                <w:sz w:val="20"/>
                <w:szCs w:val="20"/>
                <w:color w:val="auto"/>
              </w:rPr>
            </w:pPr>
            <w:r>
              <w:rPr>
                <w:rFonts w:ascii="Arial" w:cs="Arial" w:eastAsia="Arial" w:hAnsi="Arial"/>
                <w:sz w:val="20"/>
                <w:szCs w:val="20"/>
                <w:color w:val="auto"/>
              </w:rPr>
              <w:t>$1,932,000</w:t>
            </w:r>
          </w:p>
        </w:tc>
      </w:tr>
      <w:tr>
        <w:trPr>
          <w:trHeight w:val="243"/>
        </w:trPr>
        <w:tc>
          <w:tcPr>
            <w:tcW w:w="1800" w:type="dxa"/>
            <w:vAlign w:val="bottom"/>
          </w:tcPr>
          <w:p>
            <w:pPr>
              <w:spacing w:after="0"/>
              <w:rPr>
                <w:sz w:val="20"/>
                <w:szCs w:val="20"/>
                <w:color w:val="auto"/>
              </w:rPr>
            </w:pPr>
            <w:r>
              <w:rPr>
                <w:rFonts w:ascii="Arial" w:cs="Arial" w:eastAsia="Arial" w:hAnsi="Arial"/>
                <w:sz w:val="20"/>
                <w:szCs w:val="20"/>
                <w:color w:val="auto"/>
              </w:rPr>
              <w:t>A. P. Swiger</w:t>
            </w:r>
          </w:p>
        </w:tc>
        <w:tc>
          <w:tcPr>
            <w:tcW w:w="1320" w:type="dxa"/>
            <w:vAlign w:val="bottom"/>
          </w:tcPr>
          <w:p>
            <w:pPr>
              <w:jc w:val="right"/>
              <w:spacing w:after="0"/>
              <w:rPr>
                <w:sz w:val="20"/>
                <w:szCs w:val="20"/>
                <w:color w:val="auto"/>
              </w:rPr>
            </w:pPr>
            <w:r>
              <w:rPr>
                <w:rFonts w:ascii="Arial" w:cs="Arial" w:eastAsia="Arial" w:hAnsi="Arial"/>
                <w:sz w:val="20"/>
                <w:szCs w:val="20"/>
                <w:color w:val="auto"/>
              </w:rPr>
              <w:t>$1,345,000</w:t>
            </w:r>
          </w:p>
        </w:tc>
      </w:tr>
      <w:tr>
        <w:trPr>
          <w:trHeight w:val="243"/>
        </w:trPr>
        <w:tc>
          <w:tcPr>
            <w:tcW w:w="1800" w:type="dxa"/>
            <w:vAlign w:val="bottom"/>
          </w:tcPr>
          <w:p>
            <w:pPr>
              <w:spacing w:after="0"/>
              <w:rPr>
                <w:sz w:val="20"/>
                <w:szCs w:val="20"/>
                <w:color w:val="auto"/>
              </w:rPr>
            </w:pPr>
            <w:r>
              <w:rPr>
                <w:rFonts w:ascii="Arial" w:cs="Arial" w:eastAsia="Arial" w:hAnsi="Arial"/>
                <w:sz w:val="20"/>
                <w:szCs w:val="20"/>
                <w:color w:val="auto"/>
              </w:rPr>
              <w:t>N. A. Chapman</w:t>
            </w:r>
          </w:p>
        </w:tc>
        <w:tc>
          <w:tcPr>
            <w:tcW w:w="1320" w:type="dxa"/>
            <w:vAlign w:val="bottom"/>
          </w:tcPr>
          <w:p>
            <w:pPr>
              <w:jc w:val="right"/>
              <w:spacing w:after="0"/>
              <w:rPr>
                <w:sz w:val="20"/>
                <w:szCs w:val="20"/>
                <w:color w:val="auto"/>
              </w:rPr>
            </w:pPr>
            <w:r>
              <w:rPr>
                <w:rFonts w:ascii="Arial" w:cs="Arial" w:eastAsia="Arial" w:hAnsi="Arial"/>
                <w:sz w:val="20"/>
                <w:szCs w:val="20"/>
                <w:color w:val="auto"/>
              </w:rPr>
              <w:t>$1,932,000</w:t>
            </w:r>
          </w:p>
        </w:tc>
      </w:tr>
      <w:tr>
        <w:trPr>
          <w:trHeight w:val="250"/>
        </w:trPr>
        <w:tc>
          <w:tcPr>
            <w:tcW w:w="1800" w:type="dxa"/>
            <w:vAlign w:val="bottom"/>
          </w:tcPr>
          <w:p>
            <w:pPr>
              <w:spacing w:after="0"/>
              <w:rPr>
                <w:sz w:val="20"/>
                <w:szCs w:val="20"/>
                <w:color w:val="auto"/>
              </w:rPr>
            </w:pPr>
            <w:r>
              <w:rPr>
                <w:rFonts w:ascii="Arial" w:cs="Arial" w:eastAsia="Arial" w:hAnsi="Arial"/>
                <w:sz w:val="20"/>
                <w:szCs w:val="20"/>
                <w:color w:val="auto"/>
              </w:rPr>
              <w:t>J. P. Williams, Jr.</w:t>
            </w:r>
          </w:p>
        </w:tc>
        <w:tc>
          <w:tcPr>
            <w:tcW w:w="1320" w:type="dxa"/>
            <w:vAlign w:val="bottom"/>
          </w:tcPr>
          <w:p>
            <w:pPr>
              <w:jc w:val="right"/>
              <w:spacing w:after="0"/>
              <w:rPr>
                <w:sz w:val="20"/>
                <w:szCs w:val="20"/>
                <w:color w:val="auto"/>
              </w:rPr>
            </w:pPr>
            <w:r>
              <w:rPr>
                <w:rFonts w:ascii="Arial" w:cs="Arial" w:eastAsia="Arial" w:hAnsi="Arial"/>
                <w:sz w:val="20"/>
                <w:szCs w:val="20"/>
                <w:color w:val="auto"/>
              </w:rPr>
              <w:t>$1,932,000</w:t>
            </w:r>
          </w:p>
        </w:tc>
      </w:tr>
    </w:tbl>
    <w:p>
      <w:pPr>
        <w:spacing w:after="0" w:line="303"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Under the terms of the Short Term Incentive Program, in the event of a material negative restatement of ExxonMobil’s reported financial or operating results, bonus awards paid on the basis of such results are subject to recoupment.</w:t>
      </w:r>
    </w:p>
    <w:p>
      <w:pPr>
        <w:spacing w:after="0" w:line="204" w:lineRule="exact"/>
        <w:rPr>
          <w:sz w:val="20"/>
          <w:szCs w:val="20"/>
          <w:color w:val="auto"/>
        </w:rPr>
      </w:pPr>
    </w:p>
    <w:p>
      <w:pPr>
        <w:ind w:right="80"/>
        <w:spacing w:after="0" w:line="263" w:lineRule="auto"/>
        <w:rPr>
          <w:sz w:val="20"/>
          <w:szCs w:val="20"/>
          <w:color w:val="auto"/>
        </w:rPr>
      </w:pPr>
      <w:r>
        <w:rPr>
          <w:rFonts w:ascii="Arial" w:cs="Arial" w:eastAsia="Arial" w:hAnsi="Arial"/>
          <w:sz w:val="19"/>
          <w:szCs w:val="19"/>
          <w:color w:val="auto"/>
        </w:rPr>
        <w:t>The cumulative EPS threshold to reach full payout of the 2018 and 2019 Earnings Bonus Units (EBU) remains at $6.50 per share. The Committee decided to exclude from the EPS calculation a non-cash U.S. Upstream impairment reported in 4Q 2020. The maximum settlement value of previously granted EBU awards remains unchanged, including the maximum values of awards granted to certain officers as reflected in the applicable ExxonMobil Proxy Statements for the respective years and set forth below:</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Arial" w:cs="Arial" w:eastAsia="Arial" w:hAnsi="Arial"/>
                <w:sz w:val="20"/>
                <w:szCs w:val="20"/>
                <w:color w:val="auto"/>
                <w:w w:val="89"/>
              </w:rPr>
              <w:t>2018</w:t>
            </w:r>
          </w:p>
        </w:tc>
        <w:tc>
          <w:tcPr>
            <w:tcW w:w="920" w:type="dxa"/>
            <w:vAlign w:val="bottom"/>
          </w:tcPr>
          <w:p>
            <w:pPr>
              <w:spacing w:after="0"/>
              <w:rPr>
                <w:sz w:val="19"/>
                <w:szCs w:val="19"/>
                <w:color w:val="auto"/>
              </w:rPr>
            </w:pPr>
          </w:p>
        </w:tc>
        <w:tc>
          <w:tcPr>
            <w:tcW w:w="2280" w:type="dxa"/>
            <w:vAlign w:val="bottom"/>
            <w:gridSpan w:val="3"/>
          </w:tcPr>
          <w:p>
            <w:pPr>
              <w:jc w:val="center"/>
              <w:ind w:right="60"/>
              <w:spacing w:after="0"/>
              <w:rPr>
                <w:sz w:val="20"/>
                <w:szCs w:val="20"/>
                <w:color w:val="auto"/>
              </w:rPr>
            </w:pPr>
            <w:r>
              <w:rPr>
                <w:rFonts w:ascii="Arial" w:cs="Arial" w:eastAsia="Arial" w:hAnsi="Arial"/>
                <w:sz w:val="20"/>
                <w:szCs w:val="20"/>
                <w:color w:val="auto"/>
                <w:w w:val="85"/>
              </w:rPr>
              <w:t>2019</w:t>
            </w:r>
          </w:p>
        </w:tc>
        <w:tc>
          <w:tcPr>
            <w:tcW w:w="1400" w:type="dxa"/>
            <w:vAlign w:val="bottom"/>
            <w:gridSpan w:val="2"/>
          </w:tcPr>
          <w:p>
            <w:pPr>
              <w:jc w:val="center"/>
              <w:ind w:left="621"/>
              <w:spacing w:after="0"/>
              <w:rPr>
                <w:sz w:val="20"/>
                <w:szCs w:val="20"/>
                <w:color w:val="auto"/>
              </w:rPr>
            </w:pPr>
            <w:r>
              <w:rPr>
                <w:rFonts w:ascii="Arial" w:cs="Arial" w:eastAsia="Arial" w:hAnsi="Arial"/>
                <w:sz w:val="20"/>
                <w:szCs w:val="20"/>
                <w:color w:val="auto"/>
                <w:w w:val="95"/>
              </w:rPr>
              <w:t>2020 (*)</w:t>
            </w:r>
          </w:p>
        </w:tc>
      </w:tr>
      <w:tr>
        <w:trPr>
          <w:trHeight w:val="20"/>
        </w:trPr>
        <w:tc>
          <w:tcPr>
            <w:tcW w:w="2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r>
        <w:trPr>
          <w:trHeight w:val="260"/>
        </w:trPr>
        <w:tc>
          <w:tcPr>
            <w:tcW w:w="2140" w:type="dxa"/>
            <w:vAlign w:val="bottom"/>
          </w:tcPr>
          <w:p>
            <w:pPr>
              <w:spacing w:after="0"/>
              <w:rPr>
                <w:sz w:val="20"/>
                <w:szCs w:val="20"/>
                <w:color w:val="auto"/>
              </w:rPr>
            </w:pPr>
            <w:r>
              <w:rPr>
                <w:rFonts w:ascii="Arial" w:cs="Arial" w:eastAsia="Arial" w:hAnsi="Arial"/>
                <w:sz w:val="20"/>
                <w:szCs w:val="20"/>
                <w:color w:val="auto"/>
              </w:rPr>
              <w:t>D. W. Woods</w:t>
            </w:r>
          </w:p>
        </w:tc>
        <w:tc>
          <w:tcPr>
            <w:tcW w:w="2320" w:type="dxa"/>
            <w:vAlign w:val="bottom"/>
            <w:gridSpan w:val="3"/>
          </w:tcPr>
          <w:p>
            <w:pPr>
              <w:jc w:val="center"/>
              <w:spacing w:after="0"/>
              <w:rPr>
                <w:sz w:val="20"/>
                <w:szCs w:val="20"/>
                <w:color w:val="auto"/>
              </w:rPr>
            </w:pPr>
            <w:r>
              <w:rPr>
                <w:rFonts w:ascii="Arial" w:cs="Arial" w:eastAsia="Arial" w:hAnsi="Arial"/>
                <w:sz w:val="20"/>
                <w:szCs w:val="20"/>
                <w:color w:val="auto"/>
                <w:w w:val="87"/>
              </w:rPr>
              <w:t>$1,232,000</w:t>
            </w:r>
          </w:p>
        </w:tc>
        <w:tc>
          <w:tcPr>
            <w:tcW w:w="2280" w:type="dxa"/>
            <w:vAlign w:val="bottom"/>
            <w:gridSpan w:val="3"/>
          </w:tcPr>
          <w:p>
            <w:pPr>
              <w:jc w:val="center"/>
              <w:ind w:right="60"/>
              <w:spacing w:after="0"/>
              <w:rPr>
                <w:sz w:val="20"/>
                <w:szCs w:val="20"/>
                <w:color w:val="auto"/>
              </w:rPr>
            </w:pPr>
            <w:r>
              <w:rPr>
                <w:rFonts w:ascii="Arial" w:cs="Arial" w:eastAsia="Arial" w:hAnsi="Arial"/>
                <w:sz w:val="20"/>
                <w:szCs w:val="20"/>
                <w:color w:val="auto"/>
                <w:w w:val="89"/>
              </w:rPr>
              <w:t>$1,108,000</w:t>
            </w:r>
          </w:p>
        </w:tc>
        <w:tc>
          <w:tcPr>
            <w:tcW w:w="1400" w:type="dxa"/>
            <w:vAlign w:val="bottom"/>
            <w:gridSpan w:val="2"/>
          </w:tcPr>
          <w:p>
            <w:pPr>
              <w:jc w:val="center"/>
              <w:ind w:left="621"/>
              <w:spacing w:after="0"/>
              <w:rPr>
                <w:sz w:val="20"/>
                <w:szCs w:val="20"/>
                <w:color w:val="auto"/>
              </w:rPr>
            </w:pPr>
            <w:r>
              <w:rPr>
                <w:rFonts w:ascii="Arial" w:cs="Arial" w:eastAsia="Arial" w:hAnsi="Arial"/>
                <w:sz w:val="20"/>
                <w:szCs w:val="20"/>
                <w:color w:val="auto"/>
                <w:w w:val="89"/>
              </w:rPr>
              <w:t>$0</w:t>
            </w:r>
          </w:p>
        </w:tc>
      </w:tr>
      <w:tr>
        <w:trPr>
          <w:trHeight w:val="243"/>
        </w:trPr>
        <w:tc>
          <w:tcPr>
            <w:tcW w:w="2140" w:type="dxa"/>
            <w:vAlign w:val="bottom"/>
          </w:tcPr>
          <w:p>
            <w:pPr>
              <w:spacing w:after="0"/>
              <w:rPr>
                <w:sz w:val="20"/>
                <w:szCs w:val="20"/>
                <w:color w:val="auto"/>
              </w:rPr>
            </w:pPr>
            <w:r>
              <w:rPr>
                <w:rFonts w:ascii="Arial" w:cs="Arial" w:eastAsia="Arial" w:hAnsi="Arial"/>
                <w:sz w:val="20"/>
                <w:szCs w:val="20"/>
                <w:color w:val="auto"/>
              </w:rPr>
              <w:t>A. P. Swiger</w:t>
            </w:r>
          </w:p>
        </w:tc>
        <w:tc>
          <w:tcPr>
            <w:tcW w:w="2320" w:type="dxa"/>
            <w:vAlign w:val="bottom"/>
            <w:gridSpan w:val="3"/>
          </w:tcPr>
          <w:p>
            <w:pPr>
              <w:jc w:val="center"/>
              <w:ind w:left="1"/>
              <w:spacing w:after="0"/>
              <w:rPr>
                <w:sz w:val="20"/>
                <w:szCs w:val="20"/>
                <w:color w:val="auto"/>
              </w:rPr>
            </w:pPr>
            <w:r>
              <w:rPr>
                <w:rFonts w:ascii="Arial" w:cs="Arial" w:eastAsia="Arial" w:hAnsi="Arial"/>
                <w:sz w:val="20"/>
                <w:szCs w:val="20"/>
                <w:color w:val="auto"/>
                <w:w w:val="88"/>
              </w:rPr>
              <w:t>$924,000</w:t>
            </w:r>
          </w:p>
        </w:tc>
        <w:tc>
          <w:tcPr>
            <w:tcW w:w="2280" w:type="dxa"/>
            <w:vAlign w:val="bottom"/>
            <w:gridSpan w:val="3"/>
          </w:tcPr>
          <w:p>
            <w:pPr>
              <w:jc w:val="center"/>
              <w:ind w:right="60"/>
              <w:spacing w:after="0"/>
              <w:rPr>
                <w:sz w:val="20"/>
                <w:szCs w:val="20"/>
                <w:color w:val="auto"/>
              </w:rPr>
            </w:pPr>
            <w:r>
              <w:rPr>
                <w:rFonts w:ascii="Arial" w:cs="Arial" w:eastAsia="Arial" w:hAnsi="Arial"/>
                <w:sz w:val="20"/>
                <w:szCs w:val="20"/>
                <w:color w:val="auto"/>
                <w:w w:val="88"/>
              </w:rPr>
              <w:t>$739,000</w:t>
            </w:r>
          </w:p>
        </w:tc>
        <w:tc>
          <w:tcPr>
            <w:tcW w:w="1400" w:type="dxa"/>
            <w:vAlign w:val="bottom"/>
            <w:gridSpan w:val="2"/>
          </w:tcPr>
          <w:p>
            <w:pPr>
              <w:jc w:val="center"/>
              <w:ind w:left="621"/>
              <w:spacing w:after="0"/>
              <w:rPr>
                <w:sz w:val="20"/>
                <w:szCs w:val="20"/>
                <w:color w:val="auto"/>
              </w:rPr>
            </w:pPr>
            <w:r>
              <w:rPr>
                <w:rFonts w:ascii="Arial" w:cs="Arial" w:eastAsia="Arial" w:hAnsi="Arial"/>
                <w:sz w:val="20"/>
                <w:szCs w:val="20"/>
                <w:color w:val="auto"/>
                <w:w w:val="89"/>
              </w:rPr>
              <w:t>$0</w:t>
            </w:r>
          </w:p>
        </w:tc>
      </w:tr>
      <w:tr>
        <w:trPr>
          <w:trHeight w:val="243"/>
        </w:trPr>
        <w:tc>
          <w:tcPr>
            <w:tcW w:w="2140" w:type="dxa"/>
            <w:vAlign w:val="bottom"/>
          </w:tcPr>
          <w:p>
            <w:pPr>
              <w:spacing w:after="0"/>
              <w:rPr>
                <w:sz w:val="20"/>
                <w:szCs w:val="20"/>
                <w:color w:val="auto"/>
              </w:rPr>
            </w:pPr>
            <w:r>
              <w:rPr>
                <w:rFonts w:ascii="Arial" w:cs="Arial" w:eastAsia="Arial" w:hAnsi="Arial"/>
                <w:sz w:val="20"/>
                <w:szCs w:val="20"/>
                <w:color w:val="auto"/>
              </w:rPr>
              <w:t>N. A. Chapman</w:t>
            </w:r>
          </w:p>
        </w:tc>
        <w:tc>
          <w:tcPr>
            <w:tcW w:w="2320" w:type="dxa"/>
            <w:vAlign w:val="bottom"/>
            <w:gridSpan w:val="3"/>
          </w:tcPr>
          <w:p>
            <w:pPr>
              <w:jc w:val="center"/>
              <w:ind w:left="1"/>
              <w:spacing w:after="0"/>
              <w:rPr>
                <w:sz w:val="20"/>
                <w:szCs w:val="20"/>
                <w:color w:val="auto"/>
              </w:rPr>
            </w:pPr>
            <w:r>
              <w:rPr>
                <w:rFonts w:ascii="Arial" w:cs="Arial" w:eastAsia="Arial" w:hAnsi="Arial"/>
                <w:sz w:val="20"/>
                <w:szCs w:val="20"/>
                <w:color w:val="auto"/>
                <w:w w:val="88"/>
              </w:rPr>
              <w:t>$638,000</w:t>
            </w:r>
          </w:p>
        </w:tc>
        <w:tc>
          <w:tcPr>
            <w:tcW w:w="2280" w:type="dxa"/>
            <w:vAlign w:val="bottom"/>
            <w:gridSpan w:val="3"/>
          </w:tcPr>
          <w:p>
            <w:pPr>
              <w:jc w:val="center"/>
              <w:ind w:right="60"/>
              <w:spacing w:after="0"/>
              <w:rPr>
                <w:sz w:val="20"/>
                <w:szCs w:val="20"/>
                <w:color w:val="auto"/>
              </w:rPr>
            </w:pPr>
            <w:r>
              <w:rPr>
                <w:rFonts w:ascii="Arial" w:cs="Arial" w:eastAsia="Arial" w:hAnsi="Arial"/>
                <w:sz w:val="20"/>
                <w:szCs w:val="20"/>
                <w:color w:val="auto"/>
                <w:w w:val="88"/>
              </w:rPr>
              <w:t>$635,000</w:t>
            </w:r>
          </w:p>
        </w:tc>
        <w:tc>
          <w:tcPr>
            <w:tcW w:w="1400" w:type="dxa"/>
            <w:vAlign w:val="bottom"/>
            <w:gridSpan w:val="2"/>
          </w:tcPr>
          <w:p>
            <w:pPr>
              <w:jc w:val="center"/>
              <w:ind w:left="621"/>
              <w:spacing w:after="0"/>
              <w:rPr>
                <w:sz w:val="20"/>
                <w:szCs w:val="20"/>
                <w:color w:val="auto"/>
              </w:rPr>
            </w:pPr>
            <w:r>
              <w:rPr>
                <w:rFonts w:ascii="Arial" w:cs="Arial" w:eastAsia="Arial" w:hAnsi="Arial"/>
                <w:sz w:val="20"/>
                <w:szCs w:val="20"/>
                <w:color w:val="auto"/>
                <w:w w:val="89"/>
              </w:rPr>
              <w:t>$0</w:t>
            </w:r>
          </w:p>
        </w:tc>
      </w:tr>
      <w:tr>
        <w:trPr>
          <w:trHeight w:val="250"/>
        </w:trPr>
        <w:tc>
          <w:tcPr>
            <w:tcW w:w="2140" w:type="dxa"/>
            <w:vAlign w:val="bottom"/>
          </w:tcPr>
          <w:p>
            <w:pPr>
              <w:spacing w:after="0"/>
              <w:rPr>
                <w:sz w:val="20"/>
                <w:szCs w:val="20"/>
                <w:color w:val="auto"/>
              </w:rPr>
            </w:pPr>
            <w:r>
              <w:rPr>
                <w:rFonts w:ascii="Arial" w:cs="Arial" w:eastAsia="Arial" w:hAnsi="Arial"/>
                <w:sz w:val="20"/>
                <w:szCs w:val="20"/>
                <w:color w:val="auto"/>
              </w:rPr>
              <w:t>J. P. Williams, Jr.</w:t>
            </w:r>
          </w:p>
        </w:tc>
        <w:tc>
          <w:tcPr>
            <w:tcW w:w="2320" w:type="dxa"/>
            <w:vAlign w:val="bottom"/>
            <w:gridSpan w:val="3"/>
          </w:tcPr>
          <w:p>
            <w:pPr>
              <w:jc w:val="center"/>
              <w:ind w:left="1"/>
              <w:spacing w:after="0"/>
              <w:rPr>
                <w:sz w:val="20"/>
                <w:szCs w:val="20"/>
                <w:color w:val="auto"/>
              </w:rPr>
            </w:pPr>
            <w:r>
              <w:rPr>
                <w:rFonts w:ascii="Arial" w:cs="Arial" w:eastAsia="Arial" w:hAnsi="Arial"/>
                <w:sz w:val="20"/>
                <w:szCs w:val="20"/>
                <w:color w:val="auto"/>
                <w:w w:val="88"/>
              </w:rPr>
              <w:t>$638,000</w:t>
            </w:r>
          </w:p>
        </w:tc>
        <w:tc>
          <w:tcPr>
            <w:tcW w:w="2280" w:type="dxa"/>
            <w:vAlign w:val="bottom"/>
            <w:gridSpan w:val="3"/>
          </w:tcPr>
          <w:p>
            <w:pPr>
              <w:jc w:val="center"/>
              <w:ind w:right="60"/>
              <w:spacing w:after="0"/>
              <w:rPr>
                <w:sz w:val="20"/>
                <w:szCs w:val="20"/>
                <w:color w:val="auto"/>
              </w:rPr>
            </w:pPr>
            <w:r>
              <w:rPr>
                <w:rFonts w:ascii="Arial" w:cs="Arial" w:eastAsia="Arial" w:hAnsi="Arial"/>
                <w:sz w:val="20"/>
                <w:szCs w:val="20"/>
                <w:color w:val="auto"/>
                <w:w w:val="88"/>
              </w:rPr>
              <w:t>$615,500</w:t>
            </w:r>
          </w:p>
        </w:tc>
        <w:tc>
          <w:tcPr>
            <w:tcW w:w="1400" w:type="dxa"/>
            <w:vAlign w:val="bottom"/>
            <w:gridSpan w:val="2"/>
          </w:tcPr>
          <w:p>
            <w:pPr>
              <w:jc w:val="center"/>
              <w:ind w:left="621"/>
              <w:spacing w:after="0"/>
              <w:rPr>
                <w:sz w:val="20"/>
                <w:szCs w:val="20"/>
                <w:color w:val="auto"/>
              </w:rPr>
            </w:pPr>
            <w:r>
              <w:rPr>
                <w:rFonts w:ascii="Arial" w:cs="Arial" w:eastAsia="Arial" w:hAnsi="Arial"/>
                <w:sz w:val="20"/>
                <w:szCs w:val="20"/>
                <w:color w:val="auto"/>
                <w:w w:val="89"/>
              </w:rPr>
              <w:t>$0</w:t>
            </w:r>
          </w:p>
        </w:tc>
      </w:tr>
    </w:tbl>
    <w:p>
      <w:pPr>
        <w:spacing w:after="0" w:line="317" w:lineRule="exact"/>
        <w:rPr>
          <w:sz w:val="20"/>
          <w:szCs w:val="20"/>
          <w:color w:val="auto"/>
        </w:rPr>
      </w:pPr>
    </w:p>
    <w:p>
      <w:pPr>
        <w:ind w:right="220" w:firstLine="8"/>
        <w:spacing w:after="0" w:line="238" w:lineRule="auto"/>
        <w:tabs>
          <w:tab w:leader="none" w:pos="182" w:val="left"/>
        </w:tabs>
        <w:numPr>
          <w:ilvl w:val="0"/>
          <w:numId w:val="3"/>
        </w:numPr>
        <w:rPr>
          <w:rFonts w:ascii="Arial" w:cs="Arial" w:eastAsia="Arial" w:hAnsi="Arial"/>
          <w:sz w:val="24"/>
          <w:szCs w:val="24"/>
          <w:color w:val="auto"/>
          <w:vertAlign w:val="superscript"/>
        </w:rPr>
      </w:pPr>
      <w:r>
        <w:rPr>
          <w:rFonts w:ascii="Arial" w:cs="Arial" w:eastAsia="Arial" w:hAnsi="Arial"/>
          <w:sz w:val="18"/>
          <w:szCs w:val="18"/>
          <w:color w:val="auto"/>
        </w:rPr>
        <w:t>The 2020 bonus program was suspended in response to market conditions at the time. This resulted in a $0 bonus award (cash and EBU) grant in 2020.</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Prior to settlement, EBU awards remain subject to forfeiture in case of detrimental activity on the part of the executive.</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The form of amendment of the 2018 and 2019 EBU awards is filed as Exhibit 99.1 to this report.</w:t>
      </w:r>
    </w:p>
    <w:p>
      <w:pPr>
        <w:spacing w:after="0" w:line="243" w:lineRule="exact"/>
        <w:rPr>
          <w:sz w:val="20"/>
          <w:szCs w:val="20"/>
          <w:color w:val="auto"/>
        </w:rPr>
      </w:pPr>
    </w:p>
    <w:p>
      <w:pPr>
        <w:spacing w:after="0" w:line="385" w:lineRule="auto"/>
        <w:rPr>
          <w:sz w:val="20"/>
          <w:szCs w:val="20"/>
          <w:color w:val="auto"/>
        </w:rPr>
      </w:pPr>
      <w:r>
        <w:rPr>
          <w:rFonts w:ascii="Arial" w:cs="Arial" w:eastAsia="Arial" w:hAnsi="Arial"/>
          <w:sz w:val="16"/>
          <w:szCs w:val="16"/>
          <w:color w:val="auto"/>
        </w:rPr>
        <w:t>Effective January 1, 2022, the annual salary of N. A. Chapman, Senior Vice President, will increase to $1,100,000. This represents an increase of 15% and is the result of the Committee’s assessment of performance and relative position with external benchmarking companies.</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color w:val="auto"/>
        </w:rPr>
        <w:t>All ExxonMobil executive officers are "at will" employees of the Corporation and do not have employment contracts.</w:t>
      </w: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0" w:right="35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400" w:type="dxa"/>
            <w:vAlign w:val="bottom"/>
          </w:tcPr>
          <w:p>
            <w:pPr>
              <w:jc w:val="center"/>
              <w:ind w:right="3741"/>
              <w:spacing w:after="0"/>
              <w:rPr>
                <w:sz w:val="20"/>
                <w:szCs w:val="20"/>
                <w:color w:val="auto"/>
              </w:rPr>
            </w:pPr>
            <w:r>
              <w:rPr>
                <w:rFonts w:ascii="Arial" w:cs="Arial" w:eastAsia="Arial" w:hAnsi="Arial"/>
                <w:sz w:val="20"/>
                <w:szCs w:val="20"/>
                <w:color w:val="auto"/>
                <w:w w:val="98"/>
              </w:rPr>
              <w:t>INDEX TO EXHIBITS</w:t>
            </w:r>
          </w:p>
        </w:tc>
      </w:tr>
      <w:tr>
        <w:trPr>
          <w:trHeight w:val="914"/>
        </w:trPr>
        <w:tc>
          <w:tcPr>
            <w:tcW w:w="20" w:type="dxa"/>
            <w:vAlign w:val="bottom"/>
          </w:tcPr>
          <w:p>
            <w:pPr>
              <w:spacing w:after="0"/>
              <w:rPr>
                <w:sz w:val="24"/>
                <w:szCs w:val="24"/>
                <w:color w:val="auto"/>
              </w:rPr>
            </w:pPr>
          </w:p>
        </w:tc>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3"/>
              </w:rPr>
              <w:t>Exhibit No.</w:t>
            </w:r>
          </w:p>
        </w:tc>
        <w:tc>
          <w:tcPr>
            <w:tcW w:w="1980" w:type="dxa"/>
            <w:vAlign w:val="bottom"/>
          </w:tcPr>
          <w:p>
            <w:pPr>
              <w:spacing w:after="0"/>
              <w:rPr>
                <w:sz w:val="24"/>
                <w:szCs w:val="24"/>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89"/>
              </w:rPr>
              <w:t>Description</w:t>
            </w:r>
          </w:p>
        </w:tc>
        <w:tc>
          <w:tcPr>
            <w:tcW w:w="7400" w:type="dxa"/>
            <w:vAlign w:val="bottom"/>
          </w:tcPr>
          <w:p>
            <w:pPr>
              <w:spacing w:after="0"/>
              <w:rPr>
                <w:sz w:val="24"/>
                <w:szCs w:val="24"/>
                <w:color w:val="auto"/>
              </w:rPr>
            </w:pPr>
          </w:p>
        </w:tc>
      </w:tr>
      <w:tr>
        <w:trPr>
          <w:trHeight w:val="466"/>
        </w:trPr>
        <w:tc>
          <w:tcPr>
            <w:tcW w:w="20" w:type="dxa"/>
            <w:vAlign w:val="bottom"/>
          </w:tcPr>
          <w:p>
            <w:pPr>
              <w:spacing w:after="0"/>
              <w:rPr>
                <w:sz w:val="24"/>
                <w:szCs w:val="24"/>
                <w:color w:val="auto"/>
              </w:rPr>
            </w:pPr>
          </w:p>
        </w:tc>
        <w:tc>
          <w:tcPr>
            <w:tcW w:w="360" w:type="dxa"/>
            <w:vAlign w:val="bottom"/>
            <w:tcBorders>
              <w:bottom w:val="single" w:sz="8" w:color="0000FF"/>
            </w:tcBorders>
          </w:tcPr>
          <w:p>
            <w:pPr>
              <w:spacing w:after="0"/>
              <w:rPr>
                <w:rFonts w:ascii="Arial" w:cs="Arial" w:eastAsia="Arial" w:hAnsi="Arial"/>
                <w:sz w:val="20"/>
                <w:szCs w:val="20"/>
                <w:color w:val="0000FF"/>
                <w:w w:val="87"/>
              </w:rPr>
            </w:pPr>
            <w:hyperlink w:anchor="page5">
              <w:r>
                <w:rPr>
                  <w:rFonts w:ascii="Arial" w:cs="Arial" w:eastAsia="Arial" w:hAnsi="Arial"/>
                  <w:sz w:val="20"/>
                  <w:szCs w:val="20"/>
                  <w:color w:val="0000FF"/>
                  <w:w w:val="87"/>
                </w:rPr>
                <w:t>99.</w:t>
              </w:r>
              <w:r>
                <w:rPr>
                  <w:rFonts w:ascii="Arial" w:cs="Arial" w:eastAsia="Arial" w:hAnsi="Arial"/>
                  <w:sz w:val="20"/>
                  <w:szCs w:val="20"/>
                  <w:u w:val="single" w:color="auto"/>
                  <w:color w:val="0000FF"/>
                  <w:w w:val="87"/>
                </w:rPr>
                <w:t>1</w:t>
              </w:r>
            </w:hyperlink>
          </w:p>
        </w:tc>
        <w:tc>
          <w:tcPr>
            <w:tcW w:w="5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Arial" w:cs="Arial" w:eastAsia="Arial" w:hAnsi="Arial"/>
                <w:sz w:val="20"/>
                <w:szCs w:val="20"/>
                <w:color w:val="auto"/>
              </w:rPr>
              <w:t>Form of amendment of 2018 and 2019 Earnings Bonus Unit instruments</w:t>
            </w:r>
          </w:p>
        </w:tc>
      </w:tr>
      <w:tr>
        <w:trPr>
          <w:trHeight w:val="511"/>
        </w:trPr>
        <w:tc>
          <w:tcPr>
            <w:tcW w:w="380" w:type="dxa"/>
            <w:vAlign w:val="bottom"/>
            <w:gridSpan w:val="2"/>
          </w:tcPr>
          <w:p>
            <w:pPr>
              <w:ind w:left="20"/>
              <w:spacing w:after="0"/>
              <w:rPr>
                <w:sz w:val="20"/>
                <w:szCs w:val="20"/>
                <w:color w:val="auto"/>
              </w:rPr>
            </w:pPr>
            <w:r>
              <w:rPr>
                <w:rFonts w:ascii="Arial" w:cs="Arial" w:eastAsia="Arial" w:hAnsi="Arial"/>
                <w:sz w:val="20"/>
                <w:szCs w:val="20"/>
                <w:color w:val="auto"/>
              </w:rPr>
              <w:t>104</w:t>
            </w:r>
          </w:p>
        </w:tc>
        <w:tc>
          <w:tcPr>
            <w:tcW w:w="5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Arial" w:cs="Arial" w:eastAsia="Arial" w:hAnsi="Arial"/>
                <w:sz w:val="20"/>
                <w:szCs w:val="20"/>
                <w:color w:val="auto"/>
              </w:rPr>
              <w:t>Cover Page Interactive Data File (formatted as Inline XBRL).</w:t>
            </w:r>
          </w:p>
        </w:tc>
      </w:tr>
      <w:tr>
        <w:trPr>
          <w:trHeight w:val="1103"/>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300" w:type="dxa"/>
            <w:vAlign w:val="bottom"/>
            <w:gridSpan w:val="3"/>
          </w:tcPr>
          <w:p>
            <w:pPr>
              <w:jc w:val="right"/>
              <w:ind w:right="5481"/>
              <w:spacing w:after="0"/>
              <w:rPr>
                <w:sz w:val="20"/>
                <w:szCs w:val="20"/>
                <w:color w:val="auto"/>
              </w:rPr>
            </w:pPr>
            <w:r>
              <w:rPr>
                <w:rFonts w:ascii="Arial" w:cs="Arial" w:eastAsia="Arial" w:hAnsi="Arial"/>
                <w:sz w:val="18"/>
                <w:szCs w:val="18"/>
                <w:color w:val="auto"/>
              </w:rPr>
              <w:t>3</w:t>
            </w:r>
          </w:p>
        </w:tc>
      </w:tr>
      <w:tr>
        <w:trPr>
          <w:trHeight w:val="115"/>
        </w:trPr>
        <w:tc>
          <w:tcPr>
            <w:tcW w:w="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7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3" w:name="page4"/>
    <w:bookmarkEnd w:id="3"/>
    <w:p>
      <w:pPr>
        <w:jc w:val="center"/>
        <w:ind w:right="-379"/>
        <w:spacing w:after="0"/>
        <w:rPr>
          <w:sz w:val="20"/>
          <w:szCs w:val="20"/>
          <w:color w:val="auto"/>
        </w:rPr>
      </w:pPr>
      <w:r>
        <w:rPr>
          <w:rFonts w:ascii="Arial" w:cs="Arial" w:eastAsia="Arial" w:hAnsi="Arial"/>
          <w:sz w:val="20"/>
          <w:szCs w:val="20"/>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720"/>
        <w:spacing w:after="0"/>
        <w:rPr>
          <w:sz w:val="20"/>
          <w:szCs w:val="20"/>
          <w:color w:val="auto"/>
        </w:rPr>
      </w:pPr>
      <w:r>
        <w:rPr>
          <w:rFonts w:ascii="Arial" w:cs="Arial" w:eastAsia="Arial" w:hAnsi="Arial"/>
          <w:sz w:val="20"/>
          <w:szCs w:val="20"/>
          <w:color w:val="auto"/>
        </w:rPr>
        <w:t>EXXON MOBIL CORPORATION</w:t>
      </w:r>
    </w:p>
    <w:p>
      <w:pPr>
        <w:sectPr>
          <w:pgSz w:w="11900" w:h="16838" w:orient="portrait"/>
          <w:cols w:equalWidth="0" w:num="1">
            <w:col w:w="10880"/>
          </w:cols>
          <w:pgMar w:left="320" w:top="892" w:right="69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November 30,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color w:val="auto"/>
        </w:rPr>
        <w:t>/s/ LEN M.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17780</wp:posOffset>
            </wp:positionV>
            <wp:extent cx="30346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38" w:lineRule="exact"/>
        <w:rPr>
          <w:sz w:val="20"/>
          <w:szCs w:val="20"/>
          <w:color w:val="auto"/>
        </w:rPr>
      </w:pPr>
    </w:p>
    <w:p>
      <w:pPr>
        <w:sectPr>
          <w:pgSz w:w="11900" w:h="16838" w:orient="portrait"/>
          <w:cols w:equalWidth="0" w:num="3">
            <w:col w:w="5000" w:space="720"/>
            <w:col w:w="1720" w:space="720"/>
            <w:col w:w="2720"/>
          </w:cols>
          <w:pgMar w:left="320" w:top="892" w:right="699" w:bottom="1440" w:gutter="0" w:footer="0" w:header="0"/>
          <w:type w:val="continuous"/>
        </w:sectPr>
      </w:pPr>
    </w:p>
    <w:p>
      <w:pPr>
        <w:jc w:val="center"/>
        <w:ind w:left="6380"/>
        <w:spacing w:after="0"/>
        <w:rPr>
          <w:sz w:val="20"/>
          <w:szCs w:val="20"/>
          <w:color w:val="auto"/>
        </w:rPr>
      </w:pPr>
      <w:r>
        <w:rPr>
          <w:rFonts w:ascii="Arial" w:cs="Arial" w:eastAsia="Arial" w:hAnsi="Arial"/>
          <w:sz w:val="20"/>
          <w:szCs w:val="20"/>
          <w:color w:val="auto"/>
        </w:rPr>
        <w:t>Len M. Fox</w:t>
      </w:r>
    </w:p>
    <w:p>
      <w:pPr>
        <w:spacing w:after="0" w:line="20" w:lineRule="exact"/>
        <w:rPr>
          <w:sz w:val="20"/>
          <w:szCs w:val="20"/>
          <w:color w:val="auto"/>
        </w:rPr>
      </w:pPr>
    </w:p>
    <w:p>
      <w:pPr>
        <w:jc w:val="center"/>
        <w:ind w:left="6380"/>
        <w:spacing w:after="0"/>
        <w:rPr>
          <w:sz w:val="20"/>
          <w:szCs w:val="20"/>
          <w:color w:val="auto"/>
        </w:rPr>
      </w:pPr>
      <w:r>
        <w:rPr>
          <w:rFonts w:ascii="Arial" w:cs="Arial" w:eastAsia="Arial" w:hAnsi="Arial"/>
          <w:sz w:val="18"/>
          <w:szCs w:val="18"/>
          <w:color w:val="auto"/>
        </w:rPr>
        <w:t>Vice President and Controller</w:t>
      </w:r>
    </w:p>
    <w:p>
      <w:pPr>
        <w:spacing w:after="0" w:line="36" w:lineRule="exact"/>
        <w:rPr>
          <w:sz w:val="20"/>
          <w:szCs w:val="20"/>
          <w:color w:val="auto"/>
        </w:rPr>
      </w:pPr>
    </w:p>
    <w:p>
      <w:pPr>
        <w:jc w:val="center"/>
        <w:ind w:left="638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5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0880"/>
          </w:cols>
          <w:pgMar w:left="320" w:top="892" w:right="699" w:bottom="1440" w:gutter="0" w:footer="0" w:header="0"/>
          <w:type w:val="continuous"/>
        </w:sectPr>
      </w:pPr>
    </w:p>
    <w:bookmarkStart w:id="4" w:name="page5"/>
    <w:bookmarkEnd w:id="4"/>
    <w:p>
      <w:pPr>
        <w:jc w:val="right"/>
        <w:spacing w:after="0"/>
        <w:rPr>
          <w:sz w:val="20"/>
          <w:szCs w:val="20"/>
          <w:color w:val="auto"/>
        </w:rPr>
      </w:pPr>
      <w:r>
        <w:rPr>
          <w:rFonts w:ascii="Arial" w:cs="Arial" w:eastAsia="Arial" w:hAnsi="Arial"/>
          <w:sz w:val="20"/>
          <w:szCs w:val="20"/>
          <w:color w:val="auto"/>
        </w:rPr>
        <w:t>Exhibit 99.1</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EXXON MOBIL CORPORATION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effective November 23, 2021</w:t>
      </w:r>
    </w:p>
    <w:p>
      <w:pPr>
        <w:jc w:val="center"/>
        <w:spacing w:after="0" w:line="233" w:lineRule="auto"/>
        <w:rPr>
          <w:sz w:val="20"/>
          <w:szCs w:val="20"/>
          <w:color w:val="auto"/>
        </w:rPr>
      </w:pPr>
      <w:r>
        <w:rPr>
          <w:rFonts w:ascii="Arial" w:cs="Arial" w:eastAsia="Arial" w:hAnsi="Arial"/>
          <w:sz w:val="20"/>
          <w:szCs w:val="20"/>
          <w:b w:val="1"/>
          <w:bCs w:val="1"/>
          <w:color w:val="auto"/>
        </w:rPr>
        <w:t>To</w:t>
      </w:r>
    </w:p>
    <w:p>
      <w:pPr>
        <w:jc w:val="center"/>
        <w:spacing w:after="0" w:line="226" w:lineRule="auto"/>
        <w:rPr>
          <w:sz w:val="20"/>
          <w:szCs w:val="20"/>
          <w:color w:val="auto"/>
        </w:rPr>
      </w:pPr>
      <w:r>
        <w:rPr>
          <w:rFonts w:ascii="Arial" w:cs="Arial" w:eastAsia="Arial" w:hAnsi="Arial"/>
          <w:sz w:val="20"/>
          <w:szCs w:val="20"/>
          <w:b w:val="1"/>
          <w:bCs w:val="1"/>
          <w:color w:val="auto"/>
        </w:rPr>
        <w:t>Earnings Bonus Unit Awards effective November 28, 2018</w:t>
      </w:r>
    </w:p>
    <w:p>
      <w:pPr>
        <w:jc w:val="center"/>
        <w:spacing w:after="0" w:line="225" w:lineRule="auto"/>
        <w:rPr>
          <w:sz w:val="20"/>
          <w:szCs w:val="20"/>
          <w:color w:val="auto"/>
        </w:rPr>
      </w:pPr>
      <w:r>
        <w:rPr>
          <w:rFonts w:ascii="Arial" w:cs="Arial" w:eastAsia="Arial" w:hAnsi="Arial"/>
          <w:sz w:val="20"/>
          <w:szCs w:val="20"/>
          <w:b w:val="1"/>
          <w:bCs w:val="1"/>
          <w:color w:val="auto"/>
        </w:rPr>
        <w:t>And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Earnings Bonus Unit Awards effective November 26, 2019</w:t>
      </w:r>
    </w:p>
    <w:p>
      <w:pPr>
        <w:spacing w:after="0" w:line="200" w:lineRule="exact"/>
        <w:rPr>
          <w:sz w:val="20"/>
          <w:szCs w:val="20"/>
          <w:color w:val="auto"/>
        </w:rPr>
      </w:pPr>
    </w:p>
    <w:p>
      <w:pPr>
        <w:spacing w:after="0" w:line="283" w:lineRule="exact"/>
        <w:rPr>
          <w:sz w:val="20"/>
          <w:szCs w:val="20"/>
          <w:color w:val="auto"/>
        </w:rPr>
      </w:pPr>
    </w:p>
    <w:p>
      <w:pPr>
        <w:ind w:right="40"/>
        <w:spacing w:after="0" w:line="318" w:lineRule="auto"/>
        <w:rPr>
          <w:sz w:val="20"/>
          <w:szCs w:val="20"/>
          <w:color w:val="auto"/>
        </w:rPr>
      </w:pPr>
      <w:r>
        <w:rPr>
          <w:rFonts w:ascii="Arial" w:cs="Arial" w:eastAsia="Arial" w:hAnsi="Arial"/>
          <w:sz w:val="19"/>
          <w:szCs w:val="19"/>
          <w:color w:val="auto"/>
        </w:rPr>
        <w:t>This Amendment (“Amendment”) is made in Dallas County, Texas by Exxon Mobil Corporation (the “Corporation”) effective November 23, 2021 (the “Effective Date”) with respect to the Earnings Bonus Unit Awards previously granted by the Corporation effective November 28, 2018 (the “2018 Awards”) and the Earnings Bonus Unit Awards previously granted by the Corporation effective November 26, 2019 (the “2019 Awards”) (the 2018 Awards and the 2019 Awards being collectively referred to herein as the “Awards”). Terms used but not otherwise defined in or amended by this Amendment shall have the meanings ascribed to such terms in the instruments evidencing the applicable Awards and in the Corporation’s Short Term Incentive Program.</w:t>
      </w:r>
    </w:p>
    <w:p>
      <w:pPr>
        <w:spacing w:after="0" w:line="207" w:lineRule="exact"/>
        <w:rPr>
          <w:sz w:val="20"/>
          <w:szCs w:val="20"/>
          <w:color w:val="auto"/>
        </w:rPr>
      </w:pPr>
    </w:p>
    <w:p>
      <w:pPr>
        <w:ind w:right="60"/>
        <w:spacing w:after="0" w:line="302" w:lineRule="auto"/>
        <w:rPr>
          <w:sz w:val="20"/>
          <w:szCs w:val="20"/>
          <w:color w:val="auto"/>
        </w:rPr>
      </w:pPr>
      <w:r>
        <w:rPr>
          <w:rFonts w:ascii="Arial" w:cs="Arial" w:eastAsia="Arial" w:hAnsi="Arial"/>
          <w:sz w:val="20"/>
          <w:szCs w:val="20"/>
          <w:color w:val="auto"/>
        </w:rPr>
        <w:t>Each Award outstanding on the Effective Date is hereby amended so that, for purposes of Section 1 and Section 2 of the instruments evidencing such Award, the Corporation’s cumulative earnings per common share (assuming dilution) for the fourth quarter of 2020 shall be adjusted to ($0.77) per share in order to exclude a non-cash U.S. Upstream impairment reported in that quarter. The cumulative adjusted EPS threshold to reach full payout remains at $6.50 per share.</w:t>
      </w:r>
    </w:p>
    <w:p>
      <w:pPr>
        <w:spacing w:after="0" w:line="219" w:lineRule="exact"/>
        <w:rPr>
          <w:sz w:val="20"/>
          <w:szCs w:val="20"/>
          <w:color w:val="auto"/>
        </w:rPr>
      </w:pPr>
    </w:p>
    <w:p>
      <w:pPr>
        <w:jc w:val="both"/>
        <w:ind w:right="80"/>
        <w:spacing w:after="0" w:line="328" w:lineRule="auto"/>
        <w:rPr>
          <w:sz w:val="20"/>
          <w:szCs w:val="20"/>
          <w:color w:val="auto"/>
        </w:rPr>
      </w:pPr>
      <w:r>
        <w:rPr>
          <w:rFonts w:ascii="Arial" w:cs="Arial" w:eastAsia="Arial" w:hAnsi="Arial"/>
          <w:sz w:val="19"/>
          <w:szCs w:val="19"/>
          <w:color w:val="auto"/>
        </w:rPr>
        <w:t>Except as amended hereby, all other terms and provisions of the Awards shall remain in effect in accordance with the instruments evidencing such Awards, including, without limitation, (i) provisions regarding the determination of the Corporation’s earnings per common share with respect to each quarter other than the fourth calendar quarter of 2020, and (ii) provisions regarding annulment.</w:t>
      </w:r>
    </w:p>
    <w:p>
      <w:pPr>
        <w:spacing w:after="0" w:line="205" w:lineRule="exact"/>
        <w:rPr>
          <w:sz w:val="20"/>
          <w:szCs w:val="20"/>
          <w:color w:val="auto"/>
        </w:rPr>
      </w:pPr>
    </w:p>
    <w:p>
      <w:pPr>
        <w:ind w:left="6700"/>
        <w:spacing w:after="0"/>
        <w:rPr>
          <w:sz w:val="20"/>
          <w:szCs w:val="20"/>
          <w:color w:val="auto"/>
        </w:rPr>
      </w:pPr>
      <w:r>
        <w:rPr>
          <w:rFonts w:ascii="Arial" w:cs="Arial" w:eastAsia="Arial" w:hAnsi="Arial"/>
          <w:sz w:val="20"/>
          <w:szCs w:val="20"/>
          <w:b w:val="1"/>
          <w:bCs w:val="1"/>
          <w:color w:val="auto"/>
        </w:rPr>
        <w:t>EXXON MOBIL CORPORATION</w:t>
      </w:r>
    </w:p>
    <w:sectPr>
      <w:pgSz w:w="11900" w:h="16838" w:orient="portrait"/>
      <w:cols w:equalWidth="0" w:num="1">
        <w:col w:w="11240"/>
      </w:cols>
      <w:pgMar w:left="320" w:top="140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2021-11-30T15:19:43Z</dcterms:created>
  <dcterms:modified xsi:type="dcterms:W3CDTF">2021-11-30T15:19:43Z</dcterms:modified>
</cp:coreProperties>
</file>