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July 1, 2026</w:t>
      </w:r>
    </w:p>
    <w:p>
      <w:pPr>
        <w:spacing w:after="0" w:line="5" w:lineRule="exact"/>
        <w:rPr>
          <w:sz w:val="24"/>
          <w:szCs w:val="24"/>
          <w:color w:val="auto"/>
        </w:rPr>
      </w:pPr>
    </w:p>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Registration No. 333-293558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827405</wp:posOffset>
            </wp:positionH>
            <wp:positionV relativeFrom="paragraph">
              <wp:posOffset>51435</wp:posOffset>
            </wp:positionV>
            <wp:extent cx="55130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85090</wp:posOffset>
            </wp:positionV>
            <wp:extent cx="55130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1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99695</wp:posOffset>
            </wp:positionV>
            <wp:extent cx="11620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POST-EFFECTIVE AMENDMENT NO. 1</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to</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FORM S-3</w:t>
      </w: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jc w:val="center"/>
        <w:ind w:right="-1120"/>
        <w:spacing w:after="0" w:line="235"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93980</wp:posOffset>
            </wp:positionV>
            <wp:extent cx="11620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1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ExxonMobil Holdings Corporation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Exxon Mobil Corporation</w:t>
      </w:r>
    </w:p>
    <w:tbl>
      <w:tblPr>
        <w:tblLayout w:type="fixed"/>
        <w:tblInd w:w="2540" w:type="dxa"/>
        <w:tblCellMar>
          <w:top w:w="0" w:type="dxa"/>
          <w:left w:w="0" w:type="dxa"/>
          <w:bottom w:w="0" w:type="dxa"/>
          <w:right w:w="0" w:type="dxa"/>
        </w:tblCellMar>
      </w:tblPr>
      <w:tr>
        <w:trPr>
          <w:trHeight w:val="149"/>
        </w:trPr>
        <w:tc>
          <w:tcPr>
            <w:tcW w:w="4580" w:type="dxa"/>
            <w:vAlign w:val="bottom"/>
            <w:gridSpan w:val="3"/>
          </w:tcPr>
          <w:p>
            <w:pPr>
              <w:ind w:left="1660"/>
              <w:spacing w:after="0"/>
              <w:rPr>
                <w:sz w:val="20"/>
                <w:szCs w:val="20"/>
                <w:color w:val="auto"/>
              </w:rPr>
            </w:pPr>
            <w:r>
              <w:rPr>
                <w:rFonts w:ascii="Times New Roman" w:cs="Times New Roman" w:eastAsia="Times New Roman" w:hAnsi="Times New Roman"/>
                <w:sz w:val="11"/>
                <w:szCs w:val="11"/>
                <w:b w:val="1"/>
                <w:bCs w:val="1"/>
                <w:color w:val="auto"/>
              </w:rPr>
              <w:t>(Exact Name of Each Registrant as Specified in Its Charter)</w:t>
            </w:r>
          </w:p>
        </w:tc>
        <w:tc>
          <w:tcPr>
            <w:tcW w:w="1460" w:type="dxa"/>
            <w:vAlign w:val="bottom"/>
          </w:tcPr>
          <w:p>
            <w:pPr>
              <w:spacing w:after="0"/>
              <w:rPr>
                <w:sz w:val="12"/>
                <w:szCs w:val="12"/>
                <w:color w:val="auto"/>
              </w:rPr>
            </w:pPr>
          </w:p>
        </w:tc>
      </w:tr>
      <w:tr>
        <w:trPr>
          <w:trHeight w:val="133"/>
        </w:trPr>
        <w:tc>
          <w:tcPr>
            <w:tcW w:w="2180" w:type="dxa"/>
            <w:vAlign w:val="bottom"/>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23"/>
        </w:trPr>
        <w:tc>
          <w:tcPr>
            <w:tcW w:w="4580" w:type="dxa"/>
            <w:vAlign w:val="bottom"/>
            <w:gridSpan w:val="3"/>
          </w:tcPr>
          <w:p>
            <w:pPr>
              <w:jc w:val="center"/>
              <w:ind w:right="2680"/>
              <w:spacing w:after="0"/>
              <w:rPr>
                <w:sz w:val="20"/>
                <w:szCs w:val="20"/>
                <w:color w:val="auto"/>
              </w:rPr>
            </w:pPr>
            <w:r>
              <w:rPr>
                <w:rFonts w:ascii="Times New Roman" w:cs="Times New Roman" w:eastAsia="Times New Roman" w:hAnsi="Times New Roman"/>
                <w:sz w:val="13"/>
                <w:szCs w:val="13"/>
                <w:b w:val="1"/>
                <w:bCs w:val="1"/>
                <w:color w:val="auto"/>
                <w:w w:val="97"/>
              </w:rPr>
              <w:t>ExxonMobil Holdings Corporation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Exxon Mobil Corporation</w:t>
            </w:r>
          </w:p>
        </w:tc>
      </w:tr>
      <w:tr>
        <w:trPr>
          <w:trHeight w:val="168"/>
        </w:trPr>
        <w:tc>
          <w:tcPr>
            <w:tcW w:w="4580" w:type="dxa"/>
            <w:vAlign w:val="bottom"/>
            <w:gridSpan w:val="3"/>
          </w:tcPr>
          <w:p>
            <w:pPr>
              <w:jc w:val="center"/>
              <w:ind w:right="2680"/>
              <w:spacing w:after="0"/>
              <w:rPr>
                <w:sz w:val="20"/>
                <w:szCs w:val="20"/>
                <w:color w:val="auto"/>
              </w:rPr>
            </w:pPr>
            <w:r>
              <w:rPr>
                <w:rFonts w:ascii="Times New Roman" w:cs="Times New Roman" w:eastAsia="Times New Roman" w:hAnsi="Times New Roman"/>
                <w:sz w:val="13"/>
                <w:szCs w:val="13"/>
                <w:b w:val="1"/>
                <w:bCs w:val="1"/>
                <w:color w:val="auto"/>
                <w:w w:val="92"/>
              </w:rPr>
              <w:t>Texas</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New Jersey</w:t>
            </w:r>
          </w:p>
        </w:tc>
      </w:tr>
    </w:tbl>
    <w:p>
      <w:pPr>
        <w:spacing w:after="0" w:line="1" w:lineRule="exact"/>
        <w:rPr>
          <w:sz w:val="24"/>
          <w:szCs w:val="24"/>
          <w:color w:val="auto"/>
        </w:rPr>
      </w:pPr>
    </w:p>
    <w:p>
      <w:pPr>
        <w:sectPr>
          <w:pgSz w:w="11900" w:h="16838" w:orient="portrait"/>
          <w:cols w:equalWidth="0" w:num="1">
            <w:col w:w="10159"/>
          </w:cols>
          <w:pgMar w:left="300" w:top="208" w:right="1440" w:bottom="1440" w:gutter="0" w:footer="0" w:header="0"/>
        </w:sectPr>
      </w:pPr>
    </w:p>
    <w:p>
      <w:pPr>
        <w:ind w:left="286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3"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47" w:lineRule="exact"/>
        <w:rPr>
          <w:sz w:val="24"/>
          <w:szCs w:val="24"/>
          <w:color w:val="auto"/>
        </w:rPr>
      </w:pPr>
    </w:p>
    <w:p>
      <w:pPr>
        <w:sectPr>
          <w:pgSz w:w="11900" w:h="16838" w:orient="portrait"/>
          <w:cols w:equalWidth="0" w:num="2">
            <w:col w:w="6500" w:space="720"/>
            <w:col w:w="2939"/>
          </w:cols>
          <w:pgMar w:left="300" w:top="208"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57"/>
        </w:trPr>
        <w:tc>
          <w:tcPr>
            <w:tcW w:w="4460" w:type="dxa"/>
            <w:vAlign w:val="bottom"/>
          </w:tcPr>
          <w:p>
            <w:pPr>
              <w:jc w:val="right"/>
              <w:ind w:right="1943"/>
              <w:spacing w:after="0"/>
              <w:rPr>
                <w:sz w:val="20"/>
                <w:szCs w:val="20"/>
                <w:color w:val="auto"/>
              </w:rPr>
            </w:pPr>
            <w:r>
              <w:rPr>
                <w:rFonts w:ascii="Times New Roman" w:cs="Times New Roman" w:eastAsia="Times New Roman" w:hAnsi="Times New Roman"/>
                <w:sz w:val="13"/>
                <w:szCs w:val="13"/>
                <w:b w:val="1"/>
                <w:bCs w:val="1"/>
                <w:color w:val="auto"/>
              </w:rPr>
              <w:t>41-4104094</w:t>
            </w:r>
          </w:p>
        </w:tc>
        <w:tc>
          <w:tcPr>
            <w:tcW w:w="4020" w:type="dxa"/>
            <w:vAlign w:val="bottom"/>
          </w:tcPr>
          <w:p>
            <w:pPr>
              <w:jc w:val="right"/>
              <w:ind w:right="1583"/>
              <w:spacing w:after="0"/>
              <w:rPr>
                <w:sz w:val="20"/>
                <w:szCs w:val="20"/>
                <w:color w:val="auto"/>
              </w:rPr>
            </w:pPr>
            <w:r>
              <w:rPr>
                <w:rFonts w:ascii="Times New Roman" w:cs="Times New Roman" w:eastAsia="Times New Roman" w:hAnsi="Times New Roman"/>
                <w:sz w:val="13"/>
                <w:szCs w:val="13"/>
                <w:b w:val="1"/>
                <w:bCs w:val="1"/>
                <w:color w:val="auto"/>
              </w:rPr>
              <w:t>13-5409005</w:t>
            </w:r>
          </w:p>
        </w:tc>
      </w:tr>
      <w:tr>
        <w:trPr>
          <w:trHeight w:val="106"/>
        </w:trPr>
        <w:tc>
          <w:tcPr>
            <w:tcW w:w="4460" w:type="dxa"/>
            <w:vAlign w:val="bottom"/>
          </w:tcPr>
          <w:p>
            <w:pPr>
              <w:jc w:val="center"/>
              <w:ind w:right="83"/>
              <w:spacing w:after="0" w:line="107" w:lineRule="exact"/>
              <w:rPr>
                <w:sz w:val="20"/>
                <w:szCs w:val="20"/>
                <w:color w:val="auto"/>
              </w:rPr>
            </w:pPr>
            <w:r>
              <w:rPr>
                <w:rFonts w:ascii="Times New Roman" w:cs="Times New Roman" w:eastAsia="Times New Roman" w:hAnsi="Times New Roman"/>
                <w:sz w:val="10"/>
                <w:szCs w:val="10"/>
                <w:b w:val="1"/>
                <w:bCs w:val="1"/>
                <w:color w:val="auto"/>
                <w:w w:val="99"/>
              </w:rPr>
              <w:t>(I.R.S. Employer</w:t>
            </w:r>
          </w:p>
        </w:tc>
        <w:tc>
          <w:tcPr>
            <w:tcW w:w="4020" w:type="dxa"/>
            <w:vAlign w:val="bottom"/>
          </w:tcPr>
          <w:p>
            <w:pPr>
              <w:jc w:val="center"/>
              <w:ind w:left="83"/>
              <w:spacing w:after="0" w:line="107" w:lineRule="exact"/>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30"/>
        </w:trPr>
        <w:tc>
          <w:tcPr>
            <w:tcW w:w="446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8"/>
              </w:rPr>
              <w:t>Identification Number)</w:t>
            </w:r>
          </w:p>
        </w:tc>
        <w:tc>
          <w:tcPr>
            <w:tcW w:w="4020" w:type="dxa"/>
            <w:vAlign w:val="bottom"/>
          </w:tcPr>
          <w:p>
            <w:pPr>
              <w:jc w:val="center"/>
              <w:ind w:left="83"/>
              <w:spacing w:after="0"/>
              <w:rPr>
                <w:sz w:val="20"/>
                <w:szCs w:val="20"/>
                <w:color w:val="auto"/>
              </w:rPr>
            </w:pPr>
            <w:r>
              <w:rPr>
                <w:rFonts w:ascii="Times New Roman" w:cs="Times New Roman" w:eastAsia="Times New Roman" w:hAnsi="Times New Roman"/>
                <w:sz w:val="10"/>
                <w:szCs w:val="10"/>
                <w:b w:val="1"/>
                <w:bCs w:val="1"/>
                <w:color w:val="auto"/>
              </w:rPr>
              <w:t>Identification Number)</w:t>
            </w:r>
          </w:p>
        </w:tc>
      </w:tr>
      <w:tr>
        <w:trPr>
          <w:trHeight w:val="181"/>
        </w:trPr>
        <w:tc>
          <w:tcPr>
            <w:tcW w:w="4460" w:type="dxa"/>
            <w:vAlign w:val="bottom"/>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8"/>
              </w:rPr>
              <w:t>22777 Springwoods Village Parkway</w:t>
            </w:r>
          </w:p>
        </w:tc>
        <w:tc>
          <w:tcPr>
            <w:tcW w:w="4020" w:type="dxa"/>
            <w:vAlign w:val="bottom"/>
          </w:tcPr>
          <w:p>
            <w:pPr>
              <w:jc w:val="center"/>
              <w:ind w:left="83"/>
              <w:spacing w:after="0"/>
              <w:rPr>
                <w:sz w:val="20"/>
                <w:szCs w:val="20"/>
                <w:color w:val="auto"/>
              </w:rPr>
            </w:pPr>
            <w:r>
              <w:rPr>
                <w:rFonts w:ascii="Times New Roman" w:cs="Times New Roman" w:eastAsia="Times New Roman" w:hAnsi="Times New Roman"/>
                <w:sz w:val="13"/>
                <w:szCs w:val="13"/>
                <w:b w:val="1"/>
                <w:bCs w:val="1"/>
                <w:color w:val="auto"/>
                <w:w w:val="98"/>
              </w:rPr>
              <w:t>22777 Springwoods Village Parkway</w:t>
            </w:r>
          </w:p>
        </w:tc>
      </w:tr>
      <w:tr>
        <w:trPr>
          <w:trHeight w:val="160"/>
        </w:trPr>
        <w:tc>
          <w:tcPr>
            <w:tcW w:w="4460" w:type="dxa"/>
            <w:vAlign w:val="bottom"/>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6"/>
              </w:rPr>
              <w:t>Spring, Texas 77389-1425</w:t>
            </w:r>
          </w:p>
        </w:tc>
        <w:tc>
          <w:tcPr>
            <w:tcW w:w="4020" w:type="dxa"/>
            <w:vAlign w:val="bottom"/>
          </w:tcPr>
          <w:p>
            <w:pPr>
              <w:jc w:val="center"/>
              <w:ind w:left="83"/>
              <w:spacing w:after="0"/>
              <w:rPr>
                <w:sz w:val="20"/>
                <w:szCs w:val="20"/>
                <w:color w:val="auto"/>
              </w:rPr>
            </w:pPr>
            <w:r>
              <w:rPr>
                <w:rFonts w:ascii="Times New Roman" w:cs="Times New Roman" w:eastAsia="Times New Roman" w:hAnsi="Times New Roman"/>
                <w:sz w:val="13"/>
                <w:szCs w:val="13"/>
                <w:b w:val="1"/>
                <w:bCs w:val="1"/>
                <w:color w:val="auto"/>
                <w:w w:val="98"/>
              </w:rPr>
              <w:t>Spring, Texas 77389-1425</w:t>
            </w:r>
          </w:p>
        </w:tc>
      </w:tr>
      <w:tr>
        <w:trPr>
          <w:trHeight w:val="157"/>
        </w:trPr>
        <w:tc>
          <w:tcPr>
            <w:tcW w:w="4460" w:type="dxa"/>
            <w:vAlign w:val="bottom"/>
          </w:tcPr>
          <w:p>
            <w:pPr>
              <w:jc w:val="right"/>
              <w:ind w:right="1843"/>
              <w:spacing w:after="0"/>
              <w:rPr>
                <w:sz w:val="20"/>
                <w:szCs w:val="20"/>
                <w:color w:val="auto"/>
              </w:rPr>
            </w:pPr>
            <w:r>
              <w:rPr>
                <w:rFonts w:ascii="Times New Roman" w:cs="Times New Roman" w:eastAsia="Times New Roman" w:hAnsi="Times New Roman"/>
                <w:sz w:val="13"/>
                <w:szCs w:val="13"/>
                <w:b w:val="1"/>
                <w:bCs w:val="1"/>
                <w:color w:val="auto"/>
              </w:rPr>
              <w:t>(972) 940-6000</w:t>
            </w:r>
          </w:p>
        </w:tc>
        <w:tc>
          <w:tcPr>
            <w:tcW w:w="4020" w:type="dxa"/>
            <w:vAlign w:val="bottom"/>
          </w:tcPr>
          <w:p>
            <w:pPr>
              <w:jc w:val="right"/>
              <w:ind w:right="1483"/>
              <w:spacing w:after="0"/>
              <w:rPr>
                <w:sz w:val="20"/>
                <w:szCs w:val="20"/>
                <w:color w:val="auto"/>
              </w:rPr>
            </w:pPr>
            <w:r>
              <w:rPr>
                <w:rFonts w:ascii="Times New Roman" w:cs="Times New Roman" w:eastAsia="Times New Roman" w:hAnsi="Times New Roman"/>
                <w:sz w:val="13"/>
                <w:szCs w:val="13"/>
                <w:b w:val="1"/>
                <w:bCs w:val="1"/>
                <w:color w:val="auto"/>
              </w:rPr>
              <w:t>(972) 940-6000</w:t>
            </w:r>
          </w:p>
        </w:tc>
      </w:tr>
      <w:tr>
        <w:trPr>
          <w:trHeight w:val="106"/>
        </w:trPr>
        <w:tc>
          <w:tcPr>
            <w:tcW w:w="4460" w:type="dxa"/>
            <w:vAlign w:val="bottom"/>
          </w:tcPr>
          <w:p>
            <w:pPr>
              <w:jc w:val="center"/>
              <w:ind w:right="83"/>
              <w:spacing w:after="0" w:line="107" w:lineRule="exact"/>
              <w:rPr>
                <w:sz w:val="20"/>
                <w:szCs w:val="20"/>
                <w:color w:val="auto"/>
              </w:rPr>
            </w:pPr>
            <w:r>
              <w:rPr>
                <w:rFonts w:ascii="Times New Roman" w:cs="Times New Roman" w:eastAsia="Times New Roman" w:hAnsi="Times New Roman"/>
                <w:sz w:val="10"/>
                <w:szCs w:val="10"/>
                <w:b w:val="1"/>
                <w:bCs w:val="1"/>
                <w:color w:val="auto"/>
                <w:w w:val="98"/>
              </w:rPr>
              <w:t>(Address, Including Zip Code, and Telephone Number, Including Area Code, of Registrant’s Principal</w:t>
            </w:r>
          </w:p>
        </w:tc>
        <w:tc>
          <w:tcPr>
            <w:tcW w:w="4020" w:type="dxa"/>
            <w:vAlign w:val="bottom"/>
          </w:tcPr>
          <w:p>
            <w:pPr>
              <w:jc w:val="center"/>
              <w:ind w:left="63"/>
              <w:spacing w:after="0" w:line="107" w:lineRule="exact"/>
              <w:rPr>
                <w:sz w:val="20"/>
                <w:szCs w:val="20"/>
                <w:color w:val="auto"/>
              </w:rPr>
            </w:pPr>
            <w:r>
              <w:rPr>
                <w:rFonts w:ascii="Times New Roman" w:cs="Times New Roman" w:eastAsia="Times New Roman" w:hAnsi="Times New Roman"/>
                <w:sz w:val="10"/>
                <w:szCs w:val="10"/>
                <w:b w:val="1"/>
                <w:bCs w:val="1"/>
                <w:color w:val="auto"/>
                <w:w w:val="98"/>
              </w:rPr>
              <w:t>(Address, Including Zip Code, and Telephone Number, Including Area Code, of Registrant’s</w:t>
            </w:r>
          </w:p>
        </w:tc>
      </w:tr>
      <w:tr>
        <w:trPr>
          <w:trHeight w:val="130"/>
        </w:trPr>
        <w:tc>
          <w:tcPr>
            <w:tcW w:w="4460" w:type="dxa"/>
            <w:vAlign w:val="bottom"/>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98"/>
              </w:rPr>
              <w:t>Executive Offices)</w:t>
            </w:r>
          </w:p>
        </w:tc>
        <w:tc>
          <w:tcPr>
            <w:tcW w:w="4020" w:type="dxa"/>
            <w:vAlign w:val="bottom"/>
          </w:tcPr>
          <w:p>
            <w:pPr>
              <w:jc w:val="center"/>
              <w:ind w:left="83"/>
              <w:spacing w:after="0"/>
              <w:rPr>
                <w:sz w:val="20"/>
                <w:szCs w:val="20"/>
                <w:color w:val="auto"/>
              </w:rPr>
            </w:pPr>
            <w:r>
              <w:rPr>
                <w:rFonts w:ascii="Times New Roman" w:cs="Times New Roman" w:eastAsia="Times New Roman" w:hAnsi="Times New Roman"/>
                <w:sz w:val="10"/>
                <w:szCs w:val="10"/>
                <w:b w:val="1"/>
                <w:bCs w:val="1"/>
                <w:color w:val="auto"/>
              </w:rPr>
              <w:t>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95885</wp:posOffset>
            </wp:positionV>
            <wp:extent cx="11620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17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James R. Chapman</w:t>
      </w:r>
    </w:p>
    <w:p>
      <w:pPr>
        <w:jc w:val="center"/>
        <w:ind w:right="-1140"/>
        <w:spacing w:after="0" w:line="230" w:lineRule="auto"/>
        <w:rPr>
          <w:sz w:val="20"/>
          <w:szCs w:val="20"/>
          <w:color w:val="auto"/>
        </w:rPr>
      </w:pPr>
      <w:r>
        <w:rPr>
          <w:rFonts w:ascii="Times New Roman" w:cs="Times New Roman" w:eastAsia="Times New Roman" w:hAnsi="Times New Roman"/>
          <w:sz w:val="11"/>
          <w:szCs w:val="11"/>
          <w:b w:val="1"/>
          <w:bCs w:val="1"/>
          <w:color w:val="auto"/>
        </w:rPr>
        <w:t>Vice President, Corporate Finance and Treasurer</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ExxonMobil Holdings Corporation</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22777 Springwoods Village Parkway</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Spring, Texas 77389-1425</w:t>
      </w:r>
    </w:p>
    <w:p>
      <w:pPr>
        <w:jc w:val="center"/>
        <w:ind w:right="-1140"/>
        <w:spacing w:after="0" w:line="226" w:lineRule="auto"/>
        <w:rPr>
          <w:sz w:val="20"/>
          <w:szCs w:val="20"/>
          <w:color w:val="auto"/>
        </w:rPr>
      </w:pPr>
      <w:r>
        <w:rPr>
          <w:rFonts w:ascii="Times New Roman" w:cs="Times New Roman" w:eastAsia="Times New Roman" w:hAnsi="Times New Roman"/>
          <w:sz w:val="11"/>
          <w:szCs w:val="11"/>
          <w:b w:val="1"/>
          <w:bCs w:val="1"/>
          <w:color w:val="auto"/>
        </w:rPr>
        <w:t>(972) 940-6000</w:t>
      </w:r>
    </w:p>
    <w:p>
      <w:pPr>
        <w:ind w:left="340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91440</wp:posOffset>
            </wp:positionV>
            <wp:extent cx="11620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17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i w:val="1"/>
          <w:iCs w:val="1"/>
          <w:color w:val="auto"/>
        </w:rPr>
        <w:t>Copy to:</w:t>
      </w:r>
    </w:p>
    <w:p>
      <w:pPr>
        <w:spacing w:after="0" w:line="4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Michael Kaplan</w:t>
      </w:r>
    </w:p>
    <w:p>
      <w:pPr>
        <w:jc w:val="center"/>
        <w:ind w:right="-1140"/>
        <w:spacing w:after="0" w:line="230" w:lineRule="auto"/>
        <w:rPr>
          <w:sz w:val="20"/>
          <w:szCs w:val="20"/>
          <w:color w:val="auto"/>
        </w:rPr>
      </w:pPr>
      <w:r>
        <w:rPr>
          <w:rFonts w:ascii="Times New Roman" w:cs="Times New Roman" w:eastAsia="Times New Roman" w:hAnsi="Times New Roman"/>
          <w:sz w:val="11"/>
          <w:szCs w:val="11"/>
          <w:b w:val="1"/>
          <w:bCs w:val="1"/>
          <w:color w:val="auto"/>
        </w:rPr>
        <w:t>Daniel P. Gibbons</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Steven Glendon</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Davis Polk &amp; Wardwell LLP</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450 Lexington Avenue</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New York, NY 10017</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92075</wp:posOffset>
            </wp:positionV>
            <wp:extent cx="11620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18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after the effective date.</w:t>
      </w:r>
    </w:p>
    <w:p>
      <w:pPr>
        <w:spacing w:after="0" w:line="30" w:lineRule="exact"/>
        <w:rPr>
          <w:sz w:val="24"/>
          <w:szCs w:val="24"/>
          <w:color w:val="auto"/>
        </w:rPr>
      </w:pPr>
    </w:p>
    <w:p>
      <w:pPr>
        <w:ind w:left="166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81" w:lineRule="exact"/>
        <w:rPr>
          <w:sz w:val="24"/>
          <w:szCs w:val="24"/>
          <w:color w:val="auto"/>
        </w:rPr>
      </w:pPr>
    </w:p>
    <w:p>
      <w:pPr>
        <w:ind w:left="1300" w:right="41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27" w:lineRule="exact"/>
        <w:rPr>
          <w:sz w:val="24"/>
          <w:szCs w:val="24"/>
          <w:color w:val="auto"/>
        </w:rPr>
      </w:pPr>
    </w:p>
    <w:p>
      <w:pPr>
        <w:ind w:left="1300" w:right="61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 w:lineRule="exact"/>
        <w:rPr>
          <w:sz w:val="24"/>
          <w:szCs w:val="24"/>
          <w:color w:val="auto"/>
        </w:rPr>
      </w:pPr>
    </w:p>
    <w:p>
      <w:pPr>
        <w:ind w:left="1300" w:right="25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 w:lineRule="exact"/>
        <w:rPr>
          <w:sz w:val="24"/>
          <w:szCs w:val="24"/>
          <w:color w:val="auto"/>
        </w:rPr>
      </w:pPr>
    </w:p>
    <w:p>
      <w:pPr>
        <w:ind w:left="1300" w:right="17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7" w:lineRule="exact"/>
        <w:rPr>
          <w:sz w:val="24"/>
          <w:szCs w:val="24"/>
          <w:color w:val="auto"/>
        </w:rPr>
      </w:pPr>
    </w:p>
    <w:p>
      <w:pPr>
        <w:ind w:left="1300" w:right="29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27"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w:t>
      </w:r>
    </w:p>
    <w:p>
      <w:pPr>
        <w:spacing w:after="0" w:line="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1"/>
          <w:szCs w:val="11"/>
          <w:color w:val="auto"/>
        </w:rPr>
        <w:t>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300" w:type="dxa"/>
        <w:tblCellMar>
          <w:top w:w="0" w:type="dxa"/>
          <w:left w:w="0" w:type="dxa"/>
          <w:bottom w:w="0" w:type="dxa"/>
          <w:right w:w="0" w:type="dxa"/>
        </w:tblCellMar>
      </w:tblPr>
      <w:tr>
        <w:trPr>
          <w:trHeight w:val="191"/>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88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560"/>
              <w:spacing w:after="0"/>
              <w:rPr>
                <w:sz w:val="20"/>
                <w:szCs w:val="20"/>
                <w:color w:val="auto"/>
              </w:rPr>
            </w:pPr>
            <w:r>
              <w:rPr>
                <w:rFonts w:ascii="Times New Roman" w:cs="Times New Roman" w:eastAsia="Times New Roman" w:hAnsi="Times New Roman"/>
                <w:sz w:val="11"/>
                <w:szCs w:val="11"/>
                <w:color w:val="auto"/>
              </w:rPr>
              <w:t>Accelerated filer</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88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5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3"/>
        </w:trPr>
        <w:tc>
          <w:tcPr>
            <w:tcW w:w="12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80" w:type="dxa"/>
            <w:vAlign w:val="bottom"/>
          </w:tcPr>
          <w:p>
            <w:pPr>
              <w:ind w:left="2560"/>
              <w:spacing w:after="0"/>
              <w:rPr>
                <w:sz w:val="20"/>
                <w:szCs w:val="20"/>
                <w:color w:val="auto"/>
              </w:rPr>
            </w:pPr>
            <w:r>
              <w:rPr>
                <w:rFonts w:ascii="Times New Roman" w:cs="Times New Roman" w:eastAsia="Times New Roman" w:hAnsi="Times New Roman"/>
                <w:sz w:val="11"/>
                <w:szCs w:val="11"/>
                <w:color w:val="auto"/>
              </w:rPr>
              <w:t>Emerging growth company</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6" w:lineRule="exact"/>
        <w:rPr>
          <w:sz w:val="24"/>
          <w:szCs w:val="24"/>
          <w:color w:val="auto"/>
        </w:rPr>
      </w:pPr>
    </w:p>
    <w:p>
      <w:pPr>
        <w:ind w:left="1300" w:right="63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827405</wp:posOffset>
            </wp:positionH>
            <wp:positionV relativeFrom="paragraph">
              <wp:posOffset>34925</wp:posOffset>
            </wp:positionV>
            <wp:extent cx="551307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68580</wp:posOffset>
            </wp:positionV>
            <wp:extent cx="55130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ectPr>
          <w:pgSz w:w="11900" w:h="16838" w:orient="portrait"/>
          <w:cols w:equalWidth="0" w:num="1">
            <w:col w:w="10159"/>
          </w:cols>
          <w:pgMar w:left="300" w:top="208"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81" w:lineRule="exact"/>
        <w:rPr>
          <w:sz w:val="20"/>
          <w:szCs w:val="20"/>
          <w:color w:val="auto"/>
        </w:rPr>
      </w:pPr>
    </w:p>
    <w:p>
      <w:pPr>
        <w:ind w:left="1300" w:right="259" w:firstLine="347"/>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Post-Effective Amendment No. 1 (this “Amendment”), relates to the Registration Statement on </w:t>
      </w:r>
      <w:hyperlink r:id="rId18">
        <w:r>
          <w:rPr>
            <w:rFonts w:ascii="Times New Roman" w:cs="Times New Roman" w:eastAsia="Times New Roman" w:hAnsi="Times New Roman"/>
            <w:sz w:val="14"/>
            <w:szCs w:val="14"/>
            <w:u w:val="single" w:color="auto"/>
            <w:color w:val="0000EE"/>
          </w:rPr>
          <w:t>Form S-3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(the “Registration Statement”), File No. 333-293558, of Exxon Mobil Corporation, a New Jersey corporation (the “Company”), which was filed with the U.S. Securities and Exchange Commission on February 18, 2026 and became effective immediately upon filing with the Securities and Exchange Commission (the “SEC”).</w:t>
      </w:r>
    </w:p>
    <w:p>
      <w:pPr>
        <w:spacing w:after="0" w:line="136" w:lineRule="exact"/>
        <w:rPr>
          <w:sz w:val="20"/>
          <w:szCs w:val="20"/>
          <w:color w:val="auto"/>
        </w:rPr>
      </w:pPr>
    </w:p>
    <w:p>
      <w:pPr>
        <w:ind w:left="1300" w:right="199" w:firstLine="347"/>
        <w:spacing w:after="0" w:line="262" w:lineRule="auto"/>
        <w:rPr>
          <w:sz w:val="20"/>
          <w:szCs w:val="20"/>
          <w:color w:val="auto"/>
        </w:rPr>
      </w:pPr>
      <w:r>
        <w:rPr>
          <w:rFonts w:ascii="Times New Roman" w:cs="Times New Roman" w:eastAsia="Times New Roman" w:hAnsi="Times New Roman"/>
          <w:sz w:val="14"/>
          <w:szCs w:val="14"/>
          <w:color w:val="auto"/>
        </w:rPr>
        <w:t>At the Company’s 2026 Annual Meeting of Stockholders, stockholders of the Company approved changing the Company’s legal domicile from the State of New Jersey to the State of Texas. This redomiciliation was effectuated on July 1, 2026 (the “Effective Date”) by merging Ensign LLC, a Texas limited liability company, with and into the Company, with the Company as the surviving entity and a wholly owned subsidiary of ExxonMobil Holdings Corporation, a Texas corporation (the “Parent”). The Parent is deemed to be the successor registrant of the Company’s common stock pursuant to Rule 12g-3(a) under the Securities Exchange Act of 1934, as amended (the “Exchange Act”).</w:t>
      </w:r>
    </w:p>
    <w:p>
      <w:pPr>
        <w:spacing w:after="0" w:line="143" w:lineRule="exact"/>
        <w:rPr>
          <w:sz w:val="20"/>
          <w:szCs w:val="20"/>
          <w:color w:val="auto"/>
        </w:rPr>
      </w:pPr>
    </w:p>
    <w:p>
      <w:pPr>
        <w:ind w:left="1300" w:right="199" w:firstLine="347"/>
        <w:spacing w:after="0" w:line="262" w:lineRule="auto"/>
        <w:rPr>
          <w:sz w:val="20"/>
          <w:szCs w:val="20"/>
          <w:color w:val="auto"/>
        </w:rPr>
      </w:pPr>
      <w:r>
        <w:rPr>
          <w:rFonts w:ascii="Times New Roman" w:cs="Times New Roman" w:eastAsia="Times New Roman" w:hAnsi="Times New Roman"/>
          <w:sz w:val="14"/>
          <w:szCs w:val="14"/>
          <w:color w:val="auto"/>
        </w:rPr>
        <w:t>This Amendment is being filed for the purposes of: (i) adding the Parent as a co-registrant under the Registration Statement to allow the Parent to guarantee certain debt securities issued from time to time pursuant to the Registration Statement; (ii) update the information in Part II with respect to the addition of the Parent; and (iii) file additional exhibits to the Registration Statement. The information contained in this Amendment sets forth the additional information necessary to reflect any material changes made in connection with or resulting from the redomicile or necessary to keep the Registration Statement from being misleading in any material respect. This Amendment shall become effective immediately upon filing with the SEC.</w:t>
      </w:r>
    </w:p>
    <w:p>
      <w:pPr>
        <w:spacing w:after="0" w:line="143" w:lineRule="exact"/>
        <w:rPr>
          <w:sz w:val="20"/>
          <w:szCs w:val="20"/>
          <w:color w:val="auto"/>
        </w:rPr>
      </w:pPr>
    </w:p>
    <w:p>
      <w:pPr>
        <w:ind w:left="1300" w:right="279" w:firstLine="347"/>
        <w:spacing w:after="0" w:line="260" w:lineRule="auto"/>
        <w:rPr>
          <w:sz w:val="20"/>
          <w:szCs w:val="20"/>
          <w:color w:val="auto"/>
        </w:rPr>
      </w:pPr>
      <w:r>
        <w:rPr>
          <w:rFonts w:ascii="Times New Roman" w:cs="Times New Roman" w:eastAsia="Times New Roman" w:hAnsi="Times New Roman"/>
          <w:sz w:val="14"/>
          <w:szCs w:val="14"/>
          <w:color w:val="auto"/>
        </w:rPr>
        <w:t>For the purposes of this Amendment and the Registration Statement, “ExxonMobil,” the “Company,” “we,” “us” and “our” refer to (i) Exxon Mobil Corporation and its subsidiaries, with respect to the period prior to the Effective Date, and to (ii) ExxonMobil Holdings Corporation and its subsidiaries, with respect to the period on and after the Effective Date, in each case unless otherwise stated or the context otherwise requires. However, in the “Description of Debt Securities and Guarantees of Debt Securities” section of the prospectus contained in the Registration Statement, references to the “Company,” “we,” “us” and “our” are to Exxon Mobil Corporation only and not to any of its subsidiaries and references to the “Parent” are to ExxonMobil Holdings Corporation only and not to any of its subsidiaries.</w:t>
      </w:r>
    </w:p>
    <w:p>
      <w:pPr>
        <w:spacing w:after="0" w:line="145" w:lineRule="exact"/>
        <w:rPr>
          <w:sz w:val="20"/>
          <w:szCs w:val="20"/>
          <w:color w:val="auto"/>
        </w:rPr>
      </w:pPr>
    </w:p>
    <w:p>
      <w:pPr>
        <w:ind w:left="1300" w:right="179" w:firstLine="347"/>
        <w:spacing w:after="0" w:line="259" w:lineRule="auto"/>
        <w:rPr>
          <w:sz w:val="20"/>
          <w:szCs w:val="20"/>
          <w:color w:val="auto"/>
        </w:rPr>
      </w:pPr>
      <w:r>
        <w:rPr>
          <w:rFonts w:ascii="Times New Roman" w:cs="Times New Roman" w:eastAsia="Times New Roman" w:hAnsi="Times New Roman"/>
          <w:sz w:val="14"/>
          <w:szCs w:val="14"/>
          <w:color w:val="auto"/>
        </w:rPr>
        <w:t>The prospectus contained in the Registration Statement incorporates by reference certain documents filed by the Company prior to the Effective Date and any filings that the Parent makes under Sections 13(a), 13(c), 14 or 15(d) of the Exchange Act on or after the Effective Date. Documents filed by us under Sections 13(a), 13(c), 14 or 15(d) of the Exchange Act before the Effective Date and incorporated by reference in the Registration Statement will not reflect the change in our domicile, among other things. With respect to such information, or any other information contained or incorporated by reference in the Registration Statement that is modified by information subsequently incorporated by reference in the Registration Statement, the statements or information previously contained or incorporated in the Registration Statement shall also be deemed modified or superseded in the same manner.</w:t>
      </w:r>
    </w:p>
    <w:p>
      <w:pPr>
        <w:sectPr>
          <w:pgSz w:w="11900" w:h="16838" w:orient="portrait"/>
          <w:cols w:equalWidth="0" w:num="1">
            <w:col w:w="10159"/>
          </w:cols>
          <w:pgMar w:left="300" w:top="38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137795</wp:posOffset>
            </wp:positionV>
            <wp:extent cx="1270000" cy="236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70000" cy="23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ExxonMobil Holdings Corporation</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Guarantees of Debt Securities</w:t>
      </w:r>
    </w:p>
    <w:p>
      <w:pPr>
        <w:spacing w:after="0" w:line="1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Exxon Mobil Corporation</w:t>
      </w:r>
    </w:p>
    <w:p>
      <w:pPr>
        <w:spacing w:after="0" w:line="19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192405</wp:posOffset>
            </wp:positionV>
            <wp:extent cx="116205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left="1300" w:right="219" w:firstLine="347"/>
        <w:spacing w:after="0" w:line="271" w:lineRule="auto"/>
        <w:rPr>
          <w:sz w:val="20"/>
          <w:szCs w:val="20"/>
          <w:color w:val="auto"/>
        </w:rPr>
      </w:pPr>
      <w:r>
        <w:rPr>
          <w:rFonts w:ascii="Times New Roman" w:cs="Times New Roman" w:eastAsia="Times New Roman" w:hAnsi="Times New Roman"/>
          <w:sz w:val="14"/>
          <w:szCs w:val="14"/>
          <w:color w:val="auto"/>
        </w:rPr>
        <w:t>We or our subsidiary above may offer from time to time the securities noted above. The debt securities may be offered in separate series or classes and in amounts, at prices and on terms described in one or more supplements to this prospectus, which will include full and unconditional guarantees by ExxonMobil Holdings Corporation.</w:t>
      </w:r>
    </w:p>
    <w:p>
      <w:pPr>
        <w:spacing w:after="0" w:line="136" w:lineRule="exact"/>
        <w:rPr>
          <w:sz w:val="20"/>
          <w:szCs w:val="20"/>
          <w:color w:val="auto"/>
        </w:rPr>
      </w:pPr>
    </w:p>
    <w:p>
      <w:pPr>
        <w:ind w:left="1300" w:right="559" w:firstLine="347"/>
        <w:spacing w:after="0" w:line="288" w:lineRule="auto"/>
        <w:rPr>
          <w:sz w:val="20"/>
          <w:szCs w:val="20"/>
          <w:color w:val="auto"/>
        </w:rPr>
      </w:pPr>
      <w:r>
        <w:rPr>
          <w:rFonts w:ascii="Times New Roman" w:cs="Times New Roman" w:eastAsia="Times New Roman" w:hAnsi="Times New Roman"/>
          <w:sz w:val="14"/>
          <w:szCs w:val="14"/>
          <w:color w:val="auto"/>
        </w:rPr>
        <w:t>We urge you to carefully read this prospectus and the accompanying prospectus supplement, together with the documents we incorporate by reference, which will describe the specific terms of these debt securities, before you make your investment decision.</w:t>
      </w:r>
    </w:p>
    <w:p>
      <w:pPr>
        <w:spacing w:after="0" w:line="114" w:lineRule="exact"/>
        <w:rPr>
          <w:sz w:val="20"/>
          <w:szCs w:val="20"/>
          <w:color w:val="auto"/>
        </w:rPr>
      </w:pPr>
    </w:p>
    <w:p>
      <w:pPr>
        <w:ind w:left="1300" w:right="239" w:firstLine="347"/>
        <w:spacing w:after="0" w:line="253" w:lineRule="auto"/>
        <w:rPr>
          <w:sz w:val="20"/>
          <w:szCs w:val="20"/>
          <w:color w:val="auto"/>
        </w:rPr>
      </w:pPr>
      <w:r>
        <w:rPr>
          <w:rFonts w:ascii="Times New Roman" w:cs="Times New Roman" w:eastAsia="Times New Roman" w:hAnsi="Times New Roman"/>
          <w:sz w:val="17"/>
          <w:szCs w:val="17"/>
          <w:b w:val="1"/>
          <w:bCs w:val="1"/>
          <w:color w:val="auto"/>
        </w:rPr>
        <w:t>Investing in these securities involves certain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3 of this prospectus and in our most recent Annual Report on Form 10-K, which is incorporated by reference herein, as well as in any other recently filed quarterly or current reports and, if any, in the relevant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170180</wp:posOffset>
            </wp:positionV>
            <wp:extent cx="116205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00" w:right="259" w:firstLine="347"/>
        <w:spacing w:after="0" w:line="29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154305</wp:posOffset>
            </wp:positionV>
            <wp:extent cx="11620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38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The date of this prospectus is July 1, 2026.</w:t>
      </w:r>
    </w:p>
    <w:p>
      <w:pPr>
        <w:sectPr>
          <w:pgSz w:w="11900" w:h="16838" w:orient="portrait"/>
          <w:cols w:equalWidth="0" w:num="1">
            <w:col w:w="10159"/>
          </w:cols>
          <w:pgMar w:left="300" w:top="38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239" w:firstLine="347"/>
        <w:spacing w:after="0" w:line="260" w:lineRule="auto"/>
        <w:rPr>
          <w:sz w:val="20"/>
          <w:szCs w:val="20"/>
          <w:color w:val="auto"/>
        </w:rPr>
      </w:pPr>
      <w:r>
        <w:rPr>
          <w:rFonts w:ascii="Times New Roman" w:cs="Times New Roman" w:eastAsia="Times New Roman" w:hAnsi="Times New Roman"/>
          <w:sz w:val="14"/>
          <w:szCs w:val="14"/>
          <w:color w:val="auto"/>
        </w:rPr>
        <w:t>We have not authorized anyone to provide any information other than that contained or incorporated by reference in this prospectus or in any related prospectus supplement or free writing prospectus prepared by or on behalf of us or to which we have referred you. We take no responsibility for, and can provide no assurance as to the reliability of, any other information that others may give you. We are not making an offer of these debt securities in any jurisdiction where the offer is not permitted. You should not assume that the information contained in or incorporated by reference in this prospectus is accurate as of any date other than the respective dates of such document. Our business, financial condition, results of operations and prospects may have changed since those dates.</w:t>
      </w:r>
    </w:p>
    <w:p>
      <w:pPr>
        <w:spacing w:after="0" w:line="145" w:lineRule="exact"/>
        <w:rPr>
          <w:sz w:val="20"/>
          <w:szCs w:val="20"/>
          <w:color w:val="auto"/>
        </w:rPr>
      </w:pPr>
    </w:p>
    <w:p>
      <w:pPr>
        <w:ind w:left="1300" w:right="299" w:firstLine="347"/>
        <w:spacing w:after="0" w:line="258" w:lineRule="auto"/>
        <w:rPr>
          <w:sz w:val="20"/>
          <w:szCs w:val="20"/>
          <w:color w:val="auto"/>
        </w:rPr>
      </w:pPr>
      <w:r>
        <w:rPr>
          <w:rFonts w:ascii="Times New Roman" w:cs="Times New Roman" w:eastAsia="Times New Roman" w:hAnsi="Times New Roman"/>
          <w:sz w:val="14"/>
          <w:szCs w:val="14"/>
          <w:color w:val="auto"/>
        </w:rPr>
        <w:t>At the Company’s 2026 Annual Meeting of Stockholders, stockholders of the Company approved changing the Company’s legal domicile from the State of New Jersey to the State of Texas. This redomiciliation was effectuated on July 1, 2026 (the “Effective Date”) by merging Ensign LLC, a Texas limited liability company, with and into the Company, with the Company as the surviving entity and a wholly owned subsidiary of ExxonMobil Holdings Corporation, a Texas corporation. The terms “ExxonMobil,” “the Company,” “we,” “us” and “our” refer to (i) Exxon Mobil Corporation and its subsidiaries, with respect to the period prior to the Effective Date, and to (ii) ExxonMobil Holdings Corporation and its subsidiaries, with respect to the period on and after the Effective Date, in each case unless otherwise stated or the context otherwise requires. However, in the “Description of Debt Securities and Guarantees of Debt Securities” section of the prospectus contained in the Registration Statement, references to the “Company,” “we,” “us” and “our” are to Exxon Mobil Corporation only and not to any of its subsidiaries and references to the “Parent” are to ExxonMobil Holdings Corporation only and not to any of its subsidiaries.</w:t>
      </w:r>
    </w:p>
    <w:p>
      <w:pPr>
        <w:spacing w:after="0" w:line="30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13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280" w:type="dxa"/>
            <w:vAlign w:val="bottom"/>
            <w:gridSpan w:val="6"/>
            <w:vMerge w:val="restart"/>
          </w:tcPr>
          <w:p>
            <w:pPr>
              <w:spacing w:after="0"/>
              <w:rPr>
                <w:sz w:val="24"/>
                <w:szCs w:val="24"/>
                <w:color w:val="auto"/>
              </w:rPr>
            </w:pPr>
          </w:p>
        </w:tc>
        <w:tc>
          <w:tcPr>
            <w:tcW w:w="1520" w:type="dxa"/>
            <w:vAlign w:val="bottom"/>
            <w:tcBorders>
              <w:top w:val="single" w:sz="8" w:color="auto"/>
            </w:tcBorders>
            <w:gridSpan w:val="2"/>
            <w:vMerge w:val="restart"/>
          </w:tcPr>
          <w:p>
            <w:pPr>
              <w:spacing w:after="0"/>
              <w:rPr>
                <w:sz w:val="24"/>
                <w:szCs w:val="24"/>
                <w:color w:val="auto"/>
              </w:rPr>
            </w:pPr>
          </w:p>
        </w:tc>
        <w:tc>
          <w:tcPr>
            <w:tcW w:w="3300" w:type="dxa"/>
            <w:vAlign w:val="bottom"/>
            <w:vMerge w:val="restart"/>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3"/>
        </w:trPr>
        <w:tc>
          <w:tcPr>
            <w:tcW w:w="1300" w:type="dxa"/>
            <w:vAlign w:val="bottom"/>
            <w:tcBorders>
              <w:bottom w:val="single" w:sz="8" w:color="0000EE"/>
            </w:tcBorders>
            <w:gridSpan w:val="5"/>
            <w:vMerge w:val="continue"/>
          </w:tcPr>
          <w:p>
            <w:pPr>
              <w:spacing w:after="0"/>
              <w:rPr>
                <w:sz w:val="10"/>
                <w:szCs w:val="10"/>
                <w:color w:val="auto"/>
              </w:rPr>
            </w:pPr>
          </w:p>
        </w:tc>
        <w:tc>
          <w:tcPr>
            <w:tcW w:w="2280" w:type="dxa"/>
            <w:vAlign w:val="bottom"/>
            <w:gridSpan w:val="6"/>
            <w:vMerge w:val="continue"/>
          </w:tcPr>
          <w:p>
            <w:pPr>
              <w:spacing w:after="0"/>
              <w:rPr>
                <w:sz w:val="10"/>
                <w:szCs w:val="10"/>
                <w:color w:val="auto"/>
              </w:rPr>
            </w:pPr>
          </w:p>
        </w:tc>
        <w:tc>
          <w:tcPr>
            <w:tcW w:w="1520" w:type="dxa"/>
            <w:vAlign w:val="bottom"/>
            <w:tcBorders>
              <w:top w:val="single" w:sz="8" w:color="auto"/>
            </w:tcBorders>
            <w:gridSpan w:val="2"/>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2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Exxon Mobil Corporation</w:t>
            </w:r>
          </w:p>
        </w:tc>
        <w:tc>
          <w:tcPr>
            <w:tcW w:w="6920" w:type="dxa"/>
            <w:vAlign w:val="bottom"/>
            <w:gridSpan w:val="6"/>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0"/>
        </w:trPr>
        <w:tc>
          <w:tcPr>
            <w:tcW w:w="72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9"/>
              </w:rPr>
              <w:t>Risk Factors</w:t>
            </w:r>
          </w:p>
        </w:tc>
        <w:tc>
          <w:tcPr>
            <w:tcW w:w="7680" w:type="dxa"/>
            <w:vAlign w:val="bottom"/>
            <w:gridSpan w:val="12"/>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0"/>
        </w:trPr>
        <w:tc>
          <w:tcPr>
            <w:tcW w:w="8400" w:type="dxa"/>
            <w:vAlign w:val="bottom"/>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Use of Proceeds</w:t>
            </w:r>
          </w:p>
        </w:tc>
        <w:tc>
          <w:tcPr>
            <w:tcW w:w="26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0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Description of Debt Securities and Guarantees of Debt Securities</w:t>
            </w:r>
          </w:p>
        </w:tc>
        <w:tc>
          <w:tcPr>
            <w:tcW w:w="4700" w:type="dxa"/>
            <w:vAlign w:val="bottom"/>
            <w:gridSpan w:val="2"/>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50"/>
        </w:trPr>
        <w:tc>
          <w:tcPr>
            <w:tcW w:w="8400" w:type="dxa"/>
            <w:vAlign w:val="bottom"/>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Forms of Debt Securities</w:t>
            </w:r>
          </w:p>
        </w:tc>
        <w:tc>
          <w:tcPr>
            <w:tcW w:w="26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50"/>
        </w:trPr>
        <w:tc>
          <w:tcPr>
            <w:tcW w:w="1420" w:type="dxa"/>
            <w:vAlign w:val="bottom"/>
            <w:tcBorders>
              <w:top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6980" w:type="dxa"/>
            <w:vAlign w:val="bottom"/>
            <w:gridSpan w:val="7"/>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00" w:type="dxa"/>
            <w:vAlign w:val="bottom"/>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26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80" w:type="dxa"/>
            <w:vAlign w:val="bottom"/>
            <w:tcBorders>
              <w:bottom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rPr>
              <w:t>Information Concerning Forward-Looking Statements</w:t>
            </w:r>
          </w:p>
        </w:tc>
        <w:tc>
          <w:tcPr>
            <w:tcW w:w="5320" w:type="dxa"/>
            <w:vAlign w:val="bottom"/>
            <w:gridSpan w:val="4"/>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50"/>
        </w:trPr>
        <w:tc>
          <w:tcPr>
            <w:tcW w:w="8400" w:type="dxa"/>
            <w:vAlign w:val="bottom"/>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Validity of the Securities</w:t>
            </w:r>
          </w:p>
        </w:tc>
        <w:tc>
          <w:tcPr>
            <w:tcW w:w="26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50"/>
        </w:trPr>
        <w:tc>
          <w:tcPr>
            <w:tcW w:w="44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8"/>
              </w:rPr>
              <w:t>Experts</w:t>
            </w:r>
          </w:p>
        </w:tc>
        <w:tc>
          <w:tcPr>
            <w:tcW w:w="960" w:type="dxa"/>
            <w:vAlign w:val="bottom"/>
            <w:tcBorders>
              <w:top w:val="single" w:sz="8" w:color="0000EE"/>
            </w:tcBorders>
            <w:gridSpan w:val="5"/>
          </w:tcPr>
          <w:p>
            <w:pPr>
              <w:spacing w:after="0"/>
              <w:rPr>
                <w:sz w:val="13"/>
                <w:szCs w:val="13"/>
                <w:color w:val="auto"/>
              </w:rPr>
            </w:pPr>
          </w:p>
        </w:tc>
        <w:tc>
          <w:tcPr>
            <w:tcW w:w="7000" w:type="dxa"/>
            <w:vAlign w:val="bottom"/>
            <w:gridSpan w:val="8"/>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1" w:lineRule="exact"/>
        <w:rPr>
          <w:sz w:val="20"/>
          <w:szCs w:val="20"/>
          <w:color w:val="auto"/>
        </w:rPr>
      </w:pPr>
    </w:p>
    <w:p>
      <w:pPr>
        <w:ind w:left="1300" w:right="179" w:firstLine="347"/>
        <w:spacing w:after="0" w:line="259"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Securities and Exchange Commission utilizing a “shelf” registration process. Under this shelf process, we may sell the debt securities and the guarantee of such debt securities described in this prospectus in one or more offerings. This prospectus provides you with a general description of the securities we may offer. Each time we sell debt securities, we will provide a prospectus supplement that will contain specific information about the terms of that offering. The prospectus supplement may also add, update or change information contained in this prospectus. You should carefully read both this prospectus and any applicable prospectus supplement together with additional information described under the heading “Where You Can Find More Information” before deciding to invest in any of the debt securities being offered.</w:t>
      </w:r>
    </w:p>
    <w:p>
      <w:pPr>
        <w:spacing w:after="0" w:line="146" w:lineRule="exact"/>
        <w:rPr>
          <w:sz w:val="20"/>
          <w:szCs w:val="20"/>
          <w:color w:val="auto"/>
        </w:rPr>
      </w:pPr>
    </w:p>
    <w:p>
      <w:pPr>
        <w:ind w:left="1300" w:right="639" w:firstLine="347"/>
        <w:spacing w:after="0" w:line="288" w:lineRule="auto"/>
        <w:rPr>
          <w:sz w:val="20"/>
          <w:szCs w:val="20"/>
          <w:color w:val="auto"/>
        </w:rPr>
      </w:pPr>
      <w:r>
        <w:rPr>
          <w:rFonts w:ascii="Times New Roman" w:cs="Times New Roman" w:eastAsia="Times New Roman" w:hAnsi="Times New Roman"/>
          <w:sz w:val="14"/>
          <w:szCs w:val="14"/>
          <w:color w:val="auto"/>
        </w:rPr>
        <w:t>We have filed or incorporated by reference exhibits to the registration statement of which this prospectus forms a part. You should read the exhibits carefully for provisions that may be important to you.</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81" w:lineRule="exact"/>
        <w:rPr>
          <w:sz w:val="20"/>
          <w:szCs w:val="20"/>
          <w:color w:val="auto"/>
        </w:rPr>
      </w:pPr>
    </w:p>
    <w:p>
      <w:pPr>
        <w:ind w:left="1300" w:right="259" w:firstLine="347"/>
        <w:spacing w:after="0" w:line="241" w:lineRule="auto"/>
        <w:rPr>
          <w:sz w:val="20"/>
          <w:szCs w:val="20"/>
          <w:color w:val="auto"/>
        </w:rPr>
      </w:pPr>
      <w:r>
        <w:rPr>
          <w:rFonts w:ascii="Times New Roman" w:cs="Times New Roman" w:eastAsia="Times New Roman" w:hAnsi="Times New Roman"/>
          <w:sz w:val="14"/>
          <w:szCs w:val="14"/>
          <w:color w:val="auto"/>
        </w:rPr>
        <w:t>ExxonMobil Holdings Corporation, a Texas corporation, is a holding company whose direct, wholly owned subsidiary and principal operating company is Exxon Mobil Corporation, a New Jersey corporation. ExxonMobil Holdings Corporation had no material assets or operations prior to the Effective Date, and accordingly, no financial statements are presented for ExxonMobil Holdings Corporation. Exxon Mobil Corporation was incorporated in the State of New Jersey in 1882. Divisions and affiliated companies of ExxonMobil operate or market products in the United States and most other countries of the world. Our principal business involves exploration for, and production of, crude oil and natural gas; manufacture, trade, transport and sale of crude oil, natural gas, petroleum products, petrochemicals, and a wide variety of specialty products; and pursuit of lower-emission and other new business opportunities, including carbon capture and storage, hydrogen and ammonia, lower-emission fuels, Proxxima</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resin systems, carbon materials, low-carbon data centers, and lithium. Affiliates of ExxonMobil conduct extensive research programs in support of these businesses.</w:t>
      </w:r>
    </w:p>
    <w:p>
      <w:pPr>
        <w:spacing w:after="0" w:line="1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Our principal offices are located at 22777 Springwoods Village Parkway, Spring, Texas 77389-1425, and our telephone number is</w:t>
      </w:r>
    </w:p>
    <w:p>
      <w:pPr>
        <w:spacing w:after="0" w:line="23" w:lineRule="exact"/>
        <w:rPr>
          <w:sz w:val="20"/>
          <w:szCs w:val="20"/>
          <w:color w:val="auto"/>
        </w:rPr>
      </w:pPr>
    </w:p>
    <w:p>
      <w:pPr>
        <w:ind w:left="1300" w:right="219" w:firstLine="3"/>
        <w:spacing w:after="0" w:line="267" w:lineRule="auto"/>
        <w:tabs>
          <w:tab w:leader="none" w:pos="1643"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940-6000. We maintain a website at www.exxonmobil.com where general information about us is available. We are not incorporating the contents of the website or the information accessible through the website into this prospectus.</w:t>
      </w:r>
    </w:p>
    <w:p>
      <w:pPr>
        <w:spacing w:after="0" w:line="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9"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1" w:lineRule="exact"/>
        <w:rPr>
          <w:sz w:val="20"/>
          <w:szCs w:val="20"/>
          <w:color w:val="auto"/>
        </w:rPr>
      </w:pPr>
    </w:p>
    <w:p>
      <w:pPr>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Investing in our debt securities involves risks. Before you decide whether to invest in any of our debt securities, you should carefully review the information contained, incorporated or deemed to be incorporated by reference in this prospectus and any prospectus supplement, including the risks and uncertainties discussed in this prospectus under the section entitled “Information Concerning Forward-Looking Statements,” under the caption “Risk Factors” in our Annual Report on Form 10-K for the fiscal year ended December 31, 2025, and under the caption “Risk Factors” or any similar caption in any other documents that we will subsequently file with the Securities and Exchange Commission that are incorporated or deemed to be incorporated by reference in this prospectus and any prospectus supplement as described below under “Where You Can Find More Information.” These risks and uncertainties could materially and adversely affect our business, financial condition, liquidity and results of operations and the market price of our debt securities. Additional risks and uncertainties not currently known to us or that we currently deem immaterial may also adversely affect our business and operations.</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9"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1" w:lineRule="exact"/>
        <w:rPr>
          <w:sz w:val="20"/>
          <w:szCs w:val="20"/>
          <w:color w:val="auto"/>
        </w:rPr>
      </w:pPr>
    </w:p>
    <w:p>
      <w:pPr>
        <w:ind w:left="1300" w:right="299" w:firstLine="347"/>
        <w:spacing w:after="0" w:line="271" w:lineRule="auto"/>
        <w:rPr>
          <w:sz w:val="20"/>
          <w:szCs w:val="20"/>
          <w:color w:val="auto"/>
        </w:rPr>
      </w:pPr>
      <w:r>
        <w:rPr>
          <w:rFonts w:ascii="Times New Roman" w:cs="Times New Roman" w:eastAsia="Times New Roman" w:hAnsi="Times New Roman"/>
          <w:sz w:val="14"/>
          <w:szCs w:val="14"/>
          <w:color w:val="auto"/>
        </w:rPr>
        <w:t>Unless otherwise indicated in a prospectus supplement, the net proceeds from the sale of the debt securities will be used for general corporate purposes. We may temporarily invest funds that are not immediately needed for these purposes in short-term investments, including, but not limited to, marketable securities.</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DEBT SECURITIES AND GUARANTEES OF DEBT SECURITIES</w:t>
      </w:r>
    </w:p>
    <w:p>
      <w:pPr>
        <w:spacing w:after="0" w:line="181" w:lineRule="exact"/>
        <w:rPr>
          <w:sz w:val="20"/>
          <w:szCs w:val="20"/>
          <w:color w:val="auto"/>
        </w:rPr>
      </w:pPr>
    </w:p>
    <w:p>
      <w:pPr>
        <w:ind w:left="1300" w:right="239" w:firstLine="347"/>
        <w:spacing w:after="0" w:line="260" w:lineRule="auto"/>
        <w:rPr>
          <w:sz w:val="20"/>
          <w:szCs w:val="20"/>
          <w:color w:val="auto"/>
        </w:rPr>
      </w:pPr>
      <w:r>
        <w:rPr>
          <w:rFonts w:ascii="Times New Roman" w:cs="Times New Roman" w:eastAsia="Times New Roman" w:hAnsi="Times New Roman"/>
          <w:sz w:val="14"/>
          <w:szCs w:val="14"/>
          <w:color w:val="auto"/>
        </w:rPr>
        <w:t>The following description of the terms of the debt securities sets forth certain general terms and provisions of the debt securities to which any prospectus supplement may relate. The particular terms of any debt securities offered and the extent, if any, to which such general provisions may apply to such offered debt securities will be described in the prospectus supplement relating to such offered debt securities. This prospectus and the accompanying prospectus supplement contain the material terms of the securities being offered. In this section, the terms the “Company,” “we,” “us” and “our” refer to Exxon Mobil Corporation only and not to any of its subsidiaries and references to the “Parent” are to ExxonMobil Holdings Corporation only and not to any of its subsidiaries.</w:t>
      </w:r>
    </w:p>
    <w:p>
      <w:pPr>
        <w:spacing w:after="0" w:line="145" w:lineRule="exact"/>
        <w:rPr>
          <w:sz w:val="20"/>
          <w:szCs w:val="20"/>
          <w:color w:val="auto"/>
        </w:rPr>
      </w:pPr>
    </w:p>
    <w:p>
      <w:pPr>
        <w:ind w:left="1300" w:right="219" w:firstLine="347"/>
        <w:spacing w:after="0" w:line="262" w:lineRule="auto"/>
        <w:rPr>
          <w:sz w:val="20"/>
          <w:szCs w:val="20"/>
          <w:color w:val="auto"/>
        </w:rPr>
      </w:pPr>
      <w:r>
        <w:rPr>
          <w:rFonts w:ascii="Times New Roman" w:cs="Times New Roman" w:eastAsia="Times New Roman" w:hAnsi="Times New Roman"/>
          <w:sz w:val="14"/>
          <w:szCs w:val="14"/>
          <w:color w:val="auto"/>
        </w:rPr>
        <w:t>The debt securities are to be issued under an indenture, dated as of March 20, 2014 (the “Base Indenture”), between the Company and Deutsche Bank Trust Company Americas, as Trustee (the “Trustee”), as amended and supplemented by (i) a first supplemental indenture, dated as of June 26, 2020, between the Company and the Trustee (the “First Supplemental Indenture”) and (ii) a second supplemental indenture, dated as of July 1, 2026, among the Company, the Trustee and ExxonMobil Holdings Corporation (the “Parent”). The Base Indenture, as amended and supplemented by the First Supplemental Indenture and the Second Supplemental Indenture, is referred to herein as the “Indenture.”</w:t>
      </w:r>
    </w:p>
    <w:p>
      <w:pPr>
        <w:spacing w:after="0" w:line="143" w:lineRule="exact"/>
        <w:rPr>
          <w:sz w:val="20"/>
          <w:szCs w:val="20"/>
          <w:color w:val="auto"/>
        </w:rPr>
      </w:pPr>
    </w:p>
    <w:p>
      <w:pPr>
        <w:ind w:left="1300" w:right="279" w:firstLine="347"/>
        <w:spacing w:after="0" w:line="262" w:lineRule="auto"/>
        <w:rPr>
          <w:sz w:val="20"/>
          <w:szCs w:val="20"/>
          <w:color w:val="auto"/>
        </w:rPr>
      </w:pPr>
      <w:r>
        <w:rPr>
          <w:rFonts w:ascii="Times New Roman" w:cs="Times New Roman" w:eastAsia="Times New Roman" w:hAnsi="Times New Roman"/>
          <w:sz w:val="14"/>
          <w:szCs w:val="14"/>
          <w:color w:val="auto"/>
        </w:rPr>
        <w:t>The Indenture is filed as an exhibit to the registration statement of which this prospectus forms a part. The following summary of certain general provisions of the Indenture and the debt securities does not purport to be complete and is subject to, and is qualified in its entirety by reference to, the provisions of the Indenture, including the definitions therein of certain terms. Unless otherwise defined herein, all capitalized terms in this section have the definitions ascribed to such terms in the Indenture. The terms of any supplemental indenture entered into or officer’s certificate delivered in connection with a particular issuance of debt securities will be described in the prospectus supplement relating to such offered debt securities.</w:t>
      </w:r>
    </w:p>
    <w:p>
      <w:pPr>
        <w:spacing w:after="0" w:line="143" w:lineRule="exact"/>
        <w:rPr>
          <w:sz w:val="20"/>
          <w:szCs w:val="20"/>
          <w:color w:val="auto"/>
        </w:rPr>
      </w:pPr>
    </w:p>
    <w:p>
      <w:pPr>
        <w:ind w:left="1300" w:right="299" w:firstLine="347"/>
        <w:spacing w:after="0" w:line="271" w:lineRule="auto"/>
        <w:rPr>
          <w:sz w:val="20"/>
          <w:szCs w:val="20"/>
          <w:color w:val="auto"/>
        </w:rPr>
      </w:pPr>
      <w:r>
        <w:rPr>
          <w:rFonts w:ascii="Times New Roman" w:cs="Times New Roman" w:eastAsia="Times New Roman" w:hAnsi="Times New Roman"/>
          <w:sz w:val="14"/>
          <w:szCs w:val="14"/>
          <w:color w:val="auto"/>
        </w:rPr>
        <w:t>References to “holders” in this section mean those who own debt securities registered in their own names, on the books that we or the applicable trustee maintain for this purpose, and not those who own beneficial interests in debt securities registered in street name or in debt securities issued in book-entry form through one or more depositaries.</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6" w:lineRule="exact"/>
        <w:rPr>
          <w:sz w:val="20"/>
          <w:szCs w:val="20"/>
          <w:color w:val="auto"/>
        </w:rPr>
      </w:pPr>
    </w:p>
    <w:p>
      <w:pPr>
        <w:ind w:left="1300" w:right="259" w:firstLine="347"/>
        <w:spacing w:after="0" w:line="262" w:lineRule="auto"/>
        <w:rPr>
          <w:sz w:val="20"/>
          <w:szCs w:val="20"/>
          <w:color w:val="auto"/>
        </w:rPr>
      </w:pPr>
      <w:r>
        <w:rPr>
          <w:rFonts w:ascii="Times New Roman" w:cs="Times New Roman" w:eastAsia="Times New Roman" w:hAnsi="Times New Roman"/>
          <w:sz w:val="14"/>
          <w:szCs w:val="14"/>
          <w:color w:val="auto"/>
        </w:rPr>
        <w:t>The Indenture does not limit the aggregate principal amount of debt securities that may be issued thereunder. The debt securities may be issued from time to time in one or more series. Unless otherwise indicated in the prospectus supplement relating thereto, the debt securities will be unsecured and will rank pari passu with all other existing and future unsecured and unsubordinated indebtedness of the Company. Accordingly, your ownership of debt securities means you are one of our unsecured creditors. The Indenture does not limit the amount of other indebtedness or securities that may be issued by the Company. The Company’s payment obligations under any series of debt securities will be guaranteed by the Parent.</w:t>
      </w:r>
    </w:p>
    <w:p>
      <w:pPr>
        <w:spacing w:after="0" w:line="143" w:lineRule="exact"/>
        <w:rPr>
          <w:sz w:val="20"/>
          <w:szCs w:val="20"/>
          <w:color w:val="auto"/>
        </w:rPr>
      </w:pPr>
    </w:p>
    <w:p>
      <w:pPr>
        <w:ind w:left="1300" w:right="239" w:firstLine="347"/>
        <w:spacing w:after="0" w:line="265" w:lineRule="auto"/>
        <w:rPr>
          <w:sz w:val="20"/>
          <w:szCs w:val="20"/>
          <w:color w:val="auto"/>
        </w:rPr>
      </w:pPr>
      <w:r>
        <w:rPr>
          <w:rFonts w:ascii="Times New Roman" w:cs="Times New Roman" w:eastAsia="Times New Roman" w:hAnsi="Times New Roman"/>
          <w:sz w:val="14"/>
          <w:szCs w:val="14"/>
          <w:color w:val="auto"/>
        </w:rPr>
        <w:t>Debt securities of a series will be issued in registered form (“Securities”) as specified in the terms of the series. Debt securities of a series may be issued in whole or in part in the form of one or more global securities (“Global Securities”) registered in the name of a depository or its nominee and, in such case, beneficial interests in the Global Securities will be shown on, and transfers thereof will be effected only through, records maintained by the designated depository and its participants.</w:t>
      </w:r>
    </w:p>
    <w:p>
      <w:pPr>
        <w:spacing w:after="0" w:line="140" w:lineRule="exact"/>
        <w:rPr>
          <w:sz w:val="20"/>
          <w:szCs w:val="20"/>
          <w:color w:val="auto"/>
        </w:rPr>
      </w:pPr>
    </w:p>
    <w:p>
      <w:pPr>
        <w:ind w:left="1300" w:right="259" w:firstLine="347"/>
        <w:spacing w:after="0" w:line="288" w:lineRule="auto"/>
        <w:rPr>
          <w:sz w:val="20"/>
          <w:szCs w:val="20"/>
          <w:color w:val="auto"/>
        </w:rPr>
      </w:pPr>
      <w:r>
        <w:rPr>
          <w:rFonts w:ascii="Times New Roman" w:cs="Times New Roman" w:eastAsia="Times New Roman" w:hAnsi="Times New Roman"/>
          <w:sz w:val="14"/>
          <w:szCs w:val="14"/>
          <w:color w:val="auto"/>
        </w:rPr>
        <w:t>Reference is made to the prospectus supplement relating to the particular series of debt securities offered thereby for the terms of the offered debt securities, including:</w:t>
      </w:r>
    </w:p>
    <w:p>
      <w:pPr>
        <w:spacing w:after="0" w:line="50" w:lineRule="exact"/>
        <w:rPr>
          <w:sz w:val="20"/>
          <w:szCs w:val="20"/>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1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9"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 price expressed as a percentage of the aggregate principal amount;</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of maturity or the method of determination thereof;</w:t>
      </w:r>
    </w:p>
    <w:p>
      <w:pPr>
        <w:spacing w:after="0" w:line="105" w:lineRule="exact"/>
        <w:rPr>
          <w:rFonts w:ascii="Times New Roman" w:cs="Times New Roman" w:eastAsia="Times New Roman" w:hAnsi="Times New Roman"/>
          <w:sz w:val="14"/>
          <w:szCs w:val="14"/>
          <w:color w:val="auto"/>
        </w:rPr>
      </w:pPr>
    </w:p>
    <w:p>
      <w:pPr>
        <w:ind w:left="2060" w:right="559" w:hanging="331"/>
        <w:spacing w:after="0" w:line="288"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floating) per annum, if any, or the method by which such interest rate or rates will be determined;</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any interest will commence accruing and be payable and the record dates for any interest payments;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and terms of any guarantee of any debt securities;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and any interest or premium will be paid;</w:t>
      </w:r>
    </w:p>
    <w:p>
      <w:pPr>
        <w:spacing w:after="0" w:line="105" w:lineRule="exact"/>
        <w:rPr>
          <w:rFonts w:ascii="Times New Roman" w:cs="Times New Roman" w:eastAsia="Times New Roman" w:hAnsi="Times New Roman"/>
          <w:sz w:val="14"/>
          <w:szCs w:val="14"/>
          <w:color w:val="auto"/>
        </w:rPr>
      </w:pPr>
    </w:p>
    <w:p>
      <w:pPr>
        <w:ind w:left="2060" w:right="639" w:hanging="331"/>
        <w:spacing w:after="0" w:line="288"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and redemption prices relating to any optional or mandatory redemption and other terms and conditions of any optional or mandatory redemptions;</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optional or mandatory sinking fund or analogous provisions;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of the debt securities if other than denominations of $2,000 and any higher integral multiples of $1,000;</w:t>
      </w:r>
    </w:p>
    <w:p>
      <w:pPr>
        <w:spacing w:after="0" w:line="105" w:lineRule="exact"/>
        <w:rPr>
          <w:rFonts w:ascii="Times New Roman" w:cs="Times New Roman" w:eastAsia="Times New Roman" w:hAnsi="Times New Roman"/>
          <w:sz w:val="14"/>
          <w:szCs w:val="14"/>
          <w:color w:val="auto"/>
        </w:rPr>
      </w:pPr>
    </w:p>
    <w:p>
      <w:pPr>
        <w:ind w:left="2060" w:right="239" w:hanging="331"/>
        <w:spacing w:after="0" w:line="288"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payable on declaration of acceleration of maturity or provable in bankruptcy, if other than the principal amount;</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any additional amounts with respect to the debt securities will be payable;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paying agents, transfer agents, registrars or other agents for a series of debt securities;</w:t>
      </w:r>
    </w:p>
    <w:p>
      <w:pPr>
        <w:spacing w:after="0" w:line="105"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of payment of the principal of (and premium, if any) and interest (if any) on the debt securities if other than the currency of the United States of America;</w:t>
      </w:r>
    </w:p>
    <w:p>
      <w:pPr>
        <w:spacing w:after="0" w:line="49" w:lineRule="exact"/>
        <w:rPr>
          <w:rFonts w:ascii="Times New Roman" w:cs="Times New Roman" w:eastAsia="Times New Roman" w:hAnsi="Times New Roman"/>
          <w:sz w:val="14"/>
          <w:szCs w:val="14"/>
          <w:color w:val="auto"/>
        </w:rPr>
      </w:pPr>
    </w:p>
    <w:p>
      <w:pPr>
        <w:ind w:left="2060" w:right="359" w:hanging="331"/>
        <w:spacing w:after="0" w:line="288"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terms and conditions upon which the debt securities may be repayable prior to final maturity at the option of the holder thereof (which option may be conditional);</w:t>
      </w:r>
    </w:p>
    <w:p>
      <w:pPr>
        <w:spacing w:after="0" w:line="49" w:lineRule="exact"/>
        <w:rPr>
          <w:rFonts w:ascii="Times New Roman" w:cs="Times New Roman" w:eastAsia="Times New Roman" w:hAnsi="Times New Roman"/>
          <w:sz w:val="14"/>
          <w:szCs w:val="14"/>
          <w:color w:val="auto"/>
        </w:rPr>
      </w:pPr>
    </w:p>
    <w:p>
      <w:pPr>
        <w:ind w:left="2060" w:right="619" w:hanging="331"/>
        <w:spacing w:after="0" w:line="271"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(and premium, if any) or interest, if any, are to be payable, at the election of the Company or any holder thereof, in a currency other than that in which the debt securities are stated to be payable, the period or periods within which, and the terms and conditions on which, such election may be made;</w:t>
      </w:r>
    </w:p>
    <w:p>
      <w:pPr>
        <w:spacing w:after="0" w:line="61" w:lineRule="exact"/>
        <w:rPr>
          <w:rFonts w:ascii="Times New Roman" w:cs="Times New Roman" w:eastAsia="Times New Roman" w:hAnsi="Times New Roman"/>
          <w:sz w:val="14"/>
          <w:szCs w:val="14"/>
          <w:color w:val="auto"/>
        </w:rPr>
      </w:pPr>
    </w:p>
    <w:p>
      <w:pPr>
        <w:jc w:val="both"/>
        <w:ind w:left="2060" w:right="519" w:hanging="331"/>
        <w:spacing w:after="0" w:line="271"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to be denominated in a currency or currencies, including composite currencies, other than the currency of the United States of America, the equivalent price in the currency of the United States of America for purposes of determining the voting rights of holders of the debt securities as outstanding securities under the Indenture;</w:t>
      </w:r>
    </w:p>
    <w:p>
      <w:pPr>
        <w:spacing w:after="0" w:line="61" w:lineRule="exact"/>
        <w:rPr>
          <w:rFonts w:ascii="Times New Roman" w:cs="Times New Roman" w:eastAsia="Times New Roman" w:hAnsi="Times New Roman"/>
          <w:sz w:val="14"/>
          <w:szCs w:val="14"/>
          <w:color w:val="auto"/>
        </w:rPr>
      </w:pPr>
    </w:p>
    <w:p>
      <w:pPr>
        <w:ind w:left="2060" w:right="559" w:hanging="331"/>
        <w:spacing w:after="0" w:line="288"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of principal of (and premium, if any), or portions thereof, or interest, if any, on the debt securities, may be determined with reference to an index, formula or other method, the manner of determining such amounts;</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are to be issued in temporary or permanent global form;</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or other provisions relating to the transfer or exchange of the debt securities;</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if any, of certain provisions of the Indenture relating to defeasance and discharge, and related conditions;</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if not set forth in the Indenture;</w:t>
      </w:r>
    </w:p>
    <w:p>
      <w:pPr>
        <w:spacing w:after="0" w:line="1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9"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restrictive covenants or other material terms relating thereto which may not be inconsistent with the Indenture; and</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consequences.</w:t>
      </w:r>
    </w:p>
    <w:p>
      <w:pPr>
        <w:spacing w:after="0" w:line="179" w:lineRule="exact"/>
        <w:rPr>
          <w:sz w:val="20"/>
          <w:szCs w:val="20"/>
          <w:color w:val="auto"/>
        </w:rPr>
      </w:pPr>
    </w:p>
    <w:p>
      <w:pPr>
        <w:ind w:left="1300" w:right="239" w:firstLine="347"/>
        <w:spacing w:after="0" w:line="259" w:lineRule="auto"/>
        <w:rPr>
          <w:sz w:val="20"/>
          <w:szCs w:val="20"/>
          <w:color w:val="auto"/>
        </w:rPr>
      </w:pPr>
      <w:r>
        <w:rPr>
          <w:rFonts w:ascii="Times New Roman" w:cs="Times New Roman" w:eastAsia="Times New Roman" w:hAnsi="Times New Roman"/>
          <w:sz w:val="14"/>
          <w:szCs w:val="14"/>
          <w:color w:val="auto"/>
        </w:rPr>
        <w:t>Unless otherwise indicated in the prospectus supplement relating thereto, principal (and premium, if any) and interest will be payable and the Securities will be transferable at the office or agency maintained by us for such purpose. Payment of principal (and premium, if any) and interest on Global Securities registered in the name of or held by the depository or its nominee will be made in immediately available funds to the depository or its nominee, as the case may be, as the registered holder of such Global Security. If any of the debt securities is no longer represented by a Global Security, payment of interest on Securities may, at our option, be made by check mailed directly to holders at their registered addresses. See “Forms of Debt Securities.” No service charge will be made for any transfer or exchange of the debt securities, but the Company may require payment of a sum sufficient to cover any tax or other governmental charge payable in connection therewith.</w:t>
      </w:r>
    </w:p>
    <w:p>
      <w:pPr>
        <w:spacing w:after="0" w:line="146" w:lineRule="exact"/>
        <w:rPr>
          <w:sz w:val="20"/>
          <w:szCs w:val="20"/>
          <w:color w:val="auto"/>
        </w:rPr>
      </w:pPr>
    </w:p>
    <w:p>
      <w:pPr>
        <w:jc w:val="both"/>
        <w:ind w:left="1300" w:right="319" w:firstLine="347"/>
        <w:spacing w:after="0" w:line="271" w:lineRule="auto"/>
        <w:rPr>
          <w:sz w:val="20"/>
          <w:szCs w:val="20"/>
          <w:color w:val="auto"/>
        </w:rPr>
      </w:pPr>
      <w:r>
        <w:rPr>
          <w:rFonts w:ascii="Times New Roman" w:cs="Times New Roman" w:eastAsia="Times New Roman" w:hAnsi="Times New Roman"/>
          <w:sz w:val="14"/>
          <w:szCs w:val="14"/>
          <w:color w:val="auto"/>
        </w:rPr>
        <w:t>One or more series of the debt securities may be issued as discounted debt securities (bearing no interest or interest at a rate which at the time of issuance is below market rates) to be sold at a substantial discount below their stated principal amount. Material U.S. federal income tax consequences and other special considerations applicable to any such discounted debt securities will be described in the prospectus supplement relating thereto.</w:t>
      </w:r>
    </w:p>
    <w:p>
      <w:pPr>
        <w:spacing w:after="0" w:line="136" w:lineRule="exact"/>
        <w:rPr>
          <w:sz w:val="20"/>
          <w:szCs w:val="20"/>
          <w:color w:val="auto"/>
        </w:rPr>
      </w:pPr>
    </w:p>
    <w:p>
      <w:pPr>
        <w:ind w:left="1300" w:right="759" w:firstLine="347"/>
        <w:spacing w:after="0" w:line="288" w:lineRule="auto"/>
        <w:rPr>
          <w:sz w:val="20"/>
          <w:szCs w:val="20"/>
          <w:color w:val="auto"/>
        </w:rPr>
      </w:pPr>
      <w:r>
        <w:rPr>
          <w:rFonts w:ascii="Times New Roman" w:cs="Times New Roman" w:eastAsia="Times New Roman" w:hAnsi="Times New Roman"/>
          <w:sz w:val="14"/>
          <w:szCs w:val="14"/>
          <w:color w:val="auto"/>
        </w:rPr>
        <w:t>The Company may at any time purchase debt securities at any price in the open market or otherwise. Debt securities so purchased by the Company may, at its sole option, be held, resold or surrendered to the Trustee for cancellation.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6" w:lineRule="exact"/>
        <w:rPr>
          <w:sz w:val="20"/>
          <w:szCs w:val="20"/>
          <w:color w:val="auto"/>
        </w:rPr>
      </w:pPr>
    </w:p>
    <w:p>
      <w:pPr>
        <w:ind w:left="1300" w:right="359" w:firstLine="347"/>
        <w:spacing w:after="0" w:line="271" w:lineRule="auto"/>
        <w:rPr>
          <w:sz w:val="20"/>
          <w:szCs w:val="20"/>
          <w:color w:val="auto"/>
        </w:rPr>
      </w:pPr>
      <w:r>
        <w:rPr>
          <w:rFonts w:ascii="Times New Roman" w:cs="Times New Roman" w:eastAsia="Times New Roman" w:hAnsi="Times New Roman"/>
          <w:sz w:val="14"/>
          <w:szCs w:val="14"/>
          <w:color w:val="auto"/>
        </w:rPr>
        <w:t>Unless otherwise specified in any prospectus supplement, the Indenture will not contain any covenants that (i) limit the amount of indebtedness (including secured indebtedness) or lease obligations that may be incurred by the Company and its subsidiaries, or (ii) restrict the Company from entering into change of control transactions (other than as specified under “—Merger and Consolidation” below).</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Merger and Consolidation</w:t>
      </w:r>
    </w:p>
    <w:p>
      <w:pPr>
        <w:spacing w:after="0" w:line="96" w:lineRule="exact"/>
        <w:rPr>
          <w:sz w:val="20"/>
          <w:szCs w:val="20"/>
          <w:color w:val="auto"/>
        </w:rPr>
      </w:pPr>
    </w:p>
    <w:p>
      <w:pPr>
        <w:ind w:left="1300" w:right="199" w:firstLine="347"/>
        <w:spacing w:after="0" w:line="262" w:lineRule="auto"/>
        <w:rPr>
          <w:sz w:val="20"/>
          <w:szCs w:val="20"/>
          <w:color w:val="auto"/>
        </w:rPr>
      </w:pPr>
      <w:r>
        <w:rPr>
          <w:rFonts w:ascii="Times New Roman" w:cs="Times New Roman" w:eastAsia="Times New Roman" w:hAnsi="Times New Roman"/>
          <w:sz w:val="14"/>
          <w:szCs w:val="14"/>
          <w:color w:val="auto"/>
        </w:rPr>
        <w:t>Unless otherwise provided in any prospectus supplement, the Company will covenant that it will not merge or sell, convey, transfer or lease its properties and assets substantially as an entirety unless the Company is the surviving corporation or the successor person is a person organized under the laws of the United States (including any state thereof and the District of Columbia) which expressly assumes the Company’s obligations on all the debt securities and under the Indenture and, after giving effect to such transaction, the Company or the successor person would not be in default under the Indenture.</w:t>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Indenture defines “Events of Default” with respect to the debt securities of any series as being one of the following events:</w:t>
      </w:r>
    </w:p>
    <w:p>
      <w:pPr>
        <w:spacing w:after="0" w:line="94" w:lineRule="exact"/>
        <w:rPr>
          <w:sz w:val="20"/>
          <w:szCs w:val="20"/>
          <w:color w:val="auto"/>
        </w:rPr>
      </w:pPr>
    </w:p>
    <w:p>
      <w:pPr>
        <w:ind w:left="1820" w:hanging="170"/>
        <w:spacing w:after="0"/>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installment of interest on that series for 30 days after becoming due;</w:t>
      </w:r>
    </w:p>
    <w:p>
      <w:pPr>
        <w:spacing w:after="0" w:line="179" w:lineRule="exact"/>
        <w:rPr>
          <w:rFonts w:ascii="Times New Roman" w:cs="Times New Roman" w:eastAsia="Times New Roman" w:hAnsi="Times New Roman"/>
          <w:sz w:val="14"/>
          <w:szCs w:val="14"/>
          <w:color w:val="auto"/>
        </w:rPr>
      </w:pPr>
    </w:p>
    <w:p>
      <w:pPr>
        <w:ind w:left="1860" w:hanging="210"/>
        <w:spacing w:after="0"/>
        <w:tabs>
          <w:tab w:leader="none" w:pos="1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premium, if any, on) that series when due;</w:t>
      </w:r>
    </w:p>
    <w:p>
      <w:pPr>
        <w:spacing w:after="0" w:line="179" w:lineRule="exact"/>
        <w:rPr>
          <w:rFonts w:ascii="Times New Roman" w:cs="Times New Roman" w:eastAsia="Times New Roman" w:hAnsi="Times New Roman"/>
          <w:sz w:val="14"/>
          <w:szCs w:val="14"/>
          <w:color w:val="auto"/>
        </w:rPr>
      </w:pPr>
    </w:p>
    <w:p>
      <w:pPr>
        <w:ind w:left="1900" w:hanging="250"/>
        <w:spacing w:after="0"/>
        <w:tabs>
          <w:tab w:leader="none" w:pos="1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deposit of any sinking fund payment when due;</w:t>
      </w:r>
    </w:p>
    <w:p>
      <w:pPr>
        <w:spacing w:after="0" w:line="179" w:lineRule="exact"/>
        <w:rPr>
          <w:rFonts w:ascii="Times New Roman" w:cs="Times New Roman" w:eastAsia="Times New Roman" w:hAnsi="Times New Roman"/>
          <w:sz w:val="14"/>
          <w:szCs w:val="14"/>
          <w:color w:val="auto"/>
        </w:rPr>
      </w:pPr>
    </w:p>
    <w:p>
      <w:pPr>
        <w:jc w:val="both"/>
        <w:ind w:left="1300" w:right="179" w:firstLine="350"/>
        <w:spacing w:after="0" w:line="271" w:lineRule="auto"/>
        <w:tabs>
          <w:tab w:leader="none" w:pos="188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in the Indenture (other than a covenant included in the Indenture solely for the benefit of any series of debt securities other than that series) for 90 days after notice to us by the Trustee or to us and the Trustee by the holders of at least 25 percent in principal amount of the debt securities of all series affected;</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9"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860" w:hanging="210"/>
        <w:spacing w:after="0"/>
        <w:tabs>
          <w:tab w:leader="none" w:pos="1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with respect to the Company; and</w:t>
      </w:r>
    </w:p>
    <w:p>
      <w:pPr>
        <w:spacing w:after="0" w:line="179" w:lineRule="exact"/>
        <w:rPr>
          <w:rFonts w:ascii="Times New Roman" w:cs="Times New Roman" w:eastAsia="Times New Roman" w:hAnsi="Times New Roman"/>
          <w:sz w:val="14"/>
          <w:szCs w:val="14"/>
          <w:color w:val="auto"/>
        </w:rPr>
      </w:pPr>
    </w:p>
    <w:p>
      <w:pPr>
        <w:ind w:left="1900" w:hanging="250"/>
        <w:spacing w:after="0"/>
        <w:tabs>
          <w:tab w:leader="none" w:pos="1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w:t>
      </w:r>
    </w:p>
    <w:p>
      <w:pPr>
        <w:spacing w:after="0" w:line="179" w:lineRule="exact"/>
        <w:rPr>
          <w:sz w:val="20"/>
          <w:szCs w:val="20"/>
          <w:color w:val="auto"/>
        </w:rPr>
      </w:pPr>
    </w:p>
    <w:p>
      <w:pPr>
        <w:ind w:left="1300" w:right="399" w:firstLine="347"/>
        <w:spacing w:after="0" w:line="260" w:lineRule="auto"/>
        <w:rPr>
          <w:sz w:val="20"/>
          <w:szCs w:val="20"/>
          <w:color w:val="auto"/>
        </w:rPr>
      </w:pPr>
      <w:r>
        <w:rPr>
          <w:rFonts w:ascii="Times New Roman" w:cs="Times New Roman" w:eastAsia="Times New Roman" w:hAnsi="Times New Roman"/>
          <w:sz w:val="14"/>
          <w:szCs w:val="14"/>
          <w:color w:val="auto"/>
        </w:rPr>
        <w:t>If an Event of Default shall occur and be continuing, either the Trustee or the holders of at least 25 percent in principal amount of the debt securities then outstanding of all series affected, voting as a single class, may declare the principal (or such portion thereof as may be specified in the prospectus supplement relating to any such series) of the debt securities of all such series to be due and payable. Under certain conditions, such a declaration may be annulled. Notwithstanding the foregoing, if an Event of Default pursuant to (v) above occurs with respect to the Company, the unpaid principal of, premium, if any, and any accrued and unpaid interest on all the debt securities shall become and be immediately due and payable without further action or notice on the part of the Trustee or any holder.</w:t>
      </w:r>
    </w:p>
    <w:p>
      <w:pPr>
        <w:spacing w:after="0" w:line="145" w:lineRule="exact"/>
        <w:rPr>
          <w:sz w:val="20"/>
          <w:szCs w:val="20"/>
          <w:color w:val="auto"/>
        </w:rPr>
      </w:pPr>
    </w:p>
    <w:p>
      <w:pPr>
        <w:ind w:left="1300" w:right="299" w:firstLine="347"/>
        <w:spacing w:after="0" w:line="262" w:lineRule="auto"/>
        <w:rPr>
          <w:sz w:val="20"/>
          <w:szCs w:val="20"/>
          <w:color w:val="auto"/>
        </w:rPr>
      </w:pPr>
      <w:r>
        <w:rPr>
          <w:rFonts w:ascii="Times New Roman" w:cs="Times New Roman" w:eastAsia="Times New Roman" w:hAnsi="Times New Roman"/>
          <w:sz w:val="14"/>
          <w:szCs w:val="14"/>
          <w:color w:val="auto"/>
        </w:rPr>
        <w:t xml:space="preserve">The Indenture provides that the Trustee shall, within 90 days after the occurrence of a default actually known to one of its responsible officers, give the holders of debt securities notice of all uncured defaults actually known to one of its responsible officers (the term “default” to mean the events specified above without grace periods);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except in the case of default in the payment of principal of or interest on any debt security, the Trustee shall be fully protected in withholding such notice if it in good faith determines the withholding of such notice is in the interest of the holders of debt securities.</w:t>
      </w:r>
    </w:p>
    <w:p>
      <w:pPr>
        <w:spacing w:after="0" w:line="143" w:lineRule="exact"/>
        <w:rPr>
          <w:sz w:val="20"/>
          <w:szCs w:val="20"/>
          <w:color w:val="auto"/>
        </w:rPr>
      </w:pPr>
    </w:p>
    <w:p>
      <w:pPr>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The Company will be required to furnish to the Trustee annually a statement by the principal financial officer, the principal executive officer or the principal accounting officer of the Company stating whether or not, to the best of his or her knowledge, the Company is in default in the performance and observance of any of the terms, provisions and conditions under the Indenture and, if the Company is in default, specifying each such default.</w:t>
      </w:r>
    </w:p>
    <w:p>
      <w:pPr>
        <w:spacing w:after="0" w:line="136" w:lineRule="exact"/>
        <w:rPr>
          <w:sz w:val="20"/>
          <w:szCs w:val="20"/>
          <w:color w:val="auto"/>
        </w:rPr>
      </w:pPr>
    </w:p>
    <w:p>
      <w:pPr>
        <w:ind w:left="1300" w:right="239" w:firstLine="347"/>
        <w:spacing w:after="0" w:line="258"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all series affected will have the right, subject to certain limitations, to direct the time, method and place of conducting any proceeding for any remedy available to the Trustee or exercising any trust or power conferred on the Trustee with respect to the debt securities of such series, and to waive certain defaults with respect thereto. The Indenture provides that in case an Event of Default shall occur and be continuing, the Trustee shall exercise such of its rights and powers under the Indenture, and use the same degree of care and skill in their exercise, as a prudent person would exercise or use under the circumstances in the conduct of his or her own affairs. Subject to such provisions, the Trustee will be under no obligation to exercise any of its rights or powers under the Indenture at the request of any of the holders of debt securities unless they shall have offered to the Trustee security or indemnity satisfactory to it against the costs, expenses and liabilities which might be incurred by it in compliance with such request.</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96" w:lineRule="exact"/>
        <w:rPr>
          <w:sz w:val="20"/>
          <w:szCs w:val="20"/>
          <w:color w:val="auto"/>
        </w:rPr>
      </w:pPr>
    </w:p>
    <w:p>
      <w:pPr>
        <w:ind w:left="1300" w:right="199" w:firstLine="347"/>
        <w:spacing w:after="0" w:line="259" w:lineRule="auto"/>
        <w:rPr>
          <w:sz w:val="20"/>
          <w:szCs w:val="20"/>
          <w:color w:val="auto"/>
        </w:rPr>
      </w:pPr>
      <w:r>
        <w:rPr>
          <w:rFonts w:ascii="Times New Roman" w:cs="Times New Roman" w:eastAsia="Times New Roman" w:hAnsi="Times New Roman"/>
          <w:sz w:val="14"/>
          <w:szCs w:val="14"/>
          <w:color w:val="auto"/>
        </w:rPr>
        <w:t xml:space="preserve">The Indenture may generally be modified or amended with the consent of the holders of not less than a majority in principal amount of the outstanding debt securities of each series affected by the modification (voting as a single class);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such modification or amendment may be made, without the consent of the holder of each debt security affected, which would (i) reduce the principal amount of or the interest on any debt security, change the stated maturity of the principal of, or any installment of principal of or interest on, any debt security, or the other terms of payment thereof, or (ii) reduce the above-stated percentage of debt securities, the consent of the holders of which is required to modify or amend the Indenture, or the percentage of debt securities of any series, the consent of the holders of which is required to waive compliance with certain provisions of the Indenture or to waive certain past defaults.</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9"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Without the consent of any holder of debt securities, the Company and the Trustee may enter into a supplemental indenture to amend the Indenture or the debt securities issued under that Indenture for any of the following purposes, among other things:</w:t>
      </w:r>
    </w:p>
    <w:p>
      <w:pPr>
        <w:spacing w:after="0" w:line="39" w:lineRule="exact"/>
        <w:rPr>
          <w:sz w:val="20"/>
          <w:szCs w:val="20"/>
          <w:color w:val="auto"/>
        </w:rPr>
      </w:pPr>
    </w:p>
    <w:p>
      <w:pPr>
        <w:ind w:left="1300" w:right="359" w:firstLine="350"/>
        <w:spacing w:after="0" w:line="288" w:lineRule="auto"/>
        <w:tabs>
          <w:tab w:leader="none" w:pos="18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the Company and the assumption by any such successor of the covenants of the Company in the Indenture, as supplemented, and in the debt securities;</w:t>
      </w:r>
    </w:p>
    <w:p>
      <w:pPr>
        <w:spacing w:after="0" w:line="124" w:lineRule="exact"/>
        <w:rPr>
          <w:rFonts w:ascii="Times New Roman" w:cs="Times New Roman" w:eastAsia="Times New Roman" w:hAnsi="Times New Roman"/>
          <w:sz w:val="14"/>
          <w:szCs w:val="14"/>
          <w:color w:val="auto"/>
        </w:rPr>
      </w:pPr>
    </w:p>
    <w:p>
      <w:pPr>
        <w:ind w:left="1300" w:right="259" w:firstLine="350"/>
        <w:spacing w:after="0" w:line="271" w:lineRule="auto"/>
        <w:tabs>
          <w:tab w:leader="none" w:pos="184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the Company, for the benefit of the holders of all or any series of debt securities (and if such covenants are to be for the benefit of less than all series of debt securities, stating that such covenants are expressly being included solely for the benefit of such series) or to surrender any right or power herein conferred upon the Company;</w:t>
      </w:r>
    </w:p>
    <w:p>
      <w:pPr>
        <w:spacing w:after="0" w:line="135" w:lineRule="exact"/>
        <w:rPr>
          <w:rFonts w:ascii="Times New Roman" w:cs="Times New Roman" w:eastAsia="Times New Roman" w:hAnsi="Times New Roman"/>
          <w:sz w:val="14"/>
          <w:szCs w:val="14"/>
          <w:color w:val="auto"/>
        </w:rPr>
      </w:pPr>
    </w:p>
    <w:p>
      <w:pPr>
        <w:ind w:left="1840" w:hanging="190"/>
        <w:spacing w:after="0"/>
        <w:tabs>
          <w:tab w:leader="none" w:pos="18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w:t>
      </w:r>
    </w:p>
    <w:p>
      <w:pPr>
        <w:spacing w:after="0" w:line="177" w:lineRule="exact"/>
        <w:rPr>
          <w:rFonts w:ascii="Times New Roman" w:cs="Times New Roman" w:eastAsia="Times New Roman" w:hAnsi="Times New Roman"/>
          <w:sz w:val="14"/>
          <w:szCs w:val="14"/>
          <w:color w:val="auto"/>
        </w:rPr>
      </w:pPr>
    </w:p>
    <w:p>
      <w:pPr>
        <w:ind w:left="1300" w:right="519" w:firstLine="350"/>
        <w:spacing w:after="0" w:line="291" w:lineRule="auto"/>
        <w:tabs>
          <w:tab w:leader="none" w:pos="184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permit the issuance of debt securities in uncertificated form;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action shall not adversely affect the interests of the holders of debt securities of any series in any material respect;</w:t>
      </w:r>
    </w:p>
    <w:p>
      <w:pPr>
        <w:spacing w:after="0" w:line="120" w:lineRule="exact"/>
        <w:rPr>
          <w:rFonts w:ascii="Times New Roman" w:cs="Times New Roman" w:eastAsia="Times New Roman" w:hAnsi="Times New Roman"/>
          <w:sz w:val="14"/>
          <w:szCs w:val="14"/>
          <w:color w:val="auto"/>
        </w:rPr>
      </w:pPr>
    </w:p>
    <w:p>
      <w:pPr>
        <w:ind w:left="1300" w:right="379" w:firstLine="350"/>
        <w:spacing w:after="0" w:line="291" w:lineRule="auto"/>
        <w:tabs>
          <w:tab w:leader="none" w:pos="18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change or eliminate any of the provisions of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change or elimination shall become effective only with respect to debt securities not outstanding at the time of the execution of such supplemental indenture;</w:t>
      </w:r>
    </w:p>
    <w:p>
      <w:pPr>
        <w:spacing w:after="0" w:line="122" w:lineRule="exact"/>
        <w:rPr>
          <w:rFonts w:ascii="Times New Roman" w:cs="Times New Roman" w:eastAsia="Times New Roman" w:hAnsi="Times New Roman"/>
          <w:sz w:val="14"/>
          <w:szCs w:val="14"/>
          <w:color w:val="auto"/>
        </w:rPr>
      </w:pPr>
    </w:p>
    <w:p>
      <w:pPr>
        <w:ind w:left="1820" w:hanging="170"/>
        <w:spacing w:after="0"/>
        <w:tabs>
          <w:tab w:leader="none" w:pos="18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debt securities;</w:t>
      </w:r>
    </w:p>
    <w:p>
      <w:pPr>
        <w:spacing w:after="0" w:line="179" w:lineRule="exact"/>
        <w:rPr>
          <w:rFonts w:ascii="Times New Roman" w:cs="Times New Roman" w:eastAsia="Times New Roman" w:hAnsi="Times New Roman"/>
          <w:sz w:val="14"/>
          <w:szCs w:val="14"/>
          <w:color w:val="auto"/>
        </w:rPr>
      </w:pPr>
    </w:p>
    <w:p>
      <w:pPr>
        <w:ind w:left="1860" w:hanging="210"/>
        <w:spacing w:after="0"/>
        <w:tabs>
          <w:tab w:leader="none" w:pos="1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debt securities of any series;</w:t>
      </w:r>
    </w:p>
    <w:p>
      <w:pPr>
        <w:spacing w:after="0" w:line="179" w:lineRule="exact"/>
        <w:rPr>
          <w:rFonts w:ascii="Times New Roman" w:cs="Times New Roman" w:eastAsia="Times New Roman" w:hAnsi="Times New Roman"/>
          <w:sz w:val="14"/>
          <w:szCs w:val="14"/>
          <w:color w:val="auto"/>
        </w:rPr>
      </w:pPr>
    </w:p>
    <w:p>
      <w:pPr>
        <w:ind w:left="1300" w:right="259" w:firstLine="350"/>
        <w:spacing w:after="0" w:line="271" w:lineRule="auto"/>
        <w:tabs>
          <w:tab w:leader="none" w:pos="184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with respect to the debt securities of one or more series and/or to add to or change any of the provisions of the Indenture as shall be necessary to provide for or facilitate the administration of the trusts under the Indenture by more than one Trustee;</w:t>
      </w:r>
    </w:p>
    <w:p>
      <w:pPr>
        <w:spacing w:after="0" w:line="135" w:lineRule="exact"/>
        <w:rPr>
          <w:rFonts w:ascii="Times New Roman" w:cs="Times New Roman" w:eastAsia="Times New Roman" w:hAnsi="Times New Roman"/>
          <w:sz w:val="14"/>
          <w:szCs w:val="14"/>
          <w:color w:val="auto"/>
        </w:rPr>
      </w:pPr>
    </w:p>
    <w:p>
      <w:pPr>
        <w:ind w:left="1300" w:right="199" w:firstLine="350"/>
        <w:spacing w:after="0" w:line="271" w:lineRule="auto"/>
        <w:tabs>
          <w:tab w:leader="none" w:pos="18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to correct or supplement any provision of the Indenture, as supplemented, which may be defective or inconsistent with any other provision herein or to conform any provision applicable to debt securities of any series to the description of the terms of such debt securities in any prospectus supplement; or</w:t>
      </w:r>
    </w:p>
    <w:p>
      <w:pPr>
        <w:spacing w:after="0" w:line="133" w:lineRule="exact"/>
        <w:rPr>
          <w:rFonts w:ascii="Times New Roman" w:cs="Times New Roman" w:eastAsia="Times New Roman" w:hAnsi="Times New Roman"/>
          <w:sz w:val="14"/>
          <w:szCs w:val="14"/>
          <w:color w:val="auto"/>
        </w:rPr>
      </w:pPr>
    </w:p>
    <w:p>
      <w:pPr>
        <w:ind w:left="1300" w:right="479" w:firstLine="350"/>
        <w:spacing w:after="0" w:line="291" w:lineRule="auto"/>
        <w:tabs>
          <w:tab w:leader="none" w:pos="18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make any other provisions with respect to matters or questions arising under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action shall not adversely affect the interests of the holders of debt securities of any series in any material respect.</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Defeasance and Discharge</w:t>
      </w:r>
    </w:p>
    <w:p>
      <w:pPr>
        <w:spacing w:after="0" w:line="9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Indenture provides that the Company may elect, with respect to the debt securities of any series, either:</w:t>
      </w:r>
    </w:p>
    <w:p>
      <w:pPr>
        <w:spacing w:after="0" w:line="94" w:lineRule="exact"/>
        <w:rPr>
          <w:sz w:val="20"/>
          <w:szCs w:val="20"/>
          <w:color w:val="auto"/>
        </w:rPr>
      </w:pPr>
    </w:p>
    <w:p>
      <w:pPr>
        <w:ind w:left="1300" w:right="339" w:firstLine="350"/>
        <w:spacing w:after="0" w:line="265" w:lineRule="auto"/>
        <w:tabs>
          <w:tab w:leader="none" w:pos="18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and certain obligations owed to the Trustee (“legal defeasance”)); or</w:t>
      </w:r>
    </w:p>
    <w:p>
      <w:pPr>
        <w:spacing w:after="0" w:line="140" w:lineRule="exact"/>
        <w:rPr>
          <w:rFonts w:ascii="Times New Roman" w:cs="Times New Roman" w:eastAsia="Times New Roman" w:hAnsi="Times New Roman"/>
          <w:sz w:val="14"/>
          <w:szCs w:val="14"/>
          <w:color w:val="auto"/>
        </w:rPr>
      </w:pPr>
    </w:p>
    <w:p>
      <w:pPr>
        <w:ind w:left="1860" w:hanging="210"/>
        <w:spacing w:after="0"/>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released from its obligations to comply with any restrictive covenants under the Indenture,</w:t>
      </w:r>
    </w:p>
    <w:p>
      <w:pPr>
        <w:spacing w:after="0" w:line="23" w:lineRule="exact"/>
        <w:rPr>
          <w:sz w:val="20"/>
          <w:szCs w:val="20"/>
          <w:color w:val="auto"/>
        </w:rPr>
      </w:pPr>
    </w:p>
    <w:p>
      <w:pPr>
        <w:ind w:left="1300" w:right="319"/>
        <w:spacing w:after="0" w:line="260" w:lineRule="auto"/>
        <w:rPr>
          <w:sz w:val="20"/>
          <w:szCs w:val="20"/>
          <w:color w:val="auto"/>
        </w:rPr>
      </w:pPr>
      <w:r>
        <w:rPr>
          <w:rFonts w:ascii="Times New Roman" w:cs="Times New Roman" w:eastAsia="Times New Roman" w:hAnsi="Times New Roman"/>
          <w:sz w:val="14"/>
          <w:szCs w:val="14"/>
          <w:color w:val="auto"/>
        </w:rPr>
        <w:t>in either case after the deposit with the Trustee, in trust, of money and/or Government Obligations (as defined in the Indenture) which through the payment of interest and principal thereof in accordance with their terms will provide money in an amount sufficient to pay any installment of principal (and premium, if any (and interest, if any)) on, and any mandatory sinking fund payments in respect of, such debt securities on the stated maturity of</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199"/>
        <w:spacing w:after="0" w:line="258" w:lineRule="auto"/>
        <w:rPr>
          <w:sz w:val="20"/>
          <w:szCs w:val="20"/>
          <w:color w:val="auto"/>
        </w:rPr>
      </w:pPr>
      <w:r>
        <w:rPr>
          <w:rFonts w:ascii="Times New Roman" w:cs="Times New Roman" w:eastAsia="Times New Roman" w:hAnsi="Times New Roman"/>
          <w:sz w:val="14"/>
          <w:szCs w:val="14"/>
          <w:color w:val="auto"/>
        </w:rPr>
        <w:t>such payments in accordance with the terms of the Indenture and such debt securities. Such a trust may be established only if, among other things, the Company has delivered to the Trustee an opinion of counsel (who may be counsel to the Company) to the effect that, based upon applicable U.S. federal income tax law or a ruling published by the U.S. Internal Revenue Service (which opinion must, in the case of legal defeasance, be based on a change in applicable U.S. federal income tax law after the date of the Indenture or a ruling published by the U.S. Internal Revenue Service after the date of the Indenture), such a defeasance and discharge will not be deemed, or result in, a taxable event with respect to beneficial owners of such debt securities. For the avoidance of doubt, neither the Trustee nor any of its agents are responsible for determining the sufficiency of any amounts deposited in trust pursuant to a discharge or defeasance of any series of debt securities under the Indenture and neither the Trustee nor any of its agents shall have any obligation or liability whatsoever with respect to the sufficiency of such amounts.</w:t>
      </w:r>
    </w:p>
    <w:p>
      <w:pPr>
        <w:spacing w:after="0" w:line="148" w:lineRule="exact"/>
        <w:rPr>
          <w:sz w:val="20"/>
          <w:szCs w:val="20"/>
          <w:color w:val="auto"/>
        </w:rPr>
      </w:pPr>
    </w:p>
    <w:p>
      <w:pPr>
        <w:ind w:left="1300" w:right="319" w:firstLine="347"/>
        <w:spacing w:after="0" w:line="271" w:lineRule="auto"/>
        <w:rPr>
          <w:sz w:val="20"/>
          <w:szCs w:val="20"/>
          <w:color w:val="auto"/>
        </w:rPr>
      </w:pPr>
      <w:r>
        <w:rPr>
          <w:rFonts w:ascii="Times New Roman" w:cs="Times New Roman" w:eastAsia="Times New Roman" w:hAnsi="Times New Roman"/>
          <w:sz w:val="14"/>
          <w:szCs w:val="14"/>
          <w:color w:val="auto"/>
        </w:rPr>
        <w:t>The Indenture also provides that the Indenture shall cease to be of further effect with respect to any series of debt securities (except as to any surviving rights of registration of transfer or exchange of debt securities of such series), and the Trustee, at the expense of and upon written instruction by the Company, shall execute proper instruments acknowledging satisfaction and discharge of the Indenture as to such series, when</w:t>
      </w:r>
    </w:p>
    <w:p>
      <w:pPr>
        <w:spacing w:after="0" w:line="136" w:lineRule="exact"/>
        <w:rPr>
          <w:sz w:val="20"/>
          <w:szCs w:val="20"/>
          <w:color w:val="auto"/>
        </w:rPr>
      </w:pPr>
    </w:p>
    <w:p>
      <w:pPr>
        <w:ind w:left="1840" w:hanging="190"/>
        <w:spacing w:after="0"/>
        <w:tabs>
          <w:tab w:leader="none" w:pos="18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4" w:lineRule="exact"/>
        <w:rPr>
          <w:rFonts w:ascii="Times New Roman" w:cs="Times New Roman" w:eastAsia="Times New Roman" w:hAnsi="Times New Roman"/>
          <w:sz w:val="14"/>
          <w:szCs w:val="14"/>
          <w:color w:val="auto"/>
        </w:rPr>
      </w:pPr>
    </w:p>
    <w:p>
      <w:pPr>
        <w:ind w:left="1660" w:right="219" w:firstLine="324"/>
        <w:spacing w:after="0" w:line="265" w:lineRule="auto"/>
        <w:tabs>
          <w:tab w:leader="none" w:pos="2163"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securities of such series theretofore authenticated and delivered (other than (A) debt securities which have been destroyed, lost or stolen and which have been replaced or paid as provided in the Indenture and (B) debt securities for whose payment money has theretofore been deposited in trust or segregated and held in trust by the Company and thereafter repaid to the Company or discharged from such trust, as provided in the Indenture) have been delivered to the Trustee for cancellation; or</w:t>
      </w:r>
    </w:p>
    <w:p>
      <w:pPr>
        <w:spacing w:after="0" w:line="55" w:lineRule="exact"/>
        <w:rPr>
          <w:rFonts w:ascii="Times New Roman" w:cs="Times New Roman" w:eastAsia="Times New Roman" w:hAnsi="Times New Roman"/>
          <w:sz w:val="14"/>
          <w:szCs w:val="14"/>
          <w:color w:val="auto"/>
        </w:rPr>
      </w:pPr>
    </w:p>
    <w:p>
      <w:pPr>
        <w:ind w:left="2200" w:hanging="216"/>
        <w:spacing w:after="0"/>
        <w:tabs>
          <w:tab w:leader="none" w:pos="22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debt securities of such series not theretofore delivered to the Trustee for cancellation:</w:t>
      </w:r>
    </w:p>
    <w:p>
      <w:pPr>
        <w:spacing w:after="0" w:line="105" w:lineRule="exact"/>
        <w:rPr>
          <w:rFonts w:ascii="Times New Roman" w:cs="Times New Roman" w:eastAsia="Times New Roman" w:hAnsi="Times New Roman"/>
          <w:sz w:val="14"/>
          <w:szCs w:val="14"/>
          <w:color w:val="auto"/>
        </w:rPr>
      </w:pPr>
    </w:p>
    <w:p>
      <w:pPr>
        <w:ind w:left="2860" w:hanging="429"/>
        <w:spacing w:after="0"/>
        <w:tabs>
          <w:tab w:leader="none" w:pos="286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w:t>
      </w:r>
    </w:p>
    <w:p>
      <w:pPr>
        <w:spacing w:after="0" w:line="105" w:lineRule="exact"/>
        <w:rPr>
          <w:rFonts w:ascii="Times New Roman" w:cs="Times New Roman" w:eastAsia="Times New Roman" w:hAnsi="Times New Roman"/>
          <w:sz w:val="14"/>
          <w:szCs w:val="14"/>
          <w:color w:val="auto"/>
        </w:rPr>
      </w:pPr>
    </w:p>
    <w:p>
      <w:pPr>
        <w:ind w:left="2860" w:hanging="429"/>
        <w:spacing w:after="0"/>
        <w:tabs>
          <w:tab w:leader="none" w:pos="286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(as defined in the Indenture) within one year of the date of deposit, or</w:t>
      </w:r>
    </w:p>
    <w:p>
      <w:pPr>
        <w:spacing w:after="0" w:line="105" w:lineRule="exact"/>
        <w:rPr>
          <w:rFonts w:ascii="Times New Roman" w:cs="Times New Roman" w:eastAsia="Times New Roman" w:hAnsi="Times New Roman"/>
          <w:sz w:val="14"/>
          <w:szCs w:val="14"/>
          <w:color w:val="auto"/>
        </w:rPr>
      </w:pPr>
    </w:p>
    <w:p>
      <w:pPr>
        <w:ind w:left="2860" w:right="479" w:hanging="429"/>
        <w:spacing w:after="0" w:line="288" w:lineRule="auto"/>
        <w:tabs>
          <w:tab w:leader="none" w:pos="286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to be called for redemption within one year under arrangements satisfactory to the Trustee for the giving of notice of redemption by the Trustee in the name, and at the expense, of the Company,</w:t>
      </w:r>
    </w:p>
    <w:p>
      <w:pPr>
        <w:spacing w:after="0" w:line="124" w:lineRule="exact"/>
        <w:rPr>
          <w:sz w:val="20"/>
          <w:szCs w:val="20"/>
          <w:color w:val="auto"/>
        </w:rPr>
      </w:pPr>
    </w:p>
    <w:p>
      <w:pPr>
        <w:ind w:left="1300" w:right="399"/>
        <w:spacing w:after="0" w:line="265" w:lineRule="auto"/>
        <w:rPr>
          <w:sz w:val="20"/>
          <w:szCs w:val="20"/>
          <w:color w:val="auto"/>
        </w:rPr>
      </w:pPr>
      <w:r>
        <w:rPr>
          <w:rFonts w:ascii="Times New Roman" w:cs="Times New Roman" w:eastAsia="Times New Roman" w:hAnsi="Times New Roman"/>
          <w:sz w:val="14"/>
          <w:szCs w:val="14"/>
          <w:color w:val="auto"/>
        </w:rPr>
        <w:t>and the Company, in the case of (A), (B) or (C) in (ii) above, has deposited or caused to be deposited with the Trustee as trust funds in trust for the purpose an amount sufficient to pay and discharge the entire indebtedness on such debt securities not theretofore delivered to the Trustee for cancellation, for principal (and premium, if any) and interest, if any, to the date of such deposit (in the case of debt securities which have become due and payable), or to the stated maturity or the redemption date, as the case may be;</w:t>
      </w:r>
    </w:p>
    <w:p>
      <w:pPr>
        <w:spacing w:after="0" w:line="140" w:lineRule="exact"/>
        <w:rPr>
          <w:sz w:val="20"/>
          <w:szCs w:val="20"/>
          <w:color w:val="auto"/>
        </w:rPr>
      </w:pPr>
    </w:p>
    <w:p>
      <w:pPr>
        <w:ind w:left="1860" w:hanging="210"/>
        <w:spacing w:after="0"/>
        <w:tabs>
          <w:tab w:leader="none" w:pos="1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caused to be paid all other sums payable under the Indenture by the Company with respect to such series; and</w:t>
      </w:r>
    </w:p>
    <w:p>
      <w:pPr>
        <w:spacing w:after="0" w:line="179" w:lineRule="exact"/>
        <w:rPr>
          <w:rFonts w:ascii="Times New Roman" w:cs="Times New Roman" w:eastAsia="Times New Roman" w:hAnsi="Times New Roman"/>
          <w:sz w:val="14"/>
          <w:szCs w:val="14"/>
          <w:color w:val="auto"/>
        </w:rPr>
      </w:pPr>
    </w:p>
    <w:p>
      <w:pPr>
        <w:ind w:left="1300" w:right="419" w:firstLine="350"/>
        <w:spacing w:after="0" w:line="288" w:lineRule="auto"/>
        <w:tabs>
          <w:tab w:leader="none" w:pos="18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an officer’s certificate and an opinion of counsel, each stating that, with respect to such series, all conditions precedent provided for in the Indenture relating to the satisfaction and discharge of the Indenture have been complied with.</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96" w:lineRule="exact"/>
        <w:rPr>
          <w:sz w:val="20"/>
          <w:szCs w:val="20"/>
          <w:color w:val="auto"/>
        </w:rPr>
      </w:pPr>
    </w:p>
    <w:p>
      <w:pPr>
        <w:ind w:left="1300" w:right="259" w:firstLine="347"/>
        <w:spacing w:after="0" w:line="288" w:lineRule="auto"/>
        <w:rPr>
          <w:sz w:val="20"/>
          <w:szCs w:val="20"/>
          <w:color w:val="auto"/>
        </w:rPr>
      </w:pPr>
      <w:r>
        <w:rPr>
          <w:rFonts w:ascii="Times New Roman" w:cs="Times New Roman" w:eastAsia="Times New Roman" w:hAnsi="Times New Roman"/>
          <w:sz w:val="14"/>
          <w:szCs w:val="14"/>
          <w:color w:val="auto"/>
        </w:rPr>
        <w:t>The Company’s payment obligations under any series of debt securities will be guaranteed by the Parent. The terms of any such guarantee will be set forth in the applicable prospectus supplement.</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9"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6" w:lineRule="exact"/>
        <w:rPr>
          <w:sz w:val="20"/>
          <w:szCs w:val="20"/>
          <w:color w:val="auto"/>
        </w:rPr>
      </w:pPr>
    </w:p>
    <w:p>
      <w:pPr>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The Indenture, the debt securities and the guarantees of debt securities will be governed by, and construed in accordance with, the laws of the State of New York.</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96" w:lineRule="exact"/>
        <w:rPr>
          <w:sz w:val="20"/>
          <w:szCs w:val="20"/>
          <w:color w:val="auto"/>
        </w:rPr>
      </w:pPr>
    </w:p>
    <w:p>
      <w:pPr>
        <w:jc w:val="both"/>
        <w:ind w:left="1300" w:right="479" w:firstLine="347"/>
        <w:spacing w:after="0" w:line="271" w:lineRule="auto"/>
        <w:rPr>
          <w:sz w:val="20"/>
          <w:szCs w:val="20"/>
          <w:color w:val="auto"/>
        </w:rPr>
      </w:pPr>
      <w:r>
        <w:rPr>
          <w:rFonts w:ascii="Times New Roman" w:cs="Times New Roman" w:eastAsia="Times New Roman" w:hAnsi="Times New Roman"/>
          <w:sz w:val="14"/>
          <w:szCs w:val="14"/>
          <w:color w:val="auto"/>
        </w:rPr>
        <w:t>Deutsche Bank Trust Company Americas is the Trustee under the Indenture and will have been appointed by the Company as initial security registrar with regard to the debt securities. We will specify any material relationship we may have with the Trustee in the prospectus supplement. In addition, the Trustee may serve as trustee for other debt securities issued by the Company from time to time.</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9"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FORMS OF DEBT SECURITIES</w:t>
      </w:r>
    </w:p>
    <w:p>
      <w:pPr>
        <w:spacing w:after="0" w:line="181" w:lineRule="exact"/>
        <w:rPr>
          <w:sz w:val="20"/>
          <w:szCs w:val="20"/>
          <w:color w:val="auto"/>
        </w:rPr>
      </w:pPr>
    </w:p>
    <w:p>
      <w:pPr>
        <w:ind w:left="1300" w:right="179" w:firstLine="347"/>
        <w:spacing w:after="0" w:line="259" w:lineRule="auto"/>
        <w:rPr>
          <w:sz w:val="20"/>
          <w:szCs w:val="20"/>
          <w:color w:val="auto"/>
        </w:rPr>
      </w:pPr>
      <w:r>
        <w:rPr>
          <w:rFonts w:ascii="Times New Roman" w:cs="Times New Roman" w:eastAsia="Times New Roman" w:hAnsi="Times New Roman"/>
          <w:sz w:val="14"/>
          <w:szCs w:val="14"/>
          <w:color w:val="auto"/>
        </w:rPr>
        <w:t>Each debt security will be represented either by a certificate issued in definitive form to a particular investor or by one or more global securities representing the entire issuance of debt securities. Certificated securities in definitive form and global securities will be issued in registered form. Definitive securities name you or your nominee as the owner of the debt security, and in order to transfer or exchange these debt securities or to receive payments other than interest or other interim payments, you or your nominee must physically deliver the definitive securities to the Trustee, security registrar, paying agent or other agent, as applicable. Global securities name a depositary or its nominee as the owner of the debt securities represented by these global securities. The depositary maintains a computerized system that will reflect each investor’s beneficial ownership of the debt securities through an account maintained by the investor with its broker-dealer, bank, trust company or other representative, as we explain more fully below.</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Registered Global Securities</w:t>
      </w:r>
    </w:p>
    <w:p>
      <w:pPr>
        <w:spacing w:after="0" w:line="96" w:lineRule="exact"/>
        <w:rPr>
          <w:sz w:val="20"/>
          <w:szCs w:val="20"/>
          <w:color w:val="auto"/>
        </w:rPr>
      </w:pPr>
    </w:p>
    <w:p>
      <w:pPr>
        <w:ind w:left="1300" w:right="179" w:firstLine="347"/>
        <w:spacing w:after="0" w:line="260" w:lineRule="auto"/>
        <w:rPr>
          <w:sz w:val="20"/>
          <w:szCs w:val="20"/>
          <w:color w:val="auto"/>
        </w:rPr>
      </w:pPr>
      <w:r>
        <w:rPr>
          <w:rFonts w:ascii="Times New Roman" w:cs="Times New Roman" w:eastAsia="Times New Roman" w:hAnsi="Times New Roman"/>
          <w:sz w:val="14"/>
          <w:szCs w:val="14"/>
          <w:color w:val="auto"/>
        </w:rPr>
        <w:t>We may issue the registered debt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debt securities to be represented by registered global securities. Unless and until it is exchanged in whole for debt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45" w:lineRule="exact"/>
        <w:rPr>
          <w:sz w:val="20"/>
          <w:szCs w:val="20"/>
          <w:color w:val="auto"/>
        </w:rPr>
      </w:pPr>
    </w:p>
    <w:p>
      <w:pPr>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If not described below, any specific terms of the depositary arrangement with respect to any debt securities to be represented by a registered global security will be described in the prospectus supplement relating to those debt securities. We anticipate that the following provisions will apply to all depositary arrangements.</w:t>
      </w:r>
    </w:p>
    <w:p>
      <w:pPr>
        <w:spacing w:after="0" w:line="136" w:lineRule="exact"/>
        <w:rPr>
          <w:sz w:val="20"/>
          <w:szCs w:val="20"/>
          <w:color w:val="auto"/>
        </w:rPr>
      </w:pPr>
    </w:p>
    <w:p>
      <w:pPr>
        <w:ind w:left="1300" w:right="279" w:firstLine="347"/>
        <w:spacing w:after="0" w:line="258" w:lineRule="auto"/>
        <w:rPr>
          <w:sz w:val="20"/>
          <w:szCs w:val="20"/>
          <w:color w:val="auto"/>
        </w:rPr>
      </w:pPr>
      <w:r>
        <w:rPr>
          <w:rFonts w:ascii="Times New Roman" w:cs="Times New Roman" w:eastAsia="Times New Roman" w:hAnsi="Times New Roman"/>
          <w:sz w:val="14"/>
          <w:szCs w:val="14"/>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debt securities beneficially owned by the participants. Any dealers, underwriters or agents participating in the distribution of the debt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debt securities take physical delivery of these debt securities in definitive form. These laws may impair your ability to own, transfer or pledge beneficial interests in registered global securities.</w:t>
      </w:r>
    </w:p>
    <w:p>
      <w:pPr>
        <w:spacing w:after="0" w:line="148" w:lineRule="exact"/>
        <w:rPr>
          <w:sz w:val="20"/>
          <w:szCs w:val="20"/>
          <w:color w:val="auto"/>
        </w:rPr>
      </w:pPr>
    </w:p>
    <w:p>
      <w:pPr>
        <w:ind w:left="1300" w:right="199" w:firstLine="347"/>
        <w:spacing w:after="0" w:line="258"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a registered global security, that depositary or its nominee, as the case may be, will be considered the sole owner or holder of the debt securities represented by the registered global security for all purposes under the Indenture. Except as described below, owners of beneficial interests in a registered global security will not be entitled to have the debt securities represented by the registered global security registered in their names, will not receive or be entitled to receive physical delivery of the debt securities in definitive form and will not be considered the owners or holders of the debt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9"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559"/>
        <w:spacing w:after="0" w:line="288" w:lineRule="auto"/>
        <w:rPr>
          <w:sz w:val="20"/>
          <w:szCs w:val="20"/>
          <w:color w:val="auto"/>
        </w:rPr>
      </w:pPr>
      <w:r>
        <w:rPr>
          <w:rFonts w:ascii="Times New Roman" w:cs="Times New Roman" w:eastAsia="Times New Roman" w:hAnsi="Times New Roman"/>
          <w:sz w:val="14"/>
          <w:szCs w:val="14"/>
          <w:color w:val="auto"/>
        </w:rPr>
        <w:t>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24" w:lineRule="exact"/>
        <w:rPr>
          <w:sz w:val="20"/>
          <w:szCs w:val="20"/>
          <w:color w:val="auto"/>
        </w:rPr>
      </w:pPr>
    </w:p>
    <w:p>
      <w:pPr>
        <w:ind w:left="1300" w:right="279" w:firstLine="347"/>
        <w:spacing w:after="0" w:line="262" w:lineRule="auto"/>
        <w:rPr>
          <w:sz w:val="20"/>
          <w:szCs w:val="20"/>
          <w:color w:val="auto"/>
        </w:rPr>
      </w:pPr>
      <w:r>
        <w:rPr>
          <w:rFonts w:ascii="Times New Roman" w:cs="Times New Roman" w:eastAsia="Times New Roman" w:hAnsi="Times New Roman"/>
          <w:sz w:val="14"/>
          <w:szCs w:val="14"/>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ExxonMobil, the Trustee, the security registrar or any other agent of ExxonMobil or agent of the Trustee or the security registrar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3" w:lineRule="exact"/>
        <w:rPr>
          <w:sz w:val="20"/>
          <w:szCs w:val="20"/>
          <w:color w:val="auto"/>
        </w:rPr>
      </w:pPr>
    </w:p>
    <w:p>
      <w:pPr>
        <w:ind w:left="1300" w:right="219" w:firstLine="347"/>
        <w:spacing w:after="0" w:line="260" w:lineRule="auto"/>
        <w:rPr>
          <w:sz w:val="20"/>
          <w:szCs w:val="20"/>
          <w:color w:val="auto"/>
        </w:rPr>
      </w:pPr>
      <w:r>
        <w:rPr>
          <w:rFonts w:ascii="Times New Roman" w:cs="Times New Roman" w:eastAsia="Times New Roman" w:hAnsi="Times New Roman"/>
          <w:sz w:val="14"/>
          <w:szCs w:val="14"/>
          <w:color w:val="auto"/>
        </w:rPr>
        <w:t>We expect that the depositary for any of the debt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debt securities held for the accounts of customers or registered in “street name,” and will be the responsibility of those participants.</w:t>
      </w:r>
    </w:p>
    <w:p>
      <w:pPr>
        <w:spacing w:after="0" w:line="145" w:lineRule="exact"/>
        <w:rPr>
          <w:sz w:val="20"/>
          <w:szCs w:val="20"/>
          <w:color w:val="auto"/>
        </w:rPr>
      </w:pPr>
    </w:p>
    <w:p>
      <w:pPr>
        <w:ind w:left="1300" w:right="239" w:firstLine="347"/>
        <w:spacing w:after="0" w:line="259" w:lineRule="auto"/>
        <w:rPr>
          <w:sz w:val="20"/>
          <w:szCs w:val="20"/>
          <w:color w:val="auto"/>
        </w:rPr>
      </w:pPr>
      <w:r>
        <w:rPr>
          <w:rFonts w:ascii="Times New Roman" w:cs="Times New Roman" w:eastAsia="Times New Roman" w:hAnsi="Times New Roman"/>
          <w:sz w:val="14"/>
          <w:szCs w:val="14"/>
          <w:color w:val="auto"/>
        </w:rPr>
        <w:t>If the depositary for any of these debt securities represented by a registered global security is at any time unwilling or unable to continue as depositary or ceases to be a clearing agency registered under the Securities Exchange Act of 1934, as amended (the “Exchange Act”), and a successor depositary registered as a clearing agency under the Exchange Act is not appointed by us within 90 days, we will issue debt securities in definitive form in exchange for the registered global security that had been held by the depositary. Any debt securities issued in definitive form in exchange for a registered global security will be registered in the name or names that the depositary gives to the relevant security registrar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Euroclear and Clearstream</w:t>
      </w:r>
    </w:p>
    <w:p>
      <w:pPr>
        <w:spacing w:after="0" w:line="96" w:lineRule="exact"/>
        <w:rPr>
          <w:sz w:val="20"/>
          <w:szCs w:val="20"/>
          <w:color w:val="auto"/>
        </w:rPr>
      </w:pPr>
    </w:p>
    <w:p>
      <w:pPr>
        <w:ind w:left="1300" w:right="299" w:firstLine="347"/>
        <w:spacing w:after="0" w:line="262" w:lineRule="auto"/>
        <w:rPr>
          <w:sz w:val="20"/>
          <w:szCs w:val="20"/>
          <w:color w:val="auto"/>
        </w:rPr>
      </w:pPr>
      <w:r>
        <w:rPr>
          <w:rFonts w:ascii="Times New Roman" w:cs="Times New Roman" w:eastAsia="Times New Roman" w:hAnsi="Times New Roman"/>
          <w:sz w:val="14"/>
          <w:szCs w:val="14"/>
          <w:color w:val="auto"/>
        </w:rPr>
        <w:t xml:space="preserve">If the depositary for a global security is The Depository Trust Company, or “DTC,” you may hold interests in the global security through Clearstream Banking,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which we refer to as “Clearstream,” or Euroclear Bank SA/NV, as operator of the Euroclear System, which we refer to as “Euroclear,”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w:t>
      </w:r>
    </w:p>
    <w:p>
      <w:pPr>
        <w:spacing w:after="0" w:line="143" w:lineRule="exact"/>
        <w:rPr>
          <w:sz w:val="20"/>
          <w:szCs w:val="20"/>
          <w:color w:val="auto"/>
        </w:rPr>
      </w:pPr>
    </w:p>
    <w:p>
      <w:pPr>
        <w:ind w:left="1300" w:right="339" w:firstLine="347"/>
        <w:spacing w:after="0" w:line="265"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the debt securities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one hand, and other participants in DTC, on the other hand, would also be subject to DTC’s rules and procedures.</w:t>
      </w:r>
    </w:p>
    <w:p>
      <w:pPr>
        <w:spacing w:after="0" w:line="140" w:lineRule="exact"/>
        <w:rPr>
          <w:sz w:val="20"/>
          <w:szCs w:val="20"/>
          <w:color w:val="auto"/>
        </w:rPr>
      </w:pPr>
    </w:p>
    <w:p>
      <w:pPr>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9"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179" w:firstLine="347"/>
        <w:spacing w:after="0" w:line="260" w:lineRule="auto"/>
        <w:rPr>
          <w:sz w:val="20"/>
          <w:szCs w:val="20"/>
          <w:color w:val="auto"/>
        </w:rPr>
      </w:pPr>
      <w:r>
        <w:rPr>
          <w:rFonts w:ascii="Times New Roman" w:cs="Times New Roman" w:eastAsia="Times New Roman" w:hAnsi="Times New Roman"/>
          <w:sz w:val="14"/>
          <w:szCs w:val="14"/>
          <w:color w:val="auto"/>
        </w:rPr>
        <w:t>In addition, because of time zone differences, U.S. investors who hold their interests in the debt securities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9"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We may sell the securities in one or more of the following ways (or in any combination) from time to time:</w:t>
      </w:r>
    </w:p>
    <w:p>
      <w:pPr>
        <w:spacing w:after="0" w:line="105" w:lineRule="exact"/>
        <w:rPr>
          <w:sz w:val="20"/>
          <w:szCs w:val="20"/>
          <w:color w:val="auto"/>
        </w:rPr>
      </w:pPr>
    </w:p>
    <w:p>
      <w:pPr>
        <w:ind w:left="2060" w:hanging="331"/>
        <w:spacing w:after="0"/>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a limited number of purchasers or to a single purchaser; or</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prospectus supplement will state the terms of the offering of the debt securities, including:</w:t>
      </w:r>
    </w:p>
    <w:p>
      <w:pPr>
        <w:spacing w:after="0" w:line="105" w:lineRule="exact"/>
        <w:rPr>
          <w:sz w:val="20"/>
          <w:szCs w:val="20"/>
          <w:color w:val="auto"/>
        </w:rPr>
      </w:pPr>
    </w:p>
    <w:p>
      <w:pPr>
        <w:ind w:left="2060" w:hanging="331"/>
        <w:spacing w:after="0"/>
        <w:tabs>
          <w:tab w:leader="none" w:pos="2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such debt securities and the proceeds to be received by ExxonMobil, if any;</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or agency fees and other items constituting underwriters’ or agents’ compensation;</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debt securities may be listed.</w:t>
      </w:r>
    </w:p>
    <w:p>
      <w:pPr>
        <w:spacing w:after="0" w:line="1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Any public offering price and any discounts or concessions allowed or reallowed or paid to dealers may be changed from time to time.</w:t>
      </w:r>
    </w:p>
    <w:p>
      <w:pPr>
        <w:spacing w:after="0" w:line="179" w:lineRule="exact"/>
        <w:rPr>
          <w:sz w:val="20"/>
          <w:szCs w:val="20"/>
          <w:color w:val="auto"/>
        </w:rPr>
      </w:pPr>
    </w:p>
    <w:p>
      <w:pPr>
        <w:ind w:left="1300" w:right="219" w:firstLine="347"/>
        <w:spacing w:after="0" w:line="288" w:lineRule="auto"/>
        <w:rPr>
          <w:sz w:val="20"/>
          <w:szCs w:val="20"/>
          <w:color w:val="auto"/>
        </w:rPr>
      </w:pPr>
      <w:r>
        <w:rPr>
          <w:rFonts w:ascii="Times New Roman" w:cs="Times New Roman" w:eastAsia="Times New Roman" w:hAnsi="Times New Roman"/>
          <w:sz w:val="14"/>
          <w:szCs w:val="14"/>
          <w:color w:val="auto"/>
        </w:rPr>
        <w:t>If we use underwriters in the sale, the securities will be acquired by the underwriters for their own account and may be resold from time to time in one or more transactions, including:</w:t>
      </w:r>
    </w:p>
    <w:p>
      <w:pPr>
        <w:spacing w:after="0" w:line="50" w:lineRule="exact"/>
        <w:rPr>
          <w:sz w:val="20"/>
          <w:szCs w:val="20"/>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transactions;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public offering price or prices, which may be changed;</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prevailing market prices; or</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9" w:lineRule="exact"/>
        <w:rPr>
          <w:sz w:val="20"/>
          <w:szCs w:val="20"/>
          <w:color w:val="auto"/>
        </w:rPr>
      </w:pPr>
    </w:p>
    <w:p>
      <w:pPr>
        <w:ind w:left="1300" w:right="479" w:firstLine="347"/>
        <w:spacing w:after="0" w:line="288" w:lineRule="auto"/>
        <w:rPr>
          <w:sz w:val="20"/>
          <w:szCs w:val="20"/>
          <w:color w:val="auto"/>
        </w:rPr>
      </w:pPr>
      <w:r>
        <w:rPr>
          <w:rFonts w:ascii="Times New Roman" w:cs="Times New Roman" w:eastAsia="Times New Roman" w:hAnsi="Times New Roman"/>
          <w:sz w:val="14"/>
          <w:szCs w:val="14"/>
          <w:color w:val="auto"/>
        </w:rPr>
        <w:t>Unless otherwise stated in a prospectus supplement, the obligations of the underwriters to purchase any debt securities will be conditioned on customary closing conditions and the underwriters will be obligated to purchase all of such series of debt securities, if any are purchased.</w:t>
      </w:r>
    </w:p>
    <w:p>
      <w:pPr>
        <w:spacing w:after="0" w:line="124" w:lineRule="exact"/>
        <w:rPr>
          <w:sz w:val="20"/>
          <w:szCs w:val="20"/>
          <w:color w:val="auto"/>
        </w:rPr>
      </w:pPr>
    </w:p>
    <w:p>
      <w:pPr>
        <w:ind w:left="1300" w:right="259" w:firstLine="347"/>
        <w:spacing w:after="0" w:line="271" w:lineRule="auto"/>
        <w:rPr>
          <w:sz w:val="20"/>
          <w:szCs w:val="20"/>
          <w:color w:val="auto"/>
        </w:rPr>
      </w:pPr>
      <w:r>
        <w:rPr>
          <w:rFonts w:ascii="Times New Roman" w:cs="Times New Roman" w:eastAsia="Times New Roman" w:hAnsi="Times New Roman"/>
          <w:sz w:val="14"/>
          <w:szCs w:val="14"/>
          <w:color w:val="auto"/>
        </w:rPr>
        <w:t>We may sell the debt securities through agents from time to time. The prospectus supplement will name any agent of ours involved in the offer or sale of the debt securities and any commissions we pay to them. Generally, any agent will be acting on a best efforts basis for the period of its appointment.</w:t>
      </w:r>
    </w:p>
    <w:p>
      <w:pPr>
        <w:spacing w:after="0" w:line="136" w:lineRule="exact"/>
        <w:rPr>
          <w:sz w:val="20"/>
          <w:szCs w:val="20"/>
          <w:color w:val="auto"/>
        </w:rPr>
      </w:pPr>
    </w:p>
    <w:p>
      <w:pPr>
        <w:ind w:left="1300" w:right="339" w:firstLine="347"/>
        <w:spacing w:after="0" w:line="265" w:lineRule="auto"/>
        <w:rPr>
          <w:sz w:val="20"/>
          <w:szCs w:val="20"/>
          <w:color w:val="auto"/>
        </w:rPr>
      </w:pPr>
      <w:r>
        <w:rPr>
          <w:rFonts w:ascii="Times New Roman" w:cs="Times New Roman" w:eastAsia="Times New Roman" w:hAnsi="Times New Roman"/>
          <w:sz w:val="14"/>
          <w:szCs w:val="14"/>
          <w:color w:val="auto"/>
        </w:rPr>
        <w:t>We may authorize underwriters, dealers or agents to solicit offers by certain purchasers to purchase the debt securities from ExxonMobil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40" w:lineRule="exact"/>
        <w:rPr>
          <w:sz w:val="20"/>
          <w:szCs w:val="20"/>
          <w:color w:val="auto"/>
        </w:rPr>
      </w:pPr>
    </w:p>
    <w:p>
      <w:pPr>
        <w:ind w:left="1300" w:right="219" w:firstLine="347"/>
        <w:spacing w:after="0" w:line="265" w:lineRule="auto"/>
        <w:rPr>
          <w:sz w:val="20"/>
          <w:szCs w:val="20"/>
          <w:color w:val="auto"/>
        </w:rPr>
      </w:pPr>
      <w:r>
        <w:rPr>
          <w:rFonts w:ascii="Times New Roman" w:cs="Times New Roman" w:eastAsia="Times New Roman" w:hAnsi="Times New Roman"/>
          <w:sz w:val="14"/>
          <w:szCs w:val="14"/>
          <w:color w:val="auto"/>
        </w:rPr>
        <w:t>Underwriters and agents may be entitled under agreements entered into with ExxonMobil to indemnification by ExxonMobil against certain civil liabilities, including liabilities under the Securities Act of 1933, as amended, or to contribution with respect to payments which the underwriters or agents may be required to make. Underwriters and agents may be customers of, engage in transactions with, or perform services for ExxonMobil and its affiliates in the ordinary course of business.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9"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399" w:firstLine="347"/>
        <w:spacing w:after="0" w:line="271" w:lineRule="auto"/>
        <w:rPr>
          <w:sz w:val="20"/>
          <w:szCs w:val="20"/>
          <w:color w:val="auto"/>
        </w:rPr>
      </w:pPr>
      <w:r>
        <w:rPr>
          <w:rFonts w:ascii="Times New Roman" w:cs="Times New Roman" w:eastAsia="Times New Roman" w:hAnsi="Times New Roman"/>
          <w:sz w:val="14"/>
          <w:szCs w:val="14"/>
          <w:color w:val="auto"/>
        </w:rPr>
        <w:t>Each series of debt securities will be a new issue of securities and will have no established trading market. Any underwriters to whom debt securities are sold for public offering and sale may make a market in the debt securities, but such underwriters will not be obligated to do so and may discontinue any market making at any time without notice. The debt securities may or may not be listed on a national securities exchange.</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9"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1" w:lineRule="exact"/>
        <w:rPr>
          <w:sz w:val="20"/>
          <w:szCs w:val="20"/>
          <w:color w:val="auto"/>
        </w:rPr>
      </w:pPr>
    </w:p>
    <w:p>
      <w:pPr>
        <w:ind w:left="1300" w:right="359" w:firstLine="347"/>
        <w:spacing w:after="0" w:line="271" w:lineRule="auto"/>
        <w:rPr>
          <w:sz w:val="20"/>
          <w:szCs w:val="20"/>
          <w:color w:val="auto"/>
        </w:rPr>
      </w:pPr>
      <w:r>
        <w:rPr>
          <w:rFonts w:ascii="Times New Roman" w:cs="Times New Roman" w:eastAsia="Times New Roman" w:hAnsi="Times New Roman"/>
          <w:sz w:val="14"/>
          <w:szCs w:val="14"/>
          <w:color w:val="auto"/>
        </w:rPr>
        <w:t>ExxonMobil Holdings Corporation files annual, quarterly and current reports, proxy statements and other information with the Securities and Exchange Commission under the Exchange Act. The Securities and Exchange Commission maintains a website at www.sec.gov that contains reports, proxy statements and other information that ExxonMobil Holdings Corporation files electronically with the Securities and Exchange Commission.</w:t>
      </w:r>
    </w:p>
    <w:p>
      <w:pPr>
        <w:spacing w:after="0" w:line="136" w:lineRule="exact"/>
        <w:rPr>
          <w:sz w:val="20"/>
          <w:szCs w:val="20"/>
          <w:color w:val="auto"/>
        </w:rPr>
      </w:pPr>
    </w:p>
    <w:p>
      <w:pPr>
        <w:ind w:left="1300" w:right="239" w:firstLine="347"/>
        <w:spacing w:after="0" w:line="263" w:lineRule="auto"/>
        <w:rPr>
          <w:sz w:val="20"/>
          <w:szCs w:val="20"/>
          <w:color w:val="auto"/>
        </w:rPr>
      </w:pPr>
      <w:r>
        <w:rPr>
          <w:rFonts w:ascii="Times New Roman" w:cs="Times New Roman" w:eastAsia="Times New Roman" w:hAnsi="Times New Roman"/>
          <w:sz w:val="14"/>
          <w:szCs w:val="14"/>
          <w:color w:val="auto"/>
        </w:rPr>
        <w:t>The Securities and Exchange Commission allows ExxonMobil Holdings Corporation to “incorporate by reference” information into this document. This means that ExxonMobil Holdings Corporation can disclose important information to you by referring you to another document filed separately with the Securities and Exchange Commission. The information incorporated by reference is considered to be a part of this document, except for any information superseded by information that is included directly in this document or incorporated by reference subsequent to the date of this document.</w:t>
      </w:r>
    </w:p>
    <w:p>
      <w:pPr>
        <w:spacing w:after="0" w:line="3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This prospectus incorporates by reference the documents listed below (which includes certain filings made by Exxon Mobil Corporation prior to</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Effective Date) and any future filings that ExxonMobil Holdings Corporation makes with the Securities and Exchange Commission 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Section 13(a), 13(c), 14 or 15(d) of the Exchange Act (other than information in the documents or filings that is deemed to have been furnished and not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filed) prior to the termination of the offering of debt securities under this prospectus.</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460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Exxon Mobil Corporation</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20" w:type="dxa"/>
            <w:vAlign w:val="bottom"/>
            <w:gridSpan w:val="6"/>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Period or date filed</w:t>
            </w:r>
          </w:p>
        </w:tc>
        <w:tc>
          <w:tcPr>
            <w:tcW w:w="0" w:type="dxa"/>
            <w:vAlign w:val="bottom"/>
          </w:tcPr>
          <w:p>
            <w:pPr>
              <w:spacing w:after="0"/>
              <w:rPr>
                <w:sz w:val="1"/>
                <w:szCs w:val="1"/>
                <w:color w:val="auto"/>
              </w:rPr>
            </w:pPr>
          </w:p>
        </w:tc>
      </w:tr>
      <w:tr>
        <w:trPr>
          <w:trHeight w:val="156"/>
        </w:trPr>
        <w:tc>
          <w:tcPr>
            <w:tcW w:w="460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Securities and Exchange Commission Filings</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180" w:type="dxa"/>
            <w:vAlign w:val="bottom"/>
            <w:tcBorders>
              <w:top w:val="single" w:sz="8" w:color="auto"/>
            </w:tcBorders>
            <w:gridSpan w:val="5"/>
          </w:tcPr>
          <w:p>
            <w:pPr>
              <w:spacing w:after="0" w:line="99" w:lineRule="exact"/>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Annual Report on </w:t>
            </w:r>
            <w:hyperlink r:id="rId42">
              <w:r>
                <w:rPr>
                  <w:rFonts w:ascii="Times New Roman" w:cs="Times New Roman" w:eastAsia="Times New Roman" w:hAnsi="Times New Roman"/>
                  <w:sz w:val="11"/>
                  <w:szCs w:val="11"/>
                  <w:color w:val="0000EE"/>
                </w:rPr>
                <w:t>Form 10-K</w:t>
              </w:r>
            </w:hyperlink>
          </w:p>
        </w:tc>
        <w:tc>
          <w:tcPr>
            <w:tcW w:w="3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080" w:type="dxa"/>
            <w:vAlign w:val="bottom"/>
            <w:tcBorders>
              <w:top w:val="single" w:sz="8" w:color="auto"/>
            </w:tcBorders>
            <w:gridSpan w:val="9"/>
          </w:tcPr>
          <w:p>
            <w:pPr>
              <w:ind w:left="20"/>
              <w:spacing w:after="0" w:line="108" w:lineRule="exact"/>
              <w:rPr>
                <w:sz w:val="20"/>
                <w:szCs w:val="20"/>
                <w:color w:val="auto"/>
              </w:rPr>
            </w:pPr>
            <w:r>
              <w:rPr>
                <w:rFonts w:ascii="Times New Roman" w:cs="Times New Roman" w:eastAsia="Times New Roman" w:hAnsi="Times New Roman"/>
                <w:sz w:val="12"/>
                <w:szCs w:val="12"/>
                <w:color w:val="auto"/>
              </w:rPr>
              <w:t>Fiscal year ended December 31, 2025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600" w:type="dxa"/>
            <w:vAlign w:val="bottom"/>
            <w:gridSpan w:val="7"/>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43">
              <w:r>
                <w:rPr>
                  <w:rFonts w:ascii="Times New Roman" w:cs="Times New Roman" w:eastAsia="Times New Roman" w:hAnsi="Times New Roman"/>
                  <w:sz w:val="14"/>
                  <w:szCs w:val="14"/>
                  <w:color w:val="0000EE"/>
                </w:rPr>
                <w:t>Form 10-Q</w:t>
              </w:r>
            </w:hyperlink>
          </w:p>
        </w:tc>
        <w:tc>
          <w:tcPr>
            <w:tcW w:w="4080" w:type="dxa"/>
            <w:vAlign w:val="bottom"/>
            <w:gridSpan w:val="9"/>
          </w:tcPr>
          <w:p>
            <w:pPr>
              <w:ind w:left="20"/>
              <w:spacing w:after="0"/>
              <w:rPr>
                <w:sz w:val="20"/>
                <w:szCs w:val="20"/>
                <w:color w:val="auto"/>
              </w:rPr>
            </w:pPr>
            <w:r>
              <w:rPr>
                <w:rFonts w:ascii="Times New Roman" w:cs="Times New Roman" w:eastAsia="Times New Roman" w:hAnsi="Times New Roman"/>
                <w:sz w:val="14"/>
                <w:szCs w:val="14"/>
                <w:color w:val="auto"/>
              </w:rPr>
              <w:t>Fiscal quarter ended March 31, 2026</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Current Reports on Form 8-K</w:t>
            </w:r>
          </w:p>
        </w:tc>
        <w:tc>
          <w:tcPr>
            <w:tcW w:w="4080" w:type="dxa"/>
            <w:vAlign w:val="bottom"/>
            <w:gridSpan w:val="9"/>
          </w:tcPr>
          <w:p>
            <w:pPr>
              <w:ind w:left="20"/>
              <w:spacing w:after="0"/>
              <w:rPr>
                <w:rFonts w:ascii="Times New Roman" w:cs="Times New Roman" w:eastAsia="Times New Roman" w:hAnsi="Times New Roman"/>
                <w:sz w:val="14"/>
                <w:szCs w:val="14"/>
                <w:color w:val="0000EE"/>
              </w:rPr>
            </w:pPr>
            <w:hyperlink r:id="rId44">
              <w:r>
                <w:rPr>
                  <w:rFonts w:ascii="Times New Roman" w:cs="Times New Roman" w:eastAsia="Times New Roman" w:hAnsi="Times New Roman"/>
                  <w:sz w:val="14"/>
                  <w:szCs w:val="14"/>
                  <w:color w:val="0000EE"/>
                </w:rPr>
                <w:t>February 20,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45">
              <w:r>
                <w:rPr>
                  <w:rFonts w:ascii="Times New Roman" w:cs="Times New Roman" w:eastAsia="Times New Roman" w:hAnsi="Times New Roman"/>
                  <w:sz w:val="14"/>
                  <w:szCs w:val="14"/>
                  <w:color w:val="0000EE"/>
                </w:rPr>
                <w:t>March 31,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46">
              <w:r>
                <w:rPr>
                  <w:rFonts w:ascii="Times New Roman" w:cs="Times New Roman" w:eastAsia="Times New Roman" w:hAnsi="Times New Roman"/>
                  <w:sz w:val="14"/>
                  <w:szCs w:val="14"/>
                  <w:color w:val="0000EE"/>
                </w:rPr>
                <w:t>May 4,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47">
              <w:r>
                <w:rPr>
                  <w:rFonts w:ascii="Times New Roman" w:cs="Times New Roman" w:eastAsia="Times New Roman" w:hAnsi="Times New Roman"/>
                  <w:sz w:val="14"/>
                  <w:szCs w:val="14"/>
                  <w:color w:val="0000EE"/>
                </w:rPr>
                <w:t xml:space="preserve">May 29, 2026 </w:t>
              </w:r>
            </w:hyperlink>
            <w:r>
              <w:rPr>
                <w:rFonts w:ascii="Times New Roman" w:cs="Times New Roman" w:eastAsia="Times New Roman" w:hAnsi="Times New Roman"/>
                <w:sz w:val="14"/>
                <w:szCs w:val="14"/>
                <w:color w:val="000000"/>
              </w:rPr>
              <w:t>and</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80" w:type="dxa"/>
            <w:vAlign w:val="bottom"/>
            <w:tcBorders>
              <w:top w:val="single" w:sz="8" w:color="0000EE"/>
            </w:tcBorders>
            <w:gridSpan w:val="2"/>
          </w:tcPr>
          <w:p>
            <w:pPr>
              <w:ind w:left="20"/>
              <w:spacing w:after="0" w:line="150" w:lineRule="exact"/>
              <w:rPr>
                <w:rFonts w:ascii="Times New Roman" w:cs="Times New Roman" w:eastAsia="Times New Roman" w:hAnsi="Times New Roman"/>
                <w:sz w:val="14"/>
                <w:szCs w:val="14"/>
                <w:color w:val="0000EE"/>
              </w:rPr>
            </w:pPr>
            <w:hyperlink r:id="rId48">
              <w:r>
                <w:rPr>
                  <w:rFonts w:ascii="Times New Roman" w:cs="Times New Roman" w:eastAsia="Times New Roman" w:hAnsi="Times New Roman"/>
                  <w:sz w:val="14"/>
                  <w:szCs w:val="14"/>
                  <w:color w:val="0000EE"/>
                </w:rPr>
                <w:t>July 1, 2026</w:t>
              </w:r>
            </w:hyperlink>
          </w:p>
        </w:tc>
        <w:tc>
          <w:tcPr>
            <w:tcW w:w="80" w:type="dxa"/>
            <w:vAlign w:val="bottom"/>
          </w:tcPr>
          <w:p>
            <w:pPr>
              <w:spacing w:after="0"/>
              <w:rPr>
                <w:sz w:val="13"/>
                <w:szCs w:val="13"/>
                <w:color w:val="auto"/>
              </w:rPr>
            </w:pPr>
          </w:p>
        </w:tc>
        <w:tc>
          <w:tcPr>
            <w:tcW w:w="94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00" w:type="dxa"/>
            <w:vAlign w:val="bottom"/>
            <w:gridSpan w:val="7"/>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Definitive Proxy Statement on </w:t>
            </w:r>
            <w:hyperlink r:id="rId49">
              <w:r>
                <w:rPr>
                  <w:rFonts w:ascii="Times New Roman" w:cs="Times New Roman" w:eastAsia="Times New Roman" w:hAnsi="Times New Roman"/>
                  <w:sz w:val="14"/>
                  <w:szCs w:val="14"/>
                  <w:color w:val="0000EE"/>
                </w:rPr>
                <w:t>Schedule 14A</w:t>
              </w:r>
            </w:hyperlink>
          </w:p>
        </w:tc>
        <w:tc>
          <w:tcPr>
            <w:tcW w:w="4080" w:type="dxa"/>
            <w:vAlign w:val="bottom"/>
            <w:gridSpan w:val="9"/>
          </w:tcPr>
          <w:p>
            <w:pPr>
              <w:ind w:left="2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301"/>
        </w:trPr>
        <w:tc>
          <w:tcPr>
            <w:tcW w:w="18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ExxonMobil Holdings Corporation</w:t>
            </w:r>
          </w:p>
        </w:tc>
        <w:tc>
          <w:tcPr>
            <w:tcW w:w="740" w:type="dxa"/>
            <w:vAlign w:val="bottom"/>
            <w:tcBorders>
              <w:top w:val="single" w:sz="8" w:color="0000EE"/>
            </w:tcBorders>
            <w:gridSpan w:val="2"/>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6"/>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Period or date filed</w:t>
            </w:r>
          </w:p>
        </w:tc>
        <w:tc>
          <w:tcPr>
            <w:tcW w:w="0" w:type="dxa"/>
            <w:vAlign w:val="bottom"/>
          </w:tcPr>
          <w:p>
            <w:pPr>
              <w:spacing w:after="0"/>
              <w:rPr>
                <w:sz w:val="1"/>
                <w:szCs w:val="1"/>
                <w:color w:val="auto"/>
              </w:rPr>
            </w:pPr>
          </w:p>
        </w:tc>
      </w:tr>
      <w:tr>
        <w:trPr>
          <w:trHeight w:val="156"/>
        </w:trPr>
        <w:tc>
          <w:tcPr>
            <w:tcW w:w="460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Securities and Exchange Commission Filings</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180" w:type="dxa"/>
            <w:vAlign w:val="bottom"/>
            <w:tcBorders>
              <w:top w:val="single" w:sz="8" w:color="auto"/>
            </w:tcBorders>
            <w:gridSpan w:val="5"/>
          </w:tcPr>
          <w:p>
            <w:pPr>
              <w:spacing w:after="0" w:line="120" w:lineRule="exact"/>
              <w:rPr>
                <w:sz w:val="20"/>
                <w:szCs w:val="20"/>
                <w:color w:val="auto"/>
              </w:rPr>
            </w:pPr>
            <w:r>
              <w:rPr>
                <w:rFonts w:ascii="Times New Roman" w:cs="Times New Roman" w:eastAsia="Times New Roman" w:hAnsi="Times New Roman"/>
                <w:sz w:val="13"/>
                <w:szCs w:val="13"/>
                <w:color w:val="auto"/>
              </w:rPr>
              <w:t>Current Report on Form 8-K</w:t>
            </w:r>
          </w:p>
        </w:tc>
        <w:tc>
          <w:tcPr>
            <w:tcW w:w="3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080" w:type="dxa"/>
            <w:vAlign w:val="bottom"/>
            <w:tcBorders>
              <w:top w:val="single" w:sz="8" w:color="auto"/>
            </w:tcBorders>
            <w:gridSpan w:val="9"/>
          </w:tcPr>
          <w:p>
            <w:pPr>
              <w:ind w:left="20"/>
              <w:spacing w:after="0" w:line="120" w:lineRule="exact"/>
              <w:rPr>
                <w:rFonts w:ascii="Times New Roman" w:cs="Times New Roman" w:eastAsia="Times New Roman" w:hAnsi="Times New Roman"/>
                <w:sz w:val="13"/>
                <w:szCs w:val="13"/>
                <w:color w:val="0000EE"/>
              </w:rPr>
            </w:pPr>
            <w:hyperlink r:id="rId50">
              <w:r>
                <w:rPr>
                  <w:rFonts w:ascii="Times New Roman" w:cs="Times New Roman" w:eastAsia="Times New Roman" w:hAnsi="Times New Roman"/>
                  <w:sz w:val="13"/>
                  <w:szCs w:val="13"/>
                  <w:color w:val="0000EE"/>
                </w:rPr>
                <w:t>July 1, 2026</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1300" w:right="499" w:firstLine="347"/>
        <w:spacing w:after="0" w:line="265" w:lineRule="auto"/>
        <w:rPr>
          <w:sz w:val="20"/>
          <w:szCs w:val="20"/>
          <w:color w:val="auto"/>
        </w:rPr>
      </w:pPr>
      <w:r>
        <w:rPr>
          <w:rFonts w:ascii="Times New Roman" w:cs="Times New Roman" w:eastAsia="Times New Roman" w:hAnsi="Times New Roman"/>
          <w:sz w:val="14"/>
          <w:szCs w:val="14"/>
          <w:color w:val="auto"/>
        </w:rPr>
        <w:t>Documents incorporated by reference are available from the Securities and Exchange Commission at the website listed above or from ExxonMobil Holdings Corporation without charge, excluding any exhibits to those documents unless the exhibit is specifically incorporated by reference as an exhibit in this document. You can obtain documents incorporated by reference in this document by requesting them in writing or by telephone at the following address:</w:t>
      </w:r>
    </w:p>
    <w:p>
      <w:pPr>
        <w:spacing w:after="0" w:line="1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ExxonMobil Holdings Corporation</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Treasury Department — Capital Markets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Bondholder Services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22777 Springwoods Village Parkway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Spring, Texas 77389-1425</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(972) 940-6000</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9"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CONCERNING FORWARD-LOOKING STATEMENTS</w:t>
      </w:r>
    </w:p>
    <w:p>
      <w:pPr>
        <w:spacing w:after="0" w:line="181" w:lineRule="exact"/>
        <w:rPr>
          <w:sz w:val="20"/>
          <w:szCs w:val="20"/>
          <w:color w:val="auto"/>
        </w:rPr>
      </w:pPr>
    </w:p>
    <w:p>
      <w:pPr>
        <w:ind w:left="1300" w:right="179" w:firstLine="347"/>
        <w:spacing w:after="0" w:line="247" w:lineRule="auto"/>
        <w:rPr>
          <w:sz w:val="20"/>
          <w:szCs w:val="20"/>
          <w:color w:val="auto"/>
        </w:rPr>
      </w:pPr>
      <w:r>
        <w:rPr>
          <w:rFonts w:ascii="Times New Roman" w:cs="Times New Roman" w:eastAsia="Times New Roman" w:hAnsi="Times New Roman"/>
          <w:sz w:val="14"/>
          <w:szCs w:val="14"/>
          <w:color w:val="auto"/>
        </w:rPr>
        <w:t>Statements related to future events; projections; descriptions of strategic, operating, and financial plans and objectives; statements of future ambitions and plans; future earnings power; potential addressable markets; and other statements of future events or conditions are forward-looking statements. Similarly, discussion of roadmaps or future plans related to carbon capture, transportation and storage, hydrogen and ammonia, lower-emission fuels, direct air capture, Proxxima</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resin systems, carbon materials, low-carbon data centers, lithium, and other future plans to reduce emissions and emissions intensity of ExxonMobil, its affiliates, and third parties are dependent on future market factors, such as continued technological progress, stable policy support, and timely rule-making and permitting, and represent forward-looking statements. Actual future results, including financial and operating performance; potential earnings, cash flow, dividends or shareholder returns, including the timing and amounts of share repurchases; total capital expenditures and mix, including allocations of capital to low-carbon and other new investments; realization and maintenance of structural cost reductions and efficiency gains, including the ability to offset inflationary pressure; plans to reduce future emissions and emissions intensity, including ambitions to reach Scope 1 and Scope 2 net zero from operated assets by 2050, to reach Scope 1 and 2 net zero in integrated Upstream Permian Basin unconventional operated assets by 2035, to eliminate routine flaring in-line with World Bank Zero Routine Flaring, to reach near-zero methane emissions from operated assets and other methane initiatives, and to meet ExxonMobil’s emission reduction plans and goals, divestment and start-up plans, and associated project plans as well as technology advances, including the timing and outcome of projects to capture, transport and store CO2, produce hydrogen and ammonia, produce lower-emission fuels, produce Proxxima</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resin systems, produce carbon materials, produce lithium, and use plastic waste as feedstock for advanced recycling; future debt levels and credit ratings; business and project plans, timing, costs, capacities and profitability; resource recoveries and production rates; and planned Denbury and Pioneer integrated benefits, could differ materially due to a number of factors. These include global or regional changes or imbalances in the supply and demand for oil, natural gas, petrochemicals, and feedstocks and other market factors; economic conditions and seasonal fluctuations that impact prices, differentials, and volume/mix for our products; developments or changes in local, national, or international laws, regulations, taxes, trade sanctions, trade tariffs, or policies affecting our business, such as government policies supporting lower-carbon and new market investment opportunities, the punitive European taxes on the oil and gas sector and unequal support for different technological methods of emissions reduction or evolving, ambiguous, and unharmonized voluntary and mandatory standards or extraterritorial laws and regulations imposed by various jurisdictions related to sustainability and greenhouse gas reporting; timely granting of governmental permits, licenses, and certifications; uncertain impacts of deregulation on the legal and regulatory environment; changes in interest and exchange rates; variable impacts of trading activities on our margins and results each quarter; actions of co-venturers or partners, competitors, and commercial counterparties, including suppliers and customers; government actions in pursuit of national energy and security policies and priorities affecting our business; the outcome of commercial negotiations, including final agreed terms and conditions; the outcome of competitive bidding and project awards; the ability to access debt markets on favorable terms or at all; the occurrence, pace, rate of recovery and effects of public health crises; adoption of regulatory incentives consistent with law; reservoir performance and optimization, including variability and timing factors applicable to unconventional resources, the success of new unconventional technologies, and the ability of new technologies to improve recovery relative to competitors; the level, outcome, and timing of exploration and development projects and decisions to invest in future reserves and resources; timely completion of construction projects and commencement of start-up operations, including reliance on third-party suppliers and service providers; final management approval of future projects and any changes in the scope, terms, costs, or assumptions of such projects as approved; the actions of governments, non-governmental organizations, or other actors against our core business activities and acquisitions, divestitures or financing opportunities; war, civil unrest, armed hostilities, attacks against the Company or industry, and other geopolitical or security disturbances, including disruption of land or sea transportation routes or distribution or shipping channels; decoupling of economies, disruption, realignment, or breaking of current or historical trade or military alliances or global trade or supply chain networks; escalating geopolitical volatility, including regime changes; expropriations, seizures, or capacity, insurance, shipping, import or export limitations imposed directly or indirectly by governments or laws;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9"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239"/>
        <w:spacing w:after="0" w:line="259" w:lineRule="auto"/>
        <w:rPr>
          <w:sz w:val="20"/>
          <w:szCs w:val="20"/>
          <w:color w:val="auto"/>
        </w:rPr>
      </w:pPr>
      <w:r>
        <w:rPr>
          <w:rFonts w:ascii="Times New Roman" w:cs="Times New Roman" w:eastAsia="Times New Roman" w:hAnsi="Times New Roman"/>
          <w:sz w:val="14"/>
          <w:szCs w:val="14"/>
          <w:color w:val="auto"/>
        </w:rPr>
        <w:t>opportunities for potential acquisitions, investments or divestments and satisfaction of applicable conditions to closing, including timely regulatory approvals; the capture of efficiencies within and between business lines and the ability to maintain near-term cost reductions as ongoing efficiencies without impairing our competitive positioning; unforeseen technical or operating disruptions or difficulties and unplanned maintenance; the development and competitiveness of alternative energy and emission reduction technologies; consumer preferences including willingness and ability to pay for reduced emission products; the results of research programs and the ability to bring new technologies to commercial scale on a cost-competitive basis; and other factors discussed under Item 1A. Risk Factors of our Annual Report on Form 10-K for the fiscal year ended December 31, 2025. We assume no duty to update these statements as of any future date.</w:t>
      </w:r>
    </w:p>
    <w:p>
      <w:pPr>
        <w:spacing w:after="0" w:line="146" w:lineRule="exact"/>
        <w:rPr>
          <w:sz w:val="20"/>
          <w:szCs w:val="20"/>
          <w:color w:val="auto"/>
        </w:rPr>
      </w:pPr>
    </w:p>
    <w:p>
      <w:pPr>
        <w:ind w:left="1300" w:right="259" w:firstLine="347"/>
        <w:spacing w:after="0" w:line="262" w:lineRule="auto"/>
        <w:rPr>
          <w:sz w:val="20"/>
          <w:szCs w:val="20"/>
          <w:color w:val="auto"/>
        </w:rPr>
      </w:pPr>
      <w:r>
        <w:rPr>
          <w:rFonts w:ascii="Times New Roman" w:cs="Times New Roman" w:eastAsia="Times New Roman" w:hAnsi="Times New Roman"/>
          <w:sz w:val="14"/>
          <w:szCs w:val="14"/>
          <w:color w:val="auto"/>
        </w:rPr>
        <w:t>Forward-looking and other statements regarding environmental and other sustainability efforts and aspirations are not an indication that these statements are material to investors or require disclosure in our filings with the Securities and Exchange Commission or any other regulatory authority. In addition, historical, current, and forward-looking environmental and other sustainability-related statements may be based on standards for measuring progress that are still developing, internal controls and processes that continue to evolve, and assumptions that are subject to change in the future, including future rule-making.</w:t>
      </w:r>
    </w:p>
    <w:p>
      <w:pPr>
        <w:spacing w:after="0" w:line="143" w:lineRule="exact"/>
        <w:rPr>
          <w:sz w:val="20"/>
          <w:szCs w:val="20"/>
          <w:color w:val="auto"/>
        </w:rPr>
      </w:pPr>
    </w:p>
    <w:p>
      <w:pPr>
        <w:ind w:left="1300" w:right="219" w:firstLine="347"/>
        <w:spacing w:after="0" w:line="255" w:lineRule="auto"/>
        <w:rPr>
          <w:sz w:val="20"/>
          <w:szCs w:val="20"/>
          <w:color w:val="auto"/>
        </w:rPr>
      </w:pPr>
      <w:r>
        <w:rPr>
          <w:rFonts w:ascii="Times New Roman" w:cs="Times New Roman" w:eastAsia="Times New Roman" w:hAnsi="Times New Roman"/>
          <w:sz w:val="14"/>
          <w:szCs w:val="14"/>
          <w:color w:val="auto"/>
        </w:rPr>
        <w:t>Energy demand models are forward-looking by nature and aim to replicate system dynamics of the global energy system, requiring simplifications. The reference to any scenario in our filings with the Securities and Exchange Commission incorporated by reference herein, including any potential net-zero scenarios, does not imply ExxonMobil views any particular scenario as likely to occur. In addition, energy demand scenarios require assumptions on a variety of parameters. As such, the outcome of any given scenario using an energy demand model comes with a high degree of uncertainty. Third-party scenarios discussed in our filings with the Securities and Exchange Commission incorporated by reference herein reflect the modeling assumptions and outputs of their respective authors, not ExxonMobil, and their use by ExxonMobil is not an endorsement by ExxonMobil of their underlying assumptions, likelihood, or probability. Investment decisions are made on the basis of ExxonMobil’s separate planning process. Any use of the modeling of a third-party organization in our filings with the Securities and Exchange Commission incorporated by reference herein does not constitute or imply an endorsement by ExxonMobil of any or all of the positions or activities of such organization. Actions needed to advance ExxonMobil’s 2030 greenhouse gas emission-reductions plans are incorporated into its medium-term business plans, which are updated annually. The reference case for planning beyond 2030 is based on ExxonMobil’s Global Outlook (“Outlook”) research and publication. The Outlook is reflective of the existing global policy environment and an assumption of increasing policy stringency and technology improvement to 2050. Current trends for policy stringency and development of lower emission solutions are not yet on a pathway to achieve net-zero by 2050. As such, the Outlook does not project the degree of required future policy and technology advancement and deployment for the world, or ExxonMobil, to meet net zero by 2050. As future policies and technology advancements emerge, they will be incorporated into the Outlook, and ExxonMobil’s business plans will be updated accordingly. References to projects or opportunities may not reflect investment decisions made by ExxonMobil or its affiliates. Individual projects or opportunities may advance based on a number of factors, including availability of stable and supportive policy, permitting, technological advancement for cost-effective abatement, insights from the Corporate planning process, and alignment with our partners and other stakeholders. Capital investment guidance in lower-emission investments is based on our Corporate Plan; however, actual investment levels will be subject to the availability of the opportunity set, public policy support, and focused on returns.</w:t>
      </w:r>
    </w:p>
    <w:p>
      <w:pPr>
        <w:spacing w:after="0" w:line="154" w:lineRule="exact"/>
        <w:rPr>
          <w:sz w:val="20"/>
          <w:szCs w:val="20"/>
          <w:color w:val="auto"/>
        </w:rPr>
      </w:pPr>
    </w:p>
    <w:p>
      <w:pPr>
        <w:ind w:left="1300" w:right="259" w:firstLine="347"/>
        <w:spacing w:after="0" w:line="288" w:lineRule="auto"/>
        <w:rPr>
          <w:sz w:val="20"/>
          <w:szCs w:val="20"/>
          <w:color w:val="auto"/>
        </w:rPr>
      </w:pPr>
      <w:r>
        <w:rPr>
          <w:rFonts w:ascii="Times New Roman" w:cs="Times New Roman" w:eastAsia="Times New Roman" w:hAnsi="Times New Roman"/>
          <w:sz w:val="14"/>
          <w:szCs w:val="14"/>
          <w:color w:val="auto"/>
        </w:rPr>
        <w:t>The term “project” as used herein and in our filings with the Securities and Exchange Commission incorporated by reference herein can refer to a variety of different activities and does not necessarily have the same meaning as in any government payment transparency reports.</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9"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VALIDITY OF THE SECURITIES</w:t>
      </w:r>
    </w:p>
    <w:p>
      <w:pPr>
        <w:spacing w:after="0" w:line="181" w:lineRule="exact"/>
        <w:rPr>
          <w:sz w:val="20"/>
          <w:szCs w:val="20"/>
          <w:color w:val="auto"/>
        </w:rPr>
      </w:pPr>
    </w:p>
    <w:p>
      <w:pPr>
        <w:jc w:val="both"/>
        <w:ind w:left="1300" w:right="279" w:firstLine="347"/>
        <w:spacing w:after="0" w:line="271" w:lineRule="auto"/>
        <w:rPr>
          <w:sz w:val="20"/>
          <w:szCs w:val="20"/>
          <w:color w:val="auto"/>
        </w:rPr>
      </w:pPr>
      <w:r>
        <w:rPr>
          <w:rFonts w:ascii="Times New Roman" w:cs="Times New Roman" w:eastAsia="Times New Roman" w:hAnsi="Times New Roman"/>
          <w:sz w:val="14"/>
          <w:szCs w:val="14"/>
          <w:color w:val="auto"/>
        </w:rPr>
        <w:t>The validity of the securities in respect of which this prospectus is being delivered will be passed on for us by Davis Polk &amp; Wardwell LLP, New York, New York. Timothy Kim, Esq., ExxonMobil’s Counsel - Corporate, will issue an opinion concerning certain matters relating to laws of the State of Texas and the State of New Jersey.</w:t>
      </w:r>
    </w:p>
    <w:p>
      <w:pPr>
        <w:spacing w:after="0" w:line="3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1" w:lineRule="exact"/>
        <w:rPr>
          <w:sz w:val="20"/>
          <w:szCs w:val="20"/>
          <w:color w:val="auto"/>
        </w:rPr>
      </w:pPr>
    </w:p>
    <w:p>
      <w:pPr>
        <w:ind w:left="1300" w:right="479" w:firstLine="347"/>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and management’s assessment of the effectiveness of internal control over financial reporting (which is included in Management’s Report on Internal Control over Financial Reporting) of Exxon Mobil Corporation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9"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96" w:lineRule="exact"/>
        <w:rPr>
          <w:sz w:val="20"/>
          <w:szCs w:val="20"/>
          <w:color w:val="auto"/>
        </w:rPr>
      </w:pPr>
    </w:p>
    <w:p>
      <w:pPr>
        <w:ind w:left="1300" w:right="299" w:firstLine="347"/>
        <w:spacing w:after="0" w:line="288" w:lineRule="auto"/>
        <w:rPr>
          <w:sz w:val="20"/>
          <w:szCs w:val="20"/>
          <w:color w:val="auto"/>
        </w:rPr>
      </w:pPr>
      <w:r>
        <w:rPr>
          <w:rFonts w:ascii="Times New Roman" w:cs="Times New Roman" w:eastAsia="Times New Roman" w:hAnsi="Times New Roman"/>
          <w:sz w:val="14"/>
          <w:szCs w:val="14"/>
          <w:color w:val="auto"/>
        </w:rPr>
        <w:t>The following table sets forth the costs and expenses to be borne by the Registrant in connection with the offerings described in this Registration Statement.</w:t>
      </w:r>
    </w:p>
    <w:p>
      <w:pPr>
        <w:spacing w:after="0" w:line="160" w:lineRule="exact"/>
        <w:rPr>
          <w:sz w:val="20"/>
          <w:szCs w:val="20"/>
          <w:color w:val="auto"/>
        </w:rPr>
      </w:pPr>
    </w:p>
    <w:tbl>
      <w:tblPr>
        <w:tblLayout w:type="fixed"/>
        <w:tblInd w:w="2700" w:type="dxa"/>
        <w:tblCellMar>
          <w:top w:w="0" w:type="dxa"/>
          <w:left w:w="0" w:type="dxa"/>
          <w:bottom w:w="0" w:type="dxa"/>
          <w:right w:w="0" w:type="dxa"/>
        </w:tblCellMar>
      </w:tblPr>
      <w:tr>
        <w:trPr>
          <w:trHeight w:val="17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Registration fee</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 and trustee fees and expenses</w:t>
            </w:r>
          </w:p>
        </w:tc>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40" w:type="dxa"/>
            <w:vAlign w:val="bottom"/>
            <w:vMerge w:val="continue"/>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65405</wp:posOffset>
            </wp:positionV>
            <wp:extent cx="60833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11" w:lineRule="exact"/>
        <w:rPr>
          <w:sz w:val="20"/>
          <w:szCs w:val="20"/>
          <w:color w:val="auto"/>
        </w:rPr>
      </w:pPr>
    </w:p>
    <w:p>
      <w:pPr>
        <w:ind w:left="1300" w:right="4059" w:firstLine="3"/>
        <w:spacing w:after="0" w:line="288" w:lineRule="auto"/>
        <w:tabs>
          <w:tab w:leader="none" w:pos="1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 because the registration fee is being deferred pursuant to Rule 456(b). ** Not presently known.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9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ExxonMobil Holdings Corporation</w:t>
      </w:r>
    </w:p>
    <w:p>
      <w:pPr>
        <w:spacing w:after="0" w:line="96" w:lineRule="exact"/>
        <w:rPr>
          <w:sz w:val="20"/>
          <w:szCs w:val="20"/>
          <w:color w:val="auto"/>
        </w:rPr>
      </w:pPr>
    </w:p>
    <w:p>
      <w:pPr>
        <w:ind w:left="1300" w:right="219" w:firstLine="347"/>
        <w:spacing w:after="0" w:line="265" w:lineRule="auto"/>
        <w:rPr>
          <w:sz w:val="20"/>
          <w:szCs w:val="20"/>
          <w:color w:val="auto"/>
        </w:rPr>
      </w:pPr>
      <w:r>
        <w:rPr>
          <w:rFonts w:ascii="Times New Roman" w:cs="Times New Roman" w:eastAsia="Times New Roman" w:hAnsi="Times New Roman"/>
          <w:sz w:val="14"/>
          <w:szCs w:val="14"/>
          <w:color w:val="auto"/>
        </w:rPr>
        <w:t>Under the Texas Business Organizations Code (the “TBOC”), the certificate of formation of a corporation may provide that a director or officer of the corporation is not liable, or is liable only to the extent provided by the certificate of formation to the corporation or its shareholders for monetary damages for an act or omission by the person in the person’s capacity as a director or officer. The TBOC does not authorize elimination or limitation of liability to the extent the director or officer is found liable under applicable law for:</w:t>
      </w:r>
    </w:p>
    <w:p>
      <w:pPr>
        <w:spacing w:after="0" w:line="66" w:lineRule="exact"/>
        <w:rPr>
          <w:sz w:val="20"/>
          <w:szCs w:val="20"/>
          <w:color w:val="auto"/>
        </w:rPr>
      </w:pPr>
    </w:p>
    <w:p>
      <w:pPr>
        <w:ind w:left="2060" w:hanging="331"/>
        <w:spacing w:after="0"/>
        <w:tabs>
          <w:tab w:leader="none" w:pos="2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or officer’s duty of loyalty to the corporation or its shareholders;</w:t>
      </w:r>
    </w:p>
    <w:p>
      <w:pPr>
        <w:spacing w:after="0" w:line="105" w:lineRule="exact"/>
        <w:rPr>
          <w:rFonts w:ascii="Times New Roman" w:cs="Times New Roman" w:eastAsia="Times New Roman" w:hAnsi="Times New Roman"/>
          <w:sz w:val="14"/>
          <w:szCs w:val="14"/>
          <w:color w:val="auto"/>
        </w:rPr>
      </w:pPr>
    </w:p>
    <w:p>
      <w:pPr>
        <w:ind w:left="2060" w:right="799" w:hanging="331"/>
        <w:spacing w:after="0" w:line="288" w:lineRule="auto"/>
        <w:tabs>
          <w:tab w:leader="none" w:pos="2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that constitutes a breach of duty of the director or officer to the corporation or that involves intentional misconduct or a knowing violation of law;</w:t>
      </w:r>
    </w:p>
    <w:p>
      <w:pPr>
        <w:spacing w:after="0" w:line="49" w:lineRule="exact"/>
        <w:rPr>
          <w:rFonts w:ascii="Times New Roman" w:cs="Times New Roman" w:eastAsia="Times New Roman" w:hAnsi="Times New Roman"/>
          <w:sz w:val="14"/>
          <w:szCs w:val="14"/>
          <w:color w:val="auto"/>
        </w:rPr>
      </w:pPr>
    </w:p>
    <w:p>
      <w:pPr>
        <w:ind w:left="2060" w:right="399" w:hanging="331"/>
        <w:spacing w:after="0" w:line="288" w:lineRule="auto"/>
        <w:tabs>
          <w:tab w:leader="none" w:pos="2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or officer receives an improper benefit, whether or not the benefit resulted from an action taken within the scope of the director’s duties; or</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or omission for which the liability of the director or officer is expressly provided by an applicable statute.</w:t>
      </w:r>
    </w:p>
    <w:p>
      <w:pPr>
        <w:spacing w:after="0" w:line="179" w:lineRule="exact"/>
        <w:rPr>
          <w:sz w:val="20"/>
          <w:szCs w:val="20"/>
          <w:color w:val="auto"/>
        </w:rPr>
      </w:pPr>
    </w:p>
    <w:p>
      <w:pPr>
        <w:ind w:left="1300" w:right="379" w:firstLine="347"/>
        <w:spacing w:after="0" w:line="288" w:lineRule="auto"/>
        <w:rPr>
          <w:sz w:val="20"/>
          <w:szCs w:val="20"/>
          <w:color w:val="auto"/>
        </w:rPr>
      </w:pPr>
      <w:r>
        <w:rPr>
          <w:rFonts w:ascii="Times New Roman" w:cs="Times New Roman" w:eastAsia="Times New Roman" w:hAnsi="Times New Roman"/>
          <w:sz w:val="14"/>
          <w:szCs w:val="14"/>
          <w:color w:val="auto"/>
        </w:rPr>
        <w:t>The Parent’s amended and restated certificate of formation provides that the Parent’s directors and officers are not liable to the Parent or its shareholders for damages for breach of any duty owed to the Parent or its shareholders to the fullest extent permitted by the TBOC from time to time.</w:t>
      </w:r>
    </w:p>
    <w:p>
      <w:pPr>
        <w:spacing w:after="0" w:line="124" w:lineRule="exact"/>
        <w:rPr>
          <w:sz w:val="20"/>
          <w:szCs w:val="20"/>
          <w:color w:val="auto"/>
        </w:rPr>
      </w:pPr>
    </w:p>
    <w:p>
      <w:pPr>
        <w:ind w:left="1300" w:right="179" w:firstLine="347"/>
        <w:spacing w:after="0" w:line="259" w:lineRule="auto"/>
        <w:rPr>
          <w:sz w:val="20"/>
          <w:szCs w:val="20"/>
          <w:color w:val="auto"/>
        </w:rPr>
      </w:pPr>
      <w:r>
        <w:rPr>
          <w:rFonts w:ascii="Times New Roman" w:cs="Times New Roman" w:eastAsia="Times New Roman" w:hAnsi="Times New Roman"/>
          <w:sz w:val="14"/>
          <w:szCs w:val="14"/>
          <w:color w:val="auto"/>
        </w:rPr>
        <w:t>The TBOC provides that a corporation must indemnify a director or former director against reasonable expenses actually incurred by the person in connection with a proceeding in which the person is a respondent because the person is or was a director, or is or was serving as a representative of another enterprise or organization or an employee benefit plan while serving as a director, if the director or former director is wholly successful, on the merits or otherwise, in the defense of the proceeding. If a court determines that a director, former director or representative is entitled to indemnification, the court will order indemnification by the corporation and award the person expenses incurred in securing the indemnification. The TBOC also permits corporations to indemnify present or former directors where indemnification is not mandated by the TBOC; however, such permissive indemnification is subject to certain limitations and the director satisfying specified</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9"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199"/>
        <w:spacing w:after="0" w:line="265" w:lineRule="auto"/>
        <w:rPr>
          <w:sz w:val="20"/>
          <w:szCs w:val="20"/>
          <w:color w:val="auto"/>
        </w:rPr>
      </w:pPr>
      <w:r>
        <w:rPr>
          <w:rFonts w:ascii="Times New Roman" w:cs="Times New Roman" w:eastAsia="Times New Roman" w:hAnsi="Times New Roman"/>
          <w:sz w:val="14"/>
          <w:szCs w:val="14"/>
          <w:color w:val="auto"/>
        </w:rPr>
        <w:t>standards of conduct. The TBOC also provides that officers must be indemnified to the same extent as directors are required to be indemnified under the TBOC and that a court may also order indemnification under various circumstances. In addition, the TBOC permits indemnification in certain circumstances in which the Parent would not otherwise have the power to do so under the provisions of the TBOC or the Parent’s charter or bylaws if that indemnification is approved by the shareholders of the Parent.</w:t>
      </w:r>
    </w:p>
    <w:p>
      <w:pPr>
        <w:spacing w:after="0" w:line="140" w:lineRule="exact"/>
        <w:rPr>
          <w:sz w:val="20"/>
          <w:szCs w:val="20"/>
          <w:color w:val="auto"/>
        </w:rPr>
      </w:pPr>
    </w:p>
    <w:p>
      <w:pPr>
        <w:ind w:left="1300" w:right="239" w:firstLine="347"/>
        <w:spacing w:after="0" w:line="257" w:lineRule="auto"/>
        <w:rPr>
          <w:sz w:val="20"/>
          <w:szCs w:val="20"/>
          <w:color w:val="auto"/>
        </w:rPr>
      </w:pPr>
      <w:r>
        <w:rPr>
          <w:rFonts w:ascii="Times New Roman" w:cs="Times New Roman" w:eastAsia="Times New Roman" w:hAnsi="Times New Roman"/>
          <w:sz w:val="14"/>
          <w:szCs w:val="14"/>
          <w:color w:val="auto"/>
        </w:rPr>
        <w:t>The Parent’s bylaws also provide that, to the fullest extent permitted by the TBOC, the Parent must indemnify any person who was or is, or is threatened to be made, a party to any threatened, pending or completed action, suit or proceeding, whether civil, criminal, administrative, arbitrative, legislative or investigative, at the request of the Parent , including an appeal thereof, by reason of the fact that person is or was a director , officer, employee or other corporate agent of the Parent or any subsidiary of the Parent or serves or served any other enterprise at the request of the Parent against expenses (including attorneys’ fees), judgments, fines, penalties, excise taxes and amounts paid in settlement, actually and reasonably incurred by the person in connection with the action, suit or proceeding, or any appeal therein. The Parent’s bylaws will also provide that expenses (including attorneys’ fees) actually and reasonably incurred by such director or officer in defending any proceeding will be paid by the Parent in advance of the final disposition of the proceeding upon receipt of an undertaking by or on behalf of such person to repay such payments if it shall ultimately be determined that such person is not entitled to be indemnified by the Parent. To the extent that indemnification for liabilities arising under the Securities Act of 1933, as amended (the “Securities Act”), may be permitted to the Parent’s directors, officers and controlling persons, the Parent has been advised that, in the opinion of the SEC, this indemnification is against public policy as expressed in the Securities Act and is, therefore, unenforceable.</w:t>
      </w:r>
    </w:p>
    <w:p>
      <w:pPr>
        <w:spacing w:after="0" w:line="146" w:lineRule="exact"/>
        <w:rPr>
          <w:sz w:val="20"/>
          <w:szCs w:val="20"/>
          <w:color w:val="auto"/>
        </w:rPr>
      </w:pPr>
    </w:p>
    <w:p>
      <w:pPr>
        <w:ind w:left="1300" w:right="259" w:firstLine="347"/>
        <w:spacing w:after="0" w:line="271" w:lineRule="auto"/>
        <w:rPr>
          <w:sz w:val="20"/>
          <w:szCs w:val="20"/>
          <w:color w:val="auto"/>
        </w:rPr>
      </w:pPr>
      <w:r>
        <w:rPr>
          <w:rFonts w:ascii="Times New Roman" w:cs="Times New Roman" w:eastAsia="Times New Roman" w:hAnsi="Times New Roman"/>
          <w:sz w:val="14"/>
          <w:szCs w:val="14"/>
          <w:color w:val="auto"/>
        </w:rPr>
        <w:t>The TBOC permits the Parent to purchase insurance on behalf of existing or former officers, employees, directors or agents against any liability asserted against and incurred by that person in such capacity, or arising out of that person’s status in such capacity. Pursuant to this authority, the Parent maintains such insurance for the officers, employees, directors and agents of the Parent and its subsidiaries.</w:t>
      </w:r>
    </w:p>
    <w:p>
      <w:pPr>
        <w:spacing w:after="0" w:line="2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Exxon Mobil Corporation</w:t>
      </w:r>
    </w:p>
    <w:p>
      <w:pPr>
        <w:spacing w:after="0" w:line="96" w:lineRule="exact"/>
        <w:rPr>
          <w:sz w:val="20"/>
          <w:szCs w:val="20"/>
          <w:color w:val="auto"/>
        </w:rPr>
      </w:pPr>
    </w:p>
    <w:p>
      <w:pPr>
        <w:ind w:left="1300" w:right="279" w:firstLine="347"/>
        <w:spacing w:after="0" w:line="259" w:lineRule="auto"/>
        <w:rPr>
          <w:sz w:val="20"/>
          <w:szCs w:val="20"/>
          <w:color w:val="auto"/>
        </w:rPr>
      </w:pPr>
      <w:r>
        <w:rPr>
          <w:rFonts w:ascii="Times New Roman" w:cs="Times New Roman" w:eastAsia="Times New Roman" w:hAnsi="Times New Roman"/>
          <w:sz w:val="14"/>
          <w:szCs w:val="14"/>
          <w:color w:val="auto"/>
        </w:rPr>
        <w:t>The Company’s restated certificate of incorporation does not contain any provision relating to the indemnification of its directors or officers. Article XX of the Company’s by-laws provides that the Company shall indemnify to the full extent permitted by law any current or former director or officer made or threatened to be made a party to any legal action by reason of the fact that such person is or was a director, officer, employee or other corporate agent of the Company or any of its subsidiaries or serves or served any other enterprise at the request of the Company against expenses (including attorneys’ fees), judgments, fines, penalties, excise taxes and amounts paid in settlement, actually and reasonably incurred by such person in connection with such legal action. No indemnification is required under the Company’s by-laws with respect to any settlement or other nonadjudicated disposition of any legal action unless the Company has previously consented to such settlement or other disposition.</w:t>
      </w:r>
    </w:p>
    <w:p>
      <w:pPr>
        <w:spacing w:after="0" w:line="146" w:lineRule="exact"/>
        <w:rPr>
          <w:sz w:val="20"/>
          <w:szCs w:val="20"/>
          <w:color w:val="auto"/>
        </w:rPr>
      </w:pPr>
    </w:p>
    <w:p>
      <w:pPr>
        <w:ind w:left="1300" w:right="199" w:firstLine="347"/>
        <w:spacing w:after="0" w:line="258" w:lineRule="auto"/>
        <w:rPr>
          <w:sz w:val="20"/>
          <w:szCs w:val="20"/>
          <w:color w:val="auto"/>
        </w:rPr>
      </w:pPr>
      <w:r>
        <w:rPr>
          <w:rFonts w:ascii="Times New Roman" w:cs="Times New Roman" w:eastAsia="Times New Roman" w:hAnsi="Times New Roman"/>
          <w:sz w:val="14"/>
          <w:szCs w:val="14"/>
          <w:color w:val="auto"/>
        </w:rPr>
        <w:t>The Company is organized under the laws of the State of New Jersey. Section 14A:3-5(2) of the New Jersey Business Corporation Act provides that a New Jersey corporation has the power to indemnify a corporate agent (generally defined as any person who is or was a director, officer, employee or agent of the corporation or of any constituent corporation absorbed by the corporation in a consolidation or merger and any person who is or was a director, officer, trustee, employee or agent of any other enterprise, serving as such at the request of the corporation or the legal representative of any such director, officer, trustee, employee or agent) against his or her expenses and liabilities in connection with any proceeding involving such corporate agent by reason of his or her being or having been a corporate agent, other than derivative proceedings, if (i) he or she acted in good faith and in a manner he or she reasonably believed to be in or not opposed to the best interests of the corporation and (ii), with respect to any criminal proceeding, such person had no reasonable cause to believe that his or her conduct was unlawful. Under Section 14A:3-5(3) of the New Jersey Business Corporation Act, a New Jersey corporation may indemnify a corporate agent against his or her expenses in connection with any derivative proceedings. A</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9"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259"/>
        <w:spacing w:after="0" w:line="265" w:lineRule="auto"/>
        <w:rPr>
          <w:sz w:val="20"/>
          <w:szCs w:val="20"/>
          <w:color w:val="auto"/>
        </w:rPr>
      </w:pPr>
      <w:r>
        <w:rPr>
          <w:rFonts w:ascii="Times New Roman" w:cs="Times New Roman" w:eastAsia="Times New Roman" w:hAnsi="Times New Roman"/>
          <w:sz w:val="14"/>
          <w:szCs w:val="14"/>
          <w:color w:val="auto"/>
        </w:rPr>
        <w:t>standard of care similar to Section 14A:3-5(2) of the New Jersey Business Corporation Act is applicable, except no indemnification may be provided in respect of any claim, issue or matter as to which the corporate agent is adjudged to be liable to the corporation, unless (and only to the extent that) the Superior Court of the State of New Jersey (or the court in which the proceeding was brought) determines upon application that the corporate agent is fairly and reasonably entitled to indemnity for such expenses as the court deems proper.</w:t>
      </w:r>
    </w:p>
    <w:p>
      <w:pPr>
        <w:spacing w:after="0" w:line="140" w:lineRule="exact"/>
        <w:rPr>
          <w:sz w:val="20"/>
          <w:szCs w:val="20"/>
          <w:color w:val="auto"/>
        </w:rPr>
      </w:pPr>
    </w:p>
    <w:p>
      <w:pPr>
        <w:ind w:left="1300" w:right="199" w:firstLine="347"/>
        <w:spacing w:after="0" w:line="258" w:lineRule="auto"/>
        <w:rPr>
          <w:sz w:val="20"/>
          <w:szCs w:val="20"/>
          <w:color w:val="auto"/>
        </w:rPr>
      </w:pPr>
      <w:r>
        <w:rPr>
          <w:rFonts w:ascii="Times New Roman" w:cs="Times New Roman" w:eastAsia="Times New Roman" w:hAnsi="Times New Roman"/>
          <w:sz w:val="14"/>
          <w:szCs w:val="14"/>
          <w:color w:val="auto"/>
        </w:rPr>
        <w:t>Section 14A:3-5(4) of the New Jersey Business Corporation Act requires a New Jersey corporation to indemnify a corporate agent for his or her expenses to the extent that such corporate agent has been successful on the merits or otherwise in any proceeding referred to above, or in defense of any claim, issue or matter therein. Except as required by the previous sentence, under Section 14A:3-5(11) of the New Jersey Business Corporation Act, no indemnification may be made or expenses advanced, and none may be ordered by a court, if such indemnification or advancement would be inconsistent with (i) a provision of the corporation’s certificate of incorporation, (ii) its by-laws, (iii) a resolution of the board of directors or of the corporation’s shareholders, (iv) an agreement to which the corporation is a party or (v) other proper corporate action (in effect at the time of the accrual of the alleged cause of action asserted in the proceeding) that prohibits, limits or otherwise conditions the exercise of indemnification powers by the corporation or the rights of indemnification to which a corporate agent may be entitled.</w:t>
      </w:r>
    </w:p>
    <w:p>
      <w:pPr>
        <w:spacing w:after="0" w:line="148" w:lineRule="exact"/>
        <w:rPr>
          <w:sz w:val="20"/>
          <w:szCs w:val="20"/>
          <w:color w:val="auto"/>
        </w:rPr>
      </w:pPr>
    </w:p>
    <w:p>
      <w:pPr>
        <w:ind w:left="1300" w:right="219" w:firstLine="347"/>
        <w:spacing w:after="0" w:line="260" w:lineRule="auto"/>
        <w:rPr>
          <w:sz w:val="20"/>
          <w:szCs w:val="20"/>
          <w:color w:val="auto"/>
        </w:rPr>
      </w:pPr>
      <w:r>
        <w:rPr>
          <w:rFonts w:ascii="Times New Roman" w:cs="Times New Roman" w:eastAsia="Times New Roman" w:hAnsi="Times New Roman"/>
          <w:sz w:val="14"/>
          <w:szCs w:val="14"/>
          <w:color w:val="auto"/>
        </w:rPr>
        <w:t>Under Section 14A:3-5(6) of the New Jersey Business Corporation Act, expenses incurred by a director, officer, employee or other agent in connection with a proceeding may, except as described in the immediately preceding paragraph, be paid by the corporation before the final disposition of the proceeding as authorized by the board of directors upon receiving an undertaking by or on behalf of the corporate agent to repay such amount if it shall ultimately be determined that he or she is not entitled to be indemnified. Article X of the Company’s by-laws provides that the Company shall pay the expenses (including attorneys’ fees) incurred by a current or former officer or director of the Company in defending any legal action in advance of its final disposition promptly upon receipt of such an undertaking.</w:t>
      </w:r>
    </w:p>
    <w:p>
      <w:pPr>
        <w:spacing w:after="0" w:line="145" w:lineRule="exact"/>
        <w:rPr>
          <w:sz w:val="20"/>
          <w:szCs w:val="20"/>
          <w:color w:val="auto"/>
        </w:rPr>
      </w:pPr>
    </w:p>
    <w:p>
      <w:pPr>
        <w:jc w:val="both"/>
        <w:ind w:left="1300" w:right="379" w:firstLine="347"/>
        <w:spacing w:after="0" w:line="260" w:lineRule="auto"/>
        <w:rPr>
          <w:sz w:val="20"/>
          <w:szCs w:val="20"/>
          <w:color w:val="auto"/>
        </w:rPr>
      </w:pPr>
      <w:r>
        <w:rPr>
          <w:rFonts w:ascii="Times New Roman" w:cs="Times New Roman" w:eastAsia="Times New Roman" w:hAnsi="Times New Roman"/>
          <w:sz w:val="14"/>
          <w:szCs w:val="14"/>
          <w:color w:val="auto"/>
        </w:rPr>
        <w:t>Under Section 14A:3-5(8) of the New Jersey Business Corporation Act, the power to indemnify and advance expenses under the New Jersey Business Corporation Act does not exclude other rights, including the right to be indemnified against liabilities and expenses incurred in derivative proceedings, to which a corporate agent may be entitled to under a certificate of incorporation, bylaw, agreement, vote of shareholders or otherwise. However, no indemnification may be made to or on behalf of such person if a judgment or other final adjudication adverse to such person establishes that his or her acts or omissions were in breach of his or her duty of loyalty to the corporation or its shareholders, were not in good faith or involved a knowing violation of the law, or resulted in the receipt by such person of an improper personal benefit.</w:t>
      </w:r>
    </w:p>
    <w:p>
      <w:pPr>
        <w:spacing w:after="0" w:line="145" w:lineRule="exact"/>
        <w:rPr>
          <w:sz w:val="20"/>
          <w:szCs w:val="20"/>
          <w:color w:val="auto"/>
        </w:rPr>
      </w:pPr>
    </w:p>
    <w:p>
      <w:pPr>
        <w:ind w:left="1300" w:right="199" w:firstLine="347"/>
        <w:spacing w:after="0" w:line="262" w:lineRule="auto"/>
        <w:rPr>
          <w:sz w:val="20"/>
          <w:szCs w:val="20"/>
          <w:color w:val="auto"/>
        </w:rPr>
      </w:pPr>
      <w:r>
        <w:rPr>
          <w:rFonts w:ascii="Times New Roman" w:cs="Times New Roman" w:eastAsia="Times New Roman" w:hAnsi="Times New Roman"/>
          <w:sz w:val="14"/>
          <w:szCs w:val="14"/>
          <w:color w:val="auto"/>
        </w:rPr>
        <w:t>Section 14A:3-5(9) of the New Jersey Business Corporation Act further provides that a New Jersey corporation has the power to purchase and maintain insurance on behalf of any corporate agent against any expenses incurred in any proceeding and any liabilities asserted against him or her by reason of his or her being or having been a corporate agent, whether or not the corporation would have the power to indemnify him or her against such expenses and liabilities under the New Jersey Business Corporation Act. The Company maintains directors’ and officers’ liability insurance on behalf of its directors and officers.</w:t>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9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is a list of all exhibits filed as a part of this registration statement on Form S-3, including those incorporated herein by reference.</w:t>
      </w:r>
    </w:p>
    <w:p>
      <w:pPr>
        <w:spacing w:after="0" w:line="187"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60" w:type="dxa"/>
            <w:vAlign w:val="bottom"/>
          </w:tcPr>
          <w:p>
            <w:pPr>
              <w:spacing w:after="0"/>
              <w:rPr>
                <w:sz w:val="10"/>
                <w:szCs w:val="10"/>
                <w:color w:val="auto"/>
              </w:rPr>
            </w:pPr>
          </w:p>
        </w:tc>
        <w:tc>
          <w:tcPr>
            <w:tcW w:w="7880" w:type="dxa"/>
            <w:vAlign w:val="bottom"/>
            <w:gridSpan w:val="3"/>
            <w:vMerge w:val="restart"/>
          </w:tcPr>
          <w:p>
            <w:pPr>
              <w:ind w:left="3680"/>
              <w:spacing w:after="0"/>
              <w:rPr>
                <w:sz w:val="20"/>
                <w:szCs w:val="20"/>
                <w:color w:val="auto"/>
              </w:rPr>
            </w:pPr>
            <w:r>
              <w:rPr>
                <w:rFonts w:ascii="Times New Roman" w:cs="Times New Roman" w:eastAsia="Times New Roman" w:hAnsi="Times New Roman"/>
                <w:sz w:val="11"/>
                <w:szCs w:val="11"/>
                <w:b w:val="1"/>
                <w:bCs w:val="1"/>
                <w:color w:val="auto"/>
              </w:rPr>
              <w:t>Document</w:t>
            </w:r>
          </w:p>
        </w:tc>
        <w:tc>
          <w:tcPr>
            <w:tcW w:w="0" w:type="dxa"/>
            <w:vAlign w:val="bottom"/>
          </w:tcPr>
          <w:p>
            <w:pPr>
              <w:spacing w:after="0"/>
              <w:rPr>
                <w:sz w:val="1"/>
                <w:szCs w:val="1"/>
                <w:color w:val="auto"/>
              </w:rPr>
            </w:pPr>
          </w:p>
        </w:tc>
      </w:tr>
      <w:tr>
        <w:trPr>
          <w:trHeight w:val="136"/>
        </w:trPr>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No.</w:t>
            </w:r>
          </w:p>
        </w:tc>
        <w:tc>
          <w:tcPr>
            <w:tcW w:w="360" w:type="dxa"/>
            <w:vAlign w:val="bottom"/>
          </w:tcPr>
          <w:p>
            <w:pPr>
              <w:spacing w:after="0"/>
              <w:rPr>
                <w:sz w:val="11"/>
                <w:szCs w:val="11"/>
                <w:color w:val="auto"/>
              </w:rPr>
            </w:pPr>
          </w:p>
        </w:tc>
        <w:tc>
          <w:tcPr>
            <w:tcW w:w="788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360" w:type="dxa"/>
            <w:vAlign w:val="bottom"/>
          </w:tcPr>
          <w:p>
            <w:pPr>
              <w:spacing w:after="0"/>
              <w:rPr>
                <w:sz w:val="17"/>
                <w:szCs w:val="17"/>
                <w:color w:val="auto"/>
              </w:rPr>
            </w:pPr>
          </w:p>
        </w:tc>
        <w:tc>
          <w:tcPr>
            <w:tcW w:w="7880" w:type="dxa"/>
            <w:vAlign w:val="bottom"/>
            <w:gridSpan w:val="3"/>
          </w:tcPr>
          <w:p>
            <w:pPr>
              <w:spacing w:after="0"/>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0000EE"/>
                </w:rPr>
                <w:t>Form of Underwriting Agreement - Standard Provisions (Debt Securities) (incorporated by reference to Exhibit 1.1 of Exxon Mobil</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80" w:type="dxa"/>
            <w:vAlign w:val="bottom"/>
            <w:tcBorders>
              <w:top w:val="single" w:sz="8" w:color="0000EE"/>
              <w:bottom w:val="single" w:sz="8" w:color="0000EE"/>
            </w:tcBorders>
          </w:tcPr>
          <w:p>
            <w:pPr>
              <w:spacing w:after="0" w:line="150" w:lineRule="exact"/>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0000EE"/>
                </w:rPr>
                <w:t>Corporation’s Registration Statement on Form S-3, Registration No. 333-194609, filed on March 17, 2014)</w:t>
              </w:r>
            </w:hyperlink>
          </w:p>
        </w:tc>
        <w:tc>
          <w:tcPr>
            <w:tcW w:w="1380" w:type="dxa"/>
            <w:vAlign w:val="bottom"/>
            <w:tcBorders>
              <w:top w:val="single" w:sz="8" w:color="0000EE"/>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80" w:type="dxa"/>
            <w:vAlign w:val="bottom"/>
            <w:gridSpan w:val="3"/>
          </w:tcPr>
          <w:p>
            <w:pPr>
              <w:ind w:left="3440"/>
              <w:spacing w:after="0"/>
              <w:rPr>
                <w:sz w:val="20"/>
                <w:szCs w:val="20"/>
                <w:color w:val="auto"/>
              </w:rPr>
            </w:pPr>
            <w:r>
              <w:rPr>
                <w:rFonts w:ascii="Times New Roman" w:cs="Times New Roman" w:eastAsia="Times New Roman" w:hAnsi="Times New Roman"/>
                <w:sz w:val="14"/>
                <w:szCs w:val="14"/>
                <w:color w:val="auto"/>
              </w:rPr>
              <w:t>II-3</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9"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4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Document</w:t>
            </w:r>
          </w:p>
        </w:tc>
        <w:tc>
          <w:tcPr>
            <w:tcW w:w="0" w:type="dxa"/>
            <w:vAlign w:val="bottom"/>
          </w:tcPr>
          <w:p>
            <w:pPr>
              <w:spacing w:after="0"/>
              <w:rPr>
                <w:sz w:val="1"/>
                <w:szCs w:val="1"/>
                <w:color w:val="auto"/>
              </w:rPr>
            </w:pPr>
          </w:p>
        </w:tc>
      </w:tr>
      <w:tr>
        <w:trPr>
          <w:trHeight w:val="136"/>
        </w:trPr>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No.</w:t>
            </w:r>
          </w:p>
        </w:tc>
        <w:tc>
          <w:tcPr>
            <w:tcW w:w="360" w:type="dxa"/>
            <w:vAlign w:val="bottom"/>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200" w:type="dxa"/>
            <w:vAlign w:val="bottom"/>
            <w:tcBorders>
              <w:bottom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360" w:type="dxa"/>
            <w:vAlign w:val="bottom"/>
          </w:tcPr>
          <w:p>
            <w:pPr>
              <w:spacing w:after="0"/>
              <w:rPr>
                <w:sz w:val="17"/>
                <w:szCs w:val="17"/>
                <w:color w:val="auto"/>
              </w:rPr>
            </w:pPr>
          </w:p>
        </w:tc>
        <w:tc>
          <w:tcPr>
            <w:tcW w:w="788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Amended and Restated Certificate of Incorporation of Exxon Mobil Corporation (incorporated by reference to Exhibit 3(i) to Exxon Mobil</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80" w:type="dxa"/>
            <w:vAlign w:val="bottom"/>
            <w:gridSpan w:val="8"/>
          </w:tcPr>
          <w:p>
            <w:pPr>
              <w:spacing w:after="0" w:line="150"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Corporation’s Current Report on Form 8-K filed on July 1, 2026)</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360" w:type="dxa"/>
            <w:vAlign w:val="bottom"/>
          </w:tcPr>
          <w:p>
            <w:pPr>
              <w:spacing w:after="0"/>
              <w:rPr>
                <w:sz w:val="20"/>
                <w:szCs w:val="20"/>
                <w:color w:val="auto"/>
              </w:rPr>
            </w:pPr>
          </w:p>
        </w:tc>
        <w:tc>
          <w:tcPr>
            <w:tcW w:w="7880" w:type="dxa"/>
            <w:vAlign w:val="bottom"/>
            <w:gridSpan w:val="8"/>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Amended and Restated Certificate of Formation of ExxonMobil Holdings Corporation (incorporated by reference to Exhibit 3(i) to</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0" w:type="dxa"/>
            <w:vAlign w:val="bottom"/>
            <w:tcBorders>
              <w:top w:val="single" w:sz="8" w:color="0000EE"/>
              <w:bottom w:val="single" w:sz="8" w:color="0000EE"/>
            </w:tcBorders>
            <w:gridSpan w:val="4"/>
          </w:tcPr>
          <w:p>
            <w:pPr>
              <w:spacing w:after="0" w:line="150"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ExxonMobil Holdings Corporation’s Current Report on Form 8-K filed on July 1, 2026)</w:t>
              </w:r>
            </w:hyperlink>
          </w:p>
        </w:tc>
        <w:tc>
          <w:tcPr>
            <w:tcW w:w="2420" w:type="dxa"/>
            <w:vAlign w:val="bottom"/>
            <w:tcBorders>
              <w:top w:val="single" w:sz="8" w:color="0000EE"/>
            </w:tcBorders>
            <w:gridSpan w:val="2"/>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360" w:type="dxa"/>
            <w:vAlign w:val="bottom"/>
          </w:tcPr>
          <w:p>
            <w:pPr>
              <w:spacing w:after="0"/>
              <w:rPr>
                <w:sz w:val="20"/>
                <w:szCs w:val="20"/>
                <w:color w:val="auto"/>
              </w:rPr>
            </w:pPr>
          </w:p>
        </w:tc>
        <w:tc>
          <w:tcPr>
            <w:tcW w:w="7880" w:type="dxa"/>
            <w:vAlign w:val="bottom"/>
            <w:gridSpan w:val="8"/>
          </w:tcPr>
          <w:p>
            <w:pPr>
              <w:spacing w:after="0"/>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By-Laws of Exxon Mobil Corporation (incorporated by reference to Exhibit 3(ii) to Exxon Mobil Corporation’s Current Report on</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0" w:type="dxa"/>
            <w:vAlign w:val="bottom"/>
            <w:tcBorders>
              <w:top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Form 8-K filed on July 1, 2026)</w:t>
              </w:r>
            </w:hyperlink>
          </w:p>
        </w:tc>
        <w:tc>
          <w:tcPr>
            <w:tcW w:w="4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360" w:type="dxa"/>
            <w:vAlign w:val="bottom"/>
          </w:tcPr>
          <w:p>
            <w:pPr>
              <w:spacing w:after="0"/>
              <w:rPr>
                <w:sz w:val="20"/>
                <w:szCs w:val="20"/>
                <w:color w:val="auto"/>
              </w:rPr>
            </w:pPr>
          </w:p>
        </w:tc>
        <w:tc>
          <w:tcPr>
            <w:tcW w:w="7880" w:type="dxa"/>
            <w:vAlign w:val="bottom"/>
            <w:gridSpan w:val="8"/>
          </w:tcPr>
          <w:p>
            <w:pPr>
              <w:spacing w:after="0"/>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By-Laws of ExxonMobil Holdings Corporation (incorporated by reference to Exhibit 3(ii) to ExxonMobil Holdings Corporation’s Current</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40" w:type="dxa"/>
            <w:vAlign w:val="bottom"/>
            <w:tcBorders>
              <w:top w:val="single" w:sz="8" w:color="0000EE"/>
            </w:tcBorders>
            <w:gridSpan w:val="7"/>
          </w:tcPr>
          <w:p>
            <w:pPr>
              <w:spacing w:after="0" w:line="150"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Report on Form 8-K filed on July 1, 2026)</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2100" w:right="579" w:hanging="797"/>
        <w:spacing w:after="0" w:line="288" w:lineRule="auto"/>
        <w:tabs>
          <w:tab w:leader="none" w:pos="1384" w:val="left"/>
        </w:tabs>
        <w:numPr>
          <w:ilvl w:val="0"/>
          <w:numId w:val="1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4.1</w:t>
      </w:r>
      <w:hyperlink r:id="rId64">
        <w:r>
          <w:rPr>
            <w:rFonts w:ascii="Times New Roman" w:cs="Times New Roman" w:eastAsia="Times New Roman" w:hAnsi="Times New Roman"/>
            <w:sz w:val="14"/>
            <w:szCs w:val="14"/>
            <w:u w:val="single" w:color="auto"/>
            <w:color w:val="0000EE"/>
          </w:rPr>
          <w:t>Indenture, dated as of March 20, 2014, between Exxon Mobil Corporation and Deutsche Bank Trust Company Americas, as trustee</w:t>
        </w:r>
      </w:hyperlink>
      <w:r>
        <w:rPr>
          <w:rFonts w:ascii="Times New Roman" w:cs="Times New Roman" w:eastAsia="Times New Roman" w:hAnsi="Times New Roman"/>
          <w:sz w:val="14"/>
          <w:szCs w:val="14"/>
          <w:u w:val="single" w:color="auto"/>
          <w:color w:val="0000EE"/>
        </w:rPr>
        <w:t xml:space="preserve"> </w:t>
      </w:r>
      <w:hyperlink r:id="rId64">
        <w:r>
          <w:rPr>
            <w:rFonts w:ascii="Times New Roman" w:cs="Times New Roman" w:eastAsia="Times New Roman" w:hAnsi="Times New Roman"/>
            <w:sz w:val="14"/>
            <w:szCs w:val="14"/>
            <w:u w:val="single" w:color="auto"/>
            <w:color w:val="0000EE"/>
          </w:rPr>
          <w:t>(incorporated by reference to Exhibit 4.1 to Exxon Mobil Corporation’s Current Report on Form 8-K filed on March 20, 2014)</w:t>
        </w:r>
      </w:hyperlink>
    </w:p>
    <w:p>
      <w:pPr>
        <w:spacing w:after="0" w:line="39" w:lineRule="exact"/>
        <w:rPr>
          <w:rFonts w:ascii="Times New Roman" w:cs="Times New Roman" w:eastAsia="Times New Roman" w:hAnsi="Times New Roman"/>
          <w:sz w:val="14"/>
          <w:szCs w:val="14"/>
          <w:u w:val="single" w:color="auto"/>
          <w:color w:val="0000EE"/>
        </w:rPr>
      </w:pPr>
    </w:p>
    <w:p>
      <w:pPr>
        <w:ind w:left="2100" w:right="179" w:hanging="797"/>
        <w:spacing w:after="0" w:line="281" w:lineRule="auto"/>
        <w:tabs>
          <w:tab w:leader="none" w:pos="1384" w:val="left"/>
        </w:tabs>
        <w:numPr>
          <w:ilvl w:val="0"/>
          <w:numId w:val="1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4.2</w:t>
      </w:r>
      <w:hyperlink r:id="rId65">
        <w:r>
          <w:rPr>
            <w:rFonts w:ascii="Times New Roman" w:cs="Times New Roman" w:eastAsia="Times New Roman" w:hAnsi="Times New Roman"/>
            <w:sz w:val="14"/>
            <w:szCs w:val="14"/>
            <w:u w:val="single" w:color="auto"/>
            <w:color w:val="0000EE"/>
          </w:rPr>
          <w:t>First Supplemental Indenture, dated as of June 26, 2020, between Exxon Mobil Corporation and Deutsche Bank Trust Company</w:t>
        </w:r>
      </w:hyperlink>
      <w:r>
        <w:rPr>
          <w:rFonts w:ascii="Times New Roman" w:cs="Times New Roman" w:eastAsia="Times New Roman" w:hAnsi="Times New Roman"/>
          <w:sz w:val="14"/>
          <w:szCs w:val="14"/>
          <w:u w:val="single" w:color="auto"/>
          <w:color w:val="0000EE"/>
        </w:rPr>
        <w:t xml:space="preserve"> </w:t>
      </w:r>
      <w:hyperlink r:id="rId65">
        <w:r>
          <w:rPr>
            <w:rFonts w:ascii="Times New Roman" w:cs="Times New Roman" w:eastAsia="Times New Roman" w:hAnsi="Times New Roman"/>
            <w:sz w:val="14"/>
            <w:szCs w:val="14"/>
            <w:u w:val="single" w:color="auto"/>
            <w:color w:val="0000EE"/>
          </w:rPr>
          <w:t>Americas, as trustee (incorporated by reference to Exhibit 4.2 to Exxon Mobil Corporation’s Current Report on Form 8-K filed on June 26,</w:t>
        </w:r>
      </w:hyperlink>
      <w:r>
        <w:rPr>
          <w:rFonts w:ascii="Times New Roman" w:cs="Times New Roman" w:eastAsia="Times New Roman" w:hAnsi="Times New Roman"/>
          <w:sz w:val="14"/>
          <w:szCs w:val="14"/>
          <w:u w:val="single" w:color="auto"/>
          <w:color w:val="0000EE"/>
        </w:rPr>
        <w:t xml:space="preserve"> </w:t>
      </w:r>
      <w:hyperlink r:id="rId65">
        <w:r>
          <w:rPr>
            <w:rFonts w:ascii="Times New Roman" w:cs="Times New Roman" w:eastAsia="Times New Roman" w:hAnsi="Times New Roman"/>
            <w:sz w:val="14"/>
            <w:szCs w:val="14"/>
            <w:u w:val="single" w:color="auto"/>
            <w:color w:val="0000EE"/>
          </w:rPr>
          <w:t>2020)</w:t>
        </w:r>
      </w:hyperlink>
    </w:p>
    <w:p>
      <w:pPr>
        <w:spacing w:after="0" w:line="218" w:lineRule="exact"/>
        <w:rPr>
          <w:rFonts w:ascii="Times New Roman" w:cs="Times New Roman" w:eastAsia="Times New Roman" w:hAnsi="Times New Roman"/>
          <w:sz w:val="14"/>
          <w:szCs w:val="14"/>
          <w:u w:val="single" w:color="auto"/>
          <w:color w:val="0000EE"/>
        </w:rPr>
      </w:pPr>
    </w:p>
    <w:p>
      <w:pPr>
        <w:ind w:left="2100" w:right="459" w:hanging="797"/>
        <w:spacing w:after="0" w:line="271" w:lineRule="auto"/>
        <w:tabs>
          <w:tab w:leader="none" w:pos="1384" w:val="left"/>
        </w:tabs>
        <w:numPr>
          <w:ilvl w:val="0"/>
          <w:numId w:val="1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4.3</w:t>
      </w:r>
      <w:hyperlink r:id="rId66">
        <w:r>
          <w:rPr>
            <w:rFonts w:ascii="Times New Roman" w:cs="Times New Roman" w:eastAsia="Times New Roman" w:hAnsi="Times New Roman"/>
            <w:sz w:val="14"/>
            <w:szCs w:val="14"/>
            <w:u w:val="single" w:color="auto"/>
            <w:color w:val="0000EE"/>
          </w:rPr>
          <w:t>Second Supplemental Indenture, dated as of July 1, 2026, among Exxon Mobil Corporation, ExxonMobil Holdings Corporation and</w:t>
        </w:r>
      </w:hyperlink>
      <w:r>
        <w:rPr>
          <w:rFonts w:ascii="Times New Roman" w:cs="Times New Roman" w:eastAsia="Times New Roman" w:hAnsi="Times New Roman"/>
          <w:sz w:val="14"/>
          <w:szCs w:val="14"/>
          <w:u w:val="single" w:color="auto"/>
          <w:color w:val="0000EE"/>
        </w:rPr>
        <w:t xml:space="preserve"> </w:t>
      </w:r>
      <w:hyperlink r:id="rId66">
        <w:r>
          <w:rPr>
            <w:rFonts w:ascii="Times New Roman" w:cs="Times New Roman" w:eastAsia="Times New Roman" w:hAnsi="Times New Roman"/>
            <w:sz w:val="14"/>
            <w:szCs w:val="14"/>
            <w:u w:val="single" w:color="auto"/>
            <w:color w:val="0000EE"/>
          </w:rPr>
          <w:t>Deutsche Bank Trust Company Americas, as trustee (incorporated by reference to Exhibit 4(i) to ExxonMobil Holdings Corporation’s</w:t>
        </w:r>
      </w:hyperlink>
      <w:r>
        <w:rPr>
          <w:rFonts w:ascii="Times New Roman" w:cs="Times New Roman" w:eastAsia="Times New Roman" w:hAnsi="Times New Roman"/>
          <w:sz w:val="14"/>
          <w:szCs w:val="14"/>
          <w:u w:val="single" w:color="auto"/>
          <w:color w:val="0000EE"/>
        </w:rPr>
        <w:t xml:space="preserve"> </w:t>
      </w:r>
      <w:hyperlink r:id="rId66">
        <w:r>
          <w:rPr>
            <w:rFonts w:ascii="Times New Roman" w:cs="Times New Roman" w:eastAsia="Times New Roman" w:hAnsi="Times New Roman"/>
            <w:sz w:val="14"/>
            <w:szCs w:val="14"/>
            <w:u w:val="single" w:color="auto"/>
            <w:color w:val="0000EE"/>
          </w:rPr>
          <w:t>Current Report on Form 8-K filed on July 1, 2026)</w:t>
        </w:r>
      </w:hyperlink>
    </w:p>
    <w:p>
      <w:pPr>
        <w:spacing w:after="0" w:line="50" w:lineRule="exact"/>
        <w:rPr>
          <w:rFonts w:ascii="Times New Roman" w:cs="Times New Roman" w:eastAsia="Times New Roman" w:hAnsi="Times New Roman"/>
          <w:sz w:val="14"/>
          <w:szCs w:val="14"/>
          <w:u w:val="single" w:color="auto"/>
          <w:color w:val="0000EE"/>
        </w:rPr>
      </w:pPr>
    </w:p>
    <w:p>
      <w:pPr>
        <w:ind w:left="1300"/>
        <w:spacing w:after="0"/>
        <w:tabs>
          <w:tab w:leader="none" w:pos="20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4.4</w:t>
      </w:r>
      <w:r>
        <w:rPr>
          <w:sz w:val="20"/>
          <w:szCs w:val="20"/>
          <w:color w:val="auto"/>
        </w:rPr>
        <w:tab/>
      </w:r>
      <w:hyperlink r:id="rId64">
        <w:r>
          <w:rPr>
            <w:rFonts w:ascii="Times New Roman" w:cs="Times New Roman" w:eastAsia="Times New Roman" w:hAnsi="Times New Roman"/>
            <w:sz w:val="14"/>
            <w:szCs w:val="14"/>
            <w:u w:val="single" w:color="auto"/>
            <w:color w:val="0000EE"/>
          </w:rPr>
          <w:t>Form of Debt Security (included in Exhibit 4.1)</w:t>
        </w:r>
      </w:hyperlink>
    </w:p>
    <w:p>
      <w:pPr>
        <w:spacing w:after="0" w:line="94" w:lineRule="exact"/>
        <w:rPr>
          <w:rFonts w:ascii="Times New Roman" w:cs="Times New Roman" w:eastAsia="Times New Roman" w:hAnsi="Times New Roman"/>
          <w:sz w:val="14"/>
          <w:szCs w:val="14"/>
          <w:u w:val="single" w:color="auto"/>
          <w:color w:val="0000EE"/>
        </w:rPr>
      </w:pPr>
    </w:p>
    <w:p>
      <w:pPr>
        <w:ind w:left="1380" w:hanging="77"/>
        <w:spacing w:after="0"/>
        <w:tabs>
          <w:tab w:leader="none" w:pos="1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5.1*</w:t>
      </w:r>
      <w:r>
        <w:rPr>
          <w:rFonts w:ascii="Times New Roman" w:cs="Times New Roman" w:eastAsia="Times New Roman" w:hAnsi="Times New Roman"/>
          <w:sz w:val="14"/>
          <w:szCs w:val="14"/>
          <w:u w:val="single" w:color="auto"/>
          <w:color w:val="0000EE"/>
        </w:rPr>
        <w:t>Opinion of Davis Polk &amp; Wardwell LLP</w:t>
      </w:r>
    </w:p>
    <w:p>
      <w:pPr>
        <w:spacing w:after="0" w:line="94" w:lineRule="exact"/>
        <w:rPr>
          <w:rFonts w:ascii="Times New Roman" w:cs="Times New Roman" w:eastAsia="Times New Roman" w:hAnsi="Times New Roman"/>
          <w:sz w:val="14"/>
          <w:szCs w:val="14"/>
          <w:color w:val="auto"/>
        </w:rPr>
      </w:pPr>
    </w:p>
    <w:p>
      <w:pPr>
        <w:ind w:left="1380" w:hanging="77"/>
        <w:spacing w:after="0"/>
        <w:tabs>
          <w:tab w:leader="none" w:pos="1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5.2*</w:t>
      </w:r>
      <w:r>
        <w:rPr>
          <w:rFonts w:ascii="Times New Roman" w:cs="Times New Roman" w:eastAsia="Times New Roman" w:hAnsi="Times New Roman"/>
          <w:sz w:val="14"/>
          <w:szCs w:val="14"/>
          <w:u w:val="single" w:color="auto"/>
          <w:color w:val="0000EE"/>
        </w:rPr>
        <w:t>Opinion of Timothy Kim, Esq., Counsel - Corporate for ExxonMobil Holdings Corporation and Exxon Mobil Corporation</w:t>
      </w:r>
    </w:p>
    <w:p>
      <w:pPr>
        <w:spacing w:after="0" w:line="94" w:lineRule="exact"/>
        <w:rPr>
          <w:rFonts w:ascii="Times New Roman" w:cs="Times New Roman" w:eastAsia="Times New Roman" w:hAnsi="Times New Roman"/>
          <w:sz w:val="14"/>
          <w:szCs w:val="14"/>
          <w:color w:val="auto"/>
        </w:rPr>
      </w:pPr>
    </w:p>
    <w:p>
      <w:pPr>
        <w:ind w:left="1380" w:hanging="77"/>
        <w:spacing w:after="0"/>
        <w:tabs>
          <w:tab w:leader="none" w:pos="1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23.1*</w:t>
      </w:r>
      <w:r>
        <w:rPr>
          <w:rFonts w:ascii="Times New Roman" w:cs="Times New Roman" w:eastAsia="Times New Roman" w:hAnsi="Times New Roman"/>
          <w:sz w:val="14"/>
          <w:szCs w:val="14"/>
          <w:u w:val="single" w:color="auto"/>
          <w:color w:val="0000EE"/>
        </w:rPr>
        <w:t>Consent of PricewaterhouseCoopers LLP, Independent Registered Public Accounting Firm</w:t>
      </w:r>
    </w:p>
    <w:p>
      <w:pPr>
        <w:spacing w:after="0" w:line="94" w:lineRule="exact"/>
        <w:rPr>
          <w:rFonts w:ascii="Times New Roman" w:cs="Times New Roman" w:eastAsia="Times New Roman" w:hAnsi="Times New Roman"/>
          <w:sz w:val="14"/>
          <w:szCs w:val="14"/>
          <w:color w:val="auto"/>
        </w:rPr>
      </w:pPr>
    </w:p>
    <w:p>
      <w:pPr>
        <w:ind w:left="1380" w:hanging="77"/>
        <w:spacing w:after="0"/>
        <w:tabs>
          <w:tab w:leader="none" w:pos="1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23.2*</w:t>
      </w:r>
      <w:r>
        <w:rPr>
          <w:rFonts w:ascii="Times New Roman" w:cs="Times New Roman" w:eastAsia="Times New Roman" w:hAnsi="Times New Roman"/>
          <w:sz w:val="14"/>
          <w:szCs w:val="14"/>
          <w:u w:val="single" w:color="auto"/>
          <w:color w:val="0000EE"/>
        </w:rPr>
        <w:t>Consent of Davis Polk &amp; Wardwell LLP (included in Exhibit 5.1)</w:t>
      </w:r>
    </w:p>
    <w:p>
      <w:pPr>
        <w:spacing w:after="0" w:line="94" w:lineRule="exact"/>
        <w:rPr>
          <w:rFonts w:ascii="Times New Roman" w:cs="Times New Roman" w:eastAsia="Times New Roman" w:hAnsi="Times New Roman"/>
          <w:sz w:val="14"/>
          <w:szCs w:val="14"/>
          <w:color w:val="auto"/>
        </w:rPr>
      </w:pPr>
    </w:p>
    <w:p>
      <w:pPr>
        <w:ind w:left="1380" w:hanging="77"/>
        <w:spacing w:after="0"/>
        <w:tabs>
          <w:tab w:leader="none" w:pos="1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23.3*</w:t>
      </w:r>
      <w:r>
        <w:rPr>
          <w:rFonts w:ascii="Times New Roman" w:cs="Times New Roman" w:eastAsia="Times New Roman" w:hAnsi="Times New Roman"/>
          <w:sz w:val="14"/>
          <w:szCs w:val="14"/>
          <w:u w:val="single" w:color="auto"/>
          <w:color w:val="0000EE"/>
        </w:rPr>
        <w:t>Consent of Timothy Kim, Esq. (included in Exhibit 5.2)</w:t>
      </w:r>
    </w:p>
    <w:p>
      <w:pPr>
        <w:spacing w:after="0" w:line="94" w:lineRule="exact"/>
        <w:rPr>
          <w:rFonts w:ascii="Times New Roman" w:cs="Times New Roman" w:eastAsia="Times New Roman" w:hAnsi="Times New Roman"/>
          <w:sz w:val="14"/>
          <w:szCs w:val="14"/>
          <w:color w:val="auto"/>
        </w:rPr>
      </w:pPr>
    </w:p>
    <w:p>
      <w:pPr>
        <w:ind w:left="1380" w:hanging="77"/>
        <w:spacing w:after="0"/>
        <w:tabs>
          <w:tab w:leader="none" w:pos="1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24.1*</w:t>
      </w:r>
      <w:r>
        <w:rPr>
          <w:rFonts w:ascii="Times New Roman" w:cs="Times New Roman" w:eastAsia="Times New Roman" w:hAnsi="Times New Roman"/>
          <w:sz w:val="14"/>
          <w:szCs w:val="14"/>
          <w:u w:val="single" w:color="auto"/>
          <w:color w:val="0000EE"/>
        </w:rPr>
        <w:t>Powers of Attorney (included on the signature pages to this Amendment)</w:t>
      </w:r>
    </w:p>
    <w:p>
      <w:pPr>
        <w:spacing w:after="0" w:line="94" w:lineRule="exact"/>
        <w:rPr>
          <w:rFonts w:ascii="Times New Roman" w:cs="Times New Roman" w:eastAsia="Times New Roman" w:hAnsi="Times New Roman"/>
          <w:sz w:val="14"/>
          <w:szCs w:val="14"/>
          <w:color w:val="auto"/>
        </w:rPr>
      </w:pPr>
    </w:p>
    <w:p>
      <w:pPr>
        <w:ind w:left="1380" w:hanging="77"/>
        <w:spacing w:after="0"/>
        <w:tabs>
          <w:tab w:leader="none" w:pos="1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25.1*</w:t>
      </w:r>
      <w:r>
        <w:rPr>
          <w:rFonts w:ascii="Times New Roman" w:cs="Times New Roman" w:eastAsia="Times New Roman" w:hAnsi="Times New Roman"/>
          <w:sz w:val="14"/>
          <w:szCs w:val="14"/>
          <w:u w:val="single" w:color="auto"/>
          <w:color w:val="0000EE"/>
        </w:rPr>
        <w:t>Statement of Eligibility under the Trust Indenture Act of 1939 on Form T-1 of Deutsche Bank Trust Company Americas</w:t>
      </w:r>
    </w:p>
    <w:p>
      <w:pPr>
        <w:spacing w:after="0" w:line="94" w:lineRule="exact"/>
        <w:rPr>
          <w:rFonts w:ascii="Times New Roman" w:cs="Times New Roman" w:eastAsia="Times New Roman" w:hAnsi="Times New Roman"/>
          <w:sz w:val="14"/>
          <w:szCs w:val="14"/>
          <w:u w:val="single" w:color="auto"/>
          <w:color w:val="0000EE"/>
        </w:rPr>
      </w:pPr>
    </w:p>
    <w:p>
      <w:pPr>
        <w:ind w:left="1300"/>
        <w:spacing w:after="0"/>
        <w:tabs>
          <w:tab w:leader="none" w:pos="208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4"/>
          <w:szCs w:val="14"/>
          <w:u w:val="single" w:color="auto"/>
          <w:color w:val="0000EE"/>
        </w:rPr>
        <w:t>Filing Fee Table</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827405</wp:posOffset>
            </wp:positionH>
            <wp:positionV relativeFrom="paragraph">
              <wp:posOffset>82550</wp:posOffset>
            </wp:positionV>
            <wp:extent cx="6083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38" w:lineRule="exact"/>
        <w:rPr>
          <w:rFonts w:ascii="Times New Roman" w:cs="Times New Roman" w:eastAsia="Times New Roman" w:hAnsi="Times New Roman"/>
          <w:sz w:val="14"/>
          <w:szCs w:val="14"/>
          <w:u w:val="single" w:color="auto"/>
          <w:color w:val="0000EE"/>
        </w:rPr>
      </w:pPr>
    </w:p>
    <w:p>
      <w:pPr>
        <w:ind w:left="1300"/>
        <w:spacing w:after="0"/>
        <w:rPr>
          <w:sz w:val="20"/>
          <w:szCs w:val="20"/>
          <w:color w:val="auto"/>
        </w:rPr>
      </w:pPr>
      <w:r>
        <w:rPr>
          <w:rFonts w:ascii="Times New Roman" w:cs="Times New Roman" w:eastAsia="Times New Roman" w:hAnsi="Times New Roman"/>
          <w:sz w:val="14"/>
          <w:szCs w:val="14"/>
          <w:color w:val="auto"/>
        </w:rPr>
        <w:t>*  Filed herewith.</w:t>
      </w:r>
    </w:p>
    <w:p>
      <w:pPr>
        <w:spacing w:after="0" w:line="263" w:lineRule="exact"/>
        <w:rPr>
          <w:rFonts w:ascii="Times New Roman" w:cs="Times New Roman" w:eastAsia="Times New Roman" w:hAnsi="Times New Roman"/>
          <w:sz w:val="14"/>
          <w:szCs w:val="14"/>
          <w:u w:val="single" w:color="auto"/>
          <w:color w:val="0000EE"/>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07" w:lineRule="exact"/>
        <w:rPr>
          <w:rFonts w:ascii="Times New Roman" w:cs="Times New Roman" w:eastAsia="Times New Roman" w:hAnsi="Times New Roman"/>
          <w:sz w:val="14"/>
          <w:szCs w:val="14"/>
          <w:u w:val="single" w:color="auto"/>
          <w:color w:val="0000EE"/>
        </w:rPr>
      </w:pPr>
    </w:p>
    <w:p>
      <w:pPr>
        <w:ind w:left="1640" w:hanging="337"/>
        <w:spacing w:after="0"/>
        <w:tabs>
          <w:tab w:leader="none" w:pos="1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04" w:lineRule="exact"/>
        <w:rPr>
          <w:rFonts w:ascii="Times New Roman" w:cs="Times New Roman" w:eastAsia="Times New Roman" w:hAnsi="Times New Roman"/>
          <w:sz w:val="14"/>
          <w:szCs w:val="14"/>
          <w:color w:val="auto"/>
        </w:rPr>
      </w:pPr>
    </w:p>
    <w:p>
      <w:pPr>
        <w:ind w:left="2060" w:right="619" w:hanging="416"/>
        <w:spacing w:after="0" w:line="288" w:lineRule="auto"/>
        <w:tabs>
          <w:tab w:leader="none" w:pos="20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of securities registered hereby, a post-effective amendment to this registration statement:</w:t>
      </w:r>
    </w:p>
    <w:p>
      <w:pPr>
        <w:spacing w:after="0" w:line="49" w:lineRule="exact"/>
        <w:rPr>
          <w:rFonts w:ascii="Times New Roman" w:cs="Times New Roman" w:eastAsia="Times New Roman" w:hAnsi="Times New Roman"/>
          <w:sz w:val="14"/>
          <w:szCs w:val="14"/>
          <w:color w:val="auto"/>
        </w:rPr>
      </w:pPr>
    </w:p>
    <w:p>
      <w:pPr>
        <w:ind w:left="2420" w:hanging="340"/>
        <w:spacing w:after="0"/>
        <w:tabs>
          <w:tab w:leader="none" w:pos="2420" w:val="left"/>
        </w:tabs>
        <w:numPr>
          <w:ilvl w:val="2"/>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04" w:lineRule="exact"/>
        <w:rPr>
          <w:rFonts w:ascii="Times New Roman" w:cs="Times New Roman" w:eastAsia="Times New Roman" w:hAnsi="Times New Roman"/>
          <w:sz w:val="14"/>
          <w:szCs w:val="14"/>
          <w:color w:val="auto"/>
        </w:rPr>
      </w:pPr>
    </w:p>
    <w:p>
      <w:pPr>
        <w:ind w:left="2420" w:right="339" w:hanging="340"/>
        <w:spacing w:after="0" w:line="288" w:lineRule="auto"/>
        <w:tabs>
          <w:tab w:leader="none" w:pos="2420" w:val="left"/>
        </w:tabs>
        <w:numPr>
          <w:ilvl w:val="2"/>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w:t>
      </w:r>
    </w:p>
    <w:p>
      <w:pPr>
        <w:spacing w:after="0" w:line="71" w:lineRule="exact"/>
        <w:rPr>
          <w:rFonts w:ascii="Times New Roman" w:cs="Times New Roman" w:eastAsia="Times New Roman" w:hAnsi="Times New Roman"/>
          <w:sz w:val="14"/>
          <w:szCs w:val="14"/>
          <w:u w:val="single" w:color="auto"/>
          <w:color w:val="0000EE"/>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9"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440" w:right="179"/>
        <w:spacing w:after="0" w:line="260" w:lineRule="auto"/>
        <w:rPr>
          <w:sz w:val="20"/>
          <w:szCs w:val="20"/>
          <w:color w:val="auto"/>
        </w:rPr>
      </w:pPr>
      <w:r>
        <w:rPr>
          <w:rFonts w:ascii="Times New Roman" w:cs="Times New Roman" w:eastAsia="Times New Roman" w:hAnsi="Times New Roman"/>
          <w:sz w:val="14"/>
          <w:szCs w:val="14"/>
          <w:color w:val="auto"/>
        </w:rPr>
        <w:t>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1" w:lineRule="exact"/>
        <w:rPr>
          <w:sz w:val="20"/>
          <w:szCs w:val="20"/>
          <w:color w:val="auto"/>
        </w:rPr>
      </w:pPr>
    </w:p>
    <w:p>
      <w:pPr>
        <w:ind w:left="2420" w:right="319" w:hanging="340"/>
        <w:spacing w:after="0" w:line="288" w:lineRule="auto"/>
        <w:tabs>
          <w:tab w:leader="none" w:pos="2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2" w:lineRule="exact"/>
        <w:rPr>
          <w:sz w:val="20"/>
          <w:szCs w:val="20"/>
          <w:color w:val="auto"/>
        </w:rPr>
      </w:pPr>
    </w:p>
    <w:p>
      <w:pPr>
        <w:ind w:left="1300" w:right="199"/>
        <w:spacing w:after="0" w:line="266"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(i), (ii) and (iii) above do not apply if the information required to be included in a post-effective amendment by those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65" w:lineRule="exact"/>
        <w:rPr>
          <w:sz w:val="20"/>
          <w:szCs w:val="20"/>
          <w:color w:val="auto"/>
        </w:rPr>
      </w:pPr>
    </w:p>
    <w:p>
      <w:pPr>
        <w:ind w:left="2060" w:right="199" w:hanging="416"/>
        <w:spacing w:after="0" w:line="271" w:lineRule="auto"/>
        <w:tabs>
          <w:tab w:leader="none" w:pos="2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61" w:lineRule="exact"/>
        <w:rPr>
          <w:rFonts w:ascii="Times New Roman" w:cs="Times New Roman" w:eastAsia="Times New Roman" w:hAnsi="Times New Roman"/>
          <w:sz w:val="14"/>
          <w:szCs w:val="14"/>
          <w:color w:val="auto"/>
        </w:rPr>
      </w:pPr>
    </w:p>
    <w:p>
      <w:pPr>
        <w:ind w:left="2060" w:right="459" w:hanging="416"/>
        <w:spacing w:after="0" w:line="288" w:lineRule="auto"/>
        <w:tabs>
          <w:tab w:leader="none" w:pos="2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9" w:lineRule="exact"/>
        <w:rPr>
          <w:rFonts w:ascii="Times New Roman" w:cs="Times New Roman" w:eastAsia="Times New Roman" w:hAnsi="Times New Roman"/>
          <w:sz w:val="14"/>
          <w:szCs w:val="14"/>
          <w:color w:val="auto"/>
        </w:rPr>
      </w:pPr>
    </w:p>
    <w:p>
      <w:pPr>
        <w:ind w:left="2060" w:hanging="416"/>
        <w:spacing w:after="0"/>
        <w:tabs>
          <w:tab w:leader="none" w:pos="2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05" w:lineRule="exact"/>
        <w:rPr>
          <w:rFonts w:ascii="Times New Roman" w:cs="Times New Roman" w:eastAsia="Times New Roman" w:hAnsi="Times New Roman"/>
          <w:sz w:val="14"/>
          <w:szCs w:val="14"/>
          <w:color w:val="auto"/>
        </w:rPr>
      </w:pPr>
    </w:p>
    <w:p>
      <w:pPr>
        <w:ind w:left="2420" w:right="299" w:hanging="340"/>
        <w:spacing w:after="0" w:line="288" w:lineRule="auto"/>
        <w:tabs>
          <w:tab w:leader="none" w:pos="24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9" w:lineRule="exact"/>
        <w:rPr>
          <w:rFonts w:ascii="Times New Roman" w:cs="Times New Roman" w:eastAsia="Times New Roman" w:hAnsi="Times New Roman"/>
          <w:sz w:val="14"/>
          <w:szCs w:val="14"/>
          <w:color w:val="auto"/>
        </w:rPr>
      </w:pPr>
    </w:p>
    <w:p>
      <w:pPr>
        <w:ind w:left="2420" w:right="179" w:hanging="340"/>
        <w:spacing w:after="0" w:line="256" w:lineRule="auto"/>
        <w:tabs>
          <w:tab w:leader="none" w:pos="24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7" w:lineRule="exact"/>
        <w:rPr>
          <w:rFonts w:ascii="Times New Roman" w:cs="Times New Roman" w:eastAsia="Times New Roman" w:hAnsi="Times New Roman"/>
          <w:sz w:val="14"/>
          <w:szCs w:val="14"/>
          <w:color w:val="auto"/>
        </w:rPr>
      </w:pPr>
    </w:p>
    <w:p>
      <w:pPr>
        <w:ind w:left="2060" w:right="259" w:hanging="416"/>
        <w:spacing w:after="0" w:line="265" w:lineRule="auto"/>
        <w:tabs>
          <w:tab w:leader="none" w:pos="2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9"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Registrant will be a seller to the purchaser and will be considered to offer or sell such securities to such purchaser:</w:t>
      </w:r>
    </w:p>
    <w:p>
      <w:pPr>
        <w:spacing w:after="0" w:line="105" w:lineRule="exact"/>
        <w:rPr>
          <w:sz w:val="20"/>
          <w:szCs w:val="20"/>
          <w:color w:val="auto"/>
        </w:rPr>
      </w:pPr>
    </w:p>
    <w:p>
      <w:pPr>
        <w:ind w:left="2420" w:right="239" w:hanging="340"/>
        <w:spacing w:after="0" w:line="288" w:lineRule="auto"/>
        <w:tabs>
          <w:tab w:leader="none" w:pos="242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49" w:lineRule="exact"/>
        <w:rPr>
          <w:rFonts w:ascii="Times New Roman" w:cs="Times New Roman" w:eastAsia="Times New Roman" w:hAnsi="Times New Roman"/>
          <w:sz w:val="14"/>
          <w:szCs w:val="14"/>
          <w:color w:val="auto"/>
        </w:rPr>
      </w:pPr>
    </w:p>
    <w:p>
      <w:pPr>
        <w:ind w:left="2420" w:right="299" w:hanging="340"/>
        <w:spacing w:after="0" w:line="288" w:lineRule="auto"/>
        <w:tabs>
          <w:tab w:leader="none" w:pos="242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9" w:lineRule="exact"/>
        <w:rPr>
          <w:rFonts w:ascii="Times New Roman" w:cs="Times New Roman" w:eastAsia="Times New Roman" w:hAnsi="Times New Roman"/>
          <w:sz w:val="14"/>
          <w:szCs w:val="14"/>
          <w:color w:val="auto"/>
        </w:rPr>
      </w:pPr>
    </w:p>
    <w:p>
      <w:pPr>
        <w:ind w:left="2420" w:right="579" w:hanging="340"/>
        <w:spacing w:after="0" w:line="288" w:lineRule="auto"/>
        <w:tabs>
          <w:tab w:leader="none" w:pos="242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49" w:lineRule="exact"/>
        <w:rPr>
          <w:rFonts w:ascii="Times New Roman" w:cs="Times New Roman" w:eastAsia="Times New Roman" w:hAnsi="Times New Roman"/>
          <w:sz w:val="14"/>
          <w:szCs w:val="14"/>
          <w:color w:val="auto"/>
        </w:rPr>
      </w:pPr>
    </w:p>
    <w:p>
      <w:pPr>
        <w:ind w:left="2420" w:hanging="340"/>
        <w:spacing w:after="0"/>
        <w:tabs>
          <w:tab w:leader="none" w:pos="242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05" w:lineRule="exact"/>
        <w:rPr>
          <w:rFonts w:ascii="Times New Roman" w:cs="Times New Roman" w:eastAsia="Times New Roman" w:hAnsi="Times New Roman"/>
          <w:sz w:val="14"/>
          <w:szCs w:val="14"/>
          <w:color w:val="auto"/>
        </w:rPr>
      </w:pPr>
    </w:p>
    <w:p>
      <w:pPr>
        <w:ind w:left="2060" w:right="279" w:hanging="416"/>
        <w:spacing w:after="0" w:line="262" w:lineRule="auto"/>
        <w:tabs>
          <w:tab w:leader="none" w:pos="2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as amended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8" w:lineRule="exact"/>
        <w:rPr>
          <w:rFonts w:ascii="Times New Roman" w:cs="Times New Roman" w:eastAsia="Times New Roman" w:hAnsi="Times New Roman"/>
          <w:sz w:val="14"/>
          <w:szCs w:val="14"/>
          <w:color w:val="auto"/>
        </w:rPr>
      </w:pPr>
    </w:p>
    <w:p>
      <w:pPr>
        <w:ind w:left="2060" w:right="299" w:hanging="416"/>
        <w:spacing w:after="0" w:line="258" w:lineRule="auto"/>
        <w:tabs>
          <w:tab w:leader="none" w:pos="2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89"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1300" w:right="19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Post-Effective Amendment No. 1 to Registration Statement on Form S-3 to be signed on its behalf by the undersigned, thereunto duly authorized, in the City of Spring, Texas on July 1, 2026.</w:t>
      </w:r>
    </w:p>
    <w:p>
      <w:pPr>
        <w:spacing w:after="0" w:line="15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ExxonMobil Holdings Corporation</w:t>
      </w:r>
    </w:p>
    <w:p>
      <w:pPr>
        <w:spacing w:after="0" w:line="181"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Darren W. Woods</w:t>
            </w:r>
          </w:p>
        </w:tc>
      </w:tr>
      <w:tr>
        <w:trPr>
          <w:trHeight w:val="147"/>
        </w:trPr>
        <w:tc>
          <w:tcPr>
            <w:tcW w:w="4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Darren W. Woods</w:t>
            </w:r>
          </w:p>
        </w:tc>
      </w:t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Chairman of the Board and Chief Executive Officer</w:t>
            </w:r>
          </w:p>
        </w:tc>
      </w:tr>
    </w:tbl>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ind w:left="1300" w:right="219" w:firstLine="347"/>
        <w:spacing w:after="0" w:line="259"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Matthew R. Rasmussen, Wendi J. Powell, and Mark J. Larovere,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or their substitute or substitutes may lawfully do or cause to be done by virtue hereof.</w:t>
      </w:r>
    </w:p>
    <w:p>
      <w:pPr>
        <w:spacing w:after="0" w:line="146" w:lineRule="exact"/>
        <w:rPr>
          <w:sz w:val="20"/>
          <w:szCs w:val="20"/>
          <w:color w:val="auto"/>
        </w:rPr>
      </w:pPr>
    </w:p>
    <w:p>
      <w:pPr>
        <w:ind w:left="1300" w:right="27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Post-Effective Amendment No. 1 to Registration Statement on Form S-3 has been signed below by the following persons in the capacities and on the date set forth above.</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36"/>
        </w:trPr>
        <w:tc>
          <w:tcPr>
            <w:tcW w:w="176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40" w:type="dxa"/>
            <w:vAlign w:val="bottom"/>
          </w:tcPr>
          <w:p>
            <w:pPr>
              <w:spacing w:after="0"/>
              <w:rPr>
                <w:sz w:val="11"/>
                <w:szCs w:val="11"/>
                <w:color w:val="auto"/>
              </w:rPr>
            </w:pPr>
          </w:p>
        </w:tc>
      </w:tr>
      <w:tr>
        <w:trPr>
          <w:trHeight w:val="331"/>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Darren W. Woods</w:t>
            </w:r>
          </w:p>
        </w:tc>
        <w:tc>
          <w:tcPr>
            <w:tcW w:w="3900" w:type="dxa"/>
            <w:vAlign w:val="bottom"/>
            <w:gridSpan w:val="3"/>
          </w:tcPr>
          <w:p>
            <w:pPr>
              <w:jc w:val="center"/>
              <w:ind w:left="889"/>
              <w:spacing w:after="0"/>
              <w:rPr>
                <w:sz w:val="20"/>
                <w:szCs w:val="20"/>
                <w:color w:val="auto"/>
              </w:rPr>
            </w:pPr>
            <w:r>
              <w:rPr>
                <w:rFonts w:ascii="Times New Roman" w:cs="Times New Roman" w:eastAsia="Times New Roman" w:hAnsi="Times New Roman"/>
                <w:sz w:val="14"/>
                <w:szCs w:val="14"/>
                <w:color w:val="auto"/>
              </w:rPr>
              <w:t>Chairman of the Board and Chief Executive Officer</w:t>
            </w:r>
          </w:p>
        </w:tc>
      </w:tr>
      <w:tr>
        <w:trPr>
          <w:trHeight w:val="176"/>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Darren W. Woods</w:t>
            </w:r>
          </w:p>
        </w:tc>
        <w:tc>
          <w:tcPr>
            <w:tcW w:w="3900" w:type="dxa"/>
            <w:vAlign w:val="bottom"/>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Michael J. Angelakis</w:t>
            </w:r>
          </w:p>
        </w:tc>
        <w:tc>
          <w:tcPr>
            <w:tcW w:w="3900" w:type="dxa"/>
            <w:vAlign w:val="bottom"/>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Michael J. Angelakis</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Angela F. Braly</w:t>
            </w:r>
          </w:p>
        </w:tc>
        <w:tc>
          <w:tcPr>
            <w:tcW w:w="3900" w:type="dxa"/>
            <w:vAlign w:val="bottom"/>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Angela F. Braly</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Maria S. Dreyfus</w:t>
            </w:r>
          </w:p>
        </w:tc>
        <w:tc>
          <w:tcPr>
            <w:tcW w:w="3900" w:type="dxa"/>
            <w:vAlign w:val="bottom"/>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Maria S. Dreyfus</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Gregory C. Garland</w:t>
            </w:r>
          </w:p>
        </w:tc>
        <w:tc>
          <w:tcPr>
            <w:tcW w:w="3900" w:type="dxa"/>
            <w:vAlign w:val="bottom"/>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Gregory C. Garland</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John D. Harris II</w:t>
            </w:r>
          </w:p>
        </w:tc>
        <w:tc>
          <w:tcPr>
            <w:tcW w:w="3900" w:type="dxa"/>
            <w:vAlign w:val="bottom"/>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John D. Harris II</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83"/>
        </w:trPr>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9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II-7</w:t>
            </w:r>
          </w:p>
        </w:tc>
      </w:tr>
    </w:tbl>
    <w:p>
      <w:pPr>
        <w:sectPr>
          <w:pgSz w:w="11900" w:h="16838" w:orient="portrait"/>
          <w:cols w:equalWidth="0" w:num="1">
            <w:col w:w="10159"/>
          </w:cols>
          <w:pgMar w:left="300" w:top="389"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300" w:type="dxa"/>
        <w:tblCellMar>
          <w:top w:w="0" w:type="dxa"/>
          <w:left w:w="0" w:type="dxa"/>
          <w:bottom w:w="0" w:type="dxa"/>
          <w:right w:w="0" w:type="dxa"/>
        </w:tblCellMar>
      </w:tblPr>
      <w:tr>
        <w:trPr>
          <w:trHeight w:val="136"/>
        </w:trPr>
        <w:tc>
          <w:tcPr>
            <w:tcW w:w="176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00" w:type="dxa"/>
            <w:vAlign w:val="bottom"/>
          </w:tcPr>
          <w:p>
            <w:pPr>
              <w:spacing w:after="0"/>
              <w:rPr>
                <w:sz w:val="11"/>
                <w:szCs w:val="11"/>
                <w:color w:val="auto"/>
              </w:rPr>
            </w:pPr>
          </w:p>
        </w:tc>
      </w:tr>
      <w:tr>
        <w:trPr>
          <w:trHeight w:val="331"/>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Kaisa H. Hietala</w:t>
            </w:r>
          </w:p>
        </w:tc>
        <w:tc>
          <w:tcPr>
            <w:tcW w:w="38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Kaisa H. Hietala</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Joseph L. Hooley</w:t>
            </w:r>
          </w:p>
        </w:tc>
        <w:tc>
          <w:tcPr>
            <w:tcW w:w="38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Joseph L. Hooley</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Steven A. Kandarian</w:t>
            </w:r>
          </w:p>
        </w:tc>
        <w:tc>
          <w:tcPr>
            <w:tcW w:w="38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Steven A. Kandarian</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Alexander A. Karsner</w:t>
            </w:r>
          </w:p>
        </w:tc>
        <w:tc>
          <w:tcPr>
            <w:tcW w:w="38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Alexander A. Karsner</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Lawrence W. Kellner</w:t>
            </w:r>
          </w:p>
        </w:tc>
        <w:tc>
          <w:tcPr>
            <w:tcW w:w="38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Lawrence W. Kellner</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Dina Powell McCormick</w:t>
            </w:r>
          </w:p>
        </w:tc>
        <w:tc>
          <w:tcPr>
            <w:tcW w:w="38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Dina Powell McCormick</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36"/>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Neil A. Hansen</w:t>
            </w:r>
          </w:p>
        </w:tc>
        <w:tc>
          <w:tcPr>
            <w:tcW w:w="38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r>
      <w:tr>
        <w:trPr>
          <w:trHeight w:val="176"/>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Neil A. Hansen</w:t>
            </w:r>
          </w:p>
        </w:tc>
        <w:tc>
          <w:tcPr>
            <w:tcW w:w="38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36"/>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Susan E. Buchanan</w:t>
            </w:r>
          </w:p>
        </w:tc>
        <w:tc>
          <w:tcPr>
            <w:tcW w:w="38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r>
      <w:tr>
        <w:trPr>
          <w:trHeight w:val="176"/>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Susan E. Buchanan</w:t>
            </w:r>
          </w:p>
        </w:tc>
        <w:tc>
          <w:tcPr>
            <w:tcW w:w="38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283"/>
        </w:trPr>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II-8</w:t>
            </w:r>
          </w:p>
        </w:tc>
      </w:tr>
    </w:tbl>
    <w:p>
      <w:pPr>
        <w:sectPr>
          <w:pgSz w:w="11900" w:h="16838" w:orient="portrait"/>
          <w:cols w:equalWidth="0" w:num="1">
            <w:col w:w="10159"/>
          </w:cols>
          <w:pgMar w:left="300" w:top="389"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1300" w:right="19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Post-Effective Amendment No. 1 to Registration Statement on Form S-3 to be signed on its behalf by the undersigned, thereunto duly authorized, in the City of Spring, Texas on July 1, 2026.</w:t>
      </w:r>
    </w:p>
    <w:p>
      <w:pPr>
        <w:spacing w:after="0" w:line="15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Exxon Mobil Corporation</w:t>
      </w:r>
    </w:p>
    <w:p>
      <w:pPr>
        <w:spacing w:after="0" w:line="181"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James R. Chapman</w:t>
            </w:r>
          </w:p>
        </w:tc>
      </w:tr>
      <w:tr>
        <w:trPr>
          <w:trHeight w:val="147"/>
        </w:trPr>
        <w:tc>
          <w:tcPr>
            <w:tcW w:w="4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James R. Chapman</w:t>
            </w:r>
          </w:p>
        </w:tc>
      </w:t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w:t>
            </w:r>
          </w:p>
        </w:tc>
      </w:tr>
    </w:tbl>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ind w:left="1300" w:right="219" w:firstLine="347"/>
        <w:spacing w:after="0" w:line="259"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Matthew R. Rasmussen, Wendi J. Powell, and Mark J. Larovere,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or their substitute or substitutes may lawfully do or cause to be done by virtue hereof.</w:t>
      </w:r>
    </w:p>
    <w:p>
      <w:pPr>
        <w:spacing w:after="0" w:line="146" w:lineRule="exact"/>
        <w:rPr>
          <w:sz w:val="20"/>
          <w:szCs w:val="20"/>
          <w:color w:val="auto"/>
        </w:rPr>
      </w:pPr>
    </w:p>
    <w:p>
      <w:pPr>
        <w:ind w:left="1300" w:right="27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Post-Effective Amendment No. 1 to Registration Statement on Form S-3 has been signed below by the following persons in the capacities and on the date set forth above.</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36"/>
        </w:trPr>
        <w:tc>
          <w:tcPr>
            <w:tcW w:w="19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100" w:type="dxa"/>
            <w:vAlign w:val="bottom"/>
            <w:gridSpan w:val="3"/>
          </w:tcPr>
          <w:p>
            <w:pPr>
              <w:jc w:val="center"/>
              <w:ind w:left="1251"/>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20"/>
        </w:trPr>
        <w:tc>
          <w:tcPr>
            <w:tcW w:w="1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3560" w:type="dxa"/>
            <w:vAlign w:val="bottom"/>
            <w:tcBorders>
              <w:bottom w:val="single" w:sz="8" w:color="auto"/>
            </w:tcBorders>
            <w:gridSpan w:val="3"/>
          </w:tcPr>
          <w:p>
            <w:pPr>
              <w:jc w:val="center"/>
              <w:ind w:left="829"/>
              <w:spacing w:after="0"/>
              <w:rPr>
                <w:sz w:val="20"/>
                <w:szCs w:val="20"/>
                <w:color w:val="auto"/>
              </w:rPr>
            </w:pPr>
            <w:r>
              <w:rPr>
                <w:rFonts w:ascii="Times New Roman" w:cs="Times New Roman" w:eastAsia="Times New Roman" w:hAnsi="Times New Roman"/>
                <w:sz w:val="14"/>
                <w:szCs w:val="14"/>
                <w:color w:val="auto"/>
              </w:rPr>
              <w:t>/s/ James R. Chapman</w:t>
            </w:r>
          </w:p>
        </w:tc>
        <w:tc>
          <w:tcPr>
            <w:tcW w:w="880" w:type="dxa"/>
            <w:vAlign w:val="bottom"/>
            <w:tcBorders>
              <w:bottom w:val="single" w:sz="8" w:color="auto"/>
            </w:tcBorders>
          </w:tcPr>
          <w:p>
            <w:pPr>
              <w:spacing w:after="0"/>
              <w:rPr>
                <w:sz w:val="24"/>
                <w:szCs w:val="24"/>
                <w:color w:val="auto"/>
              </w:rPr>
            </w:pPr>
          </w:p>
        </w:tc>
        <w:tc>
          <w:tcPr>
            <w:tcW w:w="3100" w:type="dxa"/>
            <w:vAlign w:val="bottom"/>
            <w:gridSpan w:val="3"/>
          </w:tcPr>
          <w:p>
            <w:pPr>
              <w:jc w:val="center"/>
              <w:ind w:left="1251"/>
              <w:spacing w:after="0"/>
              <w:rPr>
                <w:sz w:val="20"/>
                <w:szCs w:val="20"/>
                <w:color w:val="auto"/>
              </w:rPr>
            </w:pPr>
            <w:r>
              <w:rPr>
                <w:rFonts w:ascii="Times New Roman" w:cs="Times New Roman" w:eastAsia="Times New Roman" w:hAnsi="Times New Roman"/>
                <w:sz w:val="14"/>
                <w:szCs w:val="14"/>
                <w:color w:val="auto"/>
              </w:rPr>
              <w:t>President</w:t>
            </w:r>
          </w:p>
        </w:tc>
      </w:tr>
      <w:tr>
        <w:trPr>
          <w:trHeight w:val="176"/>
        </w:trPr>
        <w:tc>
          <w:tcPr>
            <w:tcW w:w="356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James R. Chapman</w:t>
            </w:r>
          </w:p>
        </w:tc>
        <w:tc>
          <w:tcPr>
            <w:tcW w:w="880" w:type="dxa"/>
            <w:vAlign w:val="bottom"/>
          </w:tcPr>
          <w:p>
            <w:pPr>
              <w:spacing w:after="0"/>
              <w:rPr>
                <w:sz w:val="15"/>
                <w:szCs w:val="15"/>
                <w:color w:val="auto"/>
              </w:rPr>
            </w:pPr>
          </w:p>
        </w:tc>
        <w:tc>
          <w:tcPr>
            <w:tcW w:w="3100" w:type="dxa"/>
            <w:vAlign w:val="bottom"/>
            <w:gridSpan w:val="3"/>
          </w:tcPr>
          <w:p>
            <w:pPr>
              <w:jc w:val="center"/>
              <w:ind w:left="1251"/>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7"/>
        </w:trPr>
        <w:tc>
          <w:tcPr>
            <w:tcW w:w="3560" w:type="dxa"/>
            <w:vAlign w:val="bottom"/>
            <w:tcBorders>
              <w:bottom w:val="single" w:sz="8" w:color="auto"/>
            </w:tcBorders>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/s/ Neil A. Chapman</w:t>
            </w:r>
          </w:p>
        </w:tc>
        <w:tc>
          <w:tcPr>
            <w:tcW w:w="880" w:type="dxa"/>
            <w:vAlign w:val="bottom"/>
            <w:tcBorders>
              <w:bottom w:val="single" w:sz="8" w:color="auto"/>
            </w:tcBorders>
          </w:tcPr>
          <w:p>
            <w:pPr>
              <w:spacing w:after="0"/>
              <w:rPr>
                <w:sz w:val="24"/>
                <w:szCs w:val="24"/>
                <w:color w:val="auto"/>
              </w:rPr>
            </w:pPr>
          </w:p>
        </w:tc>
        <w:tc>
          <w:tcPr>
            <w:tcW w:w="3100" w:type="dxa"/>
            <w:vAlign w:val="bottom"/>
            <w:gridSpan w:val="3"/>
          </w:tcPr>
          <w:p>
            <w:pPr>
              <w:jc w:val="center"/>
              <w:ind w:left="1251"/>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56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Neil A. Chapman</w:t>
            </w:r>
          </w:p>
        </w:tc>
        <w:tc>
          <w:tcPr>
            <w:tcW w:w="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37"/>
        </w:trPr>
        <w:tc>
          <w:tcPr>
            <w:tcW w:w="3560" w:type="dxa"/>
            <w:vAlign w:val="bottom"/>
            <w:tcBorders>
              <w:bottom w:val="single" w:sz="8" w:color="auto"/>
            </w:tcBorders>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/s/ Neil A. Hansen</w:t>
            </w:r>
          </w:p>
        </w:tc>
        <w:tc>
          <w:tcPr>
            <w:tcW w:w="880" w:type="dxa"/>
            <w:vAlign w:val="bottom"/>
            <w:tcBorders>
              <w:bottom w:val="single" w:sz="8" w:color="auto"/>
            </w:tcBorders>
          </w:tcPr>
          <w:p>
            <w:pPr>
              <w:spacing w:after="0"/>
              <w:rPr>
                <w:sz w:val="24"/>
                <w:szCs w:val="24"/>
                <w:color w:val="auto"/>
              </w:rPr>
            </w:pPr>
          </w:p>
        </w:tc>
        <w:tc>
          <w:tcPr>
            <w:tcW w:w="3100" w:type="dxa"/>
            <w:vAlign w:val="bottom"/>
            <w:gridSpan w:val="3"/>
          </w:tcPr>
          <w:p>
            <w:pPr>
              <w:jc w:val="center"/>
              <w:ind w:left="1251"/>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56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Neil A. Hansen</w:t>
            </w:r>
          </w:p>
        </w:tc>
        <w:tc>
          <w:tcPr>
            <w:tcW w:w="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37"/>
        </w:trPr>
        <w:tc>
          <w:tcPr>
            <w:tcW w:w="3560" w:type="dxa"/>
            <w:vAlign w:val="bottom"/>
            <w:tcBorders>
              <w:bottom w:val="single" w:sz="8" w:color="auto"/>
            </w:tcBorders>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/s/ Jack P. Williams, Jr.</w:t>
            </w:r>
          </w:p>
        </w:tc>
        <w:tc>
          <w:tcPr>
            <w:tcW w:w="880" w:type="dxa"/>
            <w:vAlign w:val="bottom"/>
            <w:tcBorders>
              <w:bottom w:val="single" w:sz="8" w:color="auto"/>
            </w:tcBorders>
          </w:tcPr>
          <w:p>
            <w:pPr>
              <w:spacing w:after="0"/>
              <w:rPr>
                <w:sz w:val="24"/>
                <w:szCs w:val="24"/>
                <w:color w:val="auto"/>
              </w:rPr>
            </w:pPr>
          </w:p>
        </w:tc>
        <w:tc>
          <w:tcPr>
            <w:tcW w:w="3100" w:type="dxa"/>
            <w:vAlign w:val="bottom"/>
            <w:gridSpan w:val="3"/>
          </w:tcPr>
          <w:p>
            <w:pPr>
              <w:jc w:val="center"/>
              <w:ind w:left="1251"/>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56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w w:val="97"/>
              </w:rPr>
              <w:t>Jack P. Williams, Jr.</w:t>
            </w:r>
          </w:p>
        </w:tc>
        <w:tc>
          <w:tcPr>
            <w:tcW w:w="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36"/>
        </w:trPr>
        <w:tc>
          <w:tcPr>
            <w:tcW w:w="3560" w:type="dxa"/>
            <w:vAlign w:val="bottom"/>
            <w:tcBorders>
              <w:bottom w:val="single" w:sz="8" w:color="auto"/>
            </w:tcBorders>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/s/ Susan E. Buchanan</w:t>
            </w:r>
          </w:p>
        </w:tc>
        <w:tc>
          <w:tcPr>
            <w:tcW w:w="880" w:type="dxa"/>
            <w:vAlign w:val="bottom"/>
            <w:tcBorders>
              <w:bottom w:val="single" w:sz="8" w:color="auto"/>
            </w:tcBorders>
          </w:tcPr>
          <w:p>
            <w:pPr>
              <w:spacing w:after="0"/>
              <w:rPr>
                <w:sz w:val="24"/>
                <w:szCs w:val="24"/>
                <w:color w:val="auto"/>
              </w:rPr>
            </w:pPr>
          </w:p>
        </w:tc>
        <w:tc>
          <w:tcPr>
            <w:tcW w:w="3100" w:type="dxa"/>
            <w:vAlign w:val="bottom"/>
            <w:gridSpan w:val="3"/>
          </w:tcPr>
          <w:p>
            <w:pPr>
              <w:jc w:val="center"/>
              <w:ind w:left="1251"/>
              <w:spacing w:after="0"/>
              <w:rPr>
                <w:sz w:val="20"/>
                <w:szCs w:val="20"/>
                <w:color w:val="auto"/>
              </w:rPr>
            </w:pPr>
            <w:r>
              <w:rPr>
                <w:rFonts w:ascii="Times New Roman" w:cs="Times New Roman" w:eastAsia="Times New Roman" w:hAnsi="Times New Roman"/>
                <w:sz w:val="14"/>
                <w:szCs w:val="14"/>
                <w:color w:val="auto"/>
              </w:rPr>
              <w:t>Vice President and</w:t>
            </w:r>
          </w:p>
        </w:tc>
      </w:tr>
      <w:tr>
        <w:trPr>
          <w:trHeight w:val="136"/>
        </w:trPr>
        <w:tc>
          <w:tcPr>
            <w:tcW w:w="3560" w:type="dxa"/>
            <w:vAlign w:val="bottom"/>
            <w:gridSpan w:val="3"/>
          </w:tcPr>
          <w:p>
            <w:pPr>
              <w:jc w:val="center"/>
              <w:ind w:left="829"/>
              <w:spacing w:after="0" w:line="136" w:lineRule="exact"/>
              <w:rPr>
                <w:sz w:val="20"/>
                <w:szCs w:val="20"/>
                <w:color w:val="auto"/>
              </w:rPr>
            </w:pPr>
            <w:r>
              <w:rPr>
                <w:rFonts w:ascii="Times New Roman" w:cs="Times New Roman" w:eastAsia="Times New Roman" w:hAnsi="Times New Roman"/>
                <w:sz w:val="14"/>
                <w:szCs w:val="14"/>
                <w:color w:val="auto"/>
              </w:rPr>
              <w:t>Susan E. Buchanan</w:t>
            </w:r>
          </w:p>
        </w:tc>
        <w:tc>
          <w:tcPr>
            <w:tcW w:w="880" w:type="dxa"/>
            <w:vAlign w:val="bottom"/>
          </w:tcPr>
          <w:p>
            <w:pPr>
              <w:spacing w:after="0"/>
              <w:rPr>
                <w:sz w:val="11"/>
                <w:szCs w:val="11"/>
                <w:color w:val="auto"/>
              </w:rPr>
            </w:pPr>
          </w:p>
        </w:tc>
        <w:tc>
          <w:tcPr>
            <w:tcW w:w="3100" w:type="dxa"/>
            <w:vAlign w:val="bottom"/>
            <w:gridSpan w:val="3"/>
          </w:tcPr>
          <w:p>
            <w:pPr>
              <w:jc w:val="center"/>
              <w:ind w:left="1251"/>
              <w:spacing w:after="0" w:line="136" w:lineRule="exact"/>
              <w:rPr>
                <w:sz w:val="20"/>
                <w:szCs w:val="20"/>
                <w:color w:val="auto"/>
              </w:rPr>
            </w:pPr>
            <w:r>
              <w:rPr>
                <w:rFonts w:ascii="Times New Roman" w:cs="Times New Roman" w:eastAsia="Times New Roman" w:hAnsi="Times New Roman"/>
                <w:sz w:val="14"/>
                <w:szCs w:val="14"/>
                <w:color w:val="auto"/>
              </w:rPr>
              <w:t>Chief Accounting Officer</w:t>
            </w:r>
          </w:p>
        </w:tc>
      </w:tr>
      <w:tr>
        <w:trPr>
          <w:trHeight w:val="170"/>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00" w:type="dxa"/>
            <w:vAlign w:val="bottom"/>
            <w:gridSpan w:val="3"/>
          </w:tcPr>
          <w:p>
            <w:pPr>
              <w:jc w:val="center"/>
              <w:ind w:left="1231"/>
              <w:spacing w:after="0"/>
              <w:rPr>
                <w:sz w:val="20"/>
                <w:szCs w:val="20"/>
                <w:color w:val="auto"/>
              </w:rPr>
            </w:pPr>
            <w:r>
              <w:rPr>
                <w:rFonts w:ascii="Times New Roman" w:cs="Times New Roman" w:eastAsia="Times New Roman" w:hAnsi="Times New Roman"/>
                <w:sz w:val="14"/>
                <w:szCs w:val="14"/>
                <w:color w:val="auto"/>
              </w:rPr>
              <w:t>(Principal Financial Officer and</w:t>
            </w:r>
          </w:p>
        </w:tc>
      </w:tr>
      <w:tr>
        <w:trPr>
          <w:trHeight w:val="184"/>
        </w:trPr>
        <w:tc>
          <w:tcPr>
            <w:tcW w:w="1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00" w:type="dxa"/>
            <w:vAlign w:val="bottom"/>
            <w:gridSpan w:val="3"/>
          </w:tcPr>
          <w:p>
            <w:pPr>
              <w:jc w:val="center"/>
              <w:ind w:left="1251"/>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298"/>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80" w:type="dxa"/>
            <w:vAlign w:val="bottom"/>
            <w:gridSpan w:val="4"/>
          </w:tcPr>
          <w:p>
            <w:pPr>
              <w:ind w:left="680"/>
              <w:spacing w:after="0"/>
              <w:rPr>
                <w:sz w:val="20"/>
                <w:szCs w:val="20"/>
                <w:color w:val="auto"/>
              </w:rPr>
            </w:pPr>
            <w:r>
              <w:rPr>
                <w:rFonts w:ascii="Times New Roman" w:cs="Times New Roman" w:eastAsia="Times New Roman" w:hAnsi="Times New Roman"/>
                <w:sz w:val="14"/>
                <w:szCs w:val="14"/>
                <w:color w:val="auto"/>
              </w:rPr>
              <w:t>II-9</w:t>
            </w:r>
          </w:p>
        </w:tc>
      </w:tr>
    </w:tbl>
    <w:p>
      <w:pPr>
        <w:sectPr>
          <w:pgSz w:w="11900" w:h="16838" w:orient="portrait"/>
          <w:cols w:equalWidth="0" w:num="1">
            <w:col w:w="10159"/>
          </w:cols>
          <w:pgMar w:left="300" w:top="389" w:right="1440" w:bottom="1440" w:gutter="0" w:footer="0" w:header="0"/>
        </w:sectPr>
      </w:pPr>
    </w:p>
    <w:bookmarkStart w:id="33" w:name="page34"/>
    <w:bookmarkEnd w:id="33"/>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Exhibits 5.1 and 23.2</w:t>
      </w:r>
    </w:p>
    <w:p>
      <w:pPr>
        <w:spacing w:after="0" w:line="20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Davis Polk &amp; Wardwell </w:t>
      </w:r>
      <w:r>
        <w:rPr>
          <w:rFonts w:ascii="Times New Roman" w:cs="Times New Roman" w:eastAsia="Times New Roman" w:hAnsi="Times New Roman"/>
          <w:sz w:val="11"/>
          <w:szCs w:val="11"/>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-92075</wp:posOffset>
            </wp:positionV>
            <wp:extent cx="763270" cy="2025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63270" cy="202565"/>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450 Lexington Avenue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New York, NY 10017</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davispolk.com</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July 1, 2026</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Exxon Mobil Corporation</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22777 Springwoods Village Parkway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Spring, Texas 77389</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ExxonMobil Holdings Corporation</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22777 Springwoods Village Parkway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Spring, Texas 77389</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2" w:lineRule="exact"/>
        <w:rPr>
          <w:sz w:val="20"/>
          <w:szCs w:val="20"/>
          <w:color w:val="auto"/>
        </w:rPr>
      </w:pPr>
    </w:p>
    <w:p>
      <w:pPr>
        <w:ind w:left="160" w:right="259"/>
        <w:spacing w:after="0" w:line="258" w:lineRule="auto"/>
        <w:rPr>
          <w:sz w:val="20"/>
          <w:szCs w:val="20"/>
          <w:color w:val="auto"/>
        </w:rPr>
      </w:pPr>
      <w:r>
        <w:rPr>
          <w:rFonts w:ascii="Times New Roman" w:cs="Times New Roman" w:eastAsia="Times New Roman" w:hAnsi="Times New Roman"/>
          <w:sz w:val="14"/>
          <w:szCs w:val="14"/>
          <w:color w:val="auto"/>
        </w:rPr>
        <w:t>Exxon Mobil Corporation, a New Jersey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ExxonMobil Holdings Corporation, a Texas corporation (the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 are filing with the Securities and Exchange Commission a Registration Statement on Form S-3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purpose of registering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 the Company’s debt securities (the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which may be issued pursuant to an indenture dated as of March 20, 2014 (the “</w:t>
      </w:r>
      <w:r>
        <w:rPr>
          <w:rFonts w:ascii="Times New Roman" w:cs="Times New Roman" w:eastAsia="Times New Roman" w:hAnsi="Times New Roman"/>
          <w:sz w:val="14"/>
          <w:szCs w:val="14"/>
          <w:b w:val="1"/>
          <w:bCs w:val="1"/>
          <w:color w:val="auto"/>
        </w:rPr>
        <w:t>Base Indenture</w:t>
      </w:r>
      <w:r>
        <w:rPr>
          <w:rFonts w:ascii="Times New Roman" w:cs="Times New Roman" w:eastAsia="Times New Roman" w:hAnsi="Times New Roman"/>
          <w:sz w:val="14"/>
          <w:szCs w:val="14"/>
          <w:color w:val="auto"/>
        </w:rPr>
        <w:t>”), between the Company and Deutsche Bank Trust Company Americas, as trustee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as amended and supplemented by a first supplemental indenture dated as of June 26, 2020, between the Company and the Trustee (the “</w:t>
      </w:r>
      <w:r>
        <w:rPr>
          <w:rFonts w:ascii="Times New Roman" w:cs="Times New Roman" w:eastAsia="Times New Roman" w:hAnsi="Times New Roman"/>
          <w:sz w:val="14"/>
          <w:szCs w:val="14"/>
          <w:b w:val="1"/>
          <w:bCs w:val="1"/>
          <w:color w:val="auto"/>
        </w:rPr>
        <w:t>First Supplemental Indenture</w:t>
      </w:r>
      <w:r>
        <w:rPr>
          <w:rFonts w:ascii="Times New Roman" w:cs="Times New Roman" w:eastAsia="Times New Roman" w:hAnsi="Times New Roman"/>
          <w:sz w:val="14"/>
          <w:szCs w:val="14"/>
          <w:color w:val="auto"/>
        </w:rPr>
        <w:t>”) and a second supplemental indenture dated as of July 1, 2026, between the Company, the Parent Guarantor and the Trustee (the “</w:t>
      </w:r>
      <w:r>
        <w:rPr>
          <w:rFonts w:ascii="Times New Roman" w:cs="Times New Roman" w:eastAsia="Times New Roman" w:hAnsi="Times New Roman"/>
          <w:sz w:val="14"/>
          <w:szCs w:val="14"/>
          <w:b w:val="1"/>
          <w:bCs w:val="1"/>
          <w:color w:val="auto"/>
        </w:rPr>
        <w:t>Second Supplemental Indenture</w:t>
      </w:r>
      <w:r>
        <w:rPr>
          <w:rFonts w:ascii="Times New Roman" w:cs="Times New Roman" w:eastAsia="Times New Roman" w:hAnsi="Times New Roman"/>
          <w:sz w:val="14"/>
          <w:szCs w:val="14"/>
          <w:color w:val="auto"/>
        </w:rPr>
        <w:t>” and, together with the Base Indenture and the First Supplemental Indenture,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and when issued, will be fully and unconditionally guaranteed by the Parent Guarantor; and (b) guarantees (the “</w:t>
      </w:r>
      <w:r>
        <w:rPr>
          <w:rFonts w:ascii="Times New Roman" w:cs="Times New Roman" w:eastAsia="Times New Roman" w:hAnsi="Times New Roman"/>
          <w:sz w:val="14"/>
          <w:szCs w:val="14"/>
          <w:b w:val="1"/>
          <w:bCs w:val="1"/>
          <w:color w:val="auto"/>
        </w:rPr>
        <w:t>Guarantees</w:t>
      </w:r>
      <w:r>
        <w:rPr>
          <w:rFonts w:ascii="Times New Roman" w:cs="Times New Roman" w:eastAsia="Times New Roman" w:hAnsi="Times New Roman"/>
          <w:sz w:val="14"/>
          <w:szCs w:val="14"/>
          <w:color w:val="auto"/>
        </w:rPr>
        <w:t>”) of the Debt Securities by the Parent Guarantor, to be issued under the Indenture.</w:t>
      </w:r>
    </w:p>
    <w:p>
      <w:pPr>
        <w:spacing w:after="0" w:line="147" w:lineRule="exact"/>
        <w:rPr>
          <w:sz w:val="20"/>
          <w:szCs w:val="20"/>
          <w:color w:val="auto"/>
        </w:rPr>
      </w:pPr>
    </w:p>
    <w:p>
      <w:pPr>
        <w:ind w:left="160" w:right="199"/>
        <w:spacing w:after="0" w:line="288" w:lineRule="auto"/>
        <w:rPr>
          <w:sz w:val="20"/>
          <w:szCs w:val="20"/>
          <w:color w:val="auto"/>
        </w:rPr>
      </w:pPr>
      <w:r>
        <w:rPr>
          <w:rFonts w:ascii="Times New Roman" w:cs="Times New Roman" w:eastAsia="Times New Roman" w:hAnsi="Times New Roman"/>
          <w:sz w:val="14"/>
          <w:szCs w:val="14"/>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24" w:lineRule="exact"/>
        <w:rPr>
          <w:sz w:val="20"/>
          <w:szCs w:val="20"/>
          <w:color w:val="auto"/>
        </w:rPr>
      </w:pPr>
    </w:p>
    <w:p>
      <w:pPr>
        <w:ind w:left="160" w:right="359"/>
        <w:spacing w:after="0" w:line="260" w:lineRule="auto"/>
        <w:rPr>
          <w:sz w:val="20"/>
          <w:szCs w:val="20"/>
          <w:color w:val="auto"/>
        </w:rPr>
      </w:pPr>
      <w:r>
        <w:rPr>
          <w:rFonts w:ascii="Times New Roman" w:cs="Times New Roman" w:eastAsia="Times New Roman" w:hAnsi="Times New Roman"/>
          <w:sz w:val="14"/>
          <w:szCs w:val="14"/>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and the Parent Guarantor that we reviewed were and are accurate and (vii) all representations made by the Company and the Parent Guarantor as to matters of fact in the documents that we reviewed were and are accurate.</w:t>
      </w:r>
    </w:p>
    <w:p>
      <w:pPr>
        <w:spacing w:after="0" w:line="145" w:lineRule="exact"/>
        <w:rPr>
          <w:sz w:val="20"/>
          <w:szCs w:val="20"/>
          <w:color w:val="auto"/>
        </w:rPr>
      </w:pPr>
    </w:p>
    <w:p>
      <w:pPr>
        <w:ind w:left="160" w:right="179"/>
        <w:spacing w:after="0" w:line="271" w:lineRule="auto"/>
        <w:rPr>
          <w:sz w:val="20"/>
          <w:szCs w:val="20"/>
          <w:color w:val="auto"/>
        </w:rPr>
      </w:pPr>
      <w:r>
        <w:rPr>
          <w:rFonts w:ascii="Times New Roman" w:cs="Times New Roman" w:eastAsia="Times New Roman" w:hAnsi="Times New Roman"/>
          <w:sz w:val="14"/>
          <w:szCs w:val="14"/>
          <w:color w:val="auto"/>
        </w:rPr>
        <w:t>Based upon the foregoing, and subject to the additional assumptions and qualifications set forth below, we advise you that, in our opinion, when any supplemental indenture to be entered into in connection with the issuance of any Debt Securities has been duly authorized, executed and delivered by the Trustee, and the Company and the Parent Guarantor; the specific terms of a particular series of Debt Securities and the</w:t>
      </w:r>
    </w:p>
    <w:p>
      <w:pPr>
        <w:sectPr>
          <w:pgSz w:w="11900" w:h="16838" w:orient="portrait"/>
          <w:cols w:equalWidth="0" w:num="1">
            <w:col w:w="9019"/>
          </w:cols>
          <w:pgMar w:left="1440" w:top="123" w:right="1440" w:bottom="1440" w:gutter="0" w:footer="0" w:header="0"/>
        </w:sectPr>
      </w:pPr>
    </w:p>
    <w:bookmarkStart w:id="34" w:name="page35"/>
    <w:bookmarkEnd w:id="34"/>
    <w:p>
      <w:pPr>
        <w:ind w:left="160" w:right="1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1017905</wp:posOffset>
            </wp:positionH>
            <wp:positionV relativeFrom="page">
              <wp:posOffset>163195</wp:posOffset>
            </wp:positionV>
            <wp:extent cx="763270" cy="202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63270" cy="202565"/>
                    </a:xfrm>
                    <a:prstGeom prst="rect">
                      <a:avLst/>
                    </a:prstGeom>
                    <a:noFill/>
                  </pic:spPr>
                </pic:pic>
              </a:graphicData>
            </a:graphic>
          </wp:anchor>
        </w:drawing>
        <w:t>related Guarantees have been duly authorized and established in accordance with the Indenture; and such Debt Securities and the related Guarantees have been duly authorized, executed, authenticated, issued and delivered in accordance with the Indenture and the applicable underwriting or other agreement against payment therefor, such Debt Securities will constitute valid and binding obligations of the Company and each of the related Guarantees will constitute valid and binding obligations of the Parent Guarantor, enforceable in accordance with their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stay law, (y) the effect of fraudulent conveyance, fraudulent transfer or similar provision of applicable law on the conclusions expressed above,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45" w:lineRule="exact"/>
        <w:rPr>
          <w:sz w:val="20"/>
          <w:szCs w:val="20"/>
          <w:color w:val="auto"/>
        </w:rPr>
      </w:pPr>
    </w:p>
    <w:p>
      <w:pPr>
        <w:ind w:left="160" w:right="219"/>
        <w:spacing w:after="0" w:line="256" w:lineRule="auto"/>
        <w:rPr>
          <w:sz w:val="20"/>
          <w:szCs w:val="20"/>
          <w:color w:val="auto"/>
        </w:rPr>
      </w:pPr>
      <w:r>
        <w:rPr>
          <w:rFonts w:ascii="Times New Roman" w:cs="Times New Roman" w:eastAsia="Times New Roman" w:hAnsi="Times New Roman"/>
          <w:sz w:val="14"/>
          <w:szCs w:val="14"/>
          <w:color w:val="auto"/>
        </w:rPr>
        <w:t>In connection with the opinion expressed above, we have assumed that, at or prior to the time of the delivery of any such security, (i) the Board of Directors of the Company and the Board of Directors of the Parent Guarantor, as the case may be, shall have duly established the terms of such security and duly authorized the issuance and sale of such security and such authorization shall not have been modified or rescinded; (ii) each of the Company and the Parent Guarantor is, and shall remain, validly existing as a corporation in good standing under the laws of its respective jurisdiction of incorporation; (iii) the Registration Statement shall have become effective and such effectiveness shall not have been terminated or rescinded; (iv) the Indenture, the Debt Securities and the Guarantees (collectively, the “</w:t>
      </w:r>
      <w:r>
        <w:rPr>
          <w:rFonts w:ascii="Times New Roman" w:cs="Times New Roman" w:eastAsia="Times New Roman" w:hAnsi="Times New Roman"/>
          <w:sz w:val="14"/>
          <w:szCs w:val="14"/>
          <w:b w:val="1"/>
          <w:bCs w:val="1"/>
          <w:color w:val="auto"/>
        </w:rPr>
        <w:t>Documents</w:t>
      </w:r>
      <w:r>
        <w:rPr>
          <w:rFonts w:ascii="Times New Roman" w:cs="Times New Roman" w:eastAsia="Times New Roman" w:hAnsi="Times New Roman"/>
          <w:sz w:val="14"/>
          <w:szCs w:val="14"/>
          <w:color w:val="auto"/>
        </w:rPr>
        <w:t>”) are each valid, binding and enforceable agreements of each party thereto (other than as expressly covered above in respect of the Company and the Parent Guarantor); and (v) there shall not have occurred any change in law affecting the validity or enforceability of such security. We have also assumed that the execution, delivery and performance by the Company or the Parent Guarantor of the Indenture or any Debt Security or related Guarantees whose terms are established subsequent to the date hereof (a) are within their corporate powers, (b) do not contravene, or constitute a default under, the certificate of incorporation or bylaws or other constitutive documents of the Company or the Parent Guarantor, (c) require no action by or in respect of, or filing with, any governmental body, agency or official and (d) do not contravene, or constitute a default under, any provision of applicable law or public policy or regulation or any judgment, injunction, order or decree or any agreement or other instrument binding upon the Company or the Parent Guarantor.</w:t>
      </w:r>
    </w:p>
    <w:p>
      <w:pPr>
        <w:spacing w:after="0" w:line="151" w:lineRule="exact"/>
        <w:rPr>
          <w:sz w:val="20"/>
          <w:szCs w:val="20"/>
          <w:color w:val="auto"/>
        </w:rPr>
      </w:pPr>
    </w:p>
    <w:p>
      <w:pPr>
        <w:ind w:left="160" w:right="239"/>
        <w:spacing w:after="0" w:line="260" w:lineRule="auto"/>
        <w:rPr>
          <w:sz w:val="20"/>
          <w:szCs w:val="20"/>
          <w:color w:val="auto"/>
        </w:rPr>
      </w:pPr>
      <w:r>
        <w:rPr>
          <w:rFonts w:ascii="Times New Roman" w:cs="Times New Roman" w:eastAsia="Times New Roman" w:hAnsi="Times New Roman"/>
          <w:sz w:val="14"/>
          <w:szCs w:val="14"/>
          <w:color w:val="auto"/>
        </w:rPr>
        <w:t>We are members of the Bar of the State of New York and the foregoing opinion is limited to the laws of the State of New York, except that we express no opinion as to (i) any law, rule or regulation that is applicable to the Company or the Parent Guarantor, the Documents or such transactions solely because such law, rule or regulation is part of a regulatory regime applicable to any party to any of the Documents or any of its affiliates due to the specific assets or business of such party or such affiliate or (ii) any law, rule or regulation relating to national security. Insofar as the foregoing opinion involves matters governed by the laws of the State of New Jersey or the State of Texas, we have relied, without independent inquiry or investigation, on the opinion of Timothy Kim, Counsel—Corporate of the Company, to be filed as an exhibit to the Registration Statement referred to above.</w:t>
      </w:r>
    </w:p>
    <w:p>
      <w:pPr>
        <w:spacing w:after="0" w:line="145" w:lineRule="exact"/>
        <w:rPr>
          <w:sz w:val="20"/>
          <w:szCs w:val="20"/>
          <w:color w:val="auto"/>
        </w:rPr>
      </w:pPr>
    </w:p>
    <w:p>
      <w:pPr>
        <w:ind w:left="160" w:right="199"/>
        <w:spacing w:after="0" w:line="271"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further consent to the reference to our name under the caption “Validity of the Securities” in the prospectus, which is a part of the Registration Statement. In giving this consent, we do not admit that we are in the category of persons whose consent is required under Section 7 of the Securities Act.</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 Davis Polk &amp; Wardwell LLP</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678" w:right="1440" w:bottom="1440" w:gutter="0" w:footer="0" w:header="0"/>
        </w:sectPr>
      </w:pPr>
    </w:p>
    <w:bookmarkStart w:id="35" w:name="page36"/>
    <w:bookmarkEnd w:id="35"/>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Exhibits 5.2 and 23.3</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OPINION OF TIMOTHY KIM, ESQ.</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July 1, 2026</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Exxon Mobil Corporation</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22777 Springwoods Village Parkway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Spring, Texas 77389</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ExxonMobil Holdings Corporation</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22777 Springwoods Village Parkway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Spring, Texas 77389</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am Counsel – Corporate of Exxon Mobil Corporation, a New Jersey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Counsel – Corporate for ExxonMobil</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Holdings Corporation, a Texas corporation (the “</w:t>
      </w:r>
      <w:r>
        <w:rPr>
          <w:rFonts w:ascii="Times New Roman" w:cs="Times New Roman" w:eastAsia="Times New Roman" w:hAnsi="Times New Roman"/>
          <w:sz w:val="14"/>
          <w:szCs w:val="14"/>
          <w:b w:val="1"/>
          <w:bCs w:val="1"/>
          <w:color w:val="auto"/>
        </w:rPr>
        <w:t>Parent Guarantor</w:t>
      </w:r>
      <w:r>
        <w:rPr>
          <w:rFonts w:ascii="Times New Roman" w:cs="Times New Roman" w:eastAsia="Times New Roman" w:hAnsi="Times New Roman"/>
          <w:sz w:val="14"/>
          <w:szCs w:val="14"/>
          <w:color w:val="auto"/>
        </w:rPr>
        <w:t>”). The Company is filing with the Securities and Exchange Commission a</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Registration Statement on Form S-3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for the purpose of registering under the Securities Act of 1933, as amended (the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 the Company’s debt securities (the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which may be issued pursuant to an indenture dated as of March 20, 2014</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Base Indenture</w:t>
      </w:r>
      <w:r>
        <w:rPr>
          <w:rFonts w:ascii="Times New Roman" w:cs="Times New Roman" w:eastAsia="Times New Roman" w:hAnsi="Times New Roman"/>
          <w:sz w:val="14"/>
          <w:szCs w:val="14"/>
          <w:color w:val="auto"/>
        </w:rPr>
        <w:t>”), between the Company and Deutsche Bank Trust Company Americas, as trustee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as amended and supplemented</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by a first supplemental indenture dated as of June 26, 2020, between the Company and the Trustee (the “</w:t>
      </w:r>
      <w:r>
        <w:rPr>
          <w:rFonts w:ascii="Times New Roman" w:cs="Times New Roman" w:eastAsia="Times New Roman" w:hAnsi="Times New Roman"/>
          <w:sz w:val="14"/>
          <w:szCs w:val="14"/>
          <w:b w:val="1"/>
          <w:bCs w:val="1"/>
          <w:color w:val="auto"/>
        </w:rPr>
        <w:t>First Supplemental Indenture</w:t>
      </w:r>
      <w:r>
        <w:rPr>
          <w:rFonts w:ascii="Times New Roman" w:cs="Times New Roman" w:eastAsia="Times New Roman" w:hAnsi="Times New Roman"/>
          <w:sz w:val="14"/>
          <w:szCs w:val="14"/>
          <w:color w:val="auto"/>
        </w:rPr>
        <w:t>”) and a second</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supplemental indenture dated as of July 1, 2026, between the Company, the Parent Guarantor and the Trustee (the “</w:t>
      </w:r>
      <w:r>
        <w:rPr>
          <w:rFonts w:ascii="Times New Roman" w:cs="Times New Roman" w:eastAsia="Times New Roman" w:hAnsi="Times New Roman"/>
          <w:sz w:val="14"/>
          <w:szCs w:val="14"/>
          <w:b w:val="1"/>
          <w:bCs w:val="1"/>
          <w:color w:val="auto"/>
        </w:rPr>
        <w:t>Second Supplemental Indenture</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and, together with the Base Indenture and the First Supplemental Indenture,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and when issued, will be fully and unconditionally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guaranteed by the Parent Guarantor; and (b) guarantees (the “</w:t>
      </w:r>
      <w:r>
        <w:rPr>
          <w:rFonts w:ascii="Times New Roman" w:cs="Times New Roman" w:eastAsia="Times New Roman" w:hAnsi="Times New Roman"/>
          <w:sz w:val="14"/>
          <w:szCs w:val="14"/>
          <w:b w:val="1"/>
          <w:bCs w:val="1"/>
          <w:color w:val="auto"/>
        </w:rPr>
        <w:t>Guarantees</w:t>
      </w:r>
      <w:r>
        <w:rPr>
          <w:rFonts w:ascii="Times New Roman" w:cs="Times New Roman" w:eastAsia="Times New Roman" w:hAnsi="Times New Roman"/>
          <w:sz w:val="14"/>
          <w:szCs w:val="14"/>
          <w:color w:val="auto"/>
        </w:rPr>
        <w:t>”) of the Debt Securities by the Parent Guarantor, to be issued under the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Indenture.</w:t>
      </w:r>
    </w:p>
    <w:p>
      <w:pPr>
        <w:spacing w:after="0" w:line="165" w:lineRule="exact"/>
        <w:rPr>
          <w:sz w:val="20"/>
          <w:szCs w:val="20"/>
          <w:color w:val="auto"/>
        </w:rPr>
      </w:pPr>
    </w:p>
    <w:p>
      <w:pPr>
        <w:ind w:left="160" w:right="319" w:firstLine="347"/>
        <w:spacing w:after="0" w:line="288" w:lineRule="auto"/>
        <w:rPr>
          <w:sz w:val="20"/>
          <w:szCs w:val="20"/>
          <w:color w:val="auto"/>
        </w:rPr>
      </w:pPr>
      <w:r>
        <w:rPr>
          <w:rFonts w:ascii="Times New Roman" w:cs="Times New Roman" w:eastAsia="Times New Roman" w:hAnsi="Times New Roman"/>
          <w:sz w:val="14"/>
          <w:szCs w:val="14"/>
          <w:color w:val="auto"/>
        </w:rPr>
        <w:t>I have examined originals or copies of such documents, corporate records, certificates of public officials and other instruments as I have deemed necessary or advisable for the purpose of rendering this opinion.</w:t>
      </w:r>
    </w:p>
    <w:p>
      <w:pPr>
        <w:spacing w:after="0" w:line="124" w:lineRule="exact"/>
        <w:rPr>
          <w:sz w:val="20"/>
          <w:szCs w:val="20"/>
          <w:color w:val="auto"/>
        </w:rPr>
      </w:pPr>
    </w:p>
    <w:p>
      <w:pPr>
        <w:ind w:left="160" w:right="179" w:firstLine="347"/>
        <w:spacing w:after="0" w:line="260" w:lineRule="auto"/>
        <w:rPr>
          <w:sz w:val="20"/>
          <w:szCs w:val="20"/>
          <w:color w:val="auto"/>
        </w:rPr>
      </w:pPr>
      <w:r>
        <w:rPr>
          <w:rFonts w:ascii="Times New Roman" w:cs="Times New Roman" w:eastAsia="Times New Roman" w:hAnsi="Times New Roman"/>
          <w:sz w:val="14"/>
          <w:szCs w:val="14"/>
          <w:color w:val="auto"/>
        </w:rPr>
        <w:t>In rendering the opinion expressed herein, I have, without independent inquiry or investigation, assumed that (i) all documents submitted to me as originals are authentic and complete, (ii) all documents submitted to me as copies conform to authentic, complete originals, (iii) all documents filed as exhibits to the Registration Statement that have not been executed will conform to the forms thereof, (iv) all signatures on all documents that I reviewed are genuine, (v) all natural persons executing documents had and have the legal capacity to do so, (vi) all statements in certificates of public officials and officers of the Company and the Parent Guarantor that I reviewed were and are accurate and (vii) all representations made by the Company and the Parent Guarantor as to matters of fact in the documents that I reviewed were and are accurate.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Based upon the foregoing, and subject to the additional assumptions and qualifications set forth below, I am of the opinion that:</w:t>
      </w:r>
    </w:p>
    <w:p>
      <w:pPr>
        <w:spacing w:after="0" w:line="105" w:lineRule="exact"/>
        <w:rPr>
          <w:sz w:val="20"/>
          <w:szCs w:val="20"/>
          <w:color w:val="auto"/>
        </w:rPr>
      </w:pPr>
    </w:p>
    <w:p>
      <w:pPr>
        <w:ind w:left="920" w:right="259" w:hanging="416"/>
        <w:spacing w:after="0" w:line="271" w:lineRule="auto"/>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the Parent Guarantor is validly existing as a corporation in good standing under the laws of its respective jurisdiction of incorporation, and the Company and the Parent Guarantor has corporate power and authority to issue the Debt Securities or related Guarantees, as the case may be, and to perform their obligations thereunder.</w:t>
      </w:r>
    </w:p>
    <w:p>
      <w:pPr>
        <w:spacing w:after="0" w:line="61" w:lineRule="exact"/>
        <w:rPr>
          <w:rFonts w:ascii="Times New Roman" w:cs="Times New Roman" w:eastAsia="Times New Roman" w:hAnsi="Times New Roman"/>
          <w:sz w:val="14"/>
          <w:szCs w:val="14"/>
          <w:color w:val="auto"/>
        </w:rPr>
      </w:pPr>
    </w:p>
    <w:p>
      <w:pPr>
        <w:ind w:left="920" w:right="379" w:hanging="416"/>
        <w:spacing w:after="0" w:line="288" w:lineRule="auto"/>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Indenture has been duly authorized, executed and delivered by the Company and the Second Supplemental Indenture has been duly authorized, executed and delivered by the Parent Guarantor.</w:t>
      </w:r>
    </w:p>
    <w:p>
      <w:pPr>
        <w:sectPr>
          <w:pgSz w:w="11900" w:h="16838" w:orient="portrait"/>
          <w:cols w:equalWidth="0" w:num="1">
            <w:col w:w="9019"/>
          </w:cols>
          <w:pgMar w:left="1440" w:top="123" w:right="1440" w:bottom="1440" w:gutter="0" w:footer="0" w:header="0"/>
        </w:sectPr>
      </w:pPr>
    </w:p>
    <w:bookmarkStart w:id="36" w:name="page37"/>
    <w:bookmarkEnd w:id="36"/>
    <w:p>
      <w:pPr>
        <w:ind w:left="920" w:right="179" w:hanging="416"/>
        <w:spacing w:after="0" w:line="262" w:lineRule="auto"/>
        <w:tabs>
          <w:tab w:leader="none" w:pos="9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When any supplemental indenture to be entered into or officer’s certificate delivered in connection with the issuance of any Debt Securities has been duly authorized, executed and delivered by the applicable Trustee, and the Company and the Parent Guarantor, and the specific terms of a particular series of Debt Securities and the related Guarantees have been duly authorized and established in accordance with the applicable Indenture, such Debt Securities will have been duly authorized by the Company and each of the related Guarantees will have been duly authorized by the Parent Guarantor.</w:t>
      </w:r>
    </w:p>
    <w:p>
      <w:pPr>
        <w:spacing w:after="0" w:line="143" w:lineRule="exact"/>
        <w:rPr>
          <w:sz w:val="20"/>
          <w:szCs w:val="20"/>
          <w:color w:val="auto"/>
        </w:rPr>
      </w:pPr>
    </w:p>
    <w:p>
      <w:pPr>
        <w:ind w:left="160" w:right="219" w:firstLine="347"/>
        <w:spacing w:after="0" w:line="262" w:lineRule="auto"/>
        <w:rPr>
          <w:sz w:val="20"/>
          <w:szCs w:val="20"/>
          <w:color w:val="auto"/>
        </w:rPr>
      </w:pPr>
      <w:r>
        <w:rPr>
          <w:rFonts w:ascii="Times New Roman" w:cs="Times New Roman" w:eastAsia="Times New Roman" w:hAnsi="Times New Roman"/>
          <w:sz w:val="14"/>
          <w:szCs w:val="14"/>
          <w:color w:val="auto"/>
        </w:rPr>
        <w:t>I am a member of the Bar of the State of Texas, and the foregoing opinion is limited to the New Jersey Business Corporation Act, the Texas Business Organizations Code and the federal laws of the United States of America, except that I express no opinion as to any law, rule or regulation that is applicable to the Company, the Parent Guarantor, the Indenture, the Debt Securities, the Guarantees or any other documents referred to herein (collectively, the “</w:t>
      </w:r>
      <w:r>
        <w:rPr>
          <w:rFonts w:ascii="Times New Roman" w:cs="Times New Roman" w:eastAsia="Times New Roman" w:hAnsi="Times New Roman"/>
          <w:sz w:val="14"/>
          <w:szCs w:val="14"/>
          <w:b w:val="1"/>
          <w:bCs w:val="1"/>
          <w:color w:val="auto"/>
        </w:rPr>
        <w:t>Documents</w:t>
      </w:r>
      <w:r>
        <w:rPr>
          <w:rFonts w:ascii="Times New Roman" w:cs="Times New Roman" w:eastAsia="Times New Roman" w:hAnsi="Times New Roman"/>
          <w:sz w:val="14"/>
          <w:szCs w:val="14"/>
          <w:color w:val="auto"/>
        </w:rPr>
        <w:t>”) or such transactions solely because such law, rule or regulation is part of a regulatory regime applicable to any party to any of the Documents or any of its affiliates due to the specific assets or business of such party or such affiliate.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Davis Polk &amp; Wardwell LLP, special counsel to the Company, may rely upon this opinion in rendering its opinion of even date herewith.</w:t>
      </w:r>
    </w:p>
    <w:p>
      <w:pPr>
        <w:spacing w:after="0" w:line="179" w:lineRule="exact"/>
        <w:rPr>
          <w:sz w:val="20"/>
          <w:szCs w:val="20"/>
          <w:color w:val="auto"/>
        </w:rPr>
      </w:pPr>
    </w:p>
    <w:p>
      <w:pPr>
        <w:jc w:val="both"/>
        <w:ind w:left="160" w:right="339" w:firstLine="347"/>
        <w:spacing w:after="0" w:line="271" w:lineRule="auto"/>
        <w:rPr>
          <w:sz w:val="20"/>
          <w:szCs w:val="20"/>
          <w:color w:val="auto"/>
        </w:rPr>
      </w:pPr>
      <w:r>
        <w:rPr>
          <w:rFonts w:ascii="Times New Roman" w:cs="Times New Roman" w:eastAsia="Times New Roman" w:hAnsi="Times New Roman"/>
          <w:sz w:val="14"/>
          <w:szCs w:val="14"/>
          <w:color w:val="auto"/>
        </w:rPr>
        <w:t>I hereby consent to the filing of this opinion as an exhibit to the Registration Statement referred to above and further consent to the reference to my name under the caption “Validity of the Securities” in the prospectus, which is a part of the Registration Statement. In giving this consent, I do not admit that I am in the category of persons whose consent is required under Section 7 of the Securities Act.</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 Timothy Kim, Esq.</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2" w:right="1440" w:bottom="1440" w:gutter="0" w:footer="0" w:header="0"/>
        </w:sectPr>
      </w:pPr>
    </w:p>
    <w:bookmarkStart w:id="37" w:name="page38"/>
    <w:bookmarkEnd w:id="37"/>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We hereby consent to the incorporation by reference in this Post-Effective Amendment No. 1 to the Registration Statement on Form S-3</w:t>
      </w:r>
    </w:p>
    <w:p>
      <w:pPr>
        <w:spacing w:after="0" w:line="23" w:lineRule="exact"/>
        <w:rPr>
          <w:sz w:val="20"/>
          <w:szCs w:val="20"/>
          <w:color w:val="auto"/>
        </w:rPr>
      </w:pPr>
    </w:p>
    <w:p>
      <w:pPr>
        <w:jc w:val="both"/>
        <w:ind w:left="160" w:right="199"/>
        <w:spacing w:after="0" w:line="260" w:lineRule="auto"/>
        <w:rPr>
          <w:sz w:val="20"/>
          <w:szCs w:val="20"/>
          <w:color w:val="auto"/>
        </w:rPr>
      </w:pPr>
      <w:r>
        <w:rPr>
          <w:rFonts w:ascii="Times New Roman" w:cs="Times New Roman" w:eastAsia="Times New Roman" w:hAnsi="Times New Roman"/>
          <w:sz w:val="14"/>
          <w:szCs w:val="14"/>
          <w:color w:val="auto"/>
        </w:rPr>
        <w:t>(No. 333-293558) of ExxonMobil Holdings Corporation of our report dated February 18, 2026 relating to the financial statements and the effectiveness of internal control over financial reporting, which appears in Exxon Mobil Corporation’s Annual Report on Form 10-K for the year ended December 31, 2025. We also consent to the reference to us under the heading “Experts” in such Registration Statement.</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Houston, Texas</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July 1, 2026</w:t>
      </w:r>
    </w:p>
    <w:p>
      <w:pPr>
        <w:sectPr>
          <w:pgSz w:w="11900" w:h="16838" w:orient="portrait"/>
          <w:cols w:equalWidth="0" w:num="1">
            <w:col w:w="9019"/>
          </w:cols>
          <w:pgMar w:left="1440" w:top="123" w:right="1440" w:bottom="1440" w:gutter="0" w:footer="0" w:header="0"/>
        </w:sectPr>
      </w:pPr>
    </w:p>
    <w:bookmarkStart w:id="38" w:name="page39"/>
    <w:bookmarkEnd w:id="38"/>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83820</wp:posOffset>
            </wp:positionV>
            <wp:extent cx="551307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118110</wp:posOffset>
            </wp:positionV>
            <wp:extent cx="551307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181610</wp:posOffset>
            </wp:positionV>
            <wp:extent cx="116205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192405</wp:posOffset>
            </wp:positionV>
            <wp:extent cx="116205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left="1620" w:right="2000"/>
        <w:spacing w:after="0" w:line="253" w:lineRule="auto"/>
        <w:rPr>
          <w:sz w:val="20"/>
          <w:szCs w:val="20"/>
          <w:color w:val="auto"/>
        </w:rPr>
      </w:pPr>
      <w:r>
        <w:rPr>
          <w:rFonts w:ascii="Times New Roman" w:cs="Times New Roman" w:eastAsia="Times New Roman" w:hAnsi="Times New Roman"/>
          <w:sz w:val="17"/>
          <w:szCs w:val="17"/>
          <w:b w:val="1"/>
          <w:bCs w:val="1"/>
          <w:color w:val="auto"/>
        </w:rPr>
        <w:t>STATEMENT OF ELIGIBILITY UNDER THE TRUST INDENTURE ACT OF 1939 OF A CORPORATION DESIGNATED TO ACT AS TRUSTEE</w:t>
      </w:r>
    </w:p>
    <w:p>
      <w:pPr>
        <w:spacing w:after="0" w:line="148" w:lineRule="exact"/>
        <w:rPr>
          <w:sz w:val="20"/>
          <w:szCs w:val="20"/>
          <w:color w:val="auto"/>
        </w:rPr>
      </w:pPr>
    </w:p>
    <w:p>
      <w:pPr>
        <w:ind w:left="500" w:right="319" w:hanging="337"/>
        <w:spacing w:after="0" w:line="272" w:lineRule="auto"/>
        <w:tabs>
          <w:tab w:leader="none" w:pos="500" w:val="left"/>
        </w:tabs>
        <w:numPr>
          <w:ilvl w:val="0"/>
          <w:numId w:val="25"/>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153035</wp:posOffset>
            </wp:positionV>
            <wp:extent cx="116205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DEUTSCHE BANK TRUST COMPANY AMERICAS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(formerly BANKERS TRUST COMPANY)</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188595</wp:posOffset>
            </wp:positionV>
            <wp:extent cx="116205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60" w:type="dxa"/>
        <w:tblCellMar>
          <w:top w:w="0" w:type="dxa"/>
          <w:left w:w="0" w:type="dxa"/>
          <w:bottom w:w="0" w:type="dxa"/>
          <w:right w:w="0" w:type="dxa"/>
        </w:tblCellMar>
      </w:tblPr>
      <w:tr>
        <w:trPr>
          <w:trHeight w:val="168"/>
        </w:trPr>
        <w:tc>
          <w:tcPr>
            <w:tcW w:w="596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272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13-4941247</w:t>
            </w:r>
          </w:p>
        </w:tc>
      </w:tr>
      <w:tr>
        <w:trPr>
          <w:trHeight w:val="117"/>
        </w:trPr>
        <w:tc>
          <w:tcPr>
            <w:tcW w:w="5960" w:type="dxa"/>
            <w:vAlign w:val="bottom"/>
            <w:gridSpan w:val="3"/>
          </w:tcPr>
          <w:p>
            <w:pPr>
              <w:jc w:val="center"/>
              <w:ind w:right="1580"/>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 Incorporation or</w:t>
            </w:r>
          </w:p>
        </w:tc>
        <w:tc>
          <w:tcPr>
            <w:tcW w:w="2720" w:type="dxa"/>
            <w:vAlign w:val="bottom"/>
          </w:tcPr>
          <w:p>
            <w:pPr>
              <w:jc w:val="center"/>
              <w:ind w:right="143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5960" w:type="dxa"/>
            <w:vAlign w:val="bottom"/>
            <w:gridSpan w:val="3"/>
          </w:tcPr>
          <w:p>
            <w:pPr>
              <w:jc w:val="center"/>
              <w:ind w:right="1580"/>
              <w:spacing w:after="0"/>
              <w:rPr>
                <w:sz w:val="20"/>
                <w:szCs w:val="20"/>
                <w:color w:val="auto"/>
              </w:rPr>
            </w:pPr>
            <w:r>
              <w:rPr>
                <w:rFonts w:ascii="Times New Roman" w:cs="Times New Roman" w:eastAsia="Times New Roman" w:hAnsi="Times New Roman"/>
                <w:sz w:val="11"/>
                <w:szCs w:val="11"/>
                <w:b w:val="1"/>
                <w:bCs w:val="1"/>
                <w:color w:val="auto"/>
              </w:rPr>
              <w:t>organization if not a U.S. national bank)</w:t>
            </w:r>
          </w:p>
        </w:tc>
        <w:tc>
          <w:tcPr>
            <w:tcW w:w="272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2"/>
        </w:trPr>
        <w:tc>
          <w:tcPr>
            <w:tcW w:w="5960" w:type="dxa"/>
            <w:vAlign w:val="bottom"/>
            <w:gridSpan w:val="3"/>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ONE COLUMBUS CIRCLE</w:t>
            </w:r>
          </w:p>
        </w:tc>
        <w:tc>
          <w:tcPr>
            <w:tcW w:w="2720" w:type="dxa"/>
            <w:vAlign w:val="bottom"/>
          </w:tcPr>
          <w:p>
            <w:pPr>
              <w:spacing w:after="0"/>
              <w:rPr>
                <w:sz w:val="24"/>
                <w:szCs w:val="24"/>
                <w:color w:val="auto"/>
              </w:rPr>
            </w:pPr>
          </w:p>
        </w:tc>
      </w:tr>
      <w:tr>
        <w:trPr>
          <w:trHeight w:val="178"/>
        </w:trPr>
        <w:tc>
          <w:tcPr>
            <w:tcW w:w="596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NEW YORK, NEW YORK</w:t>
            </w:r>
          </w:p>
        </w:tc>
        <w:tc>
          <w:tcPr>
            <w:tcW w:w="272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49"/>
        </w:trPr>
        <w:tc>
          <w:tcPr>
            <w:tcW w:w="5960" w:type="dxa"/>
            <w:vAlign w:val="bottom"/>
            <w:gridSpan w:val="3"/>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72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311"/>
        </w:trPr>
        <w:tc>
          <w:tcPr>
            <w:tcW w:w="5960" w:type="dxa"/>
            <w:vAlign w:val="bottom"/>
            <w:gridSpan w:val="3"/>
          </w:tcPr>
          <w:p>
            <w:pPr>
              <w:jc w:val="center"/>
              <w:ind w:left="2657"/>
              <w:spacing w:after="0"/>
              <w:rPr>
                <w:sz w:val="20"/>
                <w:szCs w:val="20"/>
                <w:color w:val="auto"/>
              </w:rPr>
            </w:pPr>
            <w:r>
              <w:rPr>
                <w:rFonts w:ascii="Times New Roman" w:cs="Times New Roman" w:eastAsia="Times New Roman" w:hAnsi="Times New Roman"/>
                <w:sz w:val="14"/>
                <w:szCs w:val="14"/>
                <w:b w:val="1"/>
                <w:bCs w:val="1"/>
                <w:color w:val="auto"/>
              </w:rPr>
              <w:t>Deutsche Bank Trust Company Americas</w:t>
            </w:r>
          </w:p>
        </w:tc>
        <w:tc>
          <w:tcPr>
            <w:tcW w:w="2720" w:type="dxa"/>
            <w:vAlign w:val="bottom"/>
          </w:tcPr>
          <w:p>
            <w:pPr>
              <w:spacing w:after="0"/>
              <w:rPr>
                <w:sz w:val="24"/>
                <w:szCs w:val="24"/>
                <w:color w:val="auto"/>
              </w:rPr>
            </w:pPr>
          </w:p>
        </w:tc>
      </w:tr>
      <w:tr>
        <w:trPr>
          <w:trHeight w:val="170"/>
        </w:trPr>
        <w:tc>
          <w:tcPr>
            <w:tcW w:w="3420" w:type="dxa"/>
            <w:vAlign w:val="bottom"/>
          </w:tcPr>
          <w:p>
            <w:pPr>
              <w:spacing w:after="0"/>
              <w:rPr>
                <w:sz w:val="14"/>
                <w:szCs w:val="14"/>
                <w:color w:val="auto"/>
              </w:rPr>
            </w:pPr>
          </w:p>
        </w:tc>
        <w:tc>
          <w:tcPr>
            <w:tcW w:w="25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1 Columbus Circle</w:t>
            </w:r>
          </w:p>
        </w:tc>
        <w:tc>
          <w:tcPr>
            <w:tcW w:w="27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5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9"/>
              </w:rPr>
              <w:t>New York, New York 10019</w:t>
            </w:r>
          </w:p>
        </w:tc>
        <w:tc>
          <w:tcPr>
            <w:tcW w:w="27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5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(212) 250 – 2500</w:t>
            </w:r>
          </w:p>
        </w:tc>
        <w:tc>
          <w:tcPr>
            <w:tcW w:w="2720" w:type="dxa"/>
            <w:vAlign w:val="bottom"/>
          </w:tcPr>
          <w:p>
            <w:pPr>
              <w:spacing w:after="0"/>
              <w:rPr>
                <w:sz w:val="14"/>
                <w:szCs w:val="14"/>
                <w:color w:val="auto"/>
              </w:rPr>
            </w:pPr>
          </w:p>
        </w:tc>
      </w:tr>
      <w:tr>
        <w:trPr>
          <w:trHeight w:val="149"/>
        </w:trPr>
        <w:tc>
          <w:tcPr>
            <w:tcW w:w="5960" w:type="dxa"/>
            <w:vAlign w:val="bottom"/>
            <w:gridSpan w:val="3"/>
          </w:tcPr>
          <w:p>
            <w:pPr>
              <w:jc w:val="center"/>
              <w:ind w:left="2677"/>
              <w:spacing w:after="0"/>
              <w:rPr>
                <w:sz w:val="20"/>
                <w:szCs w:val="20"/>
                <w:color w:val="auto"/>
              </w:rPr>
            </w:pPr>
            <w:r>
              <w:rPr>
                <w:rFonts w:ascii="Times New Roman" w:cs="Times New Roman" w:eastAsia="Times New Roman" w:hAnsi="Times New Roman"/>
                <w:sz w:val="11"/>
                <w:szCs w:val="11"/>
                <w:b w:val="1"/>
                <w:bCs w:val="1"/>
                <w:color w:val="auto"/>
              </w:rPr>
              <w:t>(Name, address and telephone number of agent for service)</w:t>
            </w:r>
          </w:p>
        </w:tc>
        <w:tc>
          <w:tcPr>
            <w:tcW w:w="2720" w:type="dxa"/>
            <w:vAlign w:val="bottom"/>
          </w:tcPr>
          <w:p>
            <w:pPr>
              <w:spacing w:after="0"/>
              <w:rPr>
                <w:sz w:val="12"/>
                <w:szCs w:val="12"/>
                <w:color w:val="auto"/>
              </w:rPr>
            </w:pPr>
          </w:p>
        </w:tc>
      </w:tr>
      <w:tr>
        <w:trPr>
          <w:trHeight w:val="275"/>
        </w:trPr>
        <w:tc>
          <w:tcPr>
            <w:tcW w:w="3420" w:type="dxa"/>
            <w:vAlign w:val="bottom"/>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312"/>
        </w:trPr>
        <w:tc>
          <w:tcPr>
            <w:tcW w:w="5960" w:type="dxa"/>
            <w:vAlign w:val="bottom"/>
            <w:gridSpan w:val="3"/>
          </w:tcPr>
          <w:p>
            <w:pPr>
              <w:jc w:val="center"/>
              <w:ind w:left="2657"/>
              <w:spacing w:after="0"/>
              <w:rPr>
                <w:sz w:val="20"/>
                <w:szCs w:val="20"/>
                <w:color w:val="auto"/>
              </w:rPr>
            </w:pPr>
            <w:r>
              <w:rPr>
                <w:rFonts w:ascii="Times New Roman" w:cs="Times New Roman" w:eastAsia="Times New Roman" w:hAnsi="Times New Roman"/>
                <w:sz w:val="14"/>
                <w:szCs w:val="14"/>
                <w:b w:val="1"/>
                <w:bCs w:val="1"/>
                <w:color w:val="auto"/>
              </w:rPr>
              <w:t>ExxonMobil Holdings Corporation</w:t>
            </w:r>
          </w:p>
        </w:tc>
        <w:tc>
          <w:tcPr>
            <w:tcW w:w="2720" w:type="dxa"/>
            <w:vAlign w:val="bottom"/>
          </w:tcPr>
          <w:p>
            <w:pPr>
              <w:spacing w:after="0"/>
              <w:rPr>
                <w:sz w:val="24"/>
                <w:szCs w:val="24"/>
                <w:color w:val="auto"/>
              </w:rPr>
            </w:pPr>
          </w:p>
        </w:tc>
      </w:tr>
      <w:tr>
        <w:trPr>
          <w:trHeight w:val="149"/>
        </w:trPr>
        <w:tc>
          <w:tcPr>
            <w:tcW w:w="5960" w:type="dxa"/>
            <w:vAlign w:val="bottom"/>
            <w:gridSpan w:val="3"/>
          </w:tcPr>
          <w:p>
            <w:pPr>
              <w:jc w:val="center"/>
              <w:ind w:left="2677"/>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2720" w:type="dxa"/>
            <w:vAlign w:val="bottom"/>
          </w:tcPr>
          <w:p>
            <w:pPr>
              <w:spacing w:after="0"/>
              <w:rPr>
                <w:sz w:val="12"/>
                <w:szCs w:val="12"/>
                <w:color w:val="auto"/>
              </w:rPr>
            </w:pPr>
          </w:p>
        </w:tc>
      </w:tr>
      <w:tr>
        <w:trPr>
          <w:trHeight w:val="264"/>
        </w:trPr>
        <w:tc>
          <w:tcPr>
            <w:tcW w:w="342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65"/>
        </w:trPr>
        <w:tc>
          <w:tcPr>
            <w:tcW w:w="5960" w:type="dxa"/>
            <w:vAlign w:val="bottom"/>
            <w:gridSpan w:val="3"/>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w w:val="96"/>
              </w:rPr>
              <w:t>Texas</w:t>
            </w:r>
          </w:p>
        </w:tc>
        <w:tc>
          <w:tcPr>
            <w:tcW w:w="272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41-4104094</w:t>
            </w:r>
          </w:p>
        </w:tc>
      </w:tr>
      <w:tr>
        <w:trPr>
          <w:trHeight w:val="117"/>
        </w:trPr>
        <w:tc>
          <w:tcPr>
            <w:tcW w:w="5960" w:type="dxa"/>
            <w:vAlign w:val="bottom"/>
            <w:gridSpan w:val="3"/>
          </w:tcPr>
          <w:p>
            <w:pPr>
              <w:jc w:val="center"/>
              <w:ind w:right="158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720" w:type="dxa"/>
            <w:vAlign w:val="bottom"/>
          </w:tcPr>
          <w:p>
            <w:pPr>
              <w:jc w:val="center"/>
              <w:ind w:right="143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5960" w:type="dxa"/>
            <w:vAlign w:val="bottom"/>
            <w:gridSpan w:val="3"/>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72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19"/>
        </w:trPr>
        <w:tc>
          <w:tcPr>
            <w:tcW w:w="3420" w:type="dxa"/>
            <w:vAlign w:val="bottom"/>
          </w:tcPr>
          <w:p>
            <w:pPr>
              <w:spacing w:after="0"/>
              <w:rPr>
                <w:sz w:val="24"/>
                <w:szCs w:val="24"/>
                <w:color w:val="auto"/>
              </w:rPr>
            </w:pPr>
          </w:p>
        </w:tc>
        <w:tc>
          <w:tcPr>
            <w:tcW w:w="25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Exxon Mobil Corporation</w:t>
            </w:r>
          </w:p>
        </w:tc>
        <w:tc>
          <w:tcPr>
            <w:tcW w:w="2720" w:type="dxa"/>
            <w:vAlign w:val="bottom"/>
          </w:tcPr>
          <w:p>
            <w:pPr>
              <w:spacing w:after="0"/>
              <w:rPr>
                <w:sz w:val="24"/>
                <w:szCs w:val="24"/>
                <w:color w:val="auto"/>
              </w:rPr>
            </w:pPr>
          </w:p>
        </w:tc>
      </w:tr>
      <w:tr>
        <w:trPr>
          <w:trHeight w:val="149"/>
        </w:trPr>
        <w:tc>
          <w:tcPr>
            <w:tcW w:w="5960" w:type="dxa"/>
            <w:vAlign w:val="bottom"/>
            <w:gridSpan w:val="3"/>
          </w:tcPr>
          <w:p>
            <w:pPr>
              <w:jc w:val="center"/>
              <w:ind w:left="2677"/>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2720" w:type="dxa"/>
            <w:vAlign w:val="bottom"/>
          </w:tcPr>
          <w:p>
            <w:pPr>
              <w:spacing w:after="0"/>
              <w:rPr>
                <w:sz w:val="12"/>
                <w:szCs w:val="12"/>
                <w:color w:val="auto"/>
              </w:rPr>
            </w:pPr>
          </w:p>
        </w:tc>
      </w:tr>
      <w:tr>
        <w:trPr>
          <w:trHeight w:val="264"/>
        </w:trPr>
        <w:tc>
          <w:tcPr>
            <w:tcW w:w="342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65"/>
        </w:trPr>
        <w:tc>
          <w:tcPr>
            <w:tcW w:w="596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New Jersey</w:t>
            </w:r>
          </w:p>
        </w:tc>
        <w:tc>
          <w:tcPr>
            <w:tcW w:w="272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13-5409005</w:t>
            </w:r>
          </w:p>
        </w:tc>
      </w:tr>
      <w:tr>
        <w:trPr>
          <w:trHeight w:val="117"/>
        </w:trPr>
        <w:tc>
          <w:tcPr>
            <w:tcW w:w="5960" w:type="dxa"/>
            <w:vAlign w:val="bottom"/>
            <w:gridSpan w:val="3"/>
          </w:tcPr>
          <w:p>
            <w:pPr>
              <w:jc w:val="center"/>
              <w:ind w:right="158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720" w:type="dxa"/>
            <w:vAlign w:val="bottom"/>
          </w:tcPr>
          <w:p>
            <w:pPr>
              <w:jc w:val="center"/>
              <w:ind w:right="143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5960" w:type="dxa"/>
            <w:vAlign w:val="bottom"/>
            <w:gridSpan w:val="3"/>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72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2"/>
        </w:trPr>
        <w:tc>
          <w:tcPr>
            <w:tcW w:w="5960" w:type="dxa"/>
            <w:vAlign w:val="bottom"/>
            <w:gridSpan w:val="3"/>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22777 Springwoods Village Parkway</w:t>
            </w:r>
          </w:p>
        </w:tc>
        <w:tc>
          <w:tcPr>
            <w:tcW w:w="2720" w:type="dxa"/>
            <w:vAlign w:val="bottom"/>
          </w:tcPr>
          <w:p>
            <w:pPr>
              <w:spacing w:after="0"/>
              <w:rPr>
                <w:sz w:val="24"/>
                <w:szCs w:val="24"/>
                <w:color w:val="auto"/>
              </w:rPr>
            </w:pPr>
          </w:p>
        </w:tc>
      </w:tr>
      <w:tr>
        <w:trPr>
          <w:trHeight w:val="178"/>
        </w:trPr>
        <w:tc>
          <w:tcPr>
            <w:tcW w:w="5960" w:type="dxa"/>
            <w:vAlign w:val="bottom"/>
            <w:gridSpan w:val="3"/>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w w:val="99"/>
              </w:rPr>
              <w:t>Spring, Texas</w:t>
            </w:r>
          </w:p>
        </w:tc>
        <w:tc>
          <w:tcPr>
            <w:tcW w:w="272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77389-1425</w:t>
            </w:r>
          </w:p>
        </w:tc>
      </w:tr>
      <w:tr>
        <w:trPr>
          <w:trHeight w:val="149"/>
        </w:trPr>
        <w:tc>
          <w:tcPr>
            <w:tcW w:w="5960" w:type="dxa"/>
            <w:vAlign w:val="bottom"/>
            <w:gridSpan w:val="3"/>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72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264"/>
        </w:trPr>
        <w:tc>
          <w:tcPr>
            <w:tcW w:w="342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12"/>
        </w:trPr>
        <w:tc>
          <w:tcPr>
            <w:tcW w:w="3420" w:type="dxa"/>
            <w:vAlign w:val="bottom"/>
          </w:tcPr>
          <w:p>
            <w:pPr>
              <w:spacing w:after="0"/>
              <w:rPr>
                <w:sz w:val="24"/>
                <w:szCs w:val="24"/>
                <w:color w:val="auto"/>
              </w:rPr>
            </w:pPr>
          </w:p>
        </w:tc>
        <w:tc>
          <w:tcPr>
            <w:tcW w:w="25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720" w:type="dxa"/>
            <w:vAlign w:val="bottom"/>
          </w:tcPr>
          <w:p>
            <w:pPr>
              <w:spacing w:after="0"/>
              <w:rPr>
                <w:sz w:val="24"/>
                <w:szCs w:val="24"/>
                <w:color w:val="auto"/>
              </w:rPr>
            </w:pPr>
          </w:p>
        </w:tc>
      </w:tr>
      <w:tr>
        <w:trPr>
          <w:trHeight w:val="149"/>
        </w:trPr>
        <w:tc>
          <w:tcPr>
            <w:tcW w:w="3420" w:type="dxa"/>
            <w:vAlign w:val="bottom"/>
          </w:tcPr>
          <w:p>
            <w:pPr>
              <w:spacing w:after="0"/>
              <w:rPr>
                <w:sz w:val="12"/>
                <w:szCs w:val="12"/>
                <w:color w:val="auto"/>
              </w:rPr>
            </w:pPr>
          </w:p>
        </w:tc>
        <w:tc>
          <w:tcPr>
            <w:tcW w:w="254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(Title of the Indenture securities)</w:t>
            </w:r>
          </w:p>
        </w:tc>
        <w:tc>
          <w:tcPr>
            <w:tcW w:w="2720" w:type="dxa"/>
            <w:vAlign w:val="bottom"/>
          </w:tcPr>
          <w:p>
            <w:pPr>
              <w:spacing w:after="0"/>
              <w:rPr>
                <w:sz w:val="12"/>
                <w:szCs w:val="12"/>
                <w:color w:val="auto"/>
              </w:rPr>
            </w:pPr>
          </w:p>
        </w:tc>
      </w:tr>
      <w:tr>
        <w:trPr>
          <w:trHeight w:val="189"/>
        </w:trPr>
        <w:tc>
          <w:tcPr>
            <w:tcW w:w="3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r>
      <w:tr>
        <w:trPr>
          <w:trHeight w:val="33"/>
        </w:trPr>
        <w:tc>
          <w:tcPr>
            <w:tcW w:w="3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sectPr>
      </w:pPr>
    </w:p>
    <w:bookmarkStart w:id="39" w:name="page40"/>
    <w:bookmarkEnd w:id="39"/>
    <w:p>
      <w:pPr>
        <w:ind w:left="160"/>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4"/>
          <w:szCs w:val="14"/>
          <w:b w:val="1"/>
          <w:bCs w:val="1"/>
          <w:color w:val="auto"/>
        </w:rPr>
        <w:t>General Information.</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Furnish the following information as to the trustee.</w:t>
      </w:r>
    </w:p>
    <w:p>
      <w:pPr>
        <w:spacing w:after="0" w:line="105" w:lineRule="exact"/>
        <w:rPr>
          <w:sz w:val="20"/>
          <w:szCs w:val="20"/>
          <w:color w:val="auto"/>
        </w:rPr>
      </w:pPr>
    </w:p>
    <w:p>
      <w:pPr>
        <w:ind w:left="1720" w:hanging="429"/>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and address of each examining or supervising authority to which it is subject.</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136"/>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600" w:type="dxa"/>
            <w:vAlign w:val="bottom"/>
          </w:tcPr>
          <w:p>
            <w:pPr>
              <w:spacing w:after="0"/>
              <w:rPr>
                <w:sz w:val="11"/>
                <w:szCs w:val="11"/>
                <w:color w:val="auto"/>
              </w:rPr>
            </w:pPr>
          </w:p>
        </w:tc>
      </w:tr>
      <w:tr>
        <w:trPr>
          <w:trHeight w:val="146"/>
        </w:trPr>
        <w:tc>
          <w:tcPr>
            <w:tcW w:w="28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Federal Reserve Bank (2nd District)</w:t>
            </w:r>
          </w:p>
        </w:tc>
        <w:tc>
          <w:tcPr>
            <w:tcW w:w="600" w:type="dxa"/>
            <w:vAlign w:val="bottom"/>
          </w:tcPr>
          <w:p>
            <w:pPr>
              <w:spacing w:after="0"/>
              <w:rPr>
                <w:sz w:val="12"/>
                <w:szCs w:val="12"/>
                <w:color w:val="auto"/>
              </w:rPr>
            </w:pPr>
          </w:p>
        </w:tc>
        <w:tc>
          <w:tcPr>
            <w:tcW w:w="102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New York, NY</w:t>
            </w:r>
          </w:p>
        </w:tc>
      </w:tr>
      <w:tr>
        <w:trPr>
          <w:trHeight w:val="170"/>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162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w w:val="98"/>
              </w:rPr>
              <w:t>Washington, D.C.</w:t>
            </w:r>
          </w:p>
        </w:tc>
      </w:tr>
      <w:tr>
        <w:trPr>
          <w:trHeight w:val="184"/>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State Banking Department</w:t>
            </w:r>
          </w:p>
        </w:tc>
        <w:tc>
          <w:tcPr>
            <w:tcW w:w="162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Albany, NY</w:t>
            </w:r>
          </w:p>
        </w:tc>
      </w:tr>
    </w:tbl>
    <w:p>
      <w:pPr>
        <w:spacing w:after="0" w:line="177" w:lineRule="exact"/>
        <w:rPr>
          <w:sz w:val="20"/>
          <w:szCs w:val="20"/>
          <w:color w:val="auto"/>
        </w:rPr>
      </w:pPr>
    </w:p>
    <w:p>
      <w:pPr>
        <w:ind w:left="1720" w:right="3959" w:hanging="429"/>
        <w:spacing w:after="0" w:line="415" w:lineRule="auto"/>
        <w:tabs>
          <w:tab w:leader="none" w:pos="171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is authorized to exercise corporate trust powers. Yes.</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7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Affiliations with Obligor.</w:t>
            </w:r>
          </w:p>
        </w:tc>
      </w:tr>
      <w:tr>
        <w:trPr>
          <w:trHeight w:val="255"/>
        </w:trPr>
        <w:tc>
          <w:tcPr>
            <w:tcW w:w="720" w:type="dxa"/>
            <w:vAlign w:val="bottom"/>
          </w:tcPr>
          <w:p>
            <w:pPr>
              <w:spacing w:after="0"/>
              <w:rPr>
                <w:sz w:val="22"/>
                <w:szCs w:val="22"/>
                <w:color w:val="auto"/>
              </w:rPr>
            </w:pPr>
          </w:p>
        </w:tc>
        <w:tc>
          <w:tcPr>
            <w:tcW w:w="71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If the obligor is an affiliate of the Trustee, describe each such affiliation.</w:t>
            </w:r>
          </w:p>
        </w:tc>
      </w:tr>
      <w:tr>
        <w:trPr>
          <w:trHeight w:val="255"/>
        </w:trPr>
        <w:tc>
          <w:tcPr>
            <w:tcW w:w="720" w:type="dxa"/>
            <w:vAlign w:val="bottom"/>
          </w:tcPr>
          <w:p>
            <w:pPr>
              <w:spacing w:after="0"/>
              <w:rPr>
                <w:sz w:val="22"/>
                <w:szCs w:val="22"/>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None.</w:t>
            </w:r>
          </w:p>
        </w:tc>
        <w:tc>
          <w:tcPr>
            <w:tcW w:w="6180" w:type="dxa"/>
            <w:vAlign w:val="bottom"/>
          </w:tcPr>
          <w:p>
            <w:pPr>
              <w:spacing w:after="0"/>
              <w:rPr>
                <w:sz w:val="22"/>
                <w:szCs w:val="22"/>
                <w:color w:val="auto"/>
              </w:rPr>
            </w:pPr>
          </w:p>
        </w:tc>
      </w:tr>
      <w:tr>
        <w:trPr>
          <w:trHeight w:val="457"/>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3.-15.</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6180" w:type="dxa"/>
            <w:vAlign w:val="bottom"/>
          </w:tcPr>
          <w:p>
            <w:pPr>
              <w:spacing w:after="0"/>
              <w:rPr>
                <w:sz w:val="24"/>
                <w:szCs w:val="24"/>
                <w:color w:val="auto"/>
              </w:rPr>
            </w:pPr>
          </w:p>
        </w:tc>
      </w:tr>
      <w:tr>
        <w:trPr>
          <w:trHeight w:val="266"/>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7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List of Exhibits.</w:t>
            </w:r>
          </w:p>
        </w:tc>
      </w:tr>
      <w:tr>
        <w:trPr>
          <w:trHeight w:val="252"/>
        </w:trPr>
        <w:tc>
          <w:tcPr>
            <w:tcW w:w="720" w:type="dxa"/>
            <w:vAlign w:val="bottom"/>
          </w:tcPr>
          <w:p>
            <w:pPr>
              <w:spacing w:after="0"/>
              <w:rPr>
                <w:sz w:val="21"/>
                <w:szCs w:val="21"/>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 1 -</w:t>
            </w: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Restated Organization Certificate of Bankers Trust Company dated August 6, 1998; Certificate of</w:t>
            </w:r>
          </w:p>
        </w:tc>
      </w:tr>
      <w:tr>
        <w:trPr>
          <w:trHeight w:val="170"/>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Amendment of the Organization Certificate of Bankers Trust Company dated September 16, 1998;</w:t>
            </w:r>
          </w:p>
        </w:tc>
      </w:tr>
      <w:tr>
        <w:trPr>
          <w:trHeight w:val="170"/>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 of Amendment of the Organization Certificate of Bankers Trust Company dated December 16,</w:t>
            </w:r>
          </w:p>
        </w:tc>
      </w:tr>
      <w:tr>
        <w:trPr>
          <w:trHeight w:val="170"/>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1998; Certificate of Amendment of the Organization Certificate of Bankers Trust Company dated</w:t>
            </w:r>
          </w:p>
        </w:tc>
      </w:tr>
      <w:tr>
        <w:trPr>
          <w:trHeight w:val="170"/>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 1999; and Certificate of Amendment of the Organization Certificate of Bankers Trust</w:t>
            </w:r>
          </w:p>
        </w:tc>
      </w:tr>
      <w:tr>
        <w:trPr>
          <w:trHeight w:val="170"/>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dated February 27, 2002, incorporated herein by reference to Exhibit 1 filed with Form T-1</w:t>
            </w:r>
          </w:p>
        </w:tc>
      </w:tr>
      <w:tr>
        <w:trPr>
          <w:trHeight w:val="184"/>
        </w:trPr>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Statement, Registration No. 333-201810.</w:t>
            </w:r>
          </w:p>
        </w:tc>
      </w:tr>
      <w:tr>
        <w:trPr>
          <w:trHeight w:val="241"/>
        </w:trPr>
        <w:tc>
          <w:tcPr>
            <w:tcW w:w="72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 2 -</w:t>
            </w: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 of Authority to commence business, incorporated herein by reference to Exhibit 2 filed with</w:t>
            </w:r>
          </w:p>
        </w:tc>
      </w:tr>
      <w:tr>
        <w:trPr>
          <w:trHeight w:val="184"/>
        </w:trPr>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T-1 Statement, Registration No. 333-201810.</w:t>
            </w:r>
          </w:p>
        </w:tc>
      </w:tr>
      <w:tr>
        <w:trPr>
          <w:trHeight w:val="241"/>
        </w:trPr>
        <w:tc>
          <w:tcPr>
            <w:tcW w:w="72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 3 -</w:t>
            </w: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Authorization of the Trustee to exercise corporate trust powers, incorporated herein by reference to Exhibit 3</w:t>
            </w:r>
          </w:p>
        </w:tc>
      </w:tr>
      <w:tr>
        <w:trPr>
          <w:trHeight w:val="184"/>
        </w:trPr>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with Form T-1 Statement, Registration No. 333-201810.</w:t>
            </w:r>
          </w:p>
        </w:tc>
      </w:tr>
      <w:tr>
        <w:trPr>
          <w:trHeight w:val="241"/>
        </w:trPr>
        <w:tc>
          <w:tcPr>
            <w:tcW w:w="72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 4 -</w:t>
            </w: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copy of existing By-Laws of Deutsche Bank Trust Company Americas, incorporated herein by reference</w:t>
            </w:r>
          </w:p>
        </w:tc>
      </w:tr>
      <w:tr>
        <w:trPr>
          <w:trHeight w:val="184"/>
        </w:trPr>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Exhibit 4 filed with Form T-1 Statement, Registration No. 333-271647.</w:t>
            </w:r>
          </w:p>
        </w:tc>
      </w:tr>
      <w:tr>
        <w:trPr>
          <w:trHeight w:val="255"/>
        </w:trPr>
        <w:tc>
          <w:tcPr>
            <w:tcW w:w="720" w:type="dxa"/>
            <w:vAlign w:val="bottom"/>
          </w:tcPr>
          <w:p>
            <w:pPr>
              <w:spacing w:after="0"/>
              <w:rPr>
                <w:sz w:val="22"/>
                <w:szCs w:val="22"/>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 5 -</w:t>
            </w: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241"/>
        </w:trPr>
        <w:tc>
          <w:tcPr>
            <w:tcW w:w="72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 6 -</w:t>
            </w: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Consent of Bankers Trust Company required by Section 321(b) of the Act, incorporated herein by reference</w:t>
            </w:r>
          </w:p>
        </w:tc>
      </w:tr>
      <w:tr>
        <w:trPr>
          <w:trHeight w:val="184"/>
        </w:trPr>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Exhibit 6 filed with Form T-1 Statement, Registration No. 333-201810.</w:t>
            </w:r>
          </w:p>
        </w:tc>
      </w:tr>
    </w:tbl>
    <w:p>
      <w:pPr>
        <w:sectPr>
          <w:pgSz w:w="11900" w:h="16838" w:orient="portrait"/>
          <w:cols w:equalWidth="0" w:num="1">
            <w:col w:w="9019"/>
          </w:cols>
          <w:pgMar w:left="1440" w:top="240" w:right="1440" w:bottom="1440" w:gutter="0" w:footer="0" w:header="0"/>
        </w:sectPr>
      </w:pPr>
    </w:p>
    <w:bookmarkStart w:id="40" w:name="page41"/>
    <w:bookmarkEnd w:id="40"/>
    <w:p>
      <w:pPr>
        <w:ind w:left="940"/>
        <w:spacing w:after="0"/>
        <w:rPr>
          <w:sz w:val="20"/>
          <w:szCs w:val="20"/>
          <w:color w:val="auto"/>
        </w:rPr>
      </w:pPr>
      <w:r>
        <w:rPr>
          <w:rFonts w:ascii="Times New Roman" w:cs="Times New Roman" w:eastAsia="Times New Roman" w:hAnsi="Times New Roman"/>
          <w:sz w:val="14"/>
          <w:szCs w:val="14"/>
          <w:b w:val="1"/>
          <w:bCs w:val="1"/>
          <w:color w:val="auto"/>
        </w:rPr>
        <w:t>Exhibit 7 -</w:t>
      </w:r>
    </w:p>
    <w:p>
      <w:pPr>
        <w:spacing w:after="0" w:line="20" w:lineRule="exact"/>
        <w:rPr>
          <w:sz w:val="20"/>
          <w:szCs w:val="20"/>
          <w:color w:val="auto"/>
        </w:rPr>
      </w:pPr>
      <w:r>
        <w:rPr>
          <w:sz w:val="20"/>
          <w:szCs w:val="20"/>
          <w:color w:val="auto"/>
        </w:rPr>
        <w:br w:type="column"/>
      </w:r>
    </w:p>
    <w:p>
      <w:pPr>
        <w:ind w:right="1199"/>
        <w:spacing w:after="0" w:line="288" w:lineRule="auto"/>
        <w:rPr>
          <w:sz w:val="20"/>
          <w:szCs w:val="20"/>
          <w:color w:val="auto"/>
        </w:rPr>
      </w:pPr>
      <w:r>
        <w:rPr>
          <w:rFonts w:ascii="Times New Roman" w:cs="Times New Roman" w:eastAsia="Times New Roman" w:hAnsi="Times New Roman"/>
          <w:sz w:val="14"/>
          <w:szCs w:val="14"/>
          <w:color w:val="auto"/>
        </w:rPr>
        <w:t>A copy of the latest report of condition of the trustee published pursuant to law or the requirements of its supervising or examining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-309880</wp:posOffset>
            </wp:positionV>
            <wp:extent cx="720026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1580" w:space="300"/>
            <w:col w:w="7139"/>
          </w:cols>
          <w:pgMar w:left="1440" w:top="240" w:right="1440" w:bottom="1440" w:gutter="0" w:footer="0" w:header="0"/>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Exhibit 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ectPr>
          <w:pgSz w:w="11900" w:h="16838" w:orient="portrait"/>
          <w:cols w:equalWidth="0" w:num="2">
            <w:col w:w="1580" w:space="300"/>
            <w:col w:w="7139"/>
          </w:cols>
          <w:pgMar w:left="1440" w:top="240" w:right="1440"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Exhibit 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Not Applicable.</w:t>
      </w:r>
    </w:p>
    <w:p>
      <w:pPr>
        <w:sectPr>
          <w:pgSz w:w="11900" w:h="16838" w:orient="portrait"/>
          <w:cols w:equalWidth="0" w:num="2">
            <w:col w:w="1580" w:space="300"/>
            <w:col w:w="7139"/>
          </w:cols>
          <w:pgMar w:left="1440" w:top="240" w:right="1440" w:bottom="1440" w:gutter="0" w:footer="0" w:header="0"/>
          <w:type w:val="continuous"/>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SIGNATURE</w:t>
      </w:r>
    </w:p>
    <w:p>
      <w:pPr>
        <w:spacing w:after="0" w:line="181" w:lineRule="exact"/>
        <w:rPr>
          <w:sz w:val="20"/>
          <w:szCs w:val="20"/>
          <w:color w:val="auto"/>
        </w:rPr>
      </w:pPr>
    </w:p>
    <w:p>
      <w:pPr>
        <w:ind w:left="160" w:right="25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1st day of July, 2026.</w:t>
      </w:r>
    </w:p>
    <w:p>
      <w:pPr>
        <w:spacing w:after="0" w:line="1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DEUTSCHE BANK TRUST COMPANY AMERICAS</w:t>
      </w:r>
    </w:p>
    <w:p>
      <w:pPr>
        <w:spacing w:after="0" w:line="17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15240</wp:posOffset>
            </wp:positionV>
            <wp:extent cx="201993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2019935" cy="6985"/>
                    </a:xfrm>
                    <a:prstGeom prst="rect">
                      <a:avLst/>
                    </a:prstGeom>
                    <a:noFill/>
                  </pic:spPr>
                </pic:pic>
              </a:graphicData>
            </a:graphic>
          </wp:anchor>
        </w:drawing>
      </w:r>
    </w:p>
    <w:p>
      <w:pPr>
        <w:spacing w:after="0" w:line="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 Chris Niesz</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Title: Director</w:t>
      </w:r>
    </w:p>
    <w:p>
      <w:pPr>
        <w:sectPr>
          <w:pgSz w:w="11900" w:h="16838" w:orient="portrait"/>
          <w:cols w:equalWidth="0" w:num="1">
            <w:col w:w="9019"/>
          </w:cols>
          <w:pgMar w:left="1440" w:top="240" w:right="1440" w:bottom="1440" w:gutter="0" w:footer="0" w:header="0"/>
        </w:sectPr>
      </w:pPr>
    </w:p>
    <w:bookmarkStart w:id="42" w:name="page43"/>
    <w:bookmarkEnd w:id="42"/>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Exhibit 7</w:t>
      </w:r>
    </w:p>
    <w:p>
      <w:pPr>
        <w:spacing w:after="0" w:line="200" w:lineRule="exact"/>
        <w:rPr>
          <w:sz w:val="20"/>
          <w:szCs w:val="20"/>
          <w:color w:val="auto"/>
        </w:rPr>
      </w:pPr>
    </w:p>
    <w:p>
      <w:pPr>
        <w:ind w:left="3640"/>
        <w:spacing w:after="0"/>
        <w:tabs>
          <w:tab w:leader="none" w:pos="7100" w:val="left"/>
        </w:tabs>
        <w:rPr>
          <w:sz w:val="20"/>
          <w:szCs w:val="20"/>
          <w:color w:val="auto"/>
        </w:rPr>
      </w:pPr>
      <w:r>
        <w:rPr>
          <w:rFonts w:ascii="Times New Roman" w:cs="Times New Roman" w:eastAsia="Times New Roman" w:hAnsi="Times New Roman"/>
          <w:sz w:val="11"/>
          <w:szCs w:val="11"/>
          <w:color w:val="auto"/>
        </w:rPr>
        <w:t>Board of Governors of the Federal Reserve System</w:t>
      </w:r>
      <w:r>
        <w:rPr>
          <w:sz w:val="20"/>
          <w:szCs w:val="20"/>
          <w:color w:val="auto"/>
        </w:rPr>
        <w:tab/>
      </w:r>
      <w:r>
        <w:rPr>
          <w:rFonts w:ascii="Times New Roman" w:cs="Times New Roman" w:eastAsia="Times New Roman" w:hAnsi="Times New Roman"/>
          <w:sz w:val="11"/>
          <w:szCs w:val="11"/>
          <w:color w:val="auto"/>
        </w:rPr>
        <w:t>OMB Number 7100-0036</w:t>
      </w:r>
    </w:p>
    <w:p>
      <w:pPr>
        <w:ind w:left="3640"/>
        <w:spacing w:after="0" w:line="226" w:lineRule="auto"/>
        <w:tabs>
          <w:tab w:leader="none" w:pos="7100" w:val="left"/>
        </w:tabs>
        <w:rPr>
          <w:sz w:val="20"/>
          <w:szCs w:val="20"/>
          <w:color w:val="auto"/>
        </w:rPr>
      </w:pPr>
      <w:r>
        <w:rPr>
          <w:rFonts w:ascii="Times New Roman" w:cs="Times New Roman" w:eastAsia="Times New Roman" w:hAnsi="Times New Roman"/>
          <w:sz w:val="11"/>
          <w:szCs w:val="11"/>
          <w:color w:val="auto"/>
        </w:rPr>
        <w:t>Federal Deposit Insurance Corporation</w:t>
      </w:r>
      <w:r>
        <w:rPr>
          <w:sz w:val="20"/>
          <w:szCs w:val="20"/>
          <w:color w:val="auto"/>
        </w:rPr>
        <w:tab/>
      </w:r>
      <w:r>
        <w:rPr>
          <w:rFonts w:ascii="Times New Roman" w:cs="Times New Roman" w:eastAsia="Times New Roman" w:hAnsi="Times New Roman"/>
          <w:sz w:val="11"/>
          <w:szCs w:val="11"/>
          <w:color w:val="auto"/>
        </w:rPr>
        <w:t>OMB Number 3064-0052</w:t>
      </w:r>
    </w:p>
    <w:p>
      <w:pPr>
        <w:ind w:left="3640"/>
        <w:spacing w:after="0" w:line="222" w:lineRule="auto"/>
        <w:tabs>
          <w:tab w:leader="none" w:pos="7100" w:val="left"/>
        </w:tabs>
        <w:rPr>
          <w:sz w:val="20"/>
          <w:szCs w:val="20"/>
          <w:color w:val="auto"/>
        </w:rPr>
      </w:pPr>
      <w:r>
        <w:rPr>
          <w:rFonts w:ascii="Times New Roman" w:cs="Times New Roman" w:eastAsia="Times New Roman" w:hAnsi="Times New Roman"/>
          <w:sz w:val="11"/>
          <w:szCs w:val="11"/>
          <w:color w:val="auto"/>
        </w:rPr>
        <w:t>Office of the Comptroller of the Currency</w:t>
      </w:r>
      <w:r>
        <w:rPr>
          <w:sz w:val="20"/>
          <w:szCs w:val="20"/>
          <w:color w:val="auto"/>
        </w:rPr>
        <w:tab/>
      </w:r>
      <w:r>
        <w:rPr>
          <w:rFonts w:ascii="Times New Roman" w:cs="Times New Roman" w:eastAsia="Times New Roman" w:hAnsi="Times New Roman"/>
          <w:sz w:val="11"/>
          <w:szCs w:val="11"/>
          <w:color w:val="auto"/>
        </w:rPr>
        <w:t>OMB Number 1557-0081</w:t>
      </w:r>
    </w:p>
    <w:p>
      <w:pPr>
        <w:ind w:left="7120"/>
        <w:spacing w:after="0" w:line="222" w:lineRule="auto"/>
        <w:rPr>
          <w:sz w:val="20"/>
          <w:szCs w:val="20"/>
          <w:color w:val="auto"/>
        </w:rPr>
      </w:pPr>
      <w:r>
        <w:rPr>
          <w:rFonts w:ascii="Times New Roman" w:cs="Times New Roman" w:eastAsia="Times New Roman" w:hAnsi="Times New Roman"/>
          <w:sz w:val="11"/>
          <w:szCs w:val="11"/>
          <w:color w:val="auto"/>
        </w:rPr>
        <w:t>Approval expires February 28, 2029</w:t>
      </w:r>
    </w:p>
    <w:p>
      <w:pPr>
        <w:spacing w:after="0" w:line="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1"/>
          <w:szCs w:val="11"/>
          <w:color w:val="auto"/>
        </w:rPr>
        <w:t>Page 1 of 86</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 Federal Financial Institutions Examination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67310</wp:posOffset>
            </wp:positionV>
            <wp:extent cx="5513070" cy="614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5513070" cy="61468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1"/>
          <w:szCs w:val="11"/>
          <w:b w:val="1"/>
          <w:bCs w:val="1"/>
          <w:color w:val="auto"/>
        </w:rPr>
        <w:t>Consolidated Reports of Condition and Income for a Bank with Domestic Offices Only—FFIEC 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290195</wp:posOffset>
            </wp:positionV>
            <wp:extent cx="551307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44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Report at the close of business March 31, 2026</w:t>
            </w:r>
          </w:p>
        </w:tc>
        <w:tc>
          <w:tcPr>
            <w:tcW w:w="11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20260331</w:t>
            </w:r>
          </w:p>
        </w:tc>
      </w:tr>
      <w:tr>
        <w:trPr>
          <w:trHeight w:val="134"/>
        </w:trPr>
        <w:tc>
          <w:tcPr>
            <w:tcW w:w="444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(RCON 9999)</w:t>
            </w:r>
          </w:p>
        </w:tc>
      </w:tr>
    </w:tbl>
    <w:p>
      <w:pPr>
        <w:spacing w:after="0" w:line="1" w:lineRule="exact"/>
        <w:rPr>
          <w:sz w:val="20"/>
          <w:szCs w:val="20"/>
          <w:color w:val="auto"/>
        </w:rPr>
      </w:pPr>
    </w:p>
    <w:p>
      <w:pPr>
        <w:sectPr>
          <w:pgSz w:w="11900" w:h="16838" w:orient="portrait"/>
          <w:cols w:equalWidth="0" w:num="1">
            <w:col w:w="9019"/>
          </w:cols>
          <w:pgMar w:left="1440" w:top="240" w:right="1440" w:bottom="1440" w:gutter="0" w:footer="0" w:header="0"/>
        </w:sectPr>
      </w:pPr>
    </w:p>
    <w:p>
      <w:pPr>
        <w:ind w:left="160"/>
        <w:spacing w:after="0"/>
        <w:rPr>
          <w:sz w:val="20"/>
          <w:szCs w:val="20"/>
          <w:color w:val="auto"/>
        </w:rPr>
      </w:pPr>
      <w:r>
        <w:rPr>
          <w:rFonts w:ascii="Times New Roman" w:cs="Times New Roman" w:eastAsia="Times New Roman" w:hAnsi="Times New Roman"/>
          <w:sz w:val="11"/>
          <w:szCs w:val="11"/>
          <w:color w:val="auto"/>
        </w:rPr>
        <w:t>This report is required by law: 12 U.S.C. § 324 (State member banks); 12 U.S.C. §1817 (State nonmember banks); 12 U.S.C. §161 (National banks); and 12 U.S.C. §1464 (Savings associations).</w:t>
      </w:r>
    </w:p>
    <w:p>
      <w:pPr>
        <w:spacing w:after="0" w:line="141" w:lineRule="exact"/>
        <w:rPr>
          <w:sz w:val="20"/>
          <w:szCs w:val="20"/>
          <w:color w:val="auto"/>
        </w:rPr>
      </w:pPr>
    </w:p>
    <w:p>
      <w:pPr>
        <w:ind w:left="160" w:right="140"/>
        <w:spacing w:after="0" w:line="261" w:lineRule="auto"/>
        <w:rPr>
          <w:sz w:val="20"/>
          <w:szCs w:val="20"/>
          <w:color w:val="auto"/>
        </w:rPr>
      </w:pPr>
      <w:r>
        <w:rPr>
          <w:rFonts w:ascii="Times New Roman" w:cs="Times New Roman" w:eastAsia="Times New Roman" w:hAnsi="Times New Roman"/>
          <w:sz w:val="11"/>
          <w:szCs w:val="11"/>
          <w:color w:val="auto"/>
        </w:rPr>
        <w:t>Unless the context indicates otherwise, the term “bank” in this report form refers to both banks and savings associations.</w:t>
      </w:r>
    </w:p>
    <w:p>
      <w:pPr>
        <w:spacing w:after="0" w:line="20" w:lineRule="exact"/>
        <w:rPr>
          <w:sz w:val="20"/>
          <w:szCs w:val="20"/>
          <w:color w:val="auto"/>
        </w:rPr>
      </w:pPr>
      <w:r>
        <w:rPr>
          <w:sz w:val="20"/>
          <w:szCs w:val="20"/>
          <w:color w:val="auto"/>
        </w:rPr>
        <w:br w:type="column"/>
      </w:r>
    </w:p>
    <w:p>
      <w:pPr>
        <w:ind w:right="259"/>
        <w:spacing w:after="0" w:line="230" w:lineRule="auto"/>
        <w:rPr>
          <w:sz w:val="20"/>
          <w:szCs w:val="20"/>
          <w:color w:val="auto"/>
        </w:rPr>
      </w:pPr>
      <w:r>
        <w:rPr>
          <w:rFonts w:ascii="Times New Roman" w:cs="Times New Roman" w:eastAsia="Times New Roman" w:hAnsi="Times New Roman"/>
          <w:sz w:val="11"/>
          <w:szCs w:val="11"/>
          <w:color w:val="auto"/>
        </w:rPr>
        <w:t>This report form is to be filed by banks with domestic offices only and total consolidated assets of less than $100 billion, except those banks that file the FFIEC 051, and those banks that are advanced approaches institutions for regulatory capital purposes that are required to file the FFIEC 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303530</wp:posOffset>
            </wp:positionV>
            <wp:extent cx="551307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510" w:lineRule="exact"/>
        <w:rPr>
          <w:sz w:val="20"/>
          <w:szCs w:val="20"/>
          <w:color w:val="auto"/>
        </w:rPr>
      </w:pPr>
    </w:p>
    <w:p>
      <w:pPr>
        <w:sectPr>
          <w:pgSz w:w="11900" w:h="16838" w:orient="portrait"/>
          <w:cols w:equalWidth="0" w:num="2">
            <w:col w:w="4320" w:space="280"/>
            <w:col w:w="4419"/>
          </w:cols>
          <w:pgMar w:left="1440" w:top="240" w:right="1440" w:bottom="1440" w:gutter="0" w:footer="0" w:header="0"/>
          <w:type w:val="continuous"/>
        </w:sectPr>
      </w:pPr>
    </w:p>
    <w:p>
      <w:pPr>
        <w:spacing w:after="0" w:line="67" w:lineRule="exact"/>
        <w:rPr>
          <w:sz w:val="20"/>
          <w:szCs w:val="20"/>
          <w:color w:val="auto"/>
        </w:rPr>
      </w:pPr>
    </w:p>
    <w:p>
      <w:pPr>
        <w:ind w:left="160"/>
        <w:spacing w:after="0" w:line="229" w:lineRule="auto"/>
        <w:rPr>
          <w:sz w:val="20"/>
          <w:szCs w:val="20"/>
          <w:color w:val="auto"/>
        </w:rPr>
      </w:pPr>
      <w:r>
        <w:rPr>
          <w:rFonts w:ascii="Times New Roman" w:cs="Times New Roman" w:eastAsia="Times New Roman" w:hAnsi="Times New Roman"/>
          <w:sz w:val="11"/>
          <w:szCs w:val="11"/>
          <w:color w:val="auto"/>
        </w:rPr>
        <w:t>NOTE: Each bank’s board of directors and senior management are responsible for establishing and maintaining an effective system of internal control, including controls over the Reports of Condition and Income. The Reports of Condition and Income are to be prepared in accordance with federal regulatory authority instructions. The Reports of Condition and Income must be signed by the Chief Financial Officer (CFO) of the reporting bank (or by the individual performing an equivalent function) and attested to by not less than two directors (trustees) for state nonmember banks and three directors for state member banks, national banks, and savings associations.</w:t>
      </w:r>
    </w:p>
    <w:p>
      <w:pPr>
        <w:spacing w:after="0" w:line="141" w:lineRule="exact"/>
        <w:rPr>
          <w:sz w:val="20"/>
          <w:szCs w:val="20"/>
          <w:color w:val="auto"/>
        </w:rPr>
      </w:pPr>
    </w:p>
    <w:p>
      <w:pPr>
        <w:ind w:left="160" w:right="360"/>
        <w:spacing w:after="0" w:line="261" w:lineRule="auto"/>
        <w:rPr>
          <w:sz w:val="20"/>
          <w:szCs w:val="20"/>
          <w:color w:val="auto"/>
        </w:rPr>
      </w:pPr>
      <w:r>
        <w:rPr>
          <w:rFonts w:ascii="Times New Roman" w:cs="Times New Roman" w:eastAsia="Times New Roman" w:hAnsi="Times New Roman"/>
          <w:sz w:val="11"/>
          <w:szCs w:val="11"/>
          <w:color w:val="auto"/>
        </w:rPr>
        <w:t>I, the undersigned CFO (or equivalent) of the named bank, attest that the Reports of Condition and Income (including the supporting</w:t>
      </w:r>
    </w:p>
    <w:p>
      <w:pPr>
        <w:spacing w:after="0" w:line="3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Signature of Chief Financial Officer (or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-75565</wp:posOffset>
            </wp:positionV>
            <wp:extent cx="26416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2641600" cy="6985"/>
                    </a:xfrm>
                    <a:prstGeom prst="rect">
                      <a:avLst/>
                    </a:prstGeom>
                    <a:noFill/>
                  </pic:spPr>
                </pic:pic>
              </a:graphicData>
            </a:graphic>
          </wp:anchor>
        </w:drawing>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04/30/2026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12700</wp:posOffset>
            </wp:positionV>
            <wp:extent cx="26416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2641600" cy="698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Date of Signature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79"/>
        <w:spacing w:after="0" w:line="241" w:lineRule="auto"/>
        <w:rPr>
          <w:sz w:val="20"/>
          <w:szCs w:val="20"/>
          <w:color w:val="auto"/>
        </w:rPr>
      </w:pPr>
      <w:r>
        <w:rPr>
          <w:rFonts w:ascii="Times New Roman" w:cs="Times New Roman" w:eastAsia="Times New Roman" w:hAnsi="Times New Roman"/>
          <w:sz w:val="11"/>
          <w:szCs w:val="11"/>
          <w:color w:val="auto"/>
        </w:rPr>
        <w:t>schedules) for this report date have been prepared in conformance with the instructions issued by the appropriate Federal regulatory authority and are true and correct to the best of my knowledge and belief.</w:t>
      </w:r>
    </w:p>
    <w:p>
      <w:pPr>
        <w:spacing w:after="0" w:line="140" w:lineRule="exact"/>
        <w:rPr>
          <w:sz w:val="20"/>
          <w:szCs w:val="20"/>
          <w:color w:val="auto"/>
        </w:rPr>
      </w:pPr>
    </w:p>
    <w:p>
      <w:pPr>
        <w:ind w:right="239"/>
        <w:spacing w:after="0" w:line="233" w:lineRule="auto"/>
        <w:rPr>
          <w:sz w:val="20"/>
          <w:szCs w:val="20"/>
          <w:color w:val="auto"/>
        </w:rPr>
      </w:pPr>
      <w:r>
        <w:rPr>
          <w:rFonts w:ascii="Times New Roman" w:cs="Times New Roman" w:eastAsia="Times New Roman" w:hAnsi="Times New Roman"/>
          <w:sz w:val="11"/>
          <w:szCs w:val="11"/>
          <w:color w:val="auto"/>
        </w:rPr>
        <w:t>We, the undersigned directors (trustees), attest to the correctness of the Reports of Condition and Income (including the supporting schedules) for this report date and declare that the Reports of Condition and Income have been examined by us and to the best of our knowledge and belief have been prepared in conformance with the instructions issued by the appropriate Federal regulatory authority and are true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Director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9557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2695575" cy="698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Director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955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2695575" cy="698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269557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2695575" cy="69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Director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141605</wp:posOffset>
            </wp:positionV>
            <wp:extent cx="551307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280"/>
            <w:col w:w="4419"/>
          </w:cols>
          <w:pgMar w:left="1440" w:top="240" w:right="1440" w:bottom="1440" w:gutter="0" w:footer="0" w:header="0"/>
          <w:type w:val="continuous"/>
        </w:sectPr>
      </w:pP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Submission of Reports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Each bank must file its Reports of Condition and Income (Call Report) data by either:</w:t>
      </w:r>
    </w:p>
    <w:p>
      <w:pPr>
        <w:spacing w:after="0" w:line="86" w:lineRule="exact"/>
        <w:rPr>
          <w:sz w:val="20"/>
          <w:szCs w:val="20"/>
          <w:color w:val="auto"/>
        </w:rPr>
      </w:pPr>
    </w:p>
    <w:p>
      <w:pPr>
        <w:ind w:left="380" w:hanging="217"/>
        <w:spacing w:after="0" w:line="241" w:lineRule="auto"/>
        <w:tabs>
          <w:tab w:leader="none" w:pos="38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Using computer software to prepare its Call Report and then submitting the report data directly to the FFIEC’s Central Data Repository (CDR), an Internet-based system for data collection (https://cdr.ffiec.gov/cdr/), 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9"/>
        <w:spacing w:after="0" w:line="236" w:lineRule="auto"/>
        <w:rPr>
          <w:sz w:val="20"/>
          <w:szCs w:val="20"/>
          <w:color w:val="auto"/>
        </w:rPr>
      </w:pPr>
      <w:r>
        <w:rPr>
          <w:rFonts w:ascii="Times New Roman" w:cs="Times New Roman" w:eastAsia="Times New Roman" w:hAnsi="Times New Roman"/>
          <w:sz w:val="11"/>
          <w:szCs w:val="11"/>
          <w:color w:val="auto"/>
        </w:rPr>
        <w:t>To fulfill the signature and attestation requirement for the Reports of Condition and Income for this report date, attach your bank’s completed signature page (or a photocopy or a computer generated version of this page) to the hard-copy record of the data file submitted to the CDR that your bank must place in its files.</w:t>
      </w:r>
    </w:p>
    <w:p>
      <w:pPr>
        <w:spacing w:after="0" w:line="141" w:lineRule="exact"/>
        <w:rPr>
          <w:sz w:val="20"/>
          <w:szCs w:val="20"/>
          <w:color w:val="auto"/>
        </w:rPr>
      </w:pPr>
    </w:p>
    <w:p>
      <w:pPr>
        <w:sectPr>
          <w:pgSz w:w="11900" w:h="16838" w:orient="portrait"/>
          <w:cols w:equalWidth="0" w:num="2">
            <w:col w:w="4320" w:space="280"/>
            <w:col w:w="4419"/>
          </w:cols>
          <w:pgMar w:left="1440" w:top="240" w:right="1440" w:bottom="1440" w:gutter="0" w:footer="0" w:header="0"/>
          <w:type w:val="continuous"/>
        </w:sectPr>
      </w:pPr>
    </w:p>
    <w:p>
      <w:pPr>
        <w:spacing w:after="0" w:line="21" w:lineRule="exact"/>
        <w:rPr>
          <w:sz w:val="20"/>
          <w:szCs w:val="20"/>
          <w:color w:val="auto"/>
        </w:rPr>
      </w:pPr>
    </w:p>
    <w:p>
      <w:pPr>
        <w:ind w:left="380" w:right="60" w:hanging="217"/>
        <w:spacing w:after="0" w:line="236" w:lineRule="auto"/>
        <w:tabs>
          <w:tab w:leader="none" w:pos="38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Completing its Call Report in paper form and arranging with a software vendor or another party to convert the data into the electronic format that can be processed by the CDR. The software vendor or other party then must electronically submit the bank’s data file to the CDR.</w:t>
      </w:r>
    </w:p>
    <w:p>
      <w:pPr>
        <w:spacing w:after="0" w:line="141" w:lineRule="exact"/>
        <w:rPr>
          <w:sz w:val="20"/>
          <w:szCs w:val="20"/>
          <w:color w:val="auto"/>
        </w:rPr>
      </w:pPr>
    </w:p>
    <w:p>
      <w:pPr>
        <w:ind w:left="160"/>
        <w:spacing w:after="0" w:line="241" w:lineRule="auto"/>
        <w:rPr>
          <w:sz w:val="20"/>
          <w:szCs w:val="20"/>
          <w:color w:val="auto"/>
        </w:rPr>
      </w:pPr>
      <w:r>
        <w:rPr>
          <w:rFonts w:ascii="Times New Roman" w:cs="Times New Roman" w:eastAsia="Times New Roman" w:hAnsi="Times New Roman"/>
          <w:sz w:val="11"/>
          <w:szCs w:val="11"/>
          <w:color w:val="auto"/>
        </w:rPr>
        <w:t>For technical assistance with submissions to the CDR, please contact the CDR Help Desk by telephone at (888) CDR-3111, by fax at (703) 774-3946, or by e-mail at cdr.help@cdr.ffiec.gov.</w:t>
      </w:r>
    </w:p>
    <w:p>
      <w:pPr>
        <w:spacing w:after="0" w:line="20" w:lineRule="exact"/>
        <w:rPr>
          <w:sz w:val="20"/>
          <w:szCs w:val="20"/>
          <w:color w:val="auto"/>
        </w:rPr>
      </w:pPr>
      <w:r>
        <w:rPr>
          <w:sz w:val="20"/>
          <w:szCs w:val="20"/>
          <w:color w:val="auto"/>
        </w:rPr>
        <w:br w:type="column"/>
      </w:r>
    </w:p>
    <w:p>
      <w:pPr>
        <w:ind w:left="5" w:right="339"/>
        <w:spacing w:after="0" w:line="241" w:lineRule="auto"/>
        <w:rPr>
          <w:sz w:val="20"/>
          <w:szCs w:val="20"/>
          <w:color w:val="auto"/>
        </w:rPr>
      </w:pPr>
      <w:r>
        <w:rPr>
          <w:rFonts w:ascii="Times New Roman" w:cs="Times New Roman" w:eastAsia="Times New Roman" w:hAnsi="Times New Roman"/>
          <w:sz w:val="11"/>
          <w:szCs w:val="11"/>
          <w:color w:val="auto"/>
        </w:rPr>
        <w:t>The appearance of your bank’s hard-copy record of the submitted data file need not match exactly the appearance of the FFIEC’s sample report forms, but should show at least the caption of each Call Report item and the reported amount.</w:t>
      </w:r>
    </w:p>
    <w:p>
      <w:pPr>
        <w:spacing w:after="0" w:line="160" w:lineRule="exact"/>
        <w:rPr>
          <w:sz w:val="20"/>
          <w:szCs w:val="20"/>
          <w:color w:val="auto"/>
        </w:rPr>
      </w:pPr>
    </w:p>
    <w:p>
      <w:pPr>
        <w:ind w:left="65" w:hanging="65"/>
        <w:spacing w:after="0"/>
        <w:tabs>
          <w:tab w:leader="none" w:pos="65" w:val="left"/>
        </w:tabs>
        <w:numPr>
          <w:ilvl w:val="0"/>
          <w:numId w:val="3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DEUTSCHE BANK TRUST COMPANY AMERICAS</w:t>
      </w:r>
    </w:p>
    <w:p>
      <w:pPr>
        <w:spacing w:after="0" w:line="15" w:lineRule="exact"/>
        <w:rPr>
          <w:rFonts w:ascii="Times New Roman" w:cs="Times New Roman" w:eastAsia="Times New Roman" w:hAnsi="Times New Roman"/>
          <w:sz w:val="11"/>
          <w:szCs w:val="11"/>
          <w:b w:val="1"/>
          <w:bCs w:val="1"/>
          <w:color w:val="auto"/>
        </w:rPr>
      </w:pPr>
    </w:p>
    <w:p>
      <w:pPr>
        <w:ind w:left="65" w:hanging="65"/>
        <w:spacing w:after="0"/>
        <w:tabs>
          <w:tab w:leader="none" w:pos="65"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Legal Title of Bank (RSSD 9017)</w:t>
      </w:r>
    </w:p>
    <w:p>
      <w:pPr>
        <w:spacing w:after="0" w:line="61" w:lineRule="exact"/>
        <w:rPr>
          <w:rFonts w:ascii="Times New Roman" w:cs="Times New Roman" w:eastAsia="Times New Roman" w:hAnsi="Times New Roman"/>
          <w:sz w:val="11"/>
          <w:szCs w:val="11"/>
          <w:color w:val="auto"/>
        </w:rPr>
      </w:pPr>
    </w:p>
    <w:p>
      <w:pPr>
        <w:ind w:left="65" w:hanging="65"/>
        <w:spacing w:after="0"/>
        <w:tabs>
          <w:tab w:leader="none" w:pos="65" w:val="left"/>
        </w:tabs>
        <w:numPr>
          <w:ilvl w:val="0"/>
          <w:numId w:val="3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New York</w:t>
      </w:r>
    </w:p>
    <w:p>
      <w:pPr>
        <w:spacing w:after="0" w:line="15" w:lineRule="exact"/>
        <w:rPr>
          <w:rFonts w:ascii="Times New Roman" w:cs="Times New Roman" w:eastAsia="Times New Roman" w:hAnsi="Times New Roman"/>
          <w:sz w:val="11"/>
          <w:szCs w:val="11"/>
          <w:b w:val="1"/>
          <w:bCs w:val="1"/>
          <w:color w:val="auto"/>
        </w:rPr>
      </w:pPr>
    </w:p>
    <w:p>
      <w:pPr>
        <w:ind w:left="65" w:hanging="65"/>
        <w:spacing w:after="0"/>
        <w:tabs>
          <w:tab w:leader="none" w:pos="65"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City (RSSD 9130)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269557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269557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-292735</wp:posOffset>
            </wp:positionV>
            <wp:extent cx="269557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2695575" cy="698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4240" w:space="355"/>
            <w:col w:w="4424"/>
          </w:cols>
          <w:pgMar w:left="1440" w:top="240" w:right="1440" w:bottom="1440" w:gutter="0" w:footer="0" w:header="0"/>
          <w:type w:val="continuous"/>
        </w:sectPr>
      </w:pPr>
    </w:p>
    <w:tbl>
      <w:tblPr>
        <w:tblLayout w:type="fixed"/>
        <w:tblInd w:w="160" w:type="dxa"/>
        <w:tblCellMar>
          <w:top w:w="0" w:type="dxa"/>
          <w:left w:w="0" w:type="dxa"/>
          <w:bottom w:w="0" w:type="dxa"/>
          <w:right w:w="0" w:type="dxa"/>
        </w:tblCellMar>
      </w:tblPr>
      <w:tr>
        <w:trPr>
          <w:trHeight w:val="186"/>
        </w:trPr>
        <w:tc>
          <w:tcPr>
            <w:tcW w:w="14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FDIC Certificate Number</w:t>
            </w:r>
          </w:p>
        </w:tc>
        <w:tc>
          <w:tcPr>
            <w:tcW w:w="1480" w:type="dxa"/>
            <w:vAlign w:val="bottom"/>
            <w:tcBorders>
              <w:bottom w:val="single" w:sz="8" w:color="auto"/>
            </w:tcBorders>
          </w:tcPr>
          <w:p>
            <w:pPr>
              <w:spacing w:after="0"/>
              <w:rPr>
                <w:sz w:val="16"/>
                <w:szCs w:val="16"/>
                <w:color w:val="auto"/>
              </w:rPr>
            </w:pPr>
          </w:p>
        </w:tc>
        <w:tc>
          <w:tcPr>
            <w:tcW w:w="13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auto"/>
              </w:rPr>
              <w:t xml:space="preserve">                         </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  NY</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0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10019</w:t>
            </w:r>
          </w:p>
        </w:tc>
        <w:tc>
          <w:tcPr>
            <w:tcW w:w="0" w:type="dxa"/>
            <w:vAlign w:val="bottom"/>
          </w:tcPr>
          <w:p>
            <w:pPr>
              <w:spacing w:after="0"/>
              <w:rPr>
                <w:sz w:val="1"/>
                <w:szCs w:val="1"/>
                <w:color w:val="auto"/>
              </w:rPr>
            </w:pPr>
          </w:p>
        </w:tc>
      </w:tr>
      <w:tr>
        <w:trPr>
          <w:trHeight w:val="68"/>
        </w:trPr>
        <w:tc>
          <w:tcPr>
            <w:tcW w:w="1440" w:type="dxa"/>
            <w:vAlign w:val="bottom"/>
            <w:vMerge w:val="continue"/>
          </w:tcPr>
          <w:p>
            <w:pPr>
              <w:spacing w:after="0"/>
              <w:rPr>
                <w:sz w:val="5"/>
                <w:szCs w:val="5"/>
                <w:color w:val="auto"/>
              </w:rPr>
            </w:pPr>
          </w:p>
        </w:tc>
        <w:tc>
          <w:tcPr>
            <w:tcW w:w="1480" w:type="dxa"/>
            <w:vAlign w:val="bottom"/>
            <w:tcBorders>
              <w:left w:val="single" w:sz="8" w:color="auto"/>
              <w:bottom w:val="single" w:sz="8" w:color="auto"/>
              <w:right w:val="single" w:sz="8" w:color="auto"/>
            </w:tcBorders>
          </w:tcPr>
          <w:p>
            <w:pPr>
              <w:jc w:val="right"/>
              <w:ind w:right="497"/>
              <w:spacing w:after="0" w:line="57" w:lineRule="exact"/>
              <w:rPr>
                <w:sz w:val="20"/>
                <w:szCs w:val="20"/>
                <w:color w:val="auto"/>
              </w:rPr>
            </w:pPr>
            <w:r>
              <w:rPr>
                <w:rFonts w:ascii="Times New Roman" w:cs="Times New Roman" w:eastAsia="Times New Roman" w:hAnsi="Times New Roman"/>
                <w:sz w:val="6"/>
                <w:szCs w:val="6"/>
                <w:b w:val="1"/>
                <w:bCs w:val="1"/>
                <w:color w:val="auto"/>
              </w:rPr>
              <w:t>623</w:t>
            </w:r>
          </w:p>
        </w:tc>
        <w:tc>
          <w:tcPr>
            <w:tcW w:w="13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Borders>
              <w:top w:val="single" w:sz="8" w:color="auto"/>
            </w:tcBorders>
          </w:tcPr>
          <w:p>
            <w:pPr>
              <w:spacing w:after="0" w:line="68" w:lineRule="exact"/>
              <w:rPr>
                <w:sz w:val="20"/>
                <w:szCs w:val="20"/>
                <w:color w:val="auto"/>
              </w:rPr>
            </w:pPr>
            <w:r>
              <w:rPr>
                <w:rFonts w:ascii="Times New Roman" w:cs="Times New Roman" w:eastAsia="Times New Roman" w:hAnsi="Times New Roman"/>
                <w:sz w:val="7"/>
                <w:szCs w:val="7"/>
                <w:color w:val="auto"/>
              </w:rPr>
              <w:t>  State Abbreviation (RSSD 9200)</w:t>
            </w:r>
          </w:p>
        </w:tc>
        <w:tc>
          <w:tcPr>
            <w:tcW w:w="180" w:type="dxa"/>
            <w:vAlign w:val="bottom"/>
          </w:tcPr>
          <w:p>
            <w:pPr>
              <w:spacing w:after="0"/>
              <w:rPr>
                <w:sz w:val="5"/>
                <w:szCs w:val="5"/>
                <w:color w:val="auto"/>
              </w:rPr>
            </w:pPr>
          </w:p>
        </w:tc>
        <w:tc>
          <w:tcPr>
            <w:tcW w:w="2000" w:type="dxa"/>
            <w:vAlign w:val="bottom"/>
            <w:tcBorders>
              <w:top w:val="single" w:sz="8" w:color="auto"/>
            </w:tcBorders>
          </w:tcPr>
          <w:p>
            <w:pPr>
              <w:ind w:left="200"/>
              <w:spacing w:after="0" w:line="68" w:lineRule="exact"/>
              <w:rPr>
                <w:sz w:val="20"/>
                <w:szCs w:val="20"/>
                <w:color w:val="auto"/>
              </w:rPr>
            </w:pPr>
            <w:r>
              <w:rPr>
                <w:rFonts w:ascii="Times New Roman" w:cs="Times New Roman" w:eastAsia="Times New Roman" w:hAnsi="Times New Roman"/>
                <w:sz w:val="7"/>
                <w:szCs w:val="7"/>
                <w:color w:val="auto"/>
              </w:rPr>
              <w:t>Zip Code (RSSD 9220)</w:t>
            </w:r>
          </w:p>
        </w:tc>
        <w:tc>
          <w:tcPr>
            <w:tcW w:w="0" w:type="dxa"/>
            <w:vAlign w:val="bottom"/>
          </w:tcPr>
          <w:p>
            <w:pPr>
              <w:spacing w:after="0"/>
              <w:rPr>
                <w:sz w:val="1"/>
                <w:szCs w:val="1"/>
                <w:color w:val="auto"/>
              </w:rPr>
            </w:pPr>
          </w:p>
        </w:tc>
      </w:tr>
      <w:tr>
        <w:trPr>
          <w:trHeight w:val="138"/>
        </w:trPr>
        <w:tc>
          <w:tcPr>
            <w:tcW w:w="1440" w:type="dxa"/>
            <w:vAlign w:val="bottom"/>
          </w:tcPr>
          <w:p>
            <w:pPr>
              <w:spacing w:after="0"/>
              <w:rPr>
                <w:sz w:val="11"/>
                <w:szCs w:val="11"/>
                <w:color w:val="auto"/>
              </w:rPr>
            </w:pPr>
          </w:p>
        </w:tc>
        <w:tc>
          <w:tcPr>
            <w:tcW w:w="1480" w:type="dxa"/>
            <w:vAlign w:val="bottom"/>
          </w:tcPr>
          <w:p>
            <w:pPr>
              <w:jc w:val="center"/>
              <w:ind w:left="177"/>
              <w:spacing w:after="0"/>
              <w:rPr>
                <w:sz w:val="20"/>
                <w:szCs w:val="20"/>
                <w:color w:val="auto"/>
              </w:rPr>
            </w:pPr>
            <w:r>
              <w:rPr>
                <w:rFonts w:ascii="Times New Roman" w:cs="Times New Roman" w:eastAsia="Times New Roman" w:hAnsi="Times New Roman"/>
                <w:sz w:val="11"/>
                <w:szCs w:val="11"/>
                <w:color w:val="auto"/>
              </w:rPr>
              <w:t>(RSSD 9050)</w:t>
            </w:r>
          </w:p>
        </w:tc>
        <w:tc>
          <w:tcPr>
            <w:tcW w:w="1340" w:type="dxa"/>
            <w:vAlign w:val="bottom"/>
          </w:tcPr>
          <w:p>
            <w:pPr>
              <w:spacing w:after="0"/>
              <w:rPr>
                <w:sz w:val="11"/>
                <w:szCs w:val="11"/>
                <w:color w:val="auto"/>
              </w:rPr>
            </w:pPr>
          </w:p>
        </w:tc>
        <w:tc>
          <w:tcPr>
            <w:tcW w:w="2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  Legal Entity Identifier (LEI)</w:t>
            </w:r>
          </w:p>
        </w:tc>
        <w:tc>
          <w:tcPr>
            <w:tcW w:w="1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060" w:type="dxa"/>
            <w:vAlign w:val="bottom"/>
            <w:tcBorders>
              <w:top w:val="single" w:sz="8" w:color="auto"/>
              <w:bottom w:val="single" w:sz="8" w:color="auto"/>
            </w:tcBorders>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8EWQ2UQKS07AKK8ANH81</w:t>
            </w:r>
          </w:p>
        </w:tc>
        <w:tc>
          <w:tcPr>
            <w:tcW w:w="180" w:type="dxa"/>
            <w:vAlign w:val="bottom"/>
            <w:tcBorders>
              <w:top w:val="single" w:sz="8" w:color="auto"/>
              <w:bottom w:val="single" w:sz="8" w:color="auto"/>
            </w:tcBorders>
          </w:tcPr>
          <w:p>
            <w:pPr>
              <w:spacing w:after="0"/>
              <w:rPr>
                <w:sz w:val="9"/>
                <w:szCs w:val="9"/>
                <w:color w:val="auto"/>
              </w:rPr>
            </w:pPr>
          </w:p>
        </w:tc>
        <w:tc>
          <w:tcPr>
            <w:tcW w:w="2000" w:type="dxa"/>
            <w:vAlign w:val="bottom"/>
            <w:tcBorders>
              <w:top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(Report only if your institution already has an LEI.) (RCON 9224)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122555</wp:posOffset>
            </wp:positionV>
            <wp:extent cx="551307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199" w:lineRule="exact"/>
        <w:rPr>
          <w:sz w:val="20"/>
          <w:szCs w:val="20"/>
          <w:color w:val="auto"/>
        </w:rPr>
      </w:pPr>
    </w:p>
    <w:p>
      <w:pPr>
        <w:ind w:left="160" w:right="239"/>
        <w:spacing w:after="0" w:line="230" w:lineRule="auto"/>
        <w:rPr>
          <w:sz w:val="20"/>
          <w:szCs w:val="20"/>
          <w:color w:val="auto"/>
        </w:rPr>
      </w:pPr>
      <w:r>
        <w:rPr>
          <w:rFonts w:ascii="Times New Roman" w:cs="Times New Roman" w:eastAsia="Times New Roman" w:hAnsi="Times New Roman"/>
          <w:sz w:val="11"/>
          <w:szCs w:val="11"/>
          <w:color w:val="auto"/>
        </w:rPr>
        <w:t>The estimated average burden associated with this information collection is 55.56 hours per respondent and is expected to vary by institution, depending on individual circumstances. Burden estimates include the time for reviewing instructions, gathering and maintaining data in the required form, and completing the information collection, but exclude the time for compiling and maintaining business records in the normal course of a respondent’s activities. A Federal agency may not conduct or sponsor, and an organization (or a person) is not required to respond to a collection of information, unless it displays a currently valid OMB control number. Comments concerning the accuracy of this burden estimate and suggestions for reducing this burden should be directed to the Office of Information and Regulatory Affairs, Office of Management and Budget, Washington, DC 20503, and to one of the following: Secretary, Board of Governors of the Federal Reserve System, 20th and C Streets, NW, Washington, DC 20551; Legislative and Regulatory Analysis Division, Office of the Comptroller of the Currency, Washington, DC 20219; Assistant Executive Secretary, Federal Deposit Insurance Corporation, Washington, DC 20429.</w:t>
      </w:r>
    </w:p>
    <w:p>
      <w:pPr>
        <w:spacing w:after="0" w:line="14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1"/>
          <w:szCs w:val="11"/>
          <w:color w:val="auto"/>
        </w:rPr>
        <w:t>06/2012</w:t>
      </w:r>
    </w:p>
    <w:p>
      <w:pPr>
        <w:spacing w:after="0" w:line="76"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1"/>
          <w:szCs w:val="11"/>
          <w:color w:val="auto"/>
        </w:rPr>
        <w:t>03/2026</w:t>
      </w:r>
    </w:p>
    <w:p>
      <w:pPr>
        <w:sectPr>
          <w:pgSz w:w="11900" w:h="16838" w:orient="portrait"/>
          <w:cols w:equalWidth="0" w:num="1">
            <w:col w:w="9019"/>
          </w:cols>
          <w:pgMar w:left="1440" w:top="240" w:right="1440" w:bottom="1440" w:gutter="0" w:footer="0" w:header="0"/>
          <w:type w:val="continuous"/>
        </w:sectPr>
      </w:pPr>
    </w:p>
    <w:bookmarkStart w:id="43" w:name="page44"/>
    <w:bookmarkEnd w:id="43"/>
    <w:p>
      <w:pPr>
        <w:ind w:left="7940"/>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FFIEC 041          </w:t>
      </w:r>
    </w:p>
    <w:p>
      <w:pPr>
        <w:jc w:val="right"/>
        <w:ind w:right="159"/>
        <w:spacing w:after="0" w:line="226" w:lineRule="auto"/>
        <w:rPr>
          <w:sz w:val="20"/>
          <w:szCs w:val="20"/>
          <w:color w:val="auto"/>
        </w:rPr>
      </w:pPr>
      <w:r>
        <w:rPr>
          <w:rFonts w:ascii="Times New Roman" w:cs="Times New Roman" w:eastAsia="Times New Roman" w:hAnsi="Times New Roman"/>
          <w:sz w:val="11"/>
          <w:szCs w:val="11"/>
          <w:color w:val="auto"/>
        </w:rPr>
        <w:t xml:space="preserve">Page 16 of 86         </w:t>
      </w:r>
    </w:p>
    <w:p>
      <w:pPr>
        <w:jc w:val="right"/>
        <w:ind w:right="159"/>
        <w:spacing w:after="0"/>
        <w:rPr>
          <w:sz w:val="20"/>
          <w:szCs w:val="20"/>
          <w:color w:val="auto"/>
        </w:rPr>
      </w:pPr>
      <w:r>
        <w:rPr>
          <w:rFonts w:ascii="Times New Roman" w:cs="Times New Roman" w:eastAsia="Times New Roman" w:hAnsi="Times New Roman"/>
          <w:sz w:val="11"/>
          <w:szCs w:val="11"/>
          <w:color w:val="auto"/>
        </w:rPr>
        <w:t xml:space="preserve">RC-1                   </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Consolidated Report of Condition for Insured Banks</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 and Savings Associations for March 31, 2026</w:t>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All schedules are to be reported in thousands of dollars. Unless otherwise indicated, report the amount outstanding as of the last business day of the quarter.</w:t>
      </w:r>
    </w:p>
    <w:p>
      <w:pPr>
        <w:spacing w:after="0" w:line="1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Schedule RC—Balance Sheet</w:t>
      </w:r>
    </w:p>
    <w:p>
      <w:pPr>
        <w:sectPr>
          <w:pgSz w:w="11900" w:h="16838" w:orient="portrait"/>
          <w:cols w:equalWidth="0" w:num="1">
            <w:col w:w="9019"/>
          </w:cols>
          <w:pgMar w:left="1440" w:top="239" w:right="1440" w:bottom="1440" w:gutter="0" w:footer="0" w:header="0"/>
        </w:sectPr>
      </w:pP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11430</wp:posOffset>
            </wp:positionV>
            <wp:extent cx="5513070" cy="81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5513070" cy="8128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1"/>
          <w:szCs w:val="11"/>
          <w:b w:val="1"/>
          <w:bCs w:val="1"/>
          <w:color w:val="auto"/>
        </w:rPr>
        <w:t>Assets</w:t>
      </w:r>
    </w:p>
    <w:p>
      <w:pPr>
        <w:ind w:left="340" w:hanging="63"/>
        <w:spacing w:after="0" w:line="222"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 Cash and balances due from depository institutions (from Schedule RC-A):</w:t>
      </w:r>
    </w:p>
    <w:p>
      <w:pPr>
        <w:ind w:left="560" w:hanging="113"/>
        <w:spacing w:after="0" w:line="222" w:lineRule="auto"/>
        <w:tabs>
          <w:tab w:leader="none" w:pos="560" w:val="left"/>
        </w:tabs>
        <w:numPr>
          <w:ilvl w:val="1"/>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Noninterest-bearing balances and currency and coin </w:t>
      </w:r>
      <w:r>
        <w:rPr>
          <w:rFonts w:ascii="Times New Roman" w:cs="Times New Roman" w:eastAsia="Times New Roman" w:hAnsi="Times New Roman"/>
          <w:sz w:val="8"/>
          <w:szCs w:val="8"/>
          <w:color w:val="auto"/>
        </w:rPr>
        <w:t>(1)</w:t>
      </w:r>
    </w:p>
    <w:p>
      <w:pPr>
        <w:ind w:left="560" w:hanging="113"/>
        <w:spacing w:after="0" w:line="222" w:lineRule="auto"/>
        <w:tabs>
          <w:tab w:leader="none" w:pos="560" w:val="left"/>
        </w:tabs>
        <w:numPr>
          <w:ilvl w:val="1"/>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Interest-bearing balances </w:t>
      </w:r>
      <w:r>
        <w:rPr>
          <w:rFonts w:ascii="Times New Roman" w:cs="Times New Roman" w:eastAsia="Times New Roman" w:hAnsi="Times New Roman"/>
          <w:sz w:val="8"/>
          <w:szCs w:val="8"/>
          <w:color w:val="auto"/>
        </w:rPr>
        <w:t>(2)</w:t>
      </w:r>
    </w:p>
    <w:p>
      <w:pPr>
        <w:ind w:left="340" w:hanging="63"/>
        <w:spacing w:after="0" w:line="222"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 Securities:</w:t>
      </w:r>
    </w:p>
    <w:p>
      <w:pPr>
        <w:ind w:left="560" w:hanging="113"/>
        <w:spacing w:after="0" w:line="222" w:lineRule="auto"/>
        <w:tabs>
          <w:tab w:leader="none" w:pos="560" w:val="left"/>
        </w:tabs>
        <w:numPr>
          <w:ilvl w:val="1"/>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Held-to-maturity securities (from Schedule RC-B, column A) </w:t>
      </w:r>
      <w:r>
        <w:rPr>
          <w:rFonts w:ascii="Times New Roman" w:cs="Times New Roman" w:eastAsia="Times New Roman" w:hAnsi="Times New Roman"/>
          <w:sz w:val="8"/>
          <w:szCs w:val="8"/>
          <w:color w:val="auto"/>
        </w:rPr>
        <w:t>(3)</w:t>
      </w:r>
    </w:p>
    <w:p>
      <w:pPr>
        <w:ind w:left="560" w:hanging="113"/>
        <w:spacing w:after="0" w:line="222" w:lineRule="auto"/>
        <w:tabs>
          <w:tab w:leader="none" w:pos="560" w:val="left"/>
        </w:tabs>
        <w:numPr>
          <w:ilvl w:val="1"/>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Available-for-sale debt securities (from Schedule RC-B, column D)</w:t>
      </w:r>
    </w:p>
    <w:p>
      <w:pPr>
        <w:ind w:left="560" w:hanging="113"/>
        <w:spacing w:after="0" w:line="222" w:lineRule="auto"/>
        <w:tabs>
          <w:tab w:leader="none" w:pos="560" w:val="left"/>
        </w:tabs>
        <w:numPr>
          <w:ilvl w:val="1"/>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Equity securities with readily determinable fair values not held for trading </w:t>
      </w:r>
      <w:r>
        <w:rPr>
          <w:rFonts w:ascii="Times New Roman" w:cs="Times New Roman" w:eastAsia="Times New Roman" w:hAnsi="Times New Roman"/>
          <w:sz w:val="8"/>
          <w:szCs w:val="8"/>
          <w:color w:val="auto"/>
        </w:rPr>
        <w:t>(4)</w:t>
      </w:r>
    </w:p>
    <w:p>
      <w:pPr>
        <w:ind w:left="340" w:hanging="63"/>
        <w:spacing w:after="0" w:line="222"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3. Federal funds sold and securities purchased under agreements to resell:</w:t>
      </w:r>
    </w:p>
    <w:p>
      <w:pPr>
        <w:ind w:left="560" w:hanging="113"/>
        <w:spacing w:after="0" w:line="222" w:lineRule="auto"/>
        <w:tabs>
          <w:tab w:leader="none" w:pos="560" w:val="left"/>
        </w:tabs>
        <w:numPr>
          <w:ilvl w:val="1"/>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Federal funds sold</w:t>
      </w:r>
    </w:p>
    <w:p>
      <w:pPr>
        <w:ind w:left="560" w:hanging="113"/>
        <w:spacing w:after="0" w:line="222" w:lineRule="auto"/>
        <w:tabs>
          <w:tab w:leader="none" w:pos="560" w:val="left"/>
        </w:tabs>
        <w:numPr>
          <w:ilvl w:val="1"/>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Securities purchased under agreements to resell </w:t>
      </w:r>
      <w:r>
        <w:rPr>
          <w:rFonts w:ascii="Times New Roman" w:cs="Times New Roman" w:eastAsia="Times New Roman" w:hAnsi="Times New Roman"/>
          <w:sz w:val="8"/>
          <w:szCs w:val="8"/>
          <w:color w:val="auto"/>
        </w:rPr>
        <w:t>(5, 6)</w:t>
      </w:r>
    </w:p>
    <w:p>
      <w:pPr>
        <w:ind w:left="340" w:hanging="63"/>
        <w:spacing w:after="0" w:line="222"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 Loans and lease financing receivables (from Schedule RC-C):</w:t>
      </w:r>
    </w:p>
    <w:p>
      <w:pPr>
        <w:ind w:left="560" w:hanging="113"/>
        <w:spacing w:after="0" w:line="222" w:lineRule="auto"/>
        <w:tabs>
          <w:tab w:leader="none" w:pos="560" w:val="left"/>
        </w:tabs>
        <w:numPr>
          <w:ilvl w:val="1"/>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Loans and leases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-813435</wp:posOffset>
            </wp:positionV>
            <wp:extent cx="5513070" cy="742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-664845</wp:posOffset>
            </wp:positionV>
            <wp:extent cx="5513070" cy="742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-516255</wp:posOffset>
            </wp:positionV>
            <wp:extent cx="5513070" cy="742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-367665</wp:posOffset>
            </wp:positionV>
            <wp:extent cx="5513070" cy="74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-219075</wp:posOffset>
            </wp:positionV>
            <wp:extent cx="5513070" cy="742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-70485</wp:posOffset>
            </wp:positionV>
            <wp:extent cx="5513070" cy="742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5513070" cy="74295"/>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03"/>
        </w:trPr>
        <w:tc>
          <w:tcPr>
            <w:tcW w:w="160" w:type="dxa"/>
            <w:vAlign w:val="bottom"/>
          </w:tcPr>
          <w:p>
            <w:pPr>
              <w:spacing w:after="0"/>
              <w:rPr>
                <w:sz w:val="8"/>
                <w:szCs w:val="8"/>
                <w:color w:val="auto"/>
              </w:rPr>
            </w:pPr>
          </w:p>
        </w:tc>
        <w:tc>
          <w:tcPr>
            <w:tcW w:w="474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b. Loans and leases held for investment</w:t>
            </w:r>
          </w:p>
        </w:tc>
        <w:tc>
          <w:tcPr>
            <w:tcW w:w="1500" w:type="dxa"/>
            <w:vAlign w:val="bottom"/>
          </w:tcPr>
          <w:p>
            <w:pPr>
              <w:jc w:val="right"/>
              <w:ind w:right="3"/>
              <w:spacing w:after="0" w:line="103" w:lineRule="exact"/>
              <w:rPr>
                <w:sz w:val="20"/>
                <w:szCs w:val="20"/>
                <w:color w:val="auto"/>
              </w:rPr>
            </w:pPr>
            <w:r>
              <w:rPr>
                <w:rFonts w:ascii="Times New Roman" w:cs="Times New Roman" w:eastAsia="Times New Roman" w:hAnsi="Times New Roman"/>
                <w:sz w:val="11"/>
                <w:szCs w:val="11"/>
                <w:color w:val="auto"/>
              </w:rPr>
              <w:t>B528</w:t>
            </w: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15,708,000</w:t>
            </w:r>
          </w:p>
        </w:tc>
      </w:tr>
      <w:tr>
        <w:trPr>
          <w:trHeight w:val="119"/>
        </w:trPr>
        <w:tc>
          <w:tcPr>
            <w:tcW w:w="160" w:type="dxa"/>
            <w:vAlign w:val="bottom"/>
          </w:tcPr>
          <w:p>
            <w:pPr>
              <w:spacing w:after="0"/>
              <w:rPr>
                <w:sz w:val="10"/>
                <w:szCs w:val="10"/>
                <w:color w:val="auto"/>
              </w:rPr>
            </w:pPr>
          </w:p>
        </w:tc>
        <w:tc>
          <w:tcPr>
            <w:tcW w:w="4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 LESS: Allowance for credit losses on loans and leases</w:t>
            </w:r>
          </w:p>
        </w:tc>
        <w:tc>
          <w:tcPr>
            <w:tcW w:w="150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3123</w:t>
            </w: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35,000</w:t>
            </w:r>
          </w:p>
        </w:tc>
      </w:tr>
      <w:tr>
        <w:trPr>
          <w:trHeight w:val="117"/>
        </w:trPr>
        <w:tc>
          <w:tcPr>
            <w:tcW w:w="160" w:type="dxa"/>
            <w:vAlign w:val="bottom"/>
          </w:tcPr>
          <w:p>
            <w:pPr>
              <w:spacing w:after="0"/>
              <w:rPr>
                <w:sz w:val="10"/>
                <w:szCs w:val="10"/>
                <w:color w:val="auto"/>
              </w:rPr>
            </w:pPr>
          </w:p>
        </w:tc>
        <w:tc>
          <w:tcPr>
            <w:tcW w:w="47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d. Loans and leases held for investment, net of allowance (item 4.b minus 4.c)</w:t>
            </w:r>
          </w:p>
        </w:tc>
        <w:tc>
          <w:tcPr>
            <w:tcW w:w="15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17"/>
        </w:trPr>
        <w:tc>
          <w:tcPr>
            <w:tcW w:w="490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  5. Trading assets (from Schedule RC-D)</w:t>
            </w:r>
          </w:p>
        </w:tc>
        <w:tc>
          <w:tcPr>
            <w:tcW w:w="15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17"/>
        </w:trPr>
        <w:tc>
          <w:tcPr>
            <w:tcW w:w="1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w w:val="84"/>
              </w:rPr>
              <w:t>  6.</w:t>
            </w:r>
          </w:p>
        </w:tc>
        <w:tc>
          <w:tcPr>
            <w:tcW w:w="47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Premises and fixed assets (including right-of-use assets)</w:t>
            </w:r>
          </w:p>
        </w:tc>
        <w:tc>
          <w:tcPr>
            <w:tcW w:w="15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17"/>
        </w:trPr>
        <w:tc>
          <w:tcPr>
            <w:tcW w:w="1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w w:val="84"/>
              </w:rPr>
              <w:t>  7.</w:t>
            </w:r>
          </w:p>
        </w:tc>
        <w:tc>
          <w:tcPr>
            <w:tcW w:w="47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Other real estate owned (from Schedule RC-M)</w:t>
            </w:r>
          </w:p>
        </w:tc>
        <w:tc>
          <w:tcPr>
            <w:tcW w:w="15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17"/>
        </w:trPr>
        <w:tc>
          <w:tcPr>
            <w:tcW w:w="1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w w:val="84"/>
              </w:rPr>
              <w:t>  8.</w:t>
            </w:r>
          </w:p>
        </w:tc>
        <w:tc>
          <w:tcPr>
            <w:tcW w:w="47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Investments in unconsolidated subsidiaries and associated companies</w:t>
            </w:r>
          </w:p>
        </w:tc>
        <w:tc>
          <w:tcPr>
            <w:tcW w:w="15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9"/>
        </w:trPr>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84"/>
              </w:rPr>
              <w:t>  9.</w:t>
            </w:r>
          </w:p>
        </w:tc>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Direct and indirect investments in real estate ventures</w:t>
            </w: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-516255</wp:posOffset>
            </wp:positionV>
            <wp:extent cx="5513070" cy="742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-367665</wp:posOffset>
            </wp:positionV>
            <wp:extent cx="5513070" cy="742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-219075</wp:posOffset>
            </wp:positionV>
            <wp:extent cx="5513070" cy="742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-70485</wp:posOffset>
            </wp:positionV>
            <wp:extent cx="5513070" cy="742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5513070" cy="74295"/>
                    </a:xfrm>
                    <a:prstGeom prst="rect">
                      <a:avLst/>
                    </a:prstGeom>
                    <a:noFill/>
                  </pic:spPr>
                </pic:pic>
              </a:graphicData>
            </a:graphic>
          </wp:anchor>
        </w:drawing>
      </w:r>
    </w:p>
    <w:p>
      <w:pPr>
        <w:ind w:left="440" w:hanging="163"/>
        <w:spacing w:after="0" w:line="222" w:lineRule="auto"/>
        <w:tabs>
          <w:tab w:leader="none" w:pos="44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Intangible assets (from Schedule RC-M)</w:t>
      </w:r>
    </w:p>
    <w:p>
      <w:pPr>
        <w:ind w:left="440" w:hanging="163"/>
        <w:spacing w:after="0" w:line="222" w:lineRule="auto"/>
        <w:tabs>
          <w:tab w:leader="none" w:pos="44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Other assets (from Schedule RC-F) </w:t>
      </w:r>
      <w:r>
        <w:rPr>
          <w:rFonts w:ascii="Times New Roman" w:cs="Times New Roman" w:eastAsia="Times New Roman" w:hAnsi="Times New Roman"/>
          <w:sz w:val="8"/>
          <w:szCs w:val="8"/>
          <w:color w:val="auto"/>
        </w:rPr>
        <w:t>(6)</w:t>
      </w:r>
    </w:p>
    <w:p>
      <w:pPr>
        <w:ind w:left="440" w:hanging="163"/>
        <w:spacing w:after="0"/>
        <w:tabs>
          <w:tab w:leader="none" w:pos="44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assets (sum of items 1 through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-150495</wp:posOffset>
            </wp:positionV>
            <wp:extent cx="5513070" cy="742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5513070" cy="74295"/>
                    </a:xfrm>
                    <a:prstGeom prst="rect">
                      <a:avLst/>
                    </a:prstGeom>
                    <a:noFill/>
                  </pic:spPr>
                </pic:pic>
              </a:graphicData>
            </a:graphic>
          </wp:anchor>
        </w:drawing>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-67310</wp:posOffset>
            </wp:positionV>
            <wp:extent cx="5513070" cy="742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5513070" cy="74295"/>
                    </a:xfrm>
                    <a:prstGeom prst="rect">
                      <a:avLst/>
                    </a:prstGeom>
                    <a:noFill/>
                  </pic:spPr>
                </pic:pic>
              </a:graphicData>
            </a:graphic>
          </wp:anchor>
        </w:drawing>
      </w:r>
    </w:p>
    <w:p>
      <w:pPr>
        <w:ind w:left="440" w:hanging="163"/>
        <w:spacing w:after="0" w:line="230" w:lineRule="auto"/>
        <w:tabs>
          <w:tab w:leader="none" w:pos="4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Deposits:</w:t>
      </w:r>
    </w:p>
    <w:p>
      <w:pPr>
        <w:ind w:left="440"/>
        <w:spacing w:after="0" w:line="222"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In domestic offices (sum of totals of columns A and C from Schedule 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-70485</wp:posOffset>
            </wp:positionV>
            <wp:extent cx="5513070" cy="742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5513070" cy="74295"/>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05"/>
        </w:trPr>
        <w:tc>
          <w:tcPr>
            <w:tcW w:w="140" w:type="dxa"/>
            <w:vAlign w:val="bottom"/>
          </w:tcPr>
          <w:p>
            <w:pPr>
              <w:jc w:val="right"/>
              <w:spacing w:after="0" w:line="105" w:lineRule="exact"/>
              <w:rPr>
                <w:sz w:val="20"/>
                <w:szCs w:val="20"/>
                <w:color w:val="auto"/>
              </w:rPr>
            </w:pPr>
            <w:r>
              <w:rPr>
                <w:rFonts w:ascii="Times New Roman" w:cs="Times New Roman" w:eastAsia="Times New Roman" w:hAnsi="Times New Roman"/>
                <w:sz w:val="11"/>
                <w:szCs w:val="11"/>
                <w:color w:val="auto"/>
                <w:w w:val="93"/>
              </w:rPr>
              <w:t>(1)</w:t>
            </w:r>
          </w:p>
        </w:tc>
        <w:tc>
          <w:tcPr>
            <w:tcW w:w="3360" w:type="dxa"/>
            <w:vAlign w:val="bottom"/>
          </w:tcPr>
          <w:p>
            <w:pPr>
              <w:ind w:left="20"/>
              <w:spacing w:after="0" w:line="105" w:lineRule="exact"/>
              <w:rPr>
                <w:sz w:val="20"/>
                <w:szCs w:val="20"/>
                <w:color w:val="auto"/>
              </w:rPr>
            </w:pPr>
            <w:r>
              <w:rPr>
                <w:rFonts w:ascii="Times New Roman" w:cs="Times New Roman" w:eastAsia="Times New Roman" w:hAnsi="Times New Roman"/>
                <w:sz w:val="11"/>
                <w:szCs w:val="11"/>
                <w:color w:val="auto"/>
              </w:rPr>
              <w:t xml:space="preserve">Noninterest-bearing </w:t>
            </w:r>
            <w:r>
              <w:rPr>
                <w:rFonts w:ascii="Times New Roman" w:cs="Times New Roman" w:eastAsia="Times New Roman" w:hAnsi="Times New Roman"/>
                <w:sz w:val="8"/>
                <w:szCs w:val="8"/>
                <w:color w:val="auto"/>
              </w:rPr>
              <w:t>(7)</w:t>
            </w:r>
          </w:p>
        </w:tc>
        <w:tc>
          <w:tcPr>
            <w:tcW w:w="2620" w:type="dxa"/>
            <w:vAlign w:val="bottom"/>
          </w:tcPr>
          <w:p>
            <w:pPr>
              <w:jc w:val="right"/>
              <w:ind w:right="3"/>
              <w:spacing w:after="0" w:line="105" w:lineRule="exact"/>
              <w:rPr>
                <w:sz w:val="20"/>
                <w:szCs w:val="20"/>
                <w:color w:val="auto"/>
              </w:rPr>
            </w:pPr>
            <w:r>
              <w:rPr>
                <w:rFonts w:ascii="Times New Roman" w:cs="Times New Roman" w:eastAsia="Times New Roman" w:hAnsi="Times New Roman"/>
                <w:sz w:val="11"/>
                <w:szCs w:val="11"/>
                <w:color w:val="auto"/>
              </w:rPr>
              <w:t>6631</w:t>
            </w:r>
          </w:p>
        </w:tc>
        <w:tc>
          <w:tcPr>
            <w:tcW w:w="600" w:type="dxa"/>
            <w:vAlign w:val="bottom"/>
          </w:tcPr>
          <w:p>
            <w:pPr>
              <w:jc w:val="right"/>
              <w:spacing w:after="0" w:line="105" w:lineRule="exact"/>
              <w:rPr>
                <w:sz w:val="20"/>
                <w:szCs w:val="20"/>
                <w:color w:val="auto"/>
              </w:rPr>
            </w:pPr>
            <w:r>
              <w:rPr>
                <w:rFonts w:ascii="Times New Roman" w:cs="Times New Roman" w:eastAsia="Times New Roman" w:hAnsi="Times New Roman"/>
                <w:sz w:val="11"/>
                <w:szCs w:val="11"/>
                <w:color w:val="auto"/>
              </w:rPr>
              <w:t>7,594,000</w:t>
            </w:r>
          </w:p>
        </w:tc>
      </w:tr>
      <w:tr>
        <w:trPr>
          <w:trHeight w:val="129"/>
        </w:trPr>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(2)</w:t>
            </w:r>
          </w:p>
        </w:tc>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w:t>
            </w:r>
          </w:p>
        </w:tc>
        <w:tc>
          <w:tcPr>
            <w:tcW w:w="2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6636</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20,119,000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-70485</wp:posOffset>
            </wp:positionV>
            <wp:extent cx="5513070" cy="742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5513070" cy="74295"/>
                    </a:xfrm>
                    <a:prstGeom prst="rect">
                      <a:avLst/>
                    </a:prstGeom>
                    <a:noFill/>
                  </pic:spPr>
                </pic:pic>
              </a:graphicData>
            </a:graphic>
          </wp:anchor>
        </w:drawing>
      </w:r>
    </w:p>
    <w:p>
      <w:pPr>
        <w:ind w:left="440"/>
        <w:spacing w:after="0" w:line="222" w:lineRule="auto"/>
        <w:rPr>
          <w:sz w:val="20"/>
          <w:szCs w:val="20"/>
          <w:color w:val="auto"/>
        </w:rPr>
      </w:pPr>
      <w:r>
        <w:rPr>
          <w:rFonts w:ascii="Times New Roman" w:cs="Times New Roman" w:eastAsia="Times New Roman" w:hAnsi="Times New Roman"/>
          <w:sz w:val="11"/>
          <w:szCs w:val="11"/>
          <w:color w:val="auto"/>
        </w:rPr>
        <w:t>b. Not applicable</w:t>
      </w:r>
    </w:p>
    <w:p>
      <w:pPr>
        <w:ind w:left="440" w:hanging="163"/>
        <w:spacing w:after="0" w:line="222" w:lineRule="auto"/>
        <w:tabs>
          <w:tab w:leader="none" w:pos="44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Federal funds purchased and securities sold under agreements to repurchase:</w:t>
      </w:r>
    </w:p>
    <w:p>
      <w:pPr>
        <w:ind w:left="560" w:hanging="113"/>
        <w:spacing w:after="0" w:line="222" w:lineRule="auto"/>
        <w:tabs>
          <w:tab w:leader="none" w:pos="560" w:val="left"/>
        </w:tabs>
        <w:numPr>
          <w:ilvl w:val="1"/>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Federal funds purchased </w:t>
      </w:r>
      <w:r>
        <w:rPr>
          <w:rFonts w:ascii="Times New Roman" w:cs="Times New Roman" w:eastAsia="Times New Roman" w:hAnsi="Times New Roman"/>
          <w:sz w:val="8"/>
          <w:szCs w:val="8"/>
          <w:color w:val="auto"/>
        </w:rPr>
        <w:t>(8)</w:t>
      </w:r>
    </w:p>
    <w:p>
      <w:pPr>
        <w:ind w:left="560" w:hanging="113"/>
        <w:spacing w:after="0" w:line="222" w:lineRule="auto"/>
        <w:tabs>
          <w:tab w:leader="none" w:pos="560" w:val="left"/>
        </w:tabs>
        <w:numPr>
          <w:ilvl w:val="1"/>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Securities sold under agreements to repurchase </w:t>
      </w:r>
      <w:r>
        <w:rPr>
          <w:rFonts w:ascii="Times New Roman" w:cs="Times New Roman" w:eastAsia="Times New Roman" w:hAnsi="Times New Roman"/>
          <w:sz w:val="8"/>
          <w:szCs w:val="8"/>
          <w:color w:val="auto"/>
        </w:rPr>
        <w:t>(9)</w:t>
      </w:r>
    </w:p>
    <w:p>
      <w:pPr>
        <w:ind w:left="440" w:hanging="163"/>
        <w:spacing w:after="0" w:line="222" w:lineRule="auto"/>
        <w:tabs>
          <w:tab w:leader="none" w:pos="44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Trading liabilities (from Schedule RC-D)</w:t>
      </w:r>
    </w:p>
    <w:p>
      <w:pPr>
        <w:ind w:left="440" w:hanging="163"/>
        <w:spacing w:after="0" w:line="222" w:lineRule="auto"/>
        <w:tabs>
          <w:tab w:leader="none" w:pos="44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borrowed money (includes mortgage indebtedness) (from Schedule RC-M)</w:t>
      </w:r>
    </w:p>
    <w:p>
      <w:pPr>
        <w:ind w:left="440" w:hanging="163"/>
        <w:spacing w:after="0" w:line="222" w:lineRule="auto"/>
        <w:tabs>
          <w:tab w:leader="none" w:pos="44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and 18.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-441960</wp:posOffset>
            </wp:positionV>
            <wp:extent cx="5513070" cy="742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-293370</wp:posOffset>
            </wp:positionV>
            <wp:extent cx="5513070" cy="742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-144780</wp:posOffset>
            </wp:positionV>
            <wp:extent cx="5513070" cy="74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5513070" cy="74295"/>
                    </a:xfrm>
                    <a:prstGeom prst="rect">
                      <a:avLst/>
                    </a:prstGeom>
                    <a:noFill/>
                  </pic:spPr>
                </pic:pic>
              </a:graphicData>
            </a:graphic>
          </wp:anchor>
        </w:drawing>
      </w:r>
    </w:p>
    <w:p>
      <w:pPr>
        <w:ind w:left="440" w:hanging="163"/>
        <w:spacing w:after="0"/>
        <w:tabs>
          <w:tab w:leader="none" w:pos="440" w:val="left"/>
        </w:tabs>
        <w:numPr>
          <w:ilvl w:val="1"/>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Subordinated notes and debentures </w:t>
      </w:r>
      <w:r>
        <w:rPr>
          <w:rFonts w:ascii="Times New Roman" w:cs="Times New Roman" w:eastAsia="Times New Roman" w:hAnsi="Times New Roman"/>
          <w:sz w:val="8"/>
          <w:szCs w:val="8"/>
          <w:color w:val="auto"/>
        </w:rPr>
        <w:t>(10)</w:t>
      </w:r>
    </w:p>
    <w:p>
      <w:pPr>
        <w:spacing w:after="0" w:line="127" w:lineRule="exact"/>
        <w:rPr>
          <w:rFonts w:ascii="Times New Roman" w:cs="Times New Roman" w:eastAsia="Times New Roman" w:hAnsi="Times New Roman"/>
          <w:sz w:val="11"/>
          <w:szCs w:val="11"/>
          <w:color w:val="auto"/>
        </w:rPr>
      </w:pPr>
    </w:p>
    <w:p>
      <w:pPr>
        <w:ind w:left="500" w:hanging="337"/>
        <w:spacing w:after="0"/>
        <w:tabs>
          <w:tab w:leader="none" w:pos="50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cash items in process of collection and unposted debits.</w:t>
      </w:r>
    </w:p>
    <w:p>
      <w:pPr>
        <w:spacing w:after="0" w:line="2" w:lineRule="exact"/>
        <w:rPr>
          <w:rFonts w:ascii="Times New Roman" w:cs="Times New Roman" w:eastAsia="Times New Roman" w:hAnsi="Times New Roman"/>
          <w:sz w:val="11"/>
          <w:szCs w:val="11"/>
          <w:color w:val="auto"/>
        </w:rPr>
      </w:pPr>
    </w:p>
    <w:p>
      <w:pPr>
        <w:ind w:left="500" w:hanging="337"/>
        <w:spacing w:after="0" w:line="222" w:lineRule="auto"/>
        <w:tabs>
          <w:tab w:leader="none" w:pos="50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time certificates of deposit not held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-313690</wp:posOffset>
            </wp:positionV>
            <wp:extent cx="5513070" cy="742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5513070" cy="742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-165100</wp:posOffset>
            </wp:positionV>
            <wp:extent cx="60833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8"/>
              </w:rPr>
              <w:t>RCON</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Amount</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2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0081</w:t>
            </w:r>
          </w:p>
        </w:tc>
        <w:tc>
          <w:tcPr>
            <w:tcW w:w="1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38,000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1.a.</w:t>
            </w:r>
          </w:p>
        </w:tc>
        <w:tc>
          <w:tcPr>
            <w:tcW w:w="0" w:type="dxa"/>
            <w:vAlign w:val="bottom"/>
          </w:tcPr>
          <w:p>
            <w:pPr>
              <w:spacing w:after="0"/>
              <w:rPr>
                <w:sz w:val="1"/>
                <w:szCs w:val="1"/>
                <w:color w:val="auto"/>
              </w:rPr>
            </w:pPr>
          </w:p>
        </w:tc>
      </w:tr>
      <w:tr>
        <w:trPr>
          <w:trHeight w:val="147"/>
        </w:trPr>
        <w:tc>
          <w:tcPr>
            <w:tcW w:w="32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0071</w:t>
            </w:r>
          </w:p>
        </w:tc>
        <w:tc>
          <w:tcPr>
            <w:tcW w:w="12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15,087,000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1.b.</w:t>
            </w:r>
          </w:p>
        </w:tc>
        <w:tc>
          <w:tcPr>
            <w:tcW w:w="0" w:type="dxa"/>
            <w:vAlign w:val="bottom"/>
          </w:tcPr>
          <w:p>
            <w:pPr>
              <w:spacing w:after="0"/>
              <w:rPr>
                <w:sz w:val="1"/>
                <w:szCs w:val="1"/>
                <w:color w:val="auto"/>
              </w:rPr>
            </w:pPr>
          </w:p>
        </w:tc>
      </w:tr>
      <w:tr>
        <w:trPr>
          <w:trHeight w:val="202"/>
        </w:trPr>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JJ34</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2.a.</w:t>
            </w:r>
          </w:p>
        </w:tc>
        <w:tc>
          <w:tcPr>
            <w:tcW w:w="0" w:type="dxa"/>
            <w:vAlign w:val="bottom"/>
          </w:tcPr>
          <w:p>
            <w:pPr>
              <w:spacing w:after="0"/>
              <w:rPr>
                <w:sz w:val="1"/>
                <w:szCs w:val="1"/>
                <w:color w:val="auto"/>
              </w:rPr>
            </w:pPr>
          </w:p>
        </w:tc>
      </w:tr>
      <w:tr>
        <w:trPr>
          <w:trHeight w:val="119"/>
        </w:trPr>
        <w:tc>
          <w:tcPr>
            <w:tcW w:w="320" w:type="dxa"/>
            <w:vAlign w:val="bottom"/>
          </w:tcPr>
          <w:p>
            <w:pPr>
              <w:jc w:val="center"/>
              <w:ind w:left="43"/>
              <w:spacing w:after="0" w:line="119" w:lineRule="exact"/>
              <w:rPr>
                <w:sz w:val="20"/>
                <w:szCs w:val="20"/>
                <w:color w:val="auto"/>
              </w:rPr>
            </w:pPr>
            <w:r>
              <w:rPr>
                <w:rFonts w:ascii="Times New Roman" w:cs="Times New Roman" w:eastAsia="Times New Roman" w:hAnsi="Times New Roman"/>
                <w:sz w:val="11"/>
                <w:szCs w:val="11"/>
                <w:color w:val="auto"/>
                <w:w w:val="99"/>
              </w:rPr>
              <w:t>1773</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403,000</w:t>
            </w:r>
          </w:p>
        </w:tc>
        <w:tc>
          <w:tcPr>
            <w:tcW w:w="420" w:type="dxa"/>
            <w:vAlign w:val="bottom"/>
          </w:tcPr>
          <w:p>
            <w:pPr>
              <w:ind w:left="60"/>
              <w:spacing w:after="0" w:line="119" w:lineRule="exact"/>
              <w:rPr>
                <w:sz w:val="20"/>
                <w:szCs w:val="20"/>
                <w:color w:val="auto"/>
              </w:rPr>
            </w:pPr>
            <w:r>
              <w:rPr>
                <w:rFonts w:ascii="Times New Roman" w:cs="Times New Roman" w:eastAsia="Times New Roman" w:hAnsi="Times New Roman"/>
                <w:sz w:val="11"/>
                <w:szCs w:val="11"/>
                <w:color w:val="auto"/>
              </w:rPr>
              <w:t>2.b.</w:t>
            </w:r>
          </w:p>
        </w:tc>
        <w:tc>
          <w:tcPr>
            <w:tcW w:w="0" w:type="dxa"/>
            <w:vAlign w:val="bottom"/>
          </w:tcPr>
          <w:p>
            <w:pPr>
              <w:spacing w:after="0"/>
              <w:rPr>
                <w:sz w:val="1"/>
                <w:szCs w:val="1"/>
                <w:color w:val="auto"/>
              </w:rPr>
            </w:pPr>
          </w:p>
        </w:tc>
      </w:tr>
      <w:tr>
        <w:trPr>
          <w:trHeight w:val="147"/>
        </w:trPr>
        <w:tc>
          <w:tcPr>
            <w:tcW w:w="4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JA22</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2.c.</w:t>
            </w:r>
          </w:p>
        </w:tc>
        <w:tc>
          <w:tcPr>
            <w:tcW w:w="0" w:type="dxa"/>
            <w:vAlign w:val="bottom"/>
          </w:tcPr>
          <w:p>
            <w:pPr>
              <w:spacing w:after="0"/>
              <w:rPr>
                <w:sz w:val="1"/>
                <w:szCs w:val="1"/>
                <w:color w:val="auto"/>
              </w:rPr>
            </w:pPr>
          </w:p>
        </w:tc>
      </w:tr>
      <w:tr>
        <w:trPr>
          <w:trHeight w:val="204"/>
        </w:trPr>
        <w:tc>
          <w:tcPr>
            <w:tcW w:w="4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B987</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3.a.</w:t>
            </w:r>
          </w:p>
        </w:tc>
        <w:tc>
          <w:tcPr>
            <w:tcW w:w="0" w:type="dxa"/>
            <w:vAlign w:val="bottom"/>
          </w:tcPr>
          <w:p>
            <w:pPr>
              <w:spacing w:after="0"/>
              <w:rPr>
                <w:sz w:val="1"/>
                <w:szCs w:val="1"/>
                <w:color w:val="auto"/>
              </w:rPr>
            </w:pPr>
          </w:p>
        </w:tc>
      </w:tr>
      <w:tr>
        <w:trPr>
          <w:trHeight w:val="147"/>
        </w:trPr>
        <w:tc>
          <w:tcPr>
            <w:tcW w:w="4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B989</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6,920,000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3.b.</w:t>
            </w:r>
          </w:p>
        </w:tc>
        <w:tc>
          <w:tcPr>
            <w:tcW w:w="0" w:type="dxa"/>
            <w:vAlign w:val="bottom"/>
          </w:tcPr>
          <w:p>
            <w:pPr>
              <w:spacing w:after="0"/>
              <w:rPr>
                <w:sz w:val="1"/>
                <w:szCs w:val="1"/>
                <w:color w:val="auto"/>
              </w:rPr>
            </w:pPr>
          </w:p>
        </w:tc>
      </w:tr>
      <w:tr>
        <w:trPr>
          <w:trHeight w:val="204"/>
        </w:trPr>
        <w:tc>
          <w:tcPr>
            <w:tcW w:w="32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5369</w:t>
            </w:r>
          </w:p>
        </w:tc>
        <w:tc>
          <w:tcPr>
            <w:tcW w:w="1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4.a.</w:t>
            </w:r>
          </w:p>
        </w:tc>
        <w:tc>
          <w:tcPr>
            <w:tcW w:w="0" w:type="dxa"/>
            <w:vAlign w:val="bottom"/>
          </w:tcPr>
          <w:p>
            <w:pPr>
              <w:spacing w:after="0"/>
              <w:rPr>
                <w:sz w:val="1"/>
                <w:szCs w:val="1"/>
                <w:color w:val="auto"/>
              </w:rPr>
            </w:pPr>
          </w:p>
        </w:tc>
      </w:tr>
      <w:tr>
        <w:trPr>
          <w:trHeight w:val="117"/>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4.b.</w:t>
            </w:r>
          </w:p>
        </w:tc>
        <w:tc>
          <w:tcPr>
            <w:tcW w:w="0" w:type="dxa"/>
            <w:vAlign w:val="bottom"/>
          </w:tcPr>
          <w:p>
            <w:pPr>
              <w:spacing w:after="0"/>
              <w:rPr>
                <w:sz w:val="1"/>
                <w:szCs w:val="1"/>
                <w:color w:val="auto"/>
              </w:rPr>
            </w:pPr>
          </w:p>
        </w:tc>
      </w:tr>
      <w:tr>
        <w:trPr>
          <w:trHeight w:val="117"/>
        </w:trPr>
        <w:tc>
          <w:tcPr>
            <w:tcW w:w="4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color w:val="auto"/>
              </w:rPr>
              <w:t>B529</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15,673,000</w:t>
            </w: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4.c.</w:t>
            </w:r>
          </w:p>
        </w:tc>
        <w:tc>
          <w:tcPr>
            <w:tcW w:w="0" w:type="dxa"/>
            <w:vAlign w:val="bottom"/>
          </w:tcPr>
          <w:p>
            <w:pPr>
              <w:spacing w:after="0"/>
              <w:rPr>
                <w:sz w:val="1"/>
                <w:szCs w:val="1"/>
                <w:color w:val="auto"/>
              </w:rPr>
            </w:pPr>
          </w:p>
        </w:tc>
      </w:tr>
      <w:tr>
        <w:trPr>
          <w:trHeight w:val="117"/>
        </w:trPr>
        <w:tc>
          <w:tcPr>
            <w:tcW w:w="44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4.d.</w:t>
            </w:r>
          </w:p>
        </w:tc>
        <w:tc>
          <w:tcPr>
            <w:tcW w:w="0" w:type="dxa"/>
            <w:vAlign w:val="bottom"/>
          </w:tcPr>
          <w:p>
            <w:pPr>
              <w:spacing w:after="0"/>
              <w:rPr>
                <w:sz w:val="1"/>
                <w:szCs w:val="1"/>
                <w:color w:val="auto"/>
              </w:rPr>
            </w:pPr>
          </w:p>
        </w:tc>
      </w:tr>
      <w:tr>
        <w:trPr>
          <w:trHeight w:val="117"/>
        </w:trPr>
        <w:tc>
          <w:tcPr>
            <w:tcW w:w="320" w:type="dxa"/>
            <w:vAlign w:val="bottom"/>
          </w:tcPr>
          <w:p>
            <w:pPr>
              <w:jc w:val="center"/>
              <w:ind w:left="43"/>
              <w:spacing w:after="0" w:line="118" w:lineRule="exact"/>
              <w:rPr>
                <w:sz w:val="20"/>
                <w:szCs w:val="20"/>
                <w:color w:val="auto"/>
              </w:rPr>
            </w:pPr>
            <w:r>
              <w:rPr>
                <w:rFonts w:ascii="Times New Roman" w:cs="Times New Roman" w:eastAsia="Times New Roman" w:hAnsi="Times New Roman"/>
                <w:sz w:val="11"/>
                <w:szCs w:val="11"/>
                <w:color w:val="auto"/>
                <w:w w:val="99"/>
              </w:rPr>
              <w:t>3545</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17"/>
        </w:trPr>
        <w:tc>
          <w:tcPr>
            <w:tcW w:w="320" w:type="dxa"/>
            <w:vAlign w:val="bottom"/>
          </w:tcPr>
          <w:p>
            <w:pPr>
              <w:jc w:val="center"/>
              <w:ind w:left="43"/>
              <w:spacing w:after="0" w:line="118" w:lineRule="exact"/>
              <w:rPr>
                <w:sz w:val="20"/>
                <w:szCs w:val="20"/>
                <w:color w:val="auto"/>
              </w:rPr>
            </w:pPr>
            <w:r>
              <w:rPr>
                <w:rFonts w:ascii="Times New Roman" w:cs="Times New Roman" w:eastAsia="Times New Roman" w:hAnsi="Times New Roman"/>
                <w:sz w:val="11"/>
                <w:szCs w:val="11"/>
                <w:color w:val="auto"/>
                <w:w w:val="99"/>
              </w:rPr>
              <w:t>2145</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1"/>
                <w:szCs w:val="11"/>
                <w:color w:val="auto"/>
              </w:rPr>
              <w:t>1,000</w:t>
            </w: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17"/>
        </w:trPr>
        <w:tc>
          <w:tcPr>
            <w:tcW w:w="320" w:type="dxa"/>
            <w:vAlign w:val="bottom"/>
          </w:tcPr>
          <w:p>
            <w:pPr>
              <w:jc w:val="center"/>
              <w:ind w:left="43"/>
              <w:spacing w:after="0" w:line="118" w:lineRule="exact"/>
              <w:rPr>
                <w:sz w:val="20"/>
                <w:szCs w:val="20"/>
                <w:color w:val="auto"/>
              </w:rPr>
            </w:pPr>
            <w:r>
              <w:rPr>
                <w:rFonts w:ascii="Times New Roman" w:cs="Times New Roman" w:eastAsia="Times New Roman" w:hAnsi="Times New Roman"/>
                <w:sz w:val="11"/>
                <w:szCs w:val="11"/>
                <w:color w:val="auto"/>
                <w:w w:val="99"/>
              </w:rPr>
              <w:t>2150</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17"/>
        </w:trPr>
        <w:tc>
          <w:tcPr>
            <w:tcW w:w="320" w:type="dxa"/>
            <w:vAlign w:val="bottom"/>
          </w:tcPr>
          <w:p>
            <w:pPr>
              <w:jc w:val="center"/>
              <w:ind w:left="43"/>
              <w:spacing w:after="0" w:line="118" w:lineRule="exact"/>
              <w:rPr>
                <w:sz w:val="20"/>
                <w:szCs w:val="20"/>
                <w:color w:val="auto"/>
              </w:rPr>
            </w:pPr>
            <w:r>
              <w:rPr>
                <w:rFonts w:ascii="Times New Roman" w:cs="Times New Roman" w:eastAsia="Times New Roman" w:hAnsi="Times New Roman"/>
                <w:sz w:val="11"/>
                <w:szCs w:val="11"/>
                <w:color w:val="auto"/>
                <w:w w:val="99"/>
              </w:rPr>
              <w:t>2130</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15"/>
        </w:trPr>
        <w:tc>
          <w:tcPr>
            <w:tcW w:w="320" w:type="dxa"/>
            <w:vAlign w:val="bottom"/>
          </w:tcPr>
          <w:p>
            <w:pPr>
              <w:jc w:val="center"/>
              <w:ind w:left="43"/>
              <w:spacing w:after="0" w:line="115" w:lineRule="exact"/>
              <w:rPr>
                <w:sz w:val="20"/>
                <w:szCs w:val="20"/>
                <w:color w:val="auto"/>
              </w:rPr>
            </w:pPr>
            <w:r>
              <w:rPr>
                <w:rFonts w:ascii="Times New Roman" w:cs="Times New Roman" w:eastAsia="Times New Roman" w:hAnsi="Times New Roman"/>
                <w:sz w:val="11"/>
                <w:szCs w:val="11"/>
                <w:color w:val="auto"/>
                <w:w w:val="99"/>
              </w:rPr>
              <w:t>3656</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17"/>
        </w:trPr>
        <w:tc>
          <w:tcPr>
            <w:tcW w:w="320" w:type="dxa"/>
            <w:vAlign w:val="bottom"/>
          </w:tcPr>
          <w:p>
            <w:pPr>
              <w:jc w:val="center"/>
              <w:ind w:left="43"/>
              <w:spacing w:after="0" w:line="118" w:lineRule="exact"/>
              <w:rPr>
                <w:sz w:val="20"/>
                <w:szCs w:val="20"/>
                <w:color w:val="auto"/>
              </w:rPr>
            </w:pPr>
            <w:r>
              <w:rPr>
                <w:rFonts w:ascii="Times New Roman" w:cs="Times New Roman" w:eastAsia="Times New Roman" w:hAnsi="Times New Roman"/>
                <w:sz w:val="11"/>
                <w:szCs w:val="11"/>
                <w:color w:val="auto"/>
                <w:w w:val="99"/>
              </w:rPr>
              <w:t>2143</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1"/>
                <w:szCs w:val="11"/>
                <w:b w:val="1"/>
                <w:bCs w:val="1"/>
                <w:color w:val="auto"/>
              </w:rPr>
              <w:t>1,000</w:t>
            </w: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17"/>
        </w:trPr>
        <w:tc>
          <w:tcPr>
            <w:tcW w:w="320" w:type="dxa"/>
            <w:vAlign w:val="bottom"/>
          </w:tcPr>
          <w:p>
            <w:pPr>
              <w:jc w:val="center"/>
              <w:ind w:left="43"/>
              <w:spacing w:after="0" w:line="118" w:lineRule="exact"/>
              <w:rPr>
                <w:sz w:val="20"/>
                <w:szCs w:val="20"/>
                <w:color w:val="auto"/>
              </w:rPr>
            </w:pPr>
            <w:r>
              <w:rPr>
                <w:rFonts w:ascii="Times New Roman" w:cs="Times New Roman" w:eastAsia="Times New Roman" w:hAnsi="Times New Roman"/>
                <w:sz w:val="11"/>
                <w:szCs w:val="11"/>
                <w:color w:val="auto"/>
                <w:w w:val="99"/>
              </w:rPr>
              <w:t>2160</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1"/>
                <w:szCs w:val="11"/>
                <w:b w:val="1"/>
                <w:bCs w:val="1"/>
                <w:color w:val="auto"/>
              </w:rPr>
              <w:t>1,622,000</w:t>
            </w: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49"/>
        </w:trPr>
        <w:tc>
          <w:tcPr>
            <w:tcW w:w="32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2170</w:t>
            </w:r>
          </w:p>
        </w:tc>
        <w:tc>
          <w:tcPr>
            <w:tcW w:w="12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39,745,000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406"/>
        </w:trPr>
        <w:tc>
          <w:tcPr>
            <w:tcW w:w="32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2200</w:t>
            </w:r>
          </w:p>
        </w:tc>
        <w:tc>
          <w:tcPr>
            <w:tcW w:w="1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27,713,000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13.a.</w:t>
            </w:r>
          </w:p>
        </w:tc>
        <w:tc>
          <w:tcPr>
            <w:tcW w:w="0" w:type="dxa"/>
            <w:vAlign w:val="bottom"/>
          </w:tcPr>
          <w:p>
            <w:pPr>
              <w:spacing w:after="0"/>
              <w:rPr>
                <w:sz w:val="1"/>
                <w:szCs w:val="1"/>
                <w:color w:val="auto"/>
              </w:rPr>
            </w:pPr>
          </w:p>
        </w:tc>
      </w:tr>
      <w:tr>
        <w:trPr>
          <w:trHeight w:val="117"/>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w w:val="99"/>
              </w:rPr>
              <w:t>13.a.(1)</w:t>
            </w:r>
          </w:p>
        </w:tc>
        <w:tc>
          <w:tcPr>
            <w:tcW w:w="0" w:type="dxa"/>
            <w:vAlign w:val="bottom"/>
          </w:tcPr>
          <w:p>
            <w:pPr>
              <w:spacing w:after="0"/>
              <w:rPr>
                <w:sz w:val="1"/>
                <w:szCs w:val="1"/>
                <w:color w:val="auto"/>
              </w:rPr>
            </w:pPr>
          </w:p>
        </w:tc>
      </w:tr>
      <w:tr>
        <w:trPr>
          <w:trHeight w:val="147"/>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9"/>
              </w:rPr>
              <w:t>13.a.(2)</w:t>
            </w:r>
          </w:p>
        </w:tc>
        <w:tc>
          <w:tcPr>
            <w:tcW w:w="0" w:type="dxa"/>
            <w:vAlign w:val="bottom"/>
          </w:tcPr>
          <w:p>
            <w:pPr>
              <w:spacing w:after="0"/>
              <w:rPr>
                <w:sz w:val="1"/>
                <w:szCs w:val="1"/>
                <w:color w:val="auto"/>
              </w:rPr>
            </w:pPr>
          </w:p>
        </w:tc>
      </w:tr>
      <w:tr>
        <w:trPr>
          <w:trHeight w:val="321"/>
        </w:trPr>
        <w:tc>
          <w:tcPr>
            <w:tcW w:w="4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B993</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14.a.</w:t>
            </w:r>
          </w:p>
        </w:tc>
        <w:tc>
          <w:tcPr>
            <w:tcW w:w="0" w:type="dxa"/>
            <w:vAlign w:val="bottom"/>
          </w:tcPr>
          <w:p>
            <w:pPr>
              <w:spacing w:after="0"/>
              <w:rPr>
                <w:sz w:val="1"/>
                <w:szCs w:val="1"/>
                <w:color w:val="auto"/>
              </w:rPr>
            </w:pPr>
          </w:p>
        </w:tc>
      </w:tr>
      <w:tr>
        <w:trPr>
          <w:trHeight w:val="115"/>
        </w:trPr>
        <w:tc>
          <w:tcPr>
            <w:tcW w:w="44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color w:val="auto"/>
              </w:rPr>
              <w:t>B995</w:t>
            </w:r>
          </w:p>
        </w:tc>
        <w:tc>
          <w:tcPr>
            <w:tcW w:w="60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14.b.</w:t>
            </w:r>
          </w:p>
        </w:tc>
        <w:tc>
          <w:tcPr>
            <w:tcW w:w="0" w:type="dxa"/>
            <w:vAlign w:val="bottom"/>
          </w:tcPr>
          <w:p>
            <w:pPr>
              <w:spacing w:after="0"/>
              <w:rPr>
                <w:sz w:val="1"/>
                <w:szCs w:val="1"/>
                <w:color w:val="auto"/>
              </w:rPr>
            </w:pPr>
          </w:p>
        </w:tc>
      </w:tr>
      <w:tr>
        <w:trPr>
          <w:trHeight w:val="117"/>
        </w:trPr>
        <w:tc>
          <w:tcPr>
            <w:tcW w:w="320" w:type="dxa"/>
            <w:vAlign w:val="bottom"/>
          </w:tcPr>
          <w:p>
            <w:pPr>
              <w:jc w:val="center"/>
              <w:ind w:left="43"/>
              <w:spacing w:after="0" w:line="118" w:lineRule="exact"/>
              <w:rPr>
                <w:sz w:val="20"/>
                <w:szCs w:val="20"/>
                <w:color w:val="auto"/>
              </w:rPr>
            </w:pPr>
            <w:r>
              <w:rPr>
                <w:rFonts w:ascii="Times New Roman" w:cs="Times New Roman" w:eastAsia="Times New Roman" w:hAnsi="Times New Roman"/>
                <w:sz w:val="11"/>
                <w:szCs w:val="11"/>
                <w:color w:val="auto"/>
                <w:w w:val="99"/>
              </w:rPr>
              <w:t>3548</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1"/>
                <w:szCs w:val="11"/>
                <w:b w:val="1"/>
                <w:bCs w:val="1"/>
                <w:color w:val="auto"/>
              </w:rPr>
              <w:t>0</w:t>
            </w:r>
          </w:p>
        </w:tc>
        <w:tc>
          <w:tcPr>
            <w:tcW w:w="4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49"/>
        </w:trPr>
        <w:tc>
          <w:tcPr>
            <w:tcW w:w="32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3190</w:t>
            </w:r>
          </w:p>
        </w:tc>
        <w:tc>
          <w:tcPr>
            <w:tcW w:w="12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234"/>
        </w:trPr>
        <w:tc>
          <w:tcPr>
            <w:tcW w:w="32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3200</w:t>
            </w:r>
          </w:p>
        </w:tc>
        <w:tc>
          <w:tcPr>
            <w:tcW w:w="12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bl>
    <w:p>
      <w:pPr>
        <w:spacing w:after="0" w:line="365" w:lineRule="exact"/>
        <w:rPr>
          <w:sz w:val="20"/>
          <w:szCs w:val="20"/>
          <w:color w:val="auto"/>
        </w:rPr>
      </w:pPr>
    </w:p>
    <w:p>
      <w:pPr>
        <w:sectPr>
          <w:pgSz w:w="11900" w:h="16838" w:orient="portrait"/>
          <w:cols w:equalWidth="0" w:num="2">
            <w:col w:w="7280" w:space="100"/>
            <w:col w:w="1639"/>
          </w:cols>
          <w:pgMar w:left="1440" w:top="239" w:right="1440" w:bottom="1440" w:gutter="0" w:footer="0" w:header="0"/>
          <w:type w:val="continuous"/>
        </w:sectPr>
      </w:pPr>
    </w:p>
    <w:p>
      <w:pPr>
        <w:ind w:left="500" w:right="279" w:hanging="337"/>
        <w:spacing w:after="0" w:line="222" w:lineRule="auto"/>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Institutions should report in item 2.a amounts net of any applicable allowance for credit losses, and item 2.a should equal Schedule RC-B, item 8, column A, less Schedule RI-B, Part II, item 7, column B.</w:t>
      </w:r>
    </w:p>
    <w:p>
      <w:pPr>
        <w:ind w:left="500" w:right="399" w:hanging="337"/>
        <w:spacing w:after="0" w:line="222" w:lineRule="auto"/>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Item 2.c is to be completed by all institutions. See the instructions for this item and the Glossary entry for “Securities Activities” for further detail on accounting for investments in equity securities.</w:t>
      </w:r>
    </w:p>
    <w:p>
      <w:pPr>
        <w:ind w:left="500" w:hanging="337"/>
        <w:spacing w:after="0" w:line="222" w:lineRule="auto"/>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 securities resale agreements, regardless of maturity.</w:t>
      </w:r>
    </w:p>
    <w:p>
      <w:pPr>
        <w:ind w:left="500" w:hanging="337"/>
        <w:spacing w:after="0" w:line="222" w:lineRule="auto"/>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Institutions should report in items 3.b and 11 amounts net of any applicable allowance for credit losses.</w:t>
      </w:r>
    </w:p>
    <w:p>
      <w:pPr>
        <w:ind w:left="500" w:hanging="337"/>
        <w:spacing w:after="0" w:line="222" w:lineRule="auto"/>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noninterest-bearing demand, time, and savings deposits.</w:t>
      </w:r>
    </w:p>
    <w:p>
      <w:pPr>
        <w:ind w:left="500" w:hanging="337"/>
        <w:spacing w:after="0" w:line="222" w:lineRule="auto"/>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Report overnight Federal Home Loan Bank advances in Schedule RC, item 16, “Other borrowed money.”</w:t>
      </w:r>
    </w:p>
    <w:p>
      <w:pPr>
        <w:ind w:left="500" w:hanging="337"/>
        <w:spacing w:after="0" w:line="222" w:lineRule="auto"/>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 securities repurchase agreements, regardless of maturity.</w:t>
      </w:r>
    </w:p>
    <w:p>
      <w:pPr>
        <w:ind w:left="500" w:hanging="337"/>
        <w:spacing w:after="0"/>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limited-life preferred stock and related surplus.</w:t>
      </w:r>
    </w:p>
    <w:p>
      <w:pPr>
        <w:spacing w:after="0" w:line="64"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1"/>
          <w:szCs w:val="11"/>
          <w:color w:val="auto"/>
        </w:rPr>
        <w:t>06/2012</w:t>
      </w:r>
    </w:p>
    <w:p>
      <w:pPr>
        <w:spacing w:after="0" w:line="76"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1"/>
          <w:szCs w:val="11"/>
          <w:color w:val="auto"/>
        </w:rPr>
        <w:t>03/2026</w:t>
      </w:r>
    </w:p>
    <w:p>
      <w:pPr>
        <w:sectPr>
          <w:pgSz w:w="11900" w:h="16838" w:orient="portrait"/>
          <w:cols w:equalWidth="0" w:num="1">
            <w:col w:w="9019"/>
          </w:cols>
          <w:pgMar w:left="1440" w:top="239" w:right="1440" w:bottom="1440" w:gutter="0" w:footer="0" w:header="0"/>
          <w:type w:val="continuous"/>
        </w:sectPr>
      </w:pPr>
    </w:p>
    <w:bookmarkStart w:id="44" w:name="page45"/>
    <w:bookmarkEnd w:id="44"/>
    <w:tbl>
      <w:tblPr>
        <w:tblLayout w:type="fixed"/>
        <w:tblInd w:w="16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1"/>
                <w:szCs w:val="11"/>
                <w:color w:val="auto"/>
              </w:rPr>
              <w:t>FFIEC 041</w:t>
            </w:r>
          </w:p>
        </w:tc>
      </w:tr>
      <w:tr>
        <w:trPr>
          <w:trHeight w:val="117"/>
        </w:trPr>
        <w:tc>
          <w:tcPr>
            <w:tcW w:w="280" w:type="dxa"/>
            <w:vAlign w:val="bottom"/>
          </w:tcPr>
          <w:p>
            <w:pPr>
              <w:spacing w:after="0"/>
              <w:rPr>
                <w:sz w:val="10"/>
                <w:szCs w:val="10"/>
                <w:color w:val="auto"/>
              </w:rPr>
            </w:pPr>
          </w:p>
        </w:tc>
        <w:tc>
          <w:tcPr>
            <w:tcW w:w="6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1"/>
                <w:szCs w:val="11"/>
                <w:color w:val="auto"/>
                <w:w w:val="98"/>
              </w:rPr>
              <w:t>Page 17 of 86</w:t>
            </w:r>
          </w:p>
        </w:tc>
      </w:tr>
      <w:tr>
        <w:trPr>
          <w:trHeight w:val="147"/>
        </w:trPr>
        <w:tc>
          <w:tcPr>
            <w:tcW w:w="2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w w:val="85"/>
              </w:rPr>
              <w:t>RC-2 </w:t>
            </w:r>
          </w:p>
        </w:tc>
        <w:tc>
          <w:tcPr>
            <w:tcW w:w="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       </w:t>
            </w:r>
          </w:p>
        </w:tc>
      </w:tr>
      <w:tr>
        <w:trPr>
          <w:trHeight w:val="255"/>
        </w:trPr>
        <w:tc>
          <w:tcPr>
            <w:tcW w:w="70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Schedule RC—Continued</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06"/>
        </w:trPr>
        <w:tc>
          <w:tcPr>
            <w:tcW w:w="280" w:type="dxa"/>
            <w:vAlign w:val="bottom"/>
          </w:tcPr>
          <w:p>
            <w:pPr>
              <w:spacing w:after="0"/>
              <w:rPr>
                <w:sz w:val="24"/>
                <w:szCs w:val="24"/>
                <w:color w:val="auto"/>
              </w:rPr>
            </w:pPr>
          </w:p>
        </w:tc>
        <w:tc>
          <w:tcPr>
            <w:tcW w:w="6800" w:type="dxa"/>
            <w:vAlign w:val="bottom"/>
            <w:gridSpan w:val="2"/>
          </w:tcPr>
          <w:p>
            <w:pPr>
              <w:ind w:left="5380"/>
              <w:spacing w:after="0"/>
              <w:rPr>
                <w:sz w:val="20"/>
                <w:szCs w:val="20"/>
                <w:color w:val="auto"/>
              </w:rPr>
            </w:pPr>
            <w:r>
              <w:rPr>
                <w:rFonts w:ascii="Times New Roman" w:cs="Times New Roman" w:eastAsia="Times New Roman" w:hAnsi="Times New Roman"/>
                <w:sz w:val="11"/>
                <w:szCs w:val="11"/>
                <w:color w:val="auto"/>
              </w:rPr>
              <w:t>Dollar Amounts in Thousands</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w w:val="98"/>
              </w:rPr>
              <w:t>RCON</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Amount</w:t>
            </w:r>
          </w:p>
        </w:tc>
        <w:tc>
          <w:tcPr>
            <w:tcW w:w="300" w:type="dxa"/>
            <w:vAlign w:val="bottom"/>
          </w:tcPr>
          <w:p>
            <w:pPr>
              <w:spacing w:after="0"/>
              <w:rPr>
                <w:sz w:val="24"/>
                <w:szCs w:val="24"/>
                <w:color w:val="auto"/>
              </w:rPr>
            </w:pPr>
          </w:p>
        </w:tc>
      </w:tr>
      <w:tr>
        <w:trPr>
          <w:trHeight w:val="108"/>
        </w:trPr>
        <w:tc>
          <w:tcPr>
            <w:tcW w:w="7020" w:type="dxa"/>
            <w:vAlign w:val="bottom"/>
            <w:tcBorders>
              <w:top w:val="single" w:sz="8" w:color="auto"/>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Liabilities—continued</w:t>
            </w: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r>
      <w:tr>
        <w:trPr>
          <w:trHeight w:val="117"/>
        </w:trPr>
        <w:tc>
          <w:tcPr>
            <w:tcW w:w="280" w:type="dxa"/>
            <w:vAlign w:val="bottom"/>
          </w:tcPr>
          <w:p>
            <w:pPr>
              <w:ind w:left="120"/>
              <w:spacing w:after="0" w:line="118" w:lineRule="exact"/>
              <w:rPr>
                <w:sz w:val="20"/>
                <w:szCs w:val="20"/>
                <w:color w:val="auto"/>
              </w:rPr>
            </w:pPr>
            <w:r>
              <w:rPr>
                <w:rFonts w:ascii="Times New Roman" w:cs="Times New Roman" w:eastAsia="Times New Roman" w:hAnsi="Times New Roman"/>
                <w:sz w:val="11"/>
                <w:szCs w:val="11"/>
                <w:color w:val="auto"/>
              </w:rPr>
              <w:t>20.</w:t>
            </w:r>
          </w:p>
        </w:tc>
        <w:tc>
          <w:tcPr>
            <w:tcW w:w="680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Other liabilities (from Schedule RC-G)</w:t>
            </w:r>
          </w:p>
        </w:tc>
        <w:tc>
          <w:tcPr>
            <w:tcW w:w="6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2930</w:t>
            </w: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2,170,000</w:t>
            </w:r>
          </w:p>
        </w:tc>
        <w:tc>
          <w:tcPr>
            <w:tcW w:w="80" w:type="dxa"/>
            <w:vAlign w:val="bottom"/>
          </w:tcPr>
          <w:p>
            <w:pPr>
              <w:spacing w:after="0"/>
              <w:rPr>
                <w:sz w:val="10"/>
                <w:szCs w:val="10"/>
                <w:color w:val="auto"/>
              </w:rPr>
            </w:pPr>
          </w:p>
        </w:tc>
        <w:tc>
          <w:tcPr>
            <w:tcW w:w="30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20.</w:t>
            </w:r>
          </w:p>
        </w:tc>
      </w:tr>
      <w:tr>
        <w:trPr>
          <w:trHeight w:val="117"/>
        </w:trPr>
        <w:tc>
          <w:tcPr>
            <w:tcW w:w="2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1"/>
                <w:szCs w:val="11"/>
                <w:color w:val="auto"/>
              </w:rPr>
              <w:t>21.</w:t>
            </w:r>
          </w:p>
        </w:tc>
        <w:tc>
          <w:tcPr>
            <w:tcW w:w="6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Total liabilities (sum of items 13 through 20)</w:t>
            </w:r>
          </w:p>
        </w:tc>
        <w:tc>
          <w:tcPr>
            <w:tcW w:w="660" w:type="dxa"/>
            <w:vAlign w:val="bottom"/>
            <w:gridSpan w:val="2"/>
            <w:shd w:val="clear" w:color="auto" w:fill="CCEEFF"/>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2948</w:t>
            </w:r>
          </w:p>
        </w:tc>
        <w:tc>
          <w:tcPr>
            <w:tcW w:w="5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29,883,000</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21.</w:t>
            </w:r>
          </w:p>
        </w:tc>
      </w:tr>
      <w:tr>
        <w:trPr>
          <w:trHeight w:val="117"/>
        </w:trPr>
        <w:tc>
          <w:tcPr>
            <w:tcW w:w="280" w:type="dxa"/>
            <w:vAlign w:val="bottom"/>
          </w:tcPr>
          <w:p>
            <w:pPr>
              <w:ind w:left="120"/>
              <w:spacing w:after="0" w:line="118" w:lineRule="exact"/>
              <w:rPr>
                <w:sz w:val="20"/>
                <w:szCs w:val="20"/>
                <w:color w:val="auto"/>
              </w:rPr>
            </w:pPr>
            <w:r>
              <w:rPr>
                <w:rFonts w:ascii="Times New Roman" w:cs="Times New Roman" w:eastAsia="Times New Roman" w:hAnsi="Times New Roman"/>
                <w:sz w:val="11"/>
                <w:szCs w:val="11"/>
                <w:color w:val="auto"/>
              </w:rPr>
              <w:t>22.</w:t>
            </w:r>
          </w:p>
        </w:tc>
        <w:tc>
          <w:tcPr>
            <w:tcW w:w="680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Not applicable</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17"/>
        </w:trPr>
        <w:tc>
          <w:tcPr>
            <w:tcW w:w="7080" w:type="dxa"/>
            <w:vAlign w:val="bottom"/>
            <w:gridSpan w:val="3"/>
            <w:shd w:val="clear" w:color="auto" w:fill="CCEEFF"/>
          </w:tcPr>
          <w:p>
            <w:pPr>
              <w:ind w:left="120"/>
              <w:spacing w:after="0" w:line="118" w:lineRule="exact"/>
              <w:rPr>
                <w:sz w:val="20"/>
                <w:szCs w:val="20"/>
                <w:color w:val="auto"/>
              </w:rPr>
            </w:pPr>
            <w:r>
              <w:rPr>
                <w:rFonts w:ascii="Times New Roman" w:cs="Times New Roman" w:eastAsia="Times New Roman" w:hAnsi="Times New Roman"/>
                <w:sz w:val="11"/>
                <w:szCs w:val="11"/>
                <w:b w:val="1"/>
                <w:bCs w:val="1"/>
                <w:color w:val="auto"/>
              </w:rPr>
              <w:t>Equity Capital</w:t>
            </w: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r>
      <w:tr>
        <w:trPr>
          <w:trHeight w:val="117"/>
        </w:trPr>
        <w:tc>
          <w:tcPr>
            <w:tcW w:w="280" w:type="dxa"/>
            <w:vAlign w:val="bottom"/>
          </w:tcPr>
          <w:p>
            <w:pPr>
              <w:spacing w:after="0"/>
              <w:rPr>
                <w:sz w:val="10"/>
                <w:szCs w:val="10"/>
                <w:color w:val="auto"/>
              </w:rPr>
            </w:pPr>
          </w:p>
        </w:tc>
        <w:tc>
          <w:tcPr>
            <w:tcW w:w="680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Bank Equity Capital</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17"/>
        </w:trPr>
        <w:tc>
          <w:tcPr>
            <w:tcW w:w="2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1"/>
                <w:szCs w:val="11"/>
                <w:color w:val="auto"/>
              </w:rPr>
              <w:t>23.</w:t>
            </w:r>
          </w:p>
        </w:tc>
        <w:tc>
          <w:tcPr>
            <w:tcW w:w="6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Perpetual preferred stock and related surplus</w:t>
            </w:r>
          </w:p>
        </w:tc>
        <w:tc>
          <w:tcPr>
            <w:tcW w:w="660" w:type="dxa"/>
            <w:vAlign w:val="bottom"/>
            <w:gridSpan w:val="2"/>
            <w:shd w:val="clear" w:color="auto" w:fill="CCEEFF"/>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3838</w:t>
            </w:r>
          </w:p>
        </w:tc>
        <w:tc>
          <w:tcPr>
            <w:tcW w:w="5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23.</w:t>
            </w:r>
          </w:p>
        </w:tc>
      </w:tr>
      <w:tr>
        <w:trPr>
          <w:trHeight w:val="117"/>
        </w:trPr>
        <w:tc>
          <w:tcPr>
            <w:tcW w:w="280" w:type="dxa"/>
            <w:vAlign w:val="bottom"/>
          </w:tcPr>
          <w:p>
            <w:pPr>
              <w:ind w:left="120"/>
              <w:spacing w:after="0" w:line="118" w:lineRule="exact"/>
              <w:rPr>
                <w:sz w:val="20"/>
                <w:szCs w:val="20"/>
                <w:color w:val="auto"/>
              </w:rPr>
            </w:pPr>
            <w:r>
              <w:rPr>
                <w:rFonts w:ascii="Times New Roman" w:cs="Times New Roman" w:eastAsia="Times New Roman" w:hAnsi="Times New Roman"/>
                <w:sz w:val="11"/>
                <w:szCs w:val="11"/>
                <w:color w:val="auto"/>
              </w:rPr>
              <w:t>24.</w:t>
            </w:r>
          </w:p>
        </w:tc>
        <w:tc>
          <w:tcPr>
            <w:tcW w:w="680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Common stock</w:t>
            </w:r>
          </w:p>
        </w:tc>
        <w:tc>
          <w:tcPr>
            <w:tcW w:w="6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3230</w:t>
            </w: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2,127,000</w:t>
            </w:r>
          </w:p>
        </w:tc>
        <w:tc>
          <w:tcPr>
            <w:tcW w:w="80" w:type="dxa"/>
            <w:vAlign w:val="bottom"/>
          </w:tcPr>
          <w:p>
            <w:pPr>
              <w:spacing w:after="0"/>
              <w:rPr>
                <w:sz w:val="10"/>
                <w:szCs w:val="10"/>
                <w:color w:val="auto"/>
              </w:rPr>
            </w:pPr>
          </w:p>
        </w:tc>
        <w:tc>
          <w:tcPr>
            <w:tcW w:w="30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24.</w:t>
            </w:r>
          </w:p>
        </w:tc>
      </w:tr>
      <w:tr>
        <w:trPr>
          <w:trHeight w:val="117"/>
        </w:trPr>
        <w:tc>
          <w:tcPr>
            <w:tcW w:w="2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1"/>
                <w:szCs w:val="11"/>
                <w:color w:val="auto"/>
              </w:rPr>
              <w:t>25.</w:t>
            </w:r>
          </w:p>
        </w:tc>
        <w:tc>
          <w:tcPr>
            <w:tcW w:w="6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Surplus (exclude all surplus related to preferred stock)</w:t>
            </w:r>
          </w:p>
        </w:tc>
        <w:tc>
          <w:tcPr>
            <w:tcW w:w="660" w:type="dxa"/>
            <w:vAlign w:val="bottom"/>
            <w:gridSpan w:val="2"/>
            <w:shd w:val="clear" w:color="auto" w:fill="CCEEFF"/>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3839</w:t>
            </w:r>
          </w:p>
        </w:tc>
        <w:tc>
          <w:tcPr>
            <w:tcW w:w="640" w:type="dxa"/>
            <w:vAlign w:val="bottom"/>
            <w:gridSpan w:val="2"/>
            <w:shd w:val="clear" w:color="auto" w:fill="CCEEFF"/>
          </w:tcPr>
          <w:p>
            <w:pPr>
              <w:jc w:val="right"/>
              <w:ind w:right="80"/>
              <w:spacing w:after="0" w:line="118" w:lineRule="exact"/>
              <w:rPr>
                <w:sz w:val="20"/>
                <w:szCs w:val="20"/>
                <w:color w:val="auto"/>
              </w:rPr>
            </w:pPr>
            <w:r>
              <w:rPr>
                <w:rFonts w:ascii="Times New Roman" w:cs="Times New Roman" w:eastAsia="Times New Roman" w:hAnsi="Times New Roman"/>
                <w:sz w:val="11"/>
                <w:szCs w:val="11"/>
                <w:color w:val="auto"/>
              </w:rPr>
              <w:t>932,000</w:t>
            </w:r>
          </w:p>
        </w:tc>
        <w:tc>
          <w:tcPr>
            <w:tcW w:w="30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25.</w:t>
            </w:r>
          </w:p>
        </w:tc>
      </w:tr>
      <w:tr>
        <w:trPr>
          <w:trHeight w:val="117"/>
        </w:trPr>
        <w:tc>
          <w:tcPr>
            <w:tcW w:w="708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1"/>
                <w:szCs w:val="11"/>
                <w:color w:val="auto"/>
              </w:rPr>
              <w:t>26. a. Retained earnings</w:t>
            </w:r>
          </w:p>
        </w:tc>
        <w:tc>
          <w:tcPr>
            <w:tcW w:w="6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3632</w:t>
            </w: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6,853,000</w:t>
            </w:r>
          </w:p>
        </w:tc>
        <w:tc>
          <w:tcPr>
            <w:tcW w:w="80" w:type="dxa"/>
            <w:vAlign w:val="bottom"/>
          </w:tcPr>
          <w:p>
            <w:pPr>
              <w:spacing w:after="0"/>
              <w:rPr>
                <w:sz w:val="10"/>
                <w:szCs w:val="10"/>
                <w:color w:val="auto"/>
              </w:rPr>
            </w:pPr>
          </w:p>
        </w:tc>
        <w:tc>
          <w:tcPr>
            <w:tcW w:w="30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w w:val="93"/>
              </w:rPr>
              <w:t>26.a.</w:t>
            </w:r>
          </w:p>
        </w:tc>
      </w:tr>
      <w:tr>
        <w:trPr>
          <w:trHeight w:val="117"/>
        </w:trPr>
        <w:tc>
          <w:tcPr>
            <w:tcW w:w="280" w:type="dxa"/>
            <w:vAlign w:val="bottom"/>
            <w:shd w:val="clear" w:color="auto" w:fill="CCEEFF"/>
          </w:tcPr>
          <w:p>
            <w:pPr>
              <w:spacing w:after="0"/>
              <w:rPr>
                <w:sz w:val="10"/>
                <w:szCs w:val="10"/>
                <w:color w:val="auto"/>
              </w:rPr>
            </w:pPr>
          </w:p>
        </w:tc>
        <w:tc>
          <w:tcPr>
            <w:tcW w:w="6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 xml:space="preserve">b. Accumulated other comprehensive income </w:t>
            </w:r>
            <w:r>
              <w:rPr>
                <w:rFonts w:ascii="Times New Roman" w:cs="Times New Roman" w:eastAsia="Times New Roman" w:hAnsi="Times New Roman"/>
                <w:sz w:val="8"/>
                <w:szCs w:val="8"/>
                <w:color w:val="auto"/>
              </w:rPr>
              <w:t>(1)</w:t>
            </w:r>
          </w:p>
        </w:tc>
        <w:tc>
          <w:tcPr>
            <w:tcW w:w="660" w:type="dxa"/>
            <w:vAlign w:val="bottom"/>
            <w:gridSpan w:val="2"/>
            <w:shd w:val="clear" w:color="auto" w:fill="CCEEFF"/>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B530</w:t>
            </w:r>
          </w:p>
        </w:tc>
        <w:tc>
          <w:tcPr>
            <w:tcW w:w="640" w:type="dxa"/>
            <w:vAlign w:val="bottom"/>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1"/>
                <w:szCs w:val="11"/>
                <w:color w:val="auto"/>
              </w:rPr>
              <w:t>(50,000)</w:t>
            </w:r>
          </w:p>
        </w:tc>
        <w:tc>
          <w:tcPr>
            <w:tcW w:w="30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w w:val="90"/>
              </w:rPr>
              <w:t>26.b.</w:t>
            </w:r>
          </w:p>
        </w:tc>
      </w:tr>
      <w:tr>
        <w:trPr>
          <w:trHeight w:val="117"/>
        </w:trPr>
        <w:tc>
          <w:tcPr>
            <w:tcW w:w="280" w:type="dxa"/>
            <w:vAlign w:val="bottom"/>
          </w:tcPr>
          <w:p>
            <w:pPr>
              <w:spacing w:after="0"/>
              <w:rPr>
                <w:sz w:val="10"/>
                <w:szCs w:val="10"/>
                <w:color w:val="auto"/>
              </w:rPr>
            </w:pPr>
          </w:p>
        </w:tc>
        <w:tc>
          <w:tcPr>
            <w:tcW w:w="680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 xml:space="preserve">c. Other equity capital components </w:t>
            </w:r>
            <w:r>
              <w:rPr>
                <w:rFonts w:ascii="Times New Roman" w:cs="Times New Roman" w:eastAsia="Times New Roman" w:hAnsi="Times New Roman"/>
                <w:sz w:val="8"/>
                <w:szCs w:val="8"/>
                <w:color w:val="auto"/>
              </w:rPr>
              <w:t>(2)</w:t>
            </w:r>
          </w:p>
        </w:tc>
        <w:tc>
          <w:tcPr>
            <w:tcW w:w="6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A130</w:t>
            </w: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0"/>
                <w:szCs w:val="10"/>
                <w:color w:val="auto"/>
              </w:rPr>
            </w:pPr>
          </w:p>
        </w:tc>
        <w:tc>
          <w:tcPr>
            <w:tcW w:w="30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w w:val="93"/>
              </w:rPr>
              <w:t>26.c.</w:t>
            </w:r>
          </w:p>
        </w:tc>
      </w:tr>
      <w:tr>
        <w:trPr>
          <w:trHeight w:val="117"/>
        </w:trPr>
        <w:tc>
          <w:tcPr>
            <w:tcW w:w="7080" w:type="dxa"/>
            <w:vAlign w:val="bottom"/>
            <w:gridSpan w:val="3"/>
            <w:shd w:val="clear" w:color="auto" w:fill="CCEEFF"/>
          </w:tcPr>
          <w:p>
            <w:pPr>
              <w:ind w:left="120"/>
              <w:spacing w:after="0" w:line="118" w:lineRule="exact"/>
              <w:rPr>
                <w:sz w:val="20"/>
                <w:szCs w:val="20"/>
                <w:color w:val="auto"/>
              </w:rPr>
            </w:pPr>
            <w:r>
              <w:rPr>
                <w:rFonts w:ascii="Times New Roman" w:cs="Times New Roman" w:eastAsia="Times New Roman" w:hAnsi="Times New Roman"/>
                <w:sz w:val="11"/>
                <w:szCs w:val="11"/>
                <w:color w:val="auto"/>
              </w:rPr>
              <w:t>27. a. Total bank equity capital (sum of items 23 through 26.c)</w:t>
            </w:r>
          </w:p>
        </w:tc>
        <w:tc>
          <w:tcPr>
            <w:tcW w:w="660" w:type="dxa"/>
            <w:vAlign w:val="bottom"/>
            <w:gridSpan w:val="2"/>
            <w:shd w:val="clear" w:color="auto" w:fill="CCEEFF"/>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3210</w:t>
            </w:r>
          </w:p>
        </w:tc>
        <w:tc>
          <w:tcPr>
            <w:tcW w:w="5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9,862,000</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w w:val="93"/>
              </w:rPr>
              <w:t>27.a.</w:t>
            </w:r>
          </w:p>
        </w:tc>
      </w:tr>
      <w:tr>
        <w:trPr>
          <w:trHeight w:val="117"/>
        </w:trPr>
        <w:tc>
          <w:tcPr>
            <w:tcW w:w="280" w:type="dxa"/>
            <w:vAlign w:val="bottom"/>
          </w:tcPr>
          <w:p>
            <w:pPr>
              <w:spacing w:after="0"/>
              <w:rPr>
                <w:sz w:val="10"/>
                <w:szCs w:val="10"/>
                <w:color w:val="auto"/>
              </w:rPr>
            </w:pPr>
          </w:p>
        </w:tc>
        <w:tc>
          <w:tcPr>
            <w:tcW w:w="680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b. Noncontrolling (minority) interests in consolidated subsidiaries</w:t>
            </w:r>
          </w:p>
        </w:tc>
        <w:tc>
          <w:tcPr>
            <w:tcW w:w="6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3000</w:t>
            </w: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0"/>
                <w:szCs w:val="10"/>
                <w:color w:val="auto"/>
              </w:rPr>
            </w:pPr>
          </w:p>
        </w:tc>
        <w:tc>
          <w:tcPr>
            <w:tcW w:w="30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w w:val="90"/>
              </w:rPr>
              <w:t>27.b.</w:t>
            </w:r>
          </w:p>
        </w:tc>
      </w:tr>
      <w:tr>
        <w:trPr>
          <w:trHeight w:val="117"/>
        </w:trPr>
        <w:tc>
          <w:tcPr>
            <w:tcW w:w="2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1"/>
                <w:szCs w:val="11"/>
                <w:color w:val="auto"/>
              </w:rPr>
              <w:t>28.</w:t>
            </w:r>
          </w:p>
        </w:tc>
        <w:tc>
          <w:tcPr>
            <w:tcW w:w="6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Total equity capital (sum of items 27.a and 27.b)</w:t>
            </w:r>
          </w:p>
        </w:tc>
        <w:tc>
          <w:tcPr>
            <w:tcW w:w="660" w:type="dxa"/>
            <w:vAlign w:val="bottom"/>
            <w:gridSpan w:val="2"/>
            <w:shd w:val="clear" w:color="auto" w:fill="CCEEFF"/>
          </w:tcPr>
          <w:p>
            <w:pPr>
              <w:jc w:val="right"/>
              <w:ind w:right="340"/>
              <w:spacing w:after="0" w:line="118" w:lineRule="exact"/>
              <w:rPr>
                <w:sz w:val="20"/>
                <w:szCs w:val="20"/>
                <w:color w:val="auto"/>
              </w:rPr>
            </w:pPr>
            <w:r>
              <w:rPr>
                <w:rFonts w:ascii="Times New Roman" w:cs="Times New Roman" w:eastAsia="Times New Roman" w:hAnsi="Times New Roman"/>
                <w:sz w:val="11"/>
                <w:szCs w:val="11"/>
                <w:color w:val="auto"/>
              </w:rPr>
              <w:t>G105</w:t>
            </w:r>
          </w:p>
        </w:tc>
        <w:tc>
          <w:tcPr>
            <w:tcW w:w="5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9,862,000</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28.</w:t>
            </w:r>
          </w:p>
        </w:tc>
      </w:tr>
      <w:tr>
        <w:trPr>
          <w:trHeight w:val="149"/>
        </w:trPr>
        <w:tc>
          <w:tcPr>
            <w:tcW w:w="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29.</w:t>
            </w:r>
          </w:p>
        </w:tc>
        <w:tc>
          <w:tcPr>
            <w:tcW w:w="6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liabilities and equity capital (sum of items 21 and 28)</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3300</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39,745,000</w:t>
            </w:r>
          </w:p>
        </w:tc>
        <w:tc>
          <w:tcPr>
            <w:tcW w:w="80" w:type="dxa"/>
            <w:vAlign w:val="bottom"/>
          </w:tcPr>
          <w:p>
            <w:pPr>
              <w:spacing w:after="0"/>
              <w:rPr>
                <w:sz w:val="12"/>
                <w:szCs w:val="12"/>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29.</w:t>
            </w: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1"/>
          <w:szCs w:val="11"/>
          <w:b w:val="1"/>
          <w:bCs w:val="1"/>
          <w:color w:val="auto"/>
        </w:rPr>
        <w:t>Memoranda</w:t>
      </w:r>
    </w:p>
    <w:p>
      <w:pPr>
        <w:ind w:left="160"/>
        <w:spacing w:after="0" w:line="230" w:lineRule="auto"/>
        <w:rPr>
          <w:sz w:val="20"/>
          <w:szCs w:val="20"/>
          <w:color w:val="auto"/>
        </w:rPr>
      </w:pPr>
      <w:r>
        <w:rPr>
          <w:rFonts w:ascii="Times New Roman" w:cs="Times New Roman" w:eastAsia="Times New Roman" w:hAnsi="Times New Roman"/>
          <w:sz w:val="11"/>
          <w:szCs w:val="11"/>
          <w:b w:val="1"/>
          <w:bCs w:val="1"/>
          <w:color w:val="auto"/>
        </w:rPr>
        <w:t>To be reported with the March Report of Condition.</w:t>
      </w:r>
    </w:p>
    <w:p>
      <w:pPr>
        <w:ind w:left="380" w:hanging="217"/>
        <w:spacing w:after="0" w:line="222" w:lineRule="auto"/>
        <w:tabs>
          <w:tab w:leader="none" w:pos="38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Indicate in the box at the right the number of the statement below that best describes the most comprehensive level of auditing work performed for the bank</w:t>
      </w:r>
    </w:p>
    <w:tbl>
      <w:tblPr>
        <w:tblLayout w:type="fixed"/>
        <w:tblInd w:w="380" w:type="dxa"/>
        <w:tblCellMar>
          <w:top w:w="0" w:type="dxa"/>
          <w:left w:w="0" w:type="dxa"/>
          <w:bottom w:w="0" w:type="dxa"/>
          <w:right w:w="0" w:type="dxa"/>
        </w:tblCellMar>
      </w:tblPr>
      <w:tr>
        <w:trPr>
          <w:trHeight w:val="133"/>
        </w:trPr>
        <w:tc>
          <w:tcPr>
            <w:tcW w:w="73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by independent external auditors as of any date during </w:t>
            </w:r>
            <w:r>
              <w:rPr>
                <w:rFonts w:ascii="Times New Roman" w:cs="Times New Roman" w:eastAsia="Times New Roman" w:hAnsi="Times New Roman"/>
                <w:sz w:val="11"/>
                <w:szCs w:val="11"/>
                <w:i w:val="1"/>
                <w:iCs w:val="1"/>
                <w:color w:val="auto"/>
              </w:rPr>
              <w:t>2025</w:t>
            </w:r>
          </w:p>
        </w:tc>
        <w:tc>
          <w:tcPr>
            <w:tcW w:w="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RCON</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9"/>
              </w:rPr>
              <w:t>Number</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6"/>
              </w:rPr>
              <w:t>M.1.</w:t>
            </w:r>
          </w:p>
        </w:tc>
        <w:tc>
          <w:tcPr>
            <w:tcW w:w="0" w:type="dxa"/>
            <w:vAlign w:val="bottom"/>
          </w:tcPr>
          <w:p>
            <w:pPr>
              <w:spacing w:after="0"/>
              <w:rPr>
                <w:sz w:val="1"/>
                <w:szCs w:val="1"/>
                <w:color w:val="auto"/>
              </w:rPr>
            </w:pPr>
          </w:p>
        </w:tc>
      </w:tr>
      <w:tr>
        <w:trPr>
          <w:trHeight w:val="138"/>
        </w:trPr>
        <w:tc>
          <w:tcPr>
            <w:tcW w:w="7300" w:type="dxa"/>
            <w:vAlign w:val="bottom"/>
          </w:tcPr>
          <w:p>
            <w:pPr>
              <w:spacing w:after="0"/>
              <w:rPr>
                <w:sz w:val="11"/>
                <w:szCs w:val="11"/>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6724</w:t>
            </w:r>
          </w:p>
        </w:tc>
        <w:tc>
          <w:tcPr>
            <w:tcW w:w="16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2a</w:t>
            </w:r>
          </w:p>
        </w:tc>
        <w:tc>
          <w:tcPr>
            <w:tcW w:w="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9019"/>
          </w:cols>
          <w:pgMar w:left="1440" w:top="230" w:right="1440" w:bottom="1440" w:gutter="0" w:footer="0" w:header="0"/>
        </w:sectPr>
      </w:pPr>
    </w:p>
    <w:p>
      <w:pPr>
        <w:spacing w:after="0" w:line="9" w:lineRule="exact"/>
        <w:rPr>
          <w:sz w:val="20"/>
          <w:szCs w:val="20"/>
          <w:color w:val="auto"/>
        </w:rPr>
      </w:pPr>
    </w:p>
    <w:p>
      <w:pPr>
        <w:ind w:left="160"/>
        <w:spacing w:after="0"/>
        <w:tabs>
          <w:tab w:leader="none" w:pos="440" w:val="left"/>
        </w:tabs>
        <w:rPr>
          <w:sz w:val="20"/>
          <w:szCs w:val="20"/>
          <w:color w:val="auto"/>
        </w:rPr>
      </w:pPr>
      <w:r>
        <w:rPr>
          <w:rFonts w:ascii="Times New Roman" w:cs="Times New Roman" w:eastAsia="Times New Roman" w:hAnsi="Times New Roman"/>
          <w:sz w:val="11"/>
          <w:szCs w:val="11"/>
          <w:color w:val="auto"/>
        </w:rPr>
        <w:t>1a =</w:t>
        <w:tab/>
        <w:t>An integrated audit of the reporting institution’s financial statements and its internal</w:t>
      </w:r>
    </w:p>
    <w:p>
      <w:pPr>
        <w:ind w:left="460"/>
        <w:spacing w:after="0" w:line="226" w:lineRule="auto"/>
        <w:rPr>
          <w:sz w:val="20"/>
          <w:szCs w:val="20"/>
          <w:color w:val="auto"/>
        </w:rPr>
      </w:pPr>
      <w:r>
        <w:rPr>
          <w:rFonts w:ascii="Times New Roman" w:cs="Times New Roman" w:eastAsia="Times New Roman" w:hAnsi="Times New Roman"/>
          <w:sz w:val="11"/>
          <w:szCs w:val="11"/>
          <w:color w:val="auto"/>
        </w:rPr>
        <w:t>control over financial reporting conducted in accordance with the standards of the</w:t>
      </w:r>
    </w:p>
    <w:p>
      <w:pPr>
        <w:ind w:left="460"/>
        <w:spacing w:after="0" w:line="222" w:lineRule="auto"/>
        <w:rPr>
          <w:sz w:val="20"/>
          <w:szCs w:val="20"/>
          <w:color w:val="auto"/>
        </w:rPr>
      </w:pPr>
      <w:r>
        <w:rPr>
          <w:rFonts w:ascii="Times New Roman" w:cs="Times New Roman" w:eastAsia="Times New Roman" w:hAnsi="Times New Roman"/>
          <w:sz w:val="11"/>
          <w:szCs w:val="11"/>
          <w:color w:val="auto"/>
        </w:rPr>
        <w:t>American Institute of Certified Public Accountants (AICPA) or Public Company</w:t>
      </w:r>
    </w:p>
    <w:p>
      <w:pPr>
        <w:ind w:left="460"/>
        <w:spacing w:after="0" w:line="222" w:lineRule="auto"/>
        <w:rPr>
          <w:sz w:val="20"/>
          <w:szCs w:val="20"/>
          <w:color w:val="auto"/>
        </w:rPr>
      </w:pPr>
      <w:r>
        <w:rPr>
          <w:rFonts w:ascii="Times New Roman" w:cs="Times New Roman" w:eastAsia="Times New Roman" w:hAnsi="Times New Roman"/>
          <w:sz w:val="11"/>
          <w:szCs w:val="11"/>
          <w:color w:val="auto"/>
        </w:rPr>
        <w:t>Accounting Oversight Board (PCAOB) by an independent public accountant that</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submits a report on the institution</w:t>
      </w:r>
    </w:p>
    <w:p>
      <w:pPr>
        <w:spacing w:after="0" w:line="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1b =  An audit of the reporting institution’s financial statements only conducted in</w:t>
      </w:r>
    </w:p>
    <w:p>
      <w:pPr>
        <w:ind w:left="460"/>
        <w:spacing w:after="0" w:line="226" w:lineRule="auto"/>
        <w:rPr>
          <w:sz w:val="20"/>
          <w:szCs w:val="20"/>
          <w:color w:val="auto"/>
        </w:rPr>
      </w:pPr>
      <w:r>
        <w:rPr>
          <w:rFonts w:ascii="Times New Roman" w:cs="Times New Roman" w:eastAsia="Times New Roman" w:hAnsi="Times New Roman"/>
          <w:sz w:val="11"/>
          <w:szCs w:val="11"/>
          <w:color w:val="auto"/>
        </w:rPr>
        <w:t>accordance with the auditing standards of the AICPA or the PCAOB by an</w:t>
      </w:r>
    </w:p>
    <w:p>
      <w:pPr>
        <w:ind w:left="460"/>
        <w:spacing w:after="0"/>
        <w:rPr>
          <w:sz w:val="20"/>
          <w:szCs w:val="20"/>
          <w:color w:val="auto"/>
        </w:rPr>
      </w:pPr>
      <w:r>
        <w:rPr>
          <w:rFonts w:ascii="Times New Roman" w:cs="Times New Roman" w:eastAsia="Times New Roman" w:hAnsi="Times New Roman"/>
          <w:sz w:val="11"/>
          <w:szCs w:val="11"/>
          <w:color w:val="auto"/>
        </w:rPr>
        <w:t>independent public accountant that submits a report on the institution</w:t>
      </w:r>
    </w:p>
    <w:p>
      <w:pPr>
        <w:spacing w:after="0" w:line="74" w:lineRule="exact"/>
        <w:rPr>
          <w:sz w:val="20"/>
          <w:szCs w:val="20"/>
          <w:color w:val="auto"/>
        </w:rPr>
      </w:pPr>
    </w:p>
    <w:p>
      <w:pPr>
        <w:ind w:left="160"/>
        <w:spacing w:after="0"/>
        <w:tabs>
          <w:tab w:leader="none" w:pos="440" w:val="left"/>
        </w:tabs>
        <w:rPr>
          <w:sz w:val="20"/>
          <w:szCs w:val="20"/>
          <w:color w:val="auto"/>
        </w:rPr>
      </w:pPr>
      <w:r>
        <w:rPr>
          <w:rFonts w:ascii="Times New Roman" w:cs="Times New Roman" w:eastAsia="Times New Roman" w:hAnsi="Times New Roman"/>
          <w:sz w:val="11"/>
          <w:szCs w:val="11"/>
          <w:color w:val="auto"/>
        </w:rPr>
        <w:t>2a =</w:t>
        <w:tab/>
        <w:t>An integrated audit of the reporting institution’s parent holding company’s</w:t>
      </w:r>
    </w:p>
    <w:p>
      <w:pPr>
        <w:ind w:left="460"/>
        <w:spacing w:after="0" w:line="226" w:lineRule="auto"/>
        <w:rPr>
          <w:sz w:val="20"/>
          <w:szCs w:val="20"/>
          <w:color w:val="auto"/>
        </w:rPr>
      </w:pPr>
      <w:r>
        <w:rPr>
          <w:rFonts w:ascii="Times New Roman" w:cs="Times New Roman" w:eastAsia="Times New Roman" w:hAnsi="Times New Roman"/>
          <w:sz w:val="11"/>
          <w:szCs w:val="11"/>
          <w:color w:val="auto"/>
        </w:rPr>
        <w:t>consolidated financial statements and its internal control over financial reporting</w:t>
      </w:r>
    </w:p>
    <w:p>
      <w:pPr>
        <w:ind w:left="460"/>
        <w:spacing w:after="0" w:line="222" w:lineRule="auto"/>
        <w:rPr>
          <w:sz w:val="20"/>
          <w:szCs w:val="20"/>
          <w:color w:val="auto"/>
        </w:rPr>
      </w:pPr>
      <w:r>
        <w:rPr>
          <w:rFonts w:ascii="Times New Roman" w:cs="Times New Roman" w:eastAsia="Times New Roman" w:hAnsi="Times New Roman"/>
          <w:sz w:val="11"/>
          <w:szCs w:val="11"/>
          <w:color w:val="auto"/>
        </w:rPr>
        <w:t>conducted in accordance with the standards of the AICPA or the PCAOB by an</w:t>
      </w:r>
    </w:p>
    <w:p>
      <w:pPr>
        <w:ind w:left="460"/>
        <w:spacing w:after="0" w:line="222" w:lineRule="auto"/>
        <w:rPr>
          <w:sz w:val="20"/>
          <w:szCs w:val="20"/>
          <w:color w:val="auto"/>
        </w:rPr>
      </w:pPr>
      <w:r>
        <w:rPr>
          <w:rFonts w:ascii="Times New Roman" w:cs="Times New Roman" w:eastAsia="Times New Roman" w:hAnsi="Times New Roman"/>
          <w:sz w:val="11"/>
          <w:szCs w:val="11"/>
          <w:color w:val="auto"/>
        </w:rPr>
        <w:t>independent public accountant that submits a report on the consolidated holding</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company (but not on the institution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To be reported with the March Report of Condition.</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2. Bank’s fiscal year-end date (report the date in MMDD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78740</wp:posOffset>
            </wp:positionV>
            <wp:extent cx="60833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2b =</w:t>
            </w:r>
          </w:p>
        </w:tc>
        <w:tc>
          <w:tcPr>
            <w:tcW w:w="3980" w:type="dxa"/>
            <w:vAlign w:val="bottom"/>
            <w:gridSpan w:val="6"/>
          </w:tcPr>
          <w:p>
            <w:pPr>
              <w:ind w:left="40"/>
              <w:spacing w:after="0"/>
              <w:rPr>
                <w:sz w:val="20"/>
                <w:szCs w:val="20"/>
                <w:color w:val="auto"/>
              </w:rPr>
            </w:pPr>
            <w:r>
              <w:rPr>
                <w:rFonts w:ascii="Times New Roman" w:cs="Times New Roman" w:eastAsia="Times New Roman" w:hAnsi="Times New Roman"/>
                <w:sz w:val="11"/>
                <w:szCs w:val="11"/>
                <w:color w:val="auto"/>
              </w:rPr>
              <w:t>An audit of the reporting institution’s parent holding company’s consolidated financial</w:t>
            </w:r>
          </w:p>
        </w:tc>
        <w:tc>
          <w:tcPr>
            <w:tcW w:w="0" w:type="dxa"/>
            <w:vAlign w:val="bottom"/>
          </w:tcPr>
          <w:p>
            <w:pPr>
              <w:spacing w:after="0"/>
              <w:rPr>
                <w:sz w:val="1"/>
                <w:szCs w:val="1"/>
                <w:color w:val="auto"/>
              </w:rPr>
            </w:pPr>
          </w:p>
        </w:tc>
      </w:tr>
      <w:tr>
        <w:trPr>
          <w:trHeight w:val="117"/>
        </w:trPr>
        <w:tc>
          <w:tcPr>
            <w:tcW w:w="240" w:type="dxa"/>
            <w:vAlign w:val="bottom"/>
          </w:tcPr>
          <w:p>
            <w:pPr>
              <w:spacing w:after="0"/>
              <w:rPr>
                <w:sz w:val="10"/>
                <w:szCs w:val="10"/>
                <w:color w:val="auto"/>
              </w:rPr>
            </w:pPr>
          </w:p>
        </w:tc>
        <w:tc>
          <w:tcPr>
            <w:tcW w:w="3980" w:type="dxa"/>
            <w:vAlign w:val="bottom"/>
            <w:gridSpan w:val="6"/>
          </w:tcPr>
          <w:p>
            <w:pPr>
              <w:ind w:left="40"/>
              <w:spacing w:after="0" w:line="118" w:lineRule="exact"/>
              <w:rPr>
                <w:sz w:val="20"/>
                <w:szCs w:val="20"/>
                <w:color w:val="auto"/>
              </w:rPr>
            </w:pPr>
            <w:r>
              <w:rPr>
                <w:rFonts w:ascii="Times New Roman" w:cs="Times New Roman" w:eastAsia="Times New Roman" w:hAnsi="Times New Roman"/>
                <w:sz w:val="11"/>
                <w:szCs w:val="11"/>
                <w:color w:val="auto"/>
              </w:rPr>
              <w:t>statements only conducted in accordance with the auditing standards of the AICPA or</w:t>
            </w:r>
          </w:p>
        </w:tc>
        <w:tc>
          <w:tcPr>
            <w:tcW w:w="0" w:type="dxa"/>
            <w:vAlign w:val="bottom"/>
          </w:tcPr>
          <w:p>
            <w:pPr>
              <w:spacing w:after="0"/>
              <w:rPr>
                <w:sz w:val="1"/>
                <w:szCs w:val="1"/>
                <w:color w:val="auto"/>
              </w:rPr>
            </w:pPr>
          </w:p>
        </w:tc>
      </w:tr>
      <w:tr>
        <w:trPr>
          <w:trHeight w:val="117"/>
        </w:trPr>
        <w:tc>
          <w:tcPr>
            <w:tcW w:w="240" w:type="dxa"/>
            <w:vAlign w:val="bottom"/>
          </w:tcPr>
          <w:p>
            <w:pPr>
              <w:spacing w:after="0"/>
              <w:rPr>
                <w:sz w:val="10"/>
                <w:szCs w:val="10"/>
                <w:color w:val="auto"/>
              </w:rPr>
            </w:pPr>
          </w:p>
        </w:tc>
        <w:tc>
          <w:tcPr>
            <w:tcW w:w="374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1"/>
                <w:szCs w:val="11"/>
                <w:color w:val="auto"/>
              </w:rPr>
              <w:t>the PCAOB by an independent public accountant that submits a report on the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40" w:type="dxa"/>
            <w:vAlign w:val="bottom"/>
          </w:tcPr>
          <w:p>
            <w:pPr>
              <w:spacing w:after="0"/>
              <w:rPr>
                <w:sz w:val="12"/>
                <w:szCs w:val="12"/>
                <w:color w:val="auto"/>
              </w:rPr>
            </w:pP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consolidated holding company (but not on the institution separately)</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w w:val="99"/>
              </w:rPr>
              <w:t>  3 =</w:t>
            </w: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This number is not to be used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w w:val="99"/>
              </w:rPr>
              <w:t>  4 =</w:t>
            </w:r>
          </w:p>
        </w:tc>
        <w:tc>
          <w:tcPr>
            <w:tcW w:w="3980" w:type="dxa"/>
            <w:vAlign w:val="bottom"/>
            <w:gridSpan w:val="6"/>
          </w:tcPr>
          <w:p>
            <w:pPr>
              <w:ind w:left="40"/>
              <w:spacing w:after="0"/>
              <w:rPr>
                <w:sz w:val="20"/>
                <w:szCs w:val="20"/>
                <w:color w:val="auto"/>
              </w:rPr>
            </w:pPr>
            <w:r>
              <w:rPr>
                <w:rFonts w:ascii="Times New Roman" w:cs="Times New Roman" w:eastAsia="Times New Roman" w:hAnsi="Times New Roman"/>
                <w:sz w:val="11"/>
                <w:szCs w:val="11"/>
                <w:color w:val="auto"/>
              </w:rPr>
              <w:t>Directors’ examination of the bank conducted in accordance with generally accepted</w:t>
            </w:r>
          </w:p>
        </w:tc>
        <w:tc>
          <w:tcPr>
            <w:tcW w:w="0" w:type="dxa"/>
            <w:vAlign w:val="bottom"/>
          </w:tcPr>
          <w:p>
            <w:pPr>
              <w:spacing w:after="0"/>
              <w:rPr>
                <w:sz w:val="1"/>
                <w:szCs w:val="1"/>
                <w:color w:val="auto"/>
              </w:rPr>
            </w:pPr>
          </w:p>
        </w:tc>
      </w:tr>
      <w:tr>
        <w:trPr>
          <w:trHeight w:val="117"/>
        </w:trPr>
        <w:tc>
          <w:tcPr>
            <w:tcW w:w="240" w:type="dxa"/>
            <w:vAlign w:val="bottom"/>
          </w:tcPr>
          <w:p>
            <w:pPr>
              <w:spacing w:after="0"/>
              <w:rPr>
                <w:sz w:val="10"/>
                <w:szCs w:val="10"/>
                <w:color w:val="auto"/>
              </w:rPr>
            </w:pPr>
          </w:p>
        </w:tc>
        <w:tc>
          <w:tcPr>
            <w:tcW w:w="3980" w:type="dxa"/>
            <w:vAlign w:val="bottom"/>
            <w:gridSpan w:val="6"/>
          </w:tcPr>
          <w:p>
            <w:pPr>
              <w:ind w:left="40"/>
              <w:spacing w:after="0" w:line="118" w:lineRule="exact"/>
              <w:rPr>
                <w:sz w:val="20"/>
                <w:szCs w:val="20"/>
                <w:color w:val="auto"/>
              </w:rPr>
            </w:pPr>
            <w:r>
              <w:rPr>
                <w:rFonts w:ascii="Times New Roman" w:cs="Times New Roman" w:eastAsia="Times New Roman" w:hAnsi="Times New Roman"/>
                <w:sz w:val="11"/>
                <w:szCs w:val="11"/>
                <w:color w:val="auto"/>
              </w:rPr>
              <w:t>auditing standards by a certified public accounting firm (may be required by state-</w:t>
            </w:r>
          </w:p>
        </w:tc>
        <w:tc>
          <w:tcPr>
            <w:tcW w:w="0" w:type="dxa"/>
            <w:vAlign w:val="bottom"/>
          </w:tcPr>
          <w:p>
            <w:pPr>
              <w:spacing w:after="0"/>
              <w:rPr>
                <w:sz w:val="1"/>
                <w:szCs w:val="1"/>
                <w:color w:val="auto"/>
              </w:rPr>
            </w:pPr>
          </w:p>
        </w:tc>
      </w:tr>
      <w:tr>
        <w:trPr>
          <w:trHeight w:val="147"/>
        </w:trPr>
        <w:tc>
          <w:tcPr>
            <w:tcW w:w="240" w:type="dxa"/>
            <w:vAlign w:val="bottom"/>
          </w:tcPr>
          <w:p>
            <w:pPr>
              <w:spacing w:after="0"/>
              <w:rPr>
                <w:sz w:val="12"/>
                <w:szCs w:val="12"/>
                <w:color w:val="auto"/>
              </w:rPr>
            </w:pP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chartering authority)</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w w:val="99"/>
              </w:rPr>
              <w:t>  5 =</w:t>
            </w:r>
          </w:p>
        </w:tc>
        <w:tc>
          <w:tcPr>
            <w:tcW w:w="3740" w:type="dxa"/>
            <w:vAlign w:val="bottom"/>
            <w:gridSpan w:val="5"/>
          </w:tcPr>
          <w:p>
            <w:pPr>
              <w:ind w:left="40"/>
              <w:spacing w:after="0"/>
              <w:rPr>
                <w:sz w:val="20"/>
                <w:szCs w:val="20"/>
                <w:color w:val="auto"/>
              </w:rPr>
            </w:pPr>
            <w:r>
              <w:rPr>
                <w:rFonts w:ascii="Times New Roman" w:cs="Times New Roman" w:eastAsia="Times New Roman" w:hAnsi="Times New Roman"/>
                <w:sz w:val="11"/>
                <w:szCs w:val="11"/>
                <w:color w:val="auto"/>
              </w:rPr>
              <w:t>Directors’ examination of the bank performed by other external auditors (may be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40" w:type="dxa"/>
            <w:vAlign w:val="bottom"/>
          </w:tcPr>
          <w:p>
            <w:pPr>
              <w:spacing w:after="0"/>
              <w:rPr>
                <w:sz w:val="12"/>
                <w:szCs w:val="12"/>
                <w:color w:val="auto"/>
              </w:rPr>
            </w:pP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required by state-chartering authority)</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w w:val="99"/>
              </w:rPr>
              <w:t>  6 =</w:t>
            </w: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Review of the bank’s financial statements by external auditors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w w:val="99"/>
              </w:rPr>
              <w:t>  7 =</w:t>
            </w: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Compilation of the bank’s financial statements by external auditors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w w:val="99"/>
              </w:rPr>
              <w:t>  8 =</w:t>
            </w: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Other audit procedures (excluding tax preparation work)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w w:val="99"/>
              </w:rPr>
              <w:t>  9 =</w:t>
            </w: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No external audit work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RCON</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Date</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6"/>
              </w:rPr>
              <w:t>M.2.</w:t>
            </w:r>
          </w:p>
        </w:tc>
        <w:tc>
          <w:tcPr>
            <w:tcW w:w="0" w:type="dxa"/>
            <w:vAlign w:val="bottom"/>
          </w:tcPr>
          <w:p>
            <w:pPr>
              <w:spacing w:after="0"/>
              <w:rPr>
                <w:sz w:val="1"/>
                <w:szCs w:val="1"/>
                <w:color w:val="auto"/>
              </w:rPr>
            </w:pPr>
          </w:p>
        </w:tc>
      </w:tr>
      <w:tr>
        <w:trPr>
          <w:trHeight w:val="138"/>
        </w:trPr>
        <w:tc>
          <w:tcPr>
            <w:tcW w:w="2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8678</w:t>
            </w:r>
          </w:p>
        </w:tc>
        <w:tc>
          <w:tcPr>
            <w:tcW w:w="120" w:type="dxa"/>
            <w:vAlign w:val="bottom"/>
          </w:tcPr>
          <w:p>
            <w:pPr>
              <w:spacing w:after="0"/>
              <w:rPr>
                <w:sz w:val="11"/>
                <w:szCs w:val="11"/>
                <w:color w:val="auto"/>
              </w:rPr>
            </w:pPr>
          </w:p>
        </w:tc>
        <w:tc>
          <w:tcPr>
            <w:tcW w:w="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90"/>
              </w:rPr>
              <w:t>1231</w:t>
            </w:r>
          </w:p>
        </w:tc>
        <w:tc>
          <w:tcPr>
            <w:tcW w:w="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2">
            <w:col w:w="4260" w:space="340"/>
            <w:col w:w="4419"/>
          </w:cols>
          <w:pgMar w:left="1440" w:top="230" w:right="1440" w:bottom="1440" w:gutter="0" w:footer="0" w:header="0"/>
          <w:type w:val="continuous"/>
        </w:sectPr>
      </w:pPr>
    </w:p>
    <w:p>
      <w:pPr>
        <w:ind w:left="500" w:right="479" w:hanging="337"/>
        <w:spacing w:after="0" w:line="233" w:lineRule="auto"/>
        <w:tabs>
          <w:tab w:leader="none" w:pos="5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but is not limited to, net unrealized holding gains (losses) on available-for-sale securities, accumulated net gains (losses) on cash flow hedges, and accumulated defined benefit pension and other postretirement plan adjustments.</w:t>
      </w:r>
    </w:p>
    <w:p>
      <w:pPr>
        <w:ind w:left="500" w:hanging="337"/>
        <w:spacing w:after="0"/>
        <w:tabs>
          <w:tab w:leader="none" w:pos="5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treasury stock and unearned Employee Stock Ownership Plan shares.</w:t>
      </w:r>
    </w:p>
    <w:p>
      <w:pPr>
        <w:spacing w:after="0" w:line="96"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1"/>
          <w:szCs w:val="11"/>
          <w:color w:val="auto"/>
        </w:rPr>
        <w:t>06/2012</w:t>
      </w:r>
    </w:p>
    <w:p>
      <w:pPr>
        <w:sectPr>
          <w:pgSz w:w="11900" w:h="16838" w:orient="portrait"/>
          <w:cols w:equalWidth="0" w:num="1">
            <w:col w:w="9019"/>
          </w:cols>
          <w:pgMar w:left="1440" w:top="230" w:right="1440" w:bottom="1440" w:gutter="0" w:footer="0" w:header="0"/>
          <w:type w:val="continuous"/>
        </w:sectPr>
      </w:pPr>
    </w:p>
    <w:bookmarkStart w:id="45" w:name="page46"/>
    <w:bookmarkEnd w:id="45"/>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EXXON MOBIL CORP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36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ind w:left="140"/>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920" w:type="dxa"/>
            <w:vAlign w:val="bottom"/>
            <w:shd w:val="clear" w:color="auto" w:fill="9ADAF6"/>
          </w:tcPr>
          <w:p>
            <w:pPr>
              <w:ind w:left="40"/>
              <w:spacing w:after="0" w:line="118" w:lineRule="exact"/>
              <w:rPr>
                <w:sz w:val="20"/>
                <w:szCs w:val="20"/>
                <w:color w:val="auto"/>
              </w:rPr>
            </w:pPr>
            <w:r>
              <w:rPr>
                <w:rFonts w:ascii="Arial" w:cs="Arial" w:eastAsia="Arial" w:hAnsi="Arial"/>
                <w:sz w:val="13"/>
                <w:szCs w:val="13"/>
                <w:b w:val="1"/>
                <w:bCs w:val="1"/>
                <w:color w:val="auto"/>
              </w:rPr>
              <w:t>Class Title</w:t>
            </w: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9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0"/>
                <w:szCs w:val="10"/>
                <w:color w:val="auto"/>
              </w:rPr>
            </w:pPr>
          </w:p>
        </w:tc>
        <w:tc>
          <w:tcPr>
            <w:tcW w:w="8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Unsold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20" w:type="dxa"/>
            <w:vAlign w:val="bottom"/>
            <w:gridSpan w:val="8"/>
          </w:tcPr>
          <w:p>
            <w:pPr>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1" w:lineRule="exact"/>
              <w:rPr>
                <w:sz w:val="20"/>
                <w:szCs w:val="20"/>
                <w:color w:val="auto"/>
              </w:rPr>
            </w:pPr>
            <w:r>
              <w:rPr>
                <w:rFonts w:ascii="Arial" w:cs="Arial" w:eastAsia="Arial" w:hAnsi="Arial"/>
                <w:sz w:val="17"/>
                <w:szCs w:val="17"/>
                <w:color w:val="auto"/>
                <w:w w:val="99"/>
              </w:rPr>
              <w:t>Guarantees</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2"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of Debt</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-2063115</wp:posOffset>
            </wp:positionV>
            <wp:extent cx="7213600" cy="36137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213600" cy="36137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Fees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Carry Forward Securities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Carry</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Forward</w:t>
      </w:r>
    </w:p>
    <w:p>
      <w:pPr>
        <w:ind w:left="40"/>
        <w:spacing w:after="0"/>
        <w:rPr>
          <w:sz w:val="20"/>
          <w:szCs w:val="20"/>
          <w:color w:val="auto"/>
        </w:rPr>
      </w:pPr>
      <w:r>
        <w:rPr>
          <w:rFonts w:ascii="Arial" w:cs="Arial" w:eastAsia="Arial" w:hAnsi="Arial"/>
          <w:sz w:val="17"/>
          <w:szCs w:val="17"/>
          <w:color w:val="auto"/>
        </w:rPr>
        <w:t>Securities</w:t>
      </w:r>
    </w:p>
    <w:p>
      <w:pPr>
        <w:spacing w:after="0" w:line="23" w:lineRule="exact"/>
        <w:rPr>
          <w:sz w:val="20"/>
          <w:szCs w:val="20"/>
          <w:color w:val="auto"/>
        </w:rPr>
      </w:pPr>
    </w:p>
    <w:tbl>
      <w:tblPr>
        <w:tblLayout w:type="fixed"/>
        <w:tblInd w:w="2480" w:type="dxa"/>
        <w:tblCellMar>
          <w:top w:w="0" w:type="dxa"/>
          <w:left w:w="0" w:type="dxa"/>
          <w:bottom w:w="0" w:type="dxa"/>
          <w:right w:w="0" w:type="dxa"/>
        </w:tblCellMar>
      </w:tblPr>
      <w:tr>
        <w:trPr>
          <w:trHeight w:val="224"/>
        </w:trPr>
        <w:tc>
          <w:tcPr>
            <w:tcW w:w="2680" w:type="dxa"/>
            <w:vAlign w:val="bottom"/>
          </w:tcPr>
          <w:p>
            <w:pPr>
              <w:jc w:val="right"/>
              <w:ind w:right="555"/>
              <w:spacing w:after="0"/>
              <w:rPr>
                <w:sz w:val="20"/>
                <w:szCs w:val="20"/>
                <w:color w:val="auto"/>
              </w:rPr>
            </w:pPr>
            <w:r>
              <w:rPr>
                <w:rFonts w:ascii="Arial" w:cs="Arial" w:eastAsia="Arial" w:hAnsi="Arial"/>
                <w:sz w:val="17"/>
                <w:szCs w:val="17"/>
                <w:color w:val="auto"/>
              </w:rPr>
              <w:t>Total Offering Amounts:</w:t>
            </w:r>
          </w:p>
        </w:tc>
        <w:tc>
          <w:tcPr>
            <w:tcW w:w="1800" w:type="dxa"/>
            <w:vAlign w:val="bottom"/>
          </w:tcPr>
          <w:p>
            <w:pPr>
              <w:jc w:val="right"/>
              <w:ind w:right="615"/>
              <w:spacing w:after="0"/>
              <w:rPr>
                <w:sz w:val="20"/>
                <w:szCs w:val="20"/>
                <w:color w:val="auto"/>
              </w:rPr>
            </w:pPr>
            <w:r>
              <w:rPr>
                <w:rFonts w:ascii="Arial" w:cs="Arial" w:eastAsia="Arial" w:hAnsi="Arial"/>
                <w:sz w:val="17"/>
                <w:szCs w:val="17"/>
                <w:color w:val="auto"/>
              </w:rPr>
              <w:t>$ 0.00</w:t>
            </w: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55"/>
              <w:spacing w:after="0"/>
              <w:rPr>
                <w:sz w:val="20"/>
                <w:szCs w:val="20"/>
                <w:color w:val="auto"/>
              </w:rPr>
            </w:pPr>
            <w:r>
              <w:rPr>
                <w:rFonts w:ascii="Arial" w:cs="Arial" w:eastAsia="Arial" w:hAnsi="Arial"/>
                <w:sz w:val="17"/>
                <w:szCs w:val="17"/>
                <w:color w:val="auto"/>
                <w:w w:val="97"/>
              </w:rPr>
              <w:t>Total Fees Previously Paid:</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55"/>
              <w:spacing w:after="0"/>
              <w:rPr>
                <w:sz w:val="20"/>
                <w:szCs w:val="20"/>
                <w:color w:val="auto"/>
              </w:rPr>
            </w:pPr>
            <w:r>
              <w:rPr>
                <w:rFonts w:ascii="Arial" w:cs="Arial" w:eastAsia="Arial" w:hAnsi="Arial"/>
                <w:sz w:val="17"/>
                <w:szCs w:val="17"/>
                <w:color w:val="auto"/>
              </w:rPr>
              <w:t>Total Fee Offsets:</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55"/>
              <w:spacing w:after="0"/>
              <w:rPr>
                <w:sz w:val="20"/>
                <w:szCs w:val="20"/>
                <w:color w:val="auto"/>
              </w:rPr>
            </w:pPr>
            <w:r>
              <w:rPr>
                <w:rFonts w:ascii="Arial" w:cs="Arial" w:eastAsia="Arial" w:hAnsi="Arial"/>
                <w:sz w:val="17"/>
                <w:szCs w:val="17"/>
                <w:color w:val="auto"/>
              </w:rPr>
              <w:t>Net Fee Due:</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bl>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3" w:lineRule="exact"/>
        <w:rPr>
          <w:sz w:val="20"/>
          <w:szCs w:val="20"/>
          <w:color w:val="auto"/>
        </w:rPr>
      </w:pPr>
    </w:p>
    <w:p>
      <w:pPr>
        <w:ind w:left="220" w:right="160" w:hanging="183"/>
        <w:spacing w:after="0" w:line="232" w:lineRule="auto"/>
        <w:tabs>
          <w:tab w:leader="none" w:pos="220" w:val="left"/>
        </w:tabs>
        <w:numPr>
          <w:ilvl w:val="0"/>
          <w:numId w:val="40"/>
        </w:numPr>
        <w:rPr>
          <w:rFonts w:ascii="Arial" w:cs="Arial" w:eastAsia="Arial" w:hAnsi="Arial"/>
          <w:sz w:val="21"/>
          <w:szCs w:val="21"/>
          <w:color w:val="auto"/>
          <w:vertAlign w:val="superscript"/>
        </w:rPr>
      </w:pPr>
      <w:r>
        <w:rPr>
          <w:rFonts w:ascii="Arial" w:cs="Arial" w:eastAsia="Arial" w:hAnsi="Arial"/>
          <w:sz w:val="17"/>
          <w:szCs w:val="17"/>
          <w:color w:val="auto"/>
        </w:rPr>
        <w:t>(1) In accordance with Rules 456(b) and 457(r) under the Securities Act of 1933, as amended, ExxonMobil Holdings Corporation ("ExxonMobil") is deferring payment of all of the registration fee. Registration fees will be paid subsequently on a "pay as you go" basis. ExxonMobil will calculate the registration fee applicable to an offer of securities pursuant to this Registration Statement based on the fee payment rate in effect on the date of such fee payment. (2) 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63500</wp:posOffset>
            </wp:positionV>
            <wp:extent cx="714629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27" w:lineRule="exact"/>
        <w:rPr>
          <w:sz w:val="20"/>
          <w:szCs w:val="20"/>
          <w:color w:val="auto"/>
        </w:rPr>
      </w:pPr>
    </w:p>
    <w:p>
      <w:pPr>
        <w:ind w:left="220" w:right="160" w:hanging="183"/>
        <w:spacing w:after="0" w:line="232" w:lineRule="auto"/>
        <w:tabs>
          <w:tab w:leader="none" w:pos="220" w:val="left"/>
        </w:tabs>
        <w:numPr>
          <w:ilvl w:val="0"/>
          <w:numId w:val="41"/>
        </w:numPr>
        <w:rPr>
          <w:rFonts w:ascii="Arial" w:cs="Arial" w:eastAsia="Arial" w:hAnsi="Arial"/>
          <w:sz w:val="21"/>
          <w:szCs w:val="21"/>
          <w:color w:val="auto"/>
          <w:vertAlign w:val="superscript"/>
        </w:rPr>
      </w:pPr>
      <w:r>
        <w:rPr>
          <w:rFonts w:ascii="Arial" w:cs="Arial" w:eastAsia="Arial" w:hAnsi="Arial"/>
          <w:sz w:val="17"/>
          <w:szCs w:val="17"/>
          <w:color w:val="auto"/>
        </w:rPr>
        <w:t>(1) In accordance with Rules 456(b) and 457(r) under the Securities Act of 1933, as amended, ExxonMobil Holdings Corporation ("ExxonMobil") is deferring payment of all of the registration fee. Registration fees will be paid subsequently on a "pay as you go" basis. ExxonMobil will calculate the registration fee applicable to an offer of securities pursuant to this Registration Statement based on the fee payment rate in effect on the date of such fee payment. (2) 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63500</wp:posOffset>
            </wp:positionV>
            <wp:extent cx="714629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3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55"/>
              <w:spacing w:after="0" w:line="192"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Claimed</w:t>
            </w: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40" w:type="dxa"/>
            <w:vAlign w:val="bottom"/>
            <w:tcBorders>
              <w:right w:val="single" w:sz="8" w:color="9ADAF6"/>
            </w:tcBorders>
          </w:tcPr>
          <w:p>
            <w:pPr>
              <w:spacing w:after="0"/>
              <w:rPr>
                <w:sz w:val="10"/>
                <w:szCs w:val="10"/>
                <w:color w:val="auto"/>
              </w:rPr>
            </w:pPr>
          </w:p>
        </w:tc>
        <w:tc>
          <w:tcPr>
            <w:tcW w:w="9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40" w:type="dxa"/>
            <w:vAlign w:val="bottom"/>
            <w:tcBorders>
              <w:right w:val="single" w:sz="8" w:color="9ADAF6"/>
            </w:tcBorders>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0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3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900" w:type="dxa"/>
            <w:vAlign w:val="bottom"/>
            <w:gridSpan w:val="5"/>
            <w:shd w:val="clear" w:color="auto" w:fill="9ADAF6"/>
          </w:tcPr>
          <w:p>
            <w:pPr>
              <w:jc w:val="center"/>
              <w:ind w:right="58"/>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restart"/>
            <w:shd w:val="clear" w:color="auto" w:fill="9ADAF6"/>
          </w:tcPr>
          <w:p>
            <w:pPr>
              <w:jc w:val="center"/>
              <w:ind w:right="295"/>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58"/>
              <w:spacing w:after="0" w:line="192"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restart"/>
            <w:shd w:val="clear" w:color="auto" w:fill="9ADAF6"/>
          </w:tcPr>
          <w:p>
            <w:pPr>
              <w:ind w:left="220"/>
              <w:spacing w:after="0" w:line="192"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2"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92"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2"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58"/>
              <w:spacing w:after="0" w:line="192"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8"/>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972"/>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lowerRoman"/>
      <w:start w:val="1"/>
    </w:lvl>
  </w:abstractNum>
  <w:abstractNum w:abstractNumId="5">
    <w:nsid w:val="6763845E"/>
    <w:multiLevelType w:val="hybridMultilevel"/>
    <w:lvl w:ilvl="0">
      <w:lvlJc w:val="left"/>
      <w:lvlText w:val="(%1)"/>
      <w:numFmt w:val="lowerRoman"/>
      <w:start w:val="5"/>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Roman"/>
      <w:start w:val="1"/>
    </w:lvl>
  </w:abstractNum>
  <w:abstractNum w:abstractNumId="8">
    <w:nsid w:val="79838C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
    <w:nsid w:val="4353D0CD"/>
    <w:multiLevelType w:val="hybridMultilevel"/>
    <w:lvl w:ilvl="0">
      <w:lvlJc w:val="left"/>
      <w:lvlText w:val="(%1)"/>
      <w:numFmt w:val="lowerLetter"/>
      <w:start w:val="2"/>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
      <w:numFmt w:val="bullet"/>
      <w:start w:val="1"/>
    </w:lvl>
  </w:abstractNum>
  <w:abstractNum w:abstractNumId="16">
    <w:nsid w:val="2901D82"/>
    <w:multiLevelType w:val="hybridMultilevel"/>
    <w:lvl w:ilvl="0">
      <w:lvlJc w:val="left"/>
      <w:lvlText w:val=" "/>
      <w:numFmt w:val="bullet"/>
      <w:start w:val="1"/>
    </w:lvl>
  </w:abstractNum>
  <w:abstractNum w:abstractNumId="17">
    <w:nsid w:val="3A95F87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8">
    <w:nsid w:val="8138641"/>
    <w:multiLevelType w:val="hybridMultilevel"/>
    <w:lvl w:ilvl="0">
      <w:lvlJc w:val="left"/>
      <w:lvlText w:val="(%1)"/>
      <w:numFmt w:val="lowerRoman"/>
      <w:start w:val="3"/>
    </w:lvl>
  </w:abstractNum>
  <w:abstractNum w:abstractNumId="19">
    <w:nsid w:val="1E7FF521"/>
    <w:multiLevelType w:val="hybridMultilevel"/>
    <w:lvl w:ilvl="0">
      <w:lvlJc w:val="left"/>
      <w:lvlText w:val="(%1)"/>
      <w:numFmt w:val="decimal"/>
      <w:start w:val="2"/>
    </w:lvl>
    <w:lvl w:ilvl="1">
      <w:lvlJc w:val="left"/>
      <w:lvlText w:val="(%2)"/>
      <w:numFmt w:val="upperLetter"/>
      <w:start w:val="1"/>
    </w:lvl>
  </w:abstractNum>
  <w:abstractNum w:abstractNumId="20">
    <w:nsid w:val="7C3DBD3D"/>
    <w:multiLevelType w:val="hybridMultilevel"/>
    <w:lvl w:ilvl="0">
      <w:lvlJc w:val="left"/>
      <w:lvlText w:val="%1"/>
      <w:numFmt w:val="lowerLetter"/>
      <w:start w:val="1"/>
    </w:lvl>
    <w:lvl w:ilvl="1">
      <w:lvlJc w:val="left"/>
      <w:lvlText w:val="(%2)"/>
      <w:numFmt w:val="lowerRoman"/>
      <w:start w:val="1"/>
    </w:lvl>
  </w:abstractNum>
  <w:abstractNum w:abstractNumId="21">
    <w:nsid w:val="737B8DDC"/>
    <w:multiLevelType w:val="hybridMultilevel"/>
    <w:lvl w:ilvl="0">
      <w:lvlJc w:val="left"/>
      <w:lvlText w:val="(%1)"/>
      <w:numFmt w:val="lowerLetter"/>
      <w:start w:val="2"/>
    </w:lvl>
    <w:lvl w:ilvl="1">
      <w:lvlJc w:val="left"/>
      <w:lvlText w:val="%2"/>
      <w:numFmt w:val="lowerRoman"/>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3"/>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2"/>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2"/>
    </w:lvl>
  </w:abstractNum>
  <w:abstractNum w:abstractNumId="29">
    <w:nsid w:val="440BADFC"/>
    <w:multiLevelType w:val="hybridMultilevel"/>
    <w:lvl w:ilvl="0">
      <w:lvlJc w:val="left"/>
      <w:lvlText w:val=" "/>
      <w:numFmt w:val="bullet"/>
      <w:start w:val="1"/>
    </w:lvl>
  </w:abstractNum>
  <w:abstractNum w:abstractNumId="30">
    <w:nsid w:val="5072367"/>
    <w:multiLevelType w:val="hybridMultilevel"/>
    <w:lvl w:ilvl="0">
      <w:lvlJc w:val="left"/>
      <w:lvlText w:val=" "/>
      <w:numFmt w:val="bullet"/>
      <w:start w:val="1"/>
    </w:lvl>
    <w:lvl w:ilvl="1">
      <w:lvlJc w:val="left"/>
      <w:lvlText w:val="%2."/>
      <w:numFmt w:val="lowerLetter"/>
      <w:start w:val="1"/>
    </w:lvl>
  </w:abstractNum>
  <w:abstractNum w:abstractNumId="31">
    <w:nsid w:val="3804823E"/>
    <w:multiLevelType w:val="hybridMultilevel"/>
    <w:lvl w:ilvl="0">
      <w:lvlJc w:val="left"/>
      <w:lvlText w:val="%1."/>
      <w:numFmt w:val="decimal"/>
      <w:start w:val="10"/>
    </w:lvl>
  </w:abstractNum>
  <w:abstractNum w:abstractNumId="32">
    <w:nsid w:val="77465F01"/>
    <w:multiLevelType w:val="hybridMultilevel"/>
    <w:lvl w:ilvl="0">
      <w:lvlJc w:val="left"/>
      <w:lvlText w:val="%1."/>
      <w:numFmt w:val="decimal"/>
      <w:start w:val="13"/>
    </w:lvl>
  </w:abstractNum>
  <w:abstractNum w:abstractNumId="33">
    <w:nsid w:val="7724C67E"/>
    <w:multiLevelType w:val="hybridMultilevel"/>
    <w:lvl w:ilvl="0">
      <w:lvlJc w:val="left"/>
      <w:lvlText w:val="%1."/>
      <w:numFmt w:val="decimal"/>
      <w:start w:val="14"/>
    </w:lvl>
    <w:lvl w:ilvl="1">
      <w:lvlJc w:val="left"/>
      <w:lvlText w:val="%2."/>
      <w:numFmt w:val="lowerLetter"/>
      <w:start w:val="1"/>
    </w:lvl>
  </w:abstractNum>
  <w:abstractNum w:abstractNumId="34">
    <w:nsid w:val="5C482A97"/>
    <w:multiLevelType w:val="hybridMultilevel"/>
    <w:lvl w:ilvl="0">
      <w:lvlJc w:val="left"/>
      <w:lvlText w:val="%1"/>
      <w:numFmt w:val="decimal"/>
      <w:start w:val="1"/>
    </w:lvl>
    <w:lvl w:ilvl="1">
      <w:lvlJc w:val="left"/>
      <w:lvlText w:val="%2."/>
      <w:numFmt w:val="decimal"/>
      <w:start w:val="19"/>
    </w:lvl>
  </w:abstractNum>
  <w:abstractNum w:abstractNumId="35">
    <w:nsid w:val="2463B9EA"/>
    <w:multiLevelType w:val="hybridMultilevel"/>
    <w:lvl w:ilvl="0">
      <w:lvlJc w:val="left"/>
      <w:lvlText w:val="%1."/>
      <w:numFmt w:val="decimal"/>
      <w:start w:val="1"/>
    </w:lvl>
    <w:lvl w:ilvl="1">
      <w:lvlJc w:val="left"/>
      <w:lvlText w:val="%2"/>
      <w:numFmt w:val="decimal"/>
      <w:start w:val="1"/>
    </w:lvl>
  </w:abstractNum>
  <w:abstractNum w:abstractNumId="36">
    <w:nsid w:val="5E884ADC"/>
    <w:multiLevelType w:val="hybridMultilevel"/>
    <w:lvl w:ilvl="0">
      <w:lvlJc w:val="left"/>
      <w:lvlText w:val="%1."/>
      <w:numFmt w:val="decimal"/>
      <w:start w:val="3"/>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bullet"/>
      <w:start w:val="1"/>
    </w:lvl>
  </w:abstractNum>
  <w:abstractNum w:abstractNumId="40">
    <w:nsid w:val="153EA43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9"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jpeg"/><Relationship Id="rId74" Type="http://schemas.openxmlformats.org/officeDocument/2006/relationships/image" Target="media/image49.png"/><Relationship Id="rId75" Type="http://schemas.openxmlformats.org/officeDocument/2006/relationships/image" Target="media/image50.jpe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8" Type="http://schemas.openxmlformats.org/officeDocument/2006/relationships/hyperlink" Target="http://www.sec.gov/Archives/edgar/data/34088/000119312526057490/d56144ds3asr.htm" TargetMode="External"/><Relationship Id="rId42" Type="http://schemas.openxmlformats.org/officeDocument/2006/relationships/hyperlink" Target="http://www.sec.gov/ix?doc=/Archives/edgar/data/0000034088/000003408826000045/xom-20251231.htm" TargetMode="External"/><Relationship Id="rId43" Type="http://schemas.openxmlformats.org/officeDocument/2006/relationships/hyperlink" Target="http://www.sec.gov/ix?doc=/Archives/edgar/data/0000034088/000003408826000067/xom-20260331.htm" TargetMode="External"/><Relationship Id="rId44" Type="http://schemas.openxmlformats.org/officeDocument/2006/relationships/hyperlink" Target="http://www.sec.gov/ix?doc=/Archives/edgar/data/0000034088/000003408826000047/xom-20260218.htm" TargetMode="External"/><Relationship Id="rId45" Type="http://schemas.openxmlformats.org/officeDocument/2006/relationships/hyperlink" Target="http://www.sec.gov/ix?doc=/Archives/edgar/data/0000034088/000119312526134838/d121881d8k.htm" TargetMode="External"/><Relationship Id="rId46" Type="http://schemas.openxmlformats.org/officeDocument/2006/relationships/hyperlink" Target="http://www.sec.gov/ix?doc=/Archives/edgar/data/0000034088/000003408826000069/xom-20260428.htm" TargetMode="External"/><Relationship Id="rId47" Type="http://schemas.openxmlformats.org/officeDocument/2006/relationships/hyperlink" Target="http://www.sec.gov/ix?doc=/Archives/edgar/data/0000034088/000003408826000078/xom-20260527.htm" TargetMode="External"/><Relationship Id="rId48" Type="http://schemas.openxmlformats.org/officeDocument/2006/relationships/hyperlink" Target="http://www.sec.gov/ix?doc=/Archives/edgar/data/34088/000119312526291986/d70995d8k.htm" TargetMode="External"/><Relationship Id="rId49" Type="http://schemas.openxmlformats.org/officeDocument/2006/relationships/hyperlink" Target="http://www.sec.gov/ix?doc=/Archives/edgar/data/0000034088/000119312526147614/d16317ddef14a.htm" TargetMode="External"/><Relationship Id="rId50" Type="http://schemas.openxmlformats.org/officeDocument/2006/relationships/hyperlink" Target="http://www.sec.gov/Archives/edgar/data/2115436/000119312526291990/d71068d8k12b.htm" TargetMode="External"/><Relationship Id="rId58" Type="http://schemas.openxmlformats.org/officeDocument/2006/relationships/hyperlink" Target="http://www.sec.gov/Archives/edgar/data/34088/000119312514101128/d686133dex11.htm" TargetMode="External"/><Relationship Id="rId60" Type="http://schemas.openxmlformats.org/officeDocument/2006/relationships/hyperlink" Target="http://www.sec.gov/Archives/edgar/data/34088/000119312526291986/d70995dex3i.htm" TargetMode="External"/><Relationship Id="rId61" Type="http://schemas.openxmlformats.org/officeDocument/2006/relationships/hyperlink" Target="http://www.sec.gov/Archives/edgar/data/2115436/000119312526291990/d71068dex3i.htm" TargetMode="External"/><Relationship Id="rId62" Type="http://schemas.openxmlformats.org/officeDocument/2006/relationships/hyperlink" Target="http://www.sec.gov/Archives/edgar/data/34088/000119312526291986/d70995dex3ii.htm" TargetMode="External"/><Relationship Id="rId63" Type="http://schemas.openxmlformats.org/officeDocument/2006/relationships/hyperlink" Target="http://www.sec.gov/Archives/edgar/data/2115436/000119312526291990/d71068dex3ii.htm" TargetMode="External"/><Relationship Id="rId64" Type="http://schemas.openxmlformats.org/officeDocument/2006/relationships/hyperlink" Target="http://www.sec.gov/Archives/edgar/data/34088/000119312514107397/d696509dex41.htm" TargetMode="External"/><Relationship Id="rId65" Type="http://schemas.openxmlformats.org/officeDocument/2006/relationships/hyperlink" Target="http://www.sec.gov/Archives/edgar/data/34088/000119312520180037/d914260dex42.htm" TargetMode="External"/><Relationship Id="rId66" Type="http://schemas.openxmlformats.org/officeDocument/2006/relationships/hyperlink" Target="http://www.sec.gov/Archives/edgar/data/2115436/000119312526291990/d71068dex4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2026-07-01T14:46:35Z</dcterms:created>
  <dcterms:modified xsi:type="dcterms:W3CDTF">2026-07-01T14:46:35Z</dcterms:modified>
</cp:coreProperties>
</file>