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116"/>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36"/>
        <w:spacing w:after="0"/>
        <w:tabs>
          <w:tab w:leader="none" w:pos="4516"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9" w:lineRule="exact"/>
        <w:rPr>
          <w:sz w:val="24"/>
          <w:szCs w:val="24"/>
          <w:color w:val="auto"/>
        </w:rPr>
      </w:pPr>
    </w:p>
    <w:p>
      <w:pPr>
        <w:ind w:left="1156" w:right="3899" w:hanging="1156"/>
        <w:spacing w:after="0" w:line="235" w:lineRule="auto"/>
        <w:tabs>
          <w:tab w:leader="none" w:pos="115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203" w:lineRule="exact"/>
        <w:rPr>
          <w:sz w:val="24"/>
          <w:szCs w:val="24"/>
          <w:color w:val="auto"/>
        </w:rPr>
      </w:pPr>
    </w:p>
    <w:p>
      <w:pPr>
        <w:ind w:left="1256"/>
        <w:spacing w:after="0"/>
        <w:rPr>
          <w:sz w:val="20"/>
          <w:szCs w:val="20"/>
          <w:color w:val="auto"/>
        </w:rPr>
      </w:pPr>
      <w:r>
        <w:rPr>
          <w:rFonts w:ascii="Courier New" w:cs="Courier New" w:eastAsia="Courier New" w:hAnsi="Courier New"/>
          <w:sz w:val="18"/>
          <w:szCs w:val="18"/>
          <w:color w:val="auto"/>
        </w:rPr>
        <w:t>For the fiscal year ended December 31, 2002</w:t>
      </w:r>
    </w:p>
    <w:p>
      <w:pPr>
        <w:spacing w:after="0" w:line="200" w:lineRule="exact"/>
        <w:rPr>
          <w:sz w:val="24"/>
          <w:szCs w:val="24"/>
          <w:color w:val="auto"/>
        </w:rPr>
      </w:pPr>
    </w:p>
    <w:p>
      <w:pPr>
        <w:spacing w:after="0" w:line="204" w:lineRule="exact"/>
        <w:rPr>
          <w:sz w:val="24"/>
          <w:szCs w:val="24"/>
          <w:color w:val="auto"/>
        </w:rPr>
      </w:pPr>
    </w:p>
    <w:p>
      <w:pPr>
        <w:ind w:left="3156"/>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56" w:right="3479" w:hanging="1156"/>
        <w:spacing w:after="0" w:line="235" w:lineRule="auto"/>
        <w:tabs>
          <w:tab w:leader="none" w:pos="20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836"/>
        <w:spacing w:after="0"/>
        <w:rPr>
          <w:sz w:val="20"/>
          <w:szCs w:val="20"/>
          <w:color w:val="auto"/>
        </w:rPr>
      </w:pPr>
      <w:r>
        <w:rPr>
          <w:rFonts w:ascii="Courier New" w:cs="Courier New" w:eastAsia="Courier New" w:hAnsi="Courier New"/>
          <w:sz w:val="18"/>
          <w:szCs w:val="18"/>
          <w:color w:val="auto"/>
        </w:rPr>
        <w:t>For the transition period from __________ to ___________</w:t>
      </w:r>
    </w:p>
    <w:p>
      <w:pPr>
        <w:spacing w:after="0" w:line="200" w:lineRule="exact"/>
        <w:rPr>
          <w:sz w:val="24"/>
          <w:szCs w:val="24"/>
          <w:color w:val="auto"/>
        </w:rPr>
      </w:pPr>
    </w:p>
    <w:p>
      <w:pPr>
        <w:spacing w:after="0" w:line="204" w:lineRule="exact"/>
        <w:rPr>
          <w:sz w:val="24"/>
          <w:szCs w:val="24"/>
          <w:color w:val="auto"/>
        </w:rPr>
      </w:pPr>
    </w:p>
    <w:p>
      <w:pPr>
        <w:ind w:left="2116"/>
        <w:spacing w:after="0"/>
        <w:rPr>
          <w:sz w:val="20"/>
          <w:szCs w:val="20"/>
          <w:color w:val="auto"/>
        </w:rPr>
      </w:pPr>
      <w:r>
        <w:rPr>
          <w:rFonts w:ascii="Courier New" w:cs="Courier New" w:eastAsia="Courier New" w:hAnsi="Courier New"/>
          <w:sz w:val="18"/>
          <w:szCs w:val="18"/>
          <w:color w:val="auto"/>
        </w:rPr>
        <w:t>Commission file number 1-2256</w:t>
      </w:r>
    </w:p>
    <w:p>
      <w:pPr>
        <w:spacing w:after="0" w:line="200" w:lineRule="exact"/>
        <w:rPr>
          <w:sz w:val="24"/>
          <w:szCs w:val="24"/>
          <w:color w:val="auto"/>
        </w:rPr>
      </w:pPr>
    </w:p>
    <w:p>
      <w:pPr>
        <w:spacing w:after="0" w:line="204" w:lineRule="exact"/>
        <w:rPr>
          <w:sz w:val="24"/>
          <w:szCs w:val="24"/>
          <w:color w:val="auto"/>
        </w:rPr>
      </w:pPr>
    </w:p>
    <w:p>
      <w:pPr>
        <w:ind w:left="1256" w:hanging="413"/>
        <w:spacing w:after="0"/>
        <w:tabs>
          <w:tab w:leader="none" w:pos="125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w:t>
      </w:r>
    </w:p>
    <w:p>
      <w:pPr>
        <w:spacing w:after="0" w:line="201" w:lineRule="exact"/>
        <w:rPr>
          <w:sz w:val="24"/>
          <w:szCs w:val="24"/>
          <w:color w:val="auto"/>
        </w:rPr>
      </w:pPr>
    </w:p>
    <w:p>
      <w:pPr>
        <w:ind w:left="1796"/>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0" w:lineRule="exact"/>
        <w:rPr>
          <w:sz w:val="24"/>
          <w:szCs w:val="24"/>
          <w:color w:val="auto"/>
        </w:rPr>
      </w:pPr>
    </w:p>
    <w:p>
      <w:pPr>
        <w:spacing w:after="0" w:line="209" w:lineRule="exact"/>
        <w:rPr>
          <w:sz w:val="24"/>
          <w:szCs w:val="24"/>
          <w:color w:val="auto"/>
        </w:rPr>
      </w:pPr>
    </w:p>
    <w:p>
      <w:pPr>
        <w:ind w:left="1256" w:right="4199" w:hanging="413"/>
        <w:spacing w:after="0" w:line="290" w:lineRule="auto"/>
        <w:tabs>
          <w:tab w:leader="none" w:pos="125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of the securities and the address of the principal executive office:</w:t>
      </w:r>
    </w:p>
    <w:p>
      <w:pPr>
        <w:spacing w:after="0" w:line="164"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 MOBIL CORPORATION</w:t>
      </w:r>
    </w:p>
    <w:p>
      <w:pPr>
        <w:spacing w:after="0" w:line="201" w:lineRule="exact"/>
        <w:rPr>
          <w:sz w:val="24"/>
          <w:szCs w:val="24"/>
          <w:color w:val="auto"/>
        </w:rPr>
      </w:pPr>
    </w:p>
    <w:p>
      <w:pPr>
        <w:jc w:val="center"/>
        <w:ind w:right="2303"/>
        <w:spacing w:after="0"/>
        <w:rPr>
          <w:sz w:val="20"/>
          <w:szCs w:val="20"/>
          <w:color w:val="auto"/>
        </w:rPr>
      </w:pPr>
      <w:r>
        <w:rPr>
          <w:rFonts w:ascii="Courier New" w:cs="Courier New" w:eastAsia="Courier New" w:hAnsi="Courier New"/>
          <w:sz w:val="18"/>
          <w:szCs w:val="18"/>
          <w:color w:val="auto"/>
        </w:rPr>
        <w:t>5959 Las Colinas Boulevard</w:t>
      </w:r>
    </w:p>
    <w:p>
      <w:pPr>
        <w:spacing w:after="0" w:line="201"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Irving, Texas 75039-2298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796"/>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76"/>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316"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940" w:type="dxa"/>
            <w:vAlign w:val="bottom"/>
          </w:tcPr>
          <w:p>
            <w:pPr>
              <w:spacing w:after="0"/>
              <w:rPr>
                <w:sz w:val="17"/>
                <w:szCs w:val="17"/>
                <w:color w:val="auto"/>
              </w:rPr>
            </w:pPr>
          </w:p>
        </w:tc>
      </w:tr>
      <w:tr>
        <w:trPr>
          <w:trHeight w:val="405"/>
        </w:trPr>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Statement</w:t>
            </w:r>
          </w:p>
        </w:tc>
        <w:tc>
          <w:tcPr>
            <w:tcW w:w="4640" w:type="dxa"/>
            <w:vAlign w:val="bottom"/>
          </w:tcPr>
          <w:p>
            <w:pPr>
              <w:ind w:left="100"/>
              <w:spacing w:after="0"/>
              <w:rPr>
                <w:sz w:val="20"/>
                <w:szCs w:val="20"/>
                <w:color w:val="auto"/>
              </w:rPr>
            </w:pPr>
            <w:r>
              <w:rPr>
                <w:rFonts w:ascii="Courier New" w:cs="Courier New" w:eastAsia="Courier New" w:hAnsi="Courier New"/>
                <w:sz w:val="18"/>
                <w:szCs w:val="18"/>
                <w:color w:val="auto"/>
              </w:rPr>
              <w:t>of Net Assets Available for Benefits at</w:t>
            </w:r>
          </w:p>
        </w:tc>
        <w:tc>
          <w:tcPr>
            <w:tcW w:w="940" w:type="dxa"/>
            <w:vAlign w:val="bottom"/>
          </w:tcPr>
          <w:p>
            <w:pPr>
              <w:spacing w:after="0"/>
              <w:rPr>
                <w:sz w:val="24"/>
                <w:szCs w:val="24"/>
                <w:color w:val="auto"/>
              </w:rPr>
            </w:pPr>
          </w:p>
        </w:tc>
      </w:tr>
      <w:tr>
        <w:trPr>
          <w:trHeight w:val="203"/>
        </w:trPr>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December</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31, 2002 and 2001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Statement</w:t>
            </w:r>
          </w:p>
        </w:tc>
        <w:tc>
          <w:tcPr>
            <w:tcW w:w="4640" w:type="dxa"/>
            <w:vAlign w:val="bottom"/>
          </w:tcPr>
          <w:p>
            <w:pPr>
              <w:ind w:left="100"/>
              <w:spacing w:after="0"/>
              <w:rPr>
                <w:sz w:val="20"/>
                <w:szCs w:val="20"/>
                <w:color w:val="auto"/>
              </w:rPr>
            </w:pPr>
            <w:r>
              <w:rPr>
                <w:rFonts w:ascii="Courier New" w:cs="Courier New" w:eastAsia="Courier New" w:hAnsi="Courier New"/>
                <w:sz w:val="18"/>
                <w:szCs w:val="18"/>
                <w:color w:val="auto"/>
              </w:rPr>
              <w:t>of Changes in Net Assets Available for</w:t>
            </w:r>
          </w:p>
        </w:tc>
        <w:tc>
          <w:tcPr>
            <w:tcW w:w="940" w:type="dxa"/>
            <w:vAlign w:val="bottom"/>
          </w:tcPr>
          <w:p>
            <w:pPr>
              <w:spacing w:after="0"/>
              <w:rPr>
                <w:sz w:val="24"/>
                <w:szCs w:val="24"/>
                <w:color w:val="auto"/>
              </w:rPr>
            </w:pPr>
          </w:p>
        </w:tc>
      </w:tr>
      <w:tr>
        <w:trPr>
          <w:trHeight w:val="203"/>
        </w:trPr>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Benefits,</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 Year ended December 31, 2002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Notes to</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Supplemental</w:t>
            </w:r>
          </w:p>
        </w:tc>
        <w:tc>
          <w:tcPr>
            <w:tcW w:w="4640" w:type="dxa"/>
            <w:vAlign w:val="bottom"/>
          </w:tcPr>
          <w:p>
            <w:pPr>
              <w:ind w:left="100"/>
              <w:spacing w:after="0"/>
              <w:rPr>
                <w:sz w:val="20"/>
                <w:szCs w:val="20"/>
                <w:color w:val="auto"/>
              </w:rPr>
            </w:pPr>
            <w:r>
              <w:rPr>
                <w:rFonts w:ascii="Courier New" w:cs="Courier New" w:eastAsia="Courier New" w:hAnsi="Courier New"/>
                <w:sz w:val="18"/>
                <w:szCs w:val="18"/>
                <w:color w:val="auto"/>
              </w:rPr>
              <w:t>Schedules</w:t>
            </w:r>
          </w:p>
        </w:tc>
        <w:tc>
          <w:tcPr>
            <w:tcW w:w="940" w:type="dxa"/>
            <w:vAlign w:val="bottom"/>
          </w:tcPr>
          <w:p>
            <w:pPr>
              <w:spacing w:after="0"/>
              <w:rPr>
                <w:sz w:val="24"/>
                <w:szCs w:val="24"/>
                <w:color w:val="auto"/>
              </w:rPr>
            </w:pPr>
          </w:p>
        </w:tc>
      </w:tr>
      <w:tr>
        <w:trPr>
          <w:trHeight w:val="405"/>
        </w:trPr>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Schedule</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of Nonexempt Transactions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Schedule</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of Assets Held At End of Year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ectPr>
          <w:pgSz w:w="11900" w:h="16855" w:orient="portrait"/>
          <w:cols w:equalWidth="0" w:num="1">
            <w:col w:w="9895"/>
          </w:cols>
          <w:pgMar w:left="564" w:top="447" w:right="1440" w:bottom="0" w:gutter="0" w:footer="0" w:header="0"/>
        </w:sectPr>
      </w:pPr>
    </w:p>
    <w:bookmarkStart w:id="1" w:name="page2"/>
    <w:bookmarkEnd w:id="1"/>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Report of Independent Auditors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Index</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23 - Consent of Independent Auditors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4860" w:type="dxa"/>
            <w:vAlign w:val="bottom"/>
            <w:gridSpan w:val="2"/>
          </w:tcPr>
          <w:p>
            <w:pPr>
              <w:jc w:val="right"/>
              <w:ind w:right="236"/>
              <w:spacing w:after="0"/>
              <w:rPr>
                <w:sz w:val="20"/>
                <w:szCs w:val="20"/>
                <w:color w:val="auto"/>
              </w:rPr>
            </w:pPr>
            <w:r>
              <w:rPr>
                <w:rFonts w:ascii="Courier New" w:cs="Courier New" w:eastAsia="Courier New" w:hAnsi="Courier New"/>
                <w:sz w:val="18"/>
                <w:szCs w:val="18"/>
                <w:color w:val="auto"/>
              </w:rPr>
              <w:t>STATEMENT OF NET ASSETS</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860" w:type="dxa"/>
            <w:vAlign w:val="bottom"/>
            <w:gridSpan w:val="2"/>
          </w:tcPr>
          <w:p>
            <w:pPr>
              <w:jc w:val="right"/>
              <w:ind w:right="236"/>
              <w:spacing w:after="0" w:line="203" w:lineRule="exact"/>
              <w:rPr>
                <w:sz w:val="20"/>
                <w:szCs w:val="20"/>
                <w:color w:val="auto"/>
              </w:rPr>
            </w:pPr>
            <w:r>
              <w:rPr>
                <w:rFonts w:ascii="Courier New" w:cs="Courier New" w:eastAsia="Courier New" w:hAnsi="Courier New"/>
                <w:sz w:val="18"/>
                <w:szCs w:val="18"/>
                <w:color w:val="auto"/>
              </w:rPr>
              <w:t>AVAILABLE FOR BENEFITS</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3"/>
          </w:tcPr>
          <w:p>
            <w:pPr>
              <w:jc w:val="right"/>
              <w:ind w:right="236"/>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0"/>
        </w:trPr>
        <w:tc>
          <w:tcPr>
            <w:tcW w:w="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00" w:type="dxa"/>
            <w:vAlign w:val="bottom"/>
            <w:gridSpan w:val="3"/>
          </w:tcPr>
          <w:p>
            <w:pPr>
              <w:jc w:val="right"/>
              <w:ind w:right="840"/>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200" w:type="dxa"/>
            <w:vAlign w:val="bottom"/>
            <w:gridSpan w:val="3"/>
          </w:tcPr>
          <w:p>
            <w:pPr>
              <w:jc w:val="right"/>
              <w:ind w:right="8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8"/>
                <w:szCs w:val="18"/>
                <w:color w:val="auto"/>
              </w:rPr>
              <w:t>2002</w:t>
            </w:r>
          </w:p>
        </w:tc>
        <w:tc>
          <w:tcPr>
            <w:tcW w:w="1880" w:type="dxa"/>
            <w:vAlign w:val="bottom"/>
            <w:gridSpan w:val="2"/>
          </w:tcPr>
          <w:p>
            <w:pPr>
              <w:jc w:val="right"/>
              <w:ind w:right="420"/>
              <w:spacing w:after="0"/>
              <w:rPr>
                <w:sz w:val="20"/>
                <w:szCs w:val="20"/>
                <w:color w:val="auto"/>
              </w:rPr>
            </w:pPr>
            <w:r>
              <w:rPr>
                <w:rFonts w:ascii="Courier New" w:cs="Courier New" w:eastAsia="Courier New" w:hAnsi="Courier New"/>
                <w:sz w:val="18"/>
                <w:szCs w:val="18"/>
                <w:color w:val="auto"/>
              </w:rPr>
              <w:t>2001</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7"/>
        </w:trPr>
        <w:tc>
          <w:tcPr>
            <w:tcW w:w="74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40" w:type="dxa"/>
            <w:vAlign w:val="bottom"/>
          </w:tcPr>
          <w:p>
            <w:pPr>
              <w:spacing w:after="0"/>
              <w:rPr>
                <w:sz w:val="20"/>
                <w:szCs w:val="20"/>
                <w:color w:val="auto"/>
              </w:rPr>
            </w:pPr>
            <w:r>
              <w:rPr>
                <w:rFonts w:ascii="Courier New" w:cs="Courier New" w:eastAsia="Courier New" w:hAnsi="Courier New"/>
                <w:sz w:val="18"/>
                <w:szCs w:val="18"/>
                <w:color w:val="auto"/>
                <w:strike w:val="1"/>
                <w:w w:val="95"/>
              </w:rPr>
              <w:t>Assets:</w:t>
            </w:r>
          </w:p>
        </w:tc>
        <w:tc>
          <w:tcPr>
            <w:tcW w:w="3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Investments at fair value (see note 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$ 17,909,214</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$ 17,813,921</w:t>
            </w: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Participant contribution receivable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185,539</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186,566</w:t>
            </w: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Employer contribution receivable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327,817</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309,079</w:t>
            </w: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Accounts receivable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22,218</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Accrued income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4,926</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4,543</w:t>
            </w: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Cash</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23,416</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30,236</w:t>
            </w:r>
          </w:p>
        </w:tc>
        <w:tc>
          <w:tcPr>
            <w:tcW w:w="0" w:type="dxa"/>
            <w:vAlign w:val="bottom"/>
          </w:tcPr>
          <w:p>
            <w:pPr>
              <w:spacing w:after="0"/>
              <w:rPr>
                <w:sz w:val="1"/>
                <w:szCs w:val="1"/>
                <w:color w:val="auto"/>
              </w:rPr>
            </w:pPr>
          </w:p>
        </w:tc>
      </w:tr>
      <w:tr>
        <w:trPr>
          <w:trHeight w:val="110"/>
        </w:trPr>
        <w:tc>
          <w:tcPr>
            <w:tcW w:w="7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20" w:type="dxa"/>
            <w:vAlign w:val="bottom"/>
          </w:tcPr>
          <w:p>
            <w:pPr>
              <w:jc w:val="right"/>
              <w:spacing w:after="0" w:line="110" w:lineRule="exact"/>
              <w:rPr>
                <w:sz w:val="20"/>
                <w:szCs w:val="20"/>
                <w:color w:val="auto"/>
              </w:rPr>
            </w:pPr>
            <w:r>
              <w:rPr>
                <w:rFonts w:ascii="Courier New" w:cs="Courier New" w:eastAsia="Courier New" w:hAnsi="Courier New"/>
                <w:sz w:val="12"/>
                <w:szCs w:val="12"/>
                <w:color w:val="auto"/>
              </w:rPr>
              <w:t>------------</w:t>
            </w:r>
          </w:p>
        </w:tc>
        <w:tc>
          <w:tcPr>
            <w:tcW w:w="1880" w:type="dxa"/>
            <w:vAlign w:val="bottom"/>
            <w:gridSpan w:val="2"/>
            <w:vMerge w:val="restart"/>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42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$ 18,473,130</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$ 18,344,345</w:t>
            </w:r>
          </w:p>
        </w:tc>
        <w:tc>
          <w:tcPr>
            <w:tcW w:w="0" w:type="dxa"/>
            <w:vAlign w:val="bottom"/>
          </w:tcPr>
          <w:p>
            <w:pPr>
              <w:spacing w:after="0"/>
              <w:rPr>
                <w:sz w:val="1"/>
                <w:szCs w:val="1"/>
                <w:color w:val="auto"/>
              </w:rPr>
            </w:pP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Trustee fee payable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49,054</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67,774</w:t>
            </w:r>
          </w:p>
        </w:tc>
        <w:tc>
          <w:tcPr>
            <w:tcW w:w="0" w:type="dxa"/>
            <w:vAlign w:val="bottom"/>
          </w:tcPr>
          <w:p>
            <w:pPr>
              <w:spacing w:after="0"/>
              <w:rPr>
                <w:sz w:val="1"/>
                <w:szCs w:val="1"/>
                <w:color w:val="auto"/>
              </w:rPr>
            </w:pPr>
          </w:p>
        </w:tc>
      </w:tr>
      <w:tr>
        <w:trPr>
          <w:trHeight w:val="110"/>
        </w:trPr>
        <w:tc>
          <w:tcPr>
            <w:tcW w:w="7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20" w:type="dxa"/>
            <w:vAlign w:val="bottom"/>
          </w:tcPr>
          <w:p>
            <w:pPr>
              <w:jc w:val="right"/>
              <w:spacing w:after="0" w:line="110" w:lineRule="exact"/>
              <w:rPr>
                <w:sz w:val="20"/>
                <w:szCs w:val="20"/>
                <w:color w:val="auto"/>
              </w:rPr>
            </w:pPr>
            <w:r>
              <w:rPr>
                <w:rFonts w:ascii="Courier New" w:cs="Courier New" w:eastAsia="Courier New" w:hAnsi="Courier New"/>
                <w:sz w:val="12"/>
                <w:szCs w:val="12"/>
                <w:color w:val="auto"/>
              </w:rPr>
              <w:t>------------</w:t>
            </w:r>
          </w:p>
        </w:tc>
        <w:tc>
          <w:tcPr>
            <w:tcW w:w="1880" w:type="dxa"/>
            <w:vAlign w:val="bottom"/>
            <w:gridSpan w:val="2"/>
            <w:vMerge w:val="restart"/>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Net assets available for benefits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$ 18,424,076</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$ 18,276,571</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-2510790</wp:posOffset>
            </wp:positionV>
            <wp:extent cx="4749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749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749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3545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749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749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749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749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749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749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749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accompanying notes are an integral part of these financial statements.</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sectPr>
          <w:pgSz w:w="11900" w:h="16838" w:orient="portrait"/>
          <w:cols w:equalWidth="0" w:num="1">
            <w:col w:w="10219"/>
          </w:cols>
          <w:pgMar w:left="240" w:top="339" w:right="1440" w:bottom="0" w:gutter="0" w:footer="0" w:header="0"/>
        </w:sectPr>
      </w:pPr>
    </w:p>
    <w:bookmarkStart w:id="2" w:name="page3"/>
    <w:bookmarkEnd w:id="2"/>
    <w:p>
      <w:pPr>
        <w:ind w:left="2740"/>
        <w:spacing w:after="0"/>
        <w:rPr>
          <w:sz w:val="20"/>
          <w:szCs w:val="20"/>
          <w:color w:val="auto"/>
        </w:rPr>
      </w:pPr>
      <w:r>
        <w:rPr>
          <w:rFonts w:ascii="Courier New" w:cs="Courier New" w:eastAsia="Courier New" w:hAnsi="Courier New"/>
          <w:sz w:val="18"/>
          <w:szCs w:val="18"/>
          <w:color w:val="auto"/>
        </w:rPr>
        <w:t>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8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Contributions:</w:t>
            </w:r>
          </w:p>
        </w:tc>
        <w:tc>
          <w:tcPr>
            <w:tcW w:w="190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Participant contributions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1,858,927</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3,201,068</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contributions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5,059,995</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Investment income / (loss):</w:t>
            </w:r>
          </w:p>
        </w:tc>
        <w:tc>
          <w:tcPr>
            <w:tcW w:w="190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dividends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183,450</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Net depreciation</w:t>
            </w:r>
          </w:p>
        </w:tc>
        <w:tc>
          <w:tcPr>
            <w:tcW w:w="190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fair value of investments (see note 3)</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(1,731,052)</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loss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(1,547,602)</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Benefit payments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(2,572,191)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(209,437)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transfer (see note 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(583,260)</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deductions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(3,364,888)</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ind w:left="420"/>
              <w:spacing w:after="0"/>
              <w:rPr>
                <w:sz w:val="20"/>
                <w:szCs w:val="20"/>
                <w:color w:val="auto"/>
              </w:rPr>
            </w:pPr>
            <w:r>
              <w:rPr>
                <w:rFonts w:ascii="Courier New" w:cs="Courier New" w:eastAsia="Courier New" w:hAnsi="Courier New"/>
                <w:sz w:val="18"/>
                <w:szCs w:val="18"/>
                <w:color w:val="auto"/>
              </w:rPr>
              <w:t>Net increase</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147,505</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Net assets available for benefits:</w:t>
            </w:r>
          </w:p>
        </w:tc>
        <w:tc>
          <w:tcPr>
            <w:tcW w:w="1900" w:type="dxa"/>
            <w:vAlign w:val="bottom"/>
          </w:tcPr>
          <w:p>
            <w:pPr>
              <w:spacing w:after="0"/>
              <w:rPr>
                <w:sz w:val="24"/>
                <w:szCs w:val="24"/>
                <w:color w:val="auto"/>
              </w:rPr>
            </w:pP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Beginning of year</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18,276,571</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End of year</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$ 18,424,076</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-3797300</wp:posOffset>
            </wp:positionV>
            <wp:extent cx="4482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482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482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482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482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482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549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482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549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482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549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549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549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824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549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482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482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4824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4824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accompanying notes are an integral part of these financial statements.</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1 - DESCRIPTION OF THE PLAN: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General</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strike w:val="1"/>
        </w:rPr>
        <w:t>The following description provides general information for the ExxonMobil Fuels Marketing Savings Plan (the Plan). Participants should refer to the Plan document for a more complete description of the Plan's provisions. The Plan is a defined contribution plan established to provide savings and retirement benefits for certain qualified employees of ExxonMobil Fuels Marketing Company, a division of Exxon Mobil Corporation (the Company), employed in its company operated retail store operations and for certain qualified employees at the Olathe, KS and Bakerstown, PA grease plants.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Contributions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strike w:val="1"/>
        </w:rPr>
        <w:t>Contributions to the Plan are made by both the participant and the Company. Effective January 1, 2002, participants may contribute any whole percentage, up to 20% of their eligible pay. Prior to</w:t>
      </w:r>
    </w:p>
    <w:p>
      <w:pPr>
        <w:spacing w:after="0" w:line="6"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strike w:val="1"/>
        </w:rPr>
        <w:t>January 1, 2002, the contribution limit was 18%. Participants may also make a rollover contribution from other qualified plans or rollover IRA. Generally, for eligible participants, the Company matches contributions</w:t>
      </w:r>
    </w:p>
    <w:p>
      <w:pPr>
        <w:sectPr>
          <w:pgSz w:w="11900" w:h="16838" w:orient="portrait"/>
          <w:cols w:equalWidth="0" w:num="1">
            <w:col w:w="10219"/>
          </w:cols>
          <w:pgMar w:left="240" w:top="136" w:right="1440" w:bottom="0" w:gutter="0" w:footer="0" w:header="0"/>
        </w:sectPr>
      </w:pPr>
    </w:p>
    <w:bookmarkStart w:id="3" w:name="page4"/>
    <w:bookmarkEnd w:id="3"/>
    <w:p>
      <w:pPr>
        <w:jc w:val="both"/>
        <w:ind w:right="3039"/>
        <w:spacing w:after="0" w:line="268" w:lineRule="auto"/>
        <w:rPr>
          <w:sz w:val="20"/>
          <w:szCs w:val="20"/>
          <w:color w:val="auto"/>
        </w:rPr>
      </w:pPr>
      <w:r>
        <w:rPr>
          <w:rFonts w:ascii="Courier New" w:cs="Courier New" w:eastAsia="Courier New" w:hAnsi="Courier New"/>
          <w:sz w:val="16"/>
          <w:szCs w:val="16"/>
          <w:color w:val="auto"/>
          <w:strike w:val="1"/>
        </w:rPr>
        <w:t>at 50 cents for each pretax dollar contributed up to the first 3% of eligible pay and/or makes contributions equal to 3% of eligible pay.</w:t>
      </w:r>
    </w:p>
    <w:p>
      <w:pPr>
        <w:ind w:right="2199"/>
        <w:spacing w:after="0" w:line="237" w:lineRule="auto"/>
        <w:rPr>
          <w:sz w:val="20"/>
          <w:szCs w:val="20"/>
          <w:color w:val="auto"/>
        </w:rPr>
      </w:pPr>
      <w:r>
        <w:rPr>
          <w:rFonts w:ascii="Courier New" w:cs="Courier New" w:eastAsia="Courier New" w:hAnsi="Courier New"/>
          <w:sz w:val="18"/>
          <w:szCs w:val="18"/>
          <w:color w:val="auto"/>
          <w:strike w:val="1"/>
        </w:rPr>
        <w:t>For eligible participants covered by a collective bargaining agreement, the Company provides a 100% match, up to 4% of eligible pay. Effective September 1, 2002, employees who are at least age 50 at the end of 2002, may elect to make additional pretax contributions up to $1,000.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Vesting</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strike w:val="1"/>
        </w:rPr>
        <w:t>Participants are immediately vested in their contributions. Effective January 1, 2002, Company contributions vest at 100% after 3 years of qualifying service or, if the participant is employed by the Company, on or after age 65 or upon death while an employee. Employees covered by a collective bargaining agreement at the Bakerstown, PA grease plant are immediately vested in all contributions.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Investment Options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strike w:val="1"/>
        </w:rPr>
        <w:t>Participants may make their own investment decisions. The Company has selected a variety of daily valued investment funds with different risk and return characteristics. Investments are managed by Barclays Global Investors, N.A. (BGI). Merrill Lynch Trust Company, FSB (Merrill Lynch), trustee of the Plan, is the investment manager of the short-term</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strike w:val="1"/>
        </w:rPr>
        <w:t>money market fund. Plan assets are invested in a variety of preselected funds based on participants' investment elections. Investment options include the following types of funds: Standard &amp; Poors 500 index, long-term treasury bond index, short-term money market fund, international equity, extended market and five bond and equity funds. The Plan is subject to the normal risks associated with debt and equity markets.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Plan transfer</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strike w:val="1"/>
        </w:rPr>
        <w:t>During 2002, certain employees became eligible to enroll in the ExxonMobil Savings Plan. Some of these employees transferred their accounts from the ExxonMobil Fuels Marketing Savings Plan. The aggregate amount transferred totaled $583,260.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Forfeited Accounts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During 2002 and 2001, $72,958 and $51,831, respectively, of unvested employer matching contributions were forfeited by terminating employees and used to offset employer contributions. During 2002, $699,286 of additional forfeited balances from 1997 to 2001, excluding the $51,831 recognized in 2001, were used to offset employer contributions.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Plan Termination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The Company may terminate or amend the Plan at any time. In the event of termination, the net assets of the Plan will be distributed in accordance with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2 - SIGNIFICANT ACCOUNTING POLICIES:</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strike w:val="1"/>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Basis of Presentation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strike w:val="1"/>
        </w:rPr>
        <w:t>The accompanying financial statements are presented on the accrual basis of accounting except benefit payments which are reported on a cash basis to conform with generally accepted accounting principles.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Investments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Investment income is recorded when earned. Investments are stated at fair value based upon market quotations as determined by the trustee. Interest earned on the money market deposits and the change in the value of the investments are allocated daily to the individual employee accounts on the basis of the participant's account balance. Investments are subject to normal risks associated with the debt and equity markets.</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Net appreciation and net depreciation in the current value of investments includes realized gains and losses on investments sold or disposed of during the year and unrealized gains and losses on investments held at year end. Purchases and sales of securities are recorded on the trade date. Dividends are recorded on the ex-dividend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Estimates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strike w:val="1"/>
        </w:rPr>
        <w:t>The preparation of financial statements in conformity with generally accepted accounting principles requires management to make estimates and assumptions that affect the reported amounts of assets and liabilities and disclosure of contingent liabilities at the date of the financial statements and the reported amounts of revenue and expense during the reporting period. Actual results could differ from those estimates.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Expenses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strike w:val="1"/>
        </w:rPr>
        <w:t>Administrative expenses incurred in the administration of the Plan, to the extent not paid by the Company, are charged to and paid from the Plan's assets. Administrative expenses are recorded when incurred.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3 - INVESTMENTS: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strike w:val="1"/>
        </w:rPr>
        <w:t>The following presents investments that represent 5 percent or more of the Plan's net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348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348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2002</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1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Merrill Lynch Money Market Fund</w:t>
            </w:r>
          </w:p>
        </w:tc>
        <w:tc>
          <w:tcPr>
            <w:tcW w:w="2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$ 7,730,287</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$ 5,993,289</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BGI Bond Index 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1,180,816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933,053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BGI Extended Market Fund</w:t>
            </w:r>
          </w:p>
        </w:tc>
        <w:tc>
          <w:tcPr>
            <w:tcW w:w="2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1,061,443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BGI S&amp;P 500 Stock 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2,661,959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3,455,381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BGI Lifepath 2020</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1,139,909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1,347,806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BGI Lifepath 2030</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1,815,480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2,420,151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loans</w:t>
            </w:r>
          </w:p>
        </w:tc>
        <w:tc>
          <w:tcPr>
            <w:tcW w:w="2100" w:type="dxa"/>
            <w:vAlign w:val="bottom"/>
          </w:tcPr>
          <w:p>
            <w:pPr>
              <w:spacing w:after="0"/>
              <w:rPr>
                <w:sz w:val="17"/>
                <w:szCs w:val="17"/>
                <w:color w:val="auto"/>
              </w:rPr>
            </w:pP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1,073,514</w:t>
            </w:r>
          </w:p>
        </w:tc>
        <w:tc>
          <w:tcPr>
            <w:tcW w:w="1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468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081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81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spacing w:after="0" w:line="18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During 2002, the Plan's investments (including gains and losses on investments bought and sold, as well as held during the year) depreciated in value by $1,731,052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S&amp;P 500 stock</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rPr>
              <w:t>fund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($827,681)</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Bond index fund</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108,121</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equity fund</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(69,237)</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Extended market fund</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3746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6798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746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5" w:name="page6"/>
    <w:bookmarkEnd w:id="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Lifepath bond and equity balanced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3746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3746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3746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3746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319"/>
        <w:spacing w:after="0"/>
        <w:rPr>
          <w:sz w:val="20"/>
          <w:szCs w:val="20"/>
          <w:color w:val="auto"/>
        </w:rPr>
      </w:pPr>
      <w:r>
        <w:rPr>
          <w:rFonts w:ascii="Courier New" w:cs="Courier New" w:eastAsia="Courier New" w:hAnsi="Courier New"/>
          <w:sz w:val="18"/>
          <w:szCs w:val="18"/>
          <w:color w:val="auto"/>
        </w:rPr>
        <w:t>(720,008)</w:t>
      </w:r>
    </w:p>
    <w:p>
      <w:pPr>
        <w:jc w:val="right"/>
        <w:ind w:right="431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($1,731,052)</w:t>
      </w:r>
    </w:p>
    <w:p>
      <w:pPr>
        <w:spacing w:after="0" w:line="16"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120" w:space="520"/>
            <w:col w:w="5579"/>
          </w:cols>
          <w:pgMar w:left="240" w:top="136" w:right="1440" w:bottom="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4 - INCOME TAX STATUS: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 ---------------------------</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strike w:val="1"/>
        </w:rPr>
        <w:t>The Plan's legal counsel believes the Plan is qualified under the applicable sections of the Internal Revenue Code (IRC) and therefore the trust is exempt from federal tax under Section 501(a) of the IRC. A favorable determination letter with respect to the tax-exempt status of the trust</w:t>
      </w:r>
    </w:p>
    <w:p>
      <w:pPr>
        <w:spacing w:after="0" w:line="1"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strike w:val="1"/>
        </w:rPr>
        <w:t>was issued by the Internal Revenue Service in October 2002. The Plan's legal counsel believes that the Plan is currently designed and is being operated in compliance with the applicable requirements of the IRC.</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5 - NONEXEMPT TRANSACTIONS: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During September 2002, the Plan discovered that 2 employees had not been credited with contributions since March 2002 because of a payroll interface problem. The Company corrected the situation in October 2002, and Merrill Lynch, the trustee, received on behalf of these 2 employees the contributions ($3,211.54) and earnings ($14.51).</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strike w:val="1"/>
        </w:rPr>
        <w:t>During December 2002, the Plan discovered that 25 participants had not received credit for loan repayments since July 2002 because of a payroll process problem. The Company remitted the missed loan payments for 20 participants ($11,099.65) to Merrill Lynch in January 2003. Also in January 2003, the company refunded missed loan payments ($4,928.07) to the remaining 5 participants. In March 2003, the Company remitted additional funds to Merrill Lynch for earnings ($1,292.88). The Plan also discovered another 6 similarly affected loans. In April 2003, the Company remitted funds to Merrill Lynch for 1 of the affected loans ($235.33). Earnings ($22.69) were remitted in June 2003. Also in June 2003, the Company remitted funds to Merrill Lynch for a second participant's missed loan repayments ($254.84). Additional earnings ($38.33) will be remitted to Merrill Lynch in July 2003. The remaining 4 loans had been otherwise repaid and the participants will be refunded for the amount of the payments ($493.86) and earnings ($148.99) in July 2003.</w:t>
      </w:r>
    </w:p>
    <w:p>
      <w:pPr>
        <w:spacing w:after="0" w:line="38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strike w:val="1"/>
        </w:rPr>
        <w:t>The Company failed to provide the 3% Company contribution to 23 part-time eligible employees during 2002. These amounts ($5,574.55) plus earnings ($2,261.39) will be remitted to Merrill Lynch at the beginning of July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Schedule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8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ind w:left="2540"/>
        <w:spacing w:after="0" w:line="238" w:lineRule="auto"/>
        <w:rPr>
          <w:sz w:val="20"/>
          <w:szCs w:val="20"/>
          <w:color w:val="auto"/>
        </w:rPr>
      </w:pPr>
      <w:r>
        <w:rPr>
          <w:rFonts w:ascii="Courier New" w:cs="Courier New" w:eastAsia="Courier New" w:hAnsi="Courier New"/>
          <w:sz w:val="18"/>
          <w:szCs w:val="18"/>
          <w:color w:val="auto"/>
        </w:rPr>
        <w:t>Schedule of Nonexempt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8804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ind w:left="1580"/>
        <w:spacing w:after="0"/>
        <w:rPr>
          <w:sz w:val="20"/>
          <w:szCs w:val="20"/>
          <w:color w:val="auto"/>
        </w:rPr>
      </w:pPr>
      <w:r>
        <w:rPr>
          <w:rFonts w:ascii="Courier New" w:cs="Courier New" w:eastAsia="Courier New" w:hAnsi="Courier New"/>
          <w:sz w:val="18"/>
          <w:szCs w:val="18"/>
          <w:color w:val="auto"/>
        </w:rPr>
        <w:t>for the twelve-month period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4157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15790" cy="8890"/>
                    </a:xfrm>
                    <a:prstGeom prst="rect">
                      <a:avLst/>
                    </a:prstGeom>
                    <a:noFill/>
                  </pic:spPr>
                </pic:pic>
              </a:graphicData>
            </a:graphic>
          </wp:anchor>
        </w:drawing>
      </w:r>
    </w:p>
    <w:p>
      <w:pPr>
        <w:spacing w:after="0" w:line="38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 relationship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ind w:left="5480"/>
        <w:spacing w:after="0" w:line="238" w:lineRule="auto"/>
        <w:rPr>
          <w:sz w:val="20"/>
          <w:szCs w:val="20"/>
          <w:color w:val="auto"/>
        </w:rPr>
      </w:pPr>
      <w:r>
        <w:rPr>
          <w:rFonts w:ascii="Courier New" w:cs="Courier New" w:eastAsia="Courier New" w:hAnsi="Courier New"/>
          <w:sz w:val="18"/>
          <w:szCs w:val="18"/>
          <w:color w:val="auto"/>
        </w:rPr>
        <w:t>employer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 identity of party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ExxonMobil Fuels Marketing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42818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party-in-interest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sponsor</w:t>
      </w:r>
    </w:p>
    <w:p>
      <w:pPr>
        <w:spacing w:after="0" w:line="200" w:lineRule="exact"/>
        <w:rPr>
          <w:sz w:val="20"/>
          <w:szCs w:val="20"/>
          <w:color w:val="auto"/>
        </w:rPr>
      </w:pPr>
    </w:p>
    <w:p>
      <w:pPr>
        <w:sectPr>
          <w:pgSz w:w="11900" w:h="16838" w:orient="portrait"/>
          <w:cols w:equalWidth="0" w:num="2">
            <w:col w:w="4440" w:space="720"/>
            <w:col w:w="5059"/>
          </w:cols>
          <w:pgMar w:left="240" w:top="136" w:right="1440" w:bottom="1440" w:gutter="0" w:footer="0" w:header="0"/>
        </w:sectPr>
      </w:pPr>
    </w:p>
    <w:p>
      <w:pPr>
        <w:spacing w:after="0" w:line="209" w:lineRule="exact"/>
        <w:rPr>
          <w:sz w:val="20"/>
          <w:szCs w:val="20"/>
          <w:color w:val="auto"/>
        </w:rPr>
      </w:pPr>
    </w:p>
    <w:p>
      <w:pPr>
        <w:jc w:val="both"/>
        <w:ind w:left="420" w:right="4419" w:hanging="412"/>
        <w:spacing w:after="0" w:line="268" w:lineRule="auto"/>
        <w:tabs>
          <w:tab w:leader="none" w:pos="420" w:val="left"/>
        </w:tabs>
        <w:numPr>
          <w:ilvl w:val="0"/>
          <w:numId w:val="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description of transaction including maturity date, rate of interest, collateral, par or maturity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6798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ind w:left="220" w:hanging="212"/>
        <w:spacing w:after="0"/>
        <w:tabs>
          <w:tab w:leader="none" w:pos="220" w:val="left"/>
        </w:tabs>
        <w:numPr>
          <w:ilvl w:val="0"/>
          <w:numId w:val="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w:t>
      </w:r>
    </w:p>
    <w:p>
      <w:pPr>
        <w:spacing w:after="0" w:line="16" w:lineRule="exact"/>
        <w:rPr>
          <w:rFonts w:ascii="Courier New" w:cs="Courier New" w:eastAsia="Courier New" w:hAnsi="Courier New"/>
          <w:sz w:val="16"/>
          <w:szCs w:val="16"/>
          <w:color w:val="auto"/>
          <w:strike w:val="1"/>
        </w:rPr>
      </w:pPr>
    </w:p>
    <w:p>
      <w:pPr>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untimely remittance of contributions</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 cost</w:t>
      </w:r>
    </w:p>
    <w:p>
      <w:pPr>
        <w:spacing w:after="0" w:line="238" w:lineRule="auto"/>
        <w:rPr>
          <w:sz w:val="20"/>
          <w:szCs w:val="20"/>
          <w:color w:val="auto"/>
        </w:rPr>
      </w:pPr>
      <w:r>
        <w:rPr>
          <w:rFonts w:ascii="Courier New" w:cs="Courier New" w:eastAsia="Courier New" w:hAnsi="Courier New"/>
          <w:sz w:val="18"/>
          <w:szCs w:val="18"/>
          <w:color w:val="auto"/>
        </w:rPr>
        <w:t>(historical)</w:t>
      </w:r>
    </w:p>
    <w:p>
      <w:pPr>
        <w:ind w:left="220"/>
        <w:spacing w:after="0"/>
        <w:rPr>
          <w:sz w:val="20"/>
          <w:szCs w:val="20"/>
          <w:color w:val="auto"/>
        </w:rPr>
      </w:pPr>
      <w:r>
        <w:rPr>
          <w:rFonts w:ascii="Courier New" w:cs="Courier New" w:eastAsia="Courier New" w:hAnsi="Courier New"/>
          <w:sz w:val="18"/>
          <w:szCs w:val="18"/>
          <w:color w:val="auto"/>
        </w:rPr>
        <w:t>of asset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$3,211.54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-66675</wp:posOffset>
            </wp:positionV>
            <wp:extent cx="42818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ind w:left="420"/>
        <w:spacing w:after="0" w:line="238" w:lineRule="auto"/>
        <w:rPr>
          <w:sz w:val="20"/>
          <w:szCs w:val="20"/>
          <w:color w:val="auto"/>
        </w:rPr>
      </w:pPr>
      <w:r>
        <w:rPr>
          <w:rFonts w:ascii="Courier New" w:cs="Courier New" w:eastAsia="Courier New" w:hAnsi="Courier New"/>
          <w:sz w:val="18"/>
          <w:szCs w:val="18"/>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-66675</wp:posOffset>
            </wp:positionV>
            <wp:extent cx="43484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ind w:left="200"/>
        <w:spacing w:after="0"/>
        <w:rPr>
          <w:sz w:val="20"/>
          <w:szCs w:val="20"/>
          <w:color w:val="auto"/>
        </w:rPr>
      </w:pPr>
      <w:r>
        <w:rPr>
          <w:rFonts w:ascii="Courier New" w:cs="Courier New" w:eastAsia="Courier New" w:hAnsi="Courier New"/>
          <w:sz w:val="18"/>
          <w:szCs w:val="18"/>
          <w:color w:val="auto"/>
        </w:rPr>
        <w:t>of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-67310</wp:posOffset>
            </wp:positionV>
            <wp:extent cx="42818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-55880</wp:posOffset>
            </wp:positionV>
            <wp:extent cx="44824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ind w:left="100"/>
        <w:spacing w:after="0"/>
        <w:rPr>
          <w:sz w:val="20"/>
          <w:szCs w:val="20"/>
          <w:color w:val="auto"/>
        </w:rPr>
      </w:pPr>
      <w:r>
        <w:rPr>
          <w:rFonts w:ascii="Courier New" w:cs="Courier New" w:eastAsia="Courier New" w:hAnsi="Courier New"/>
          <w:sz w:val="18"/>
          <w:szCs w:val="18"/>
          <w:color w:val="auto"/>
        </w:rPr>
        <w:t>$3,226.05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-66675</wp:posOffset>
            </wp:positionV>
            <wp:extent cx="4147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 net gain</w:t>
      </w:r>
    </w:p>
    <w:p>
      <w:pPr>
        <w:spacing w:after="0" w:line="238" w:lineRule="auto"/>
        <w:rPr>
          <w:sz w:val="20"/>
          <w:szCs w:val="20"/>
          <w:color w:val="auto"/>
        </w:rPr>
      </w:pPr>
      <w:r>
        <w:rPr>
          <w:rFonts w:ascii="Courier New" w:cs="Courier New" w:eastAsia="Courier New" w:hAnsi="Courier New"/>
          <w:sz w:val="18"/>
          <w:szCs w:val="18"/>
          <w:color w:val="auto"/>
        </w:rPr>
        <w:t>(loss) on each</w:t>
      </w:r>
    </w:p>
    <w:p>
      <w:pPr>
        <w:ind w:left="220"/>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$14.51</w:t>
      </w:r>
    </w:p>
    <w:p>
      <w:pPr>
        <w:spacing w:after="0" w:line="200" w:lineRule="exact"/>
        <w:rPr>
          <w:sz w:val="20"/>
          <w:szCs w:val="20"/>
          <w:color w:val="auto"/>
        </w:rPr>
      </w:pPr>
    </w:p>
    <w:p>
      <w:pPr>
        <w:sectPr>
          <w:pgSz w:w="11900" w:h="16838" w:orient="portrait"/>
          <w:cols w:equalWidth="0" w:num="3">
            <w:col w:w="2240" w:space="720"/>
            <w:col w:w="1700" w:space="720"/>
            <w:col w:w="483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identity of party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48171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616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ExxonMobil Fuels Marketing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42818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relationship to plan,</w:t>
      </w:r>
    </w:p>
    <w:p>
      <w:pPr>
        <w:ind w:left="520"/>
        <w:spacing w:after="0" w:line="238" w:lineRule="auto"/>
        <w:rPr>
          <w:sz w:val="20"/>
          <w:szCs w:val="20"/>
          <w:color w:val="auto"/>
        </w:rPr>
      </w:pPr>
      <w:r>
        <w:rPr>
          <w:rFonts w:ascii="Courier New" w:cs="Courier New" w:eastAsia="Courier New" w:hAnsi="Courier New"/>
          <w:sz w:val="18"/>
          <w:szCs w:val="18"/>
          <w:color w:val="auto"/>
        </w:rPr>
        <w:t>employer or other</w:t>
      </w:r>
    </w:p>
    <w:p>
      <w:pPr>
        <w:ind w:left="520"/>
        <w:spacing w:after="0"/>
        <w:rPr>
          <w:sz w:val="20"/>
          <w:szCs w:val="20"/>
          <w:color w:val="auto"/>
        </w:rPr>
      </w:pPr>
      <w:r>
        <w:rPr>
          <w:rFonts w:ascii="Courier New" w:cs="Courier New" w:eastAsia="Courier New" w:hAnsi="Courier New"/>
          <w:sz w:val="18"/>
          <w:szCs w:val="18"/>
          <w:color w:val="auto"/>
        </w:rPr>
        <w:t>party-in-interest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sponsor</w:t>
      </w:r>
    </w:p>
    <w:p>
      <w:pPr>
        <w:spacing w:after="0" w:line="200" w:lineRule="exact"/>
        <w:rPr>
          <w:sz w:val="20"/>
          <w:szCs w:val="20"/>
          <w:color w:val="auto"/>
        </w:rPr>
      </w:pPr>
    </w:p>
    <w:p>
      <w:pPr>
        <w:sectPr>
          <w:pgSz w:w="11900" w:h="16838" w:orient="portrait"/>
          <w:cols w:equalWidth="0" w:num="2">
            <w:col w:w="4240" w:space="720"/>
            <w:col w:w="5259"/>
          </w:cols>
          <w:pgMar w:left="240" w:top="136" w:right="1440" w:bottom="1440" w:gutter="0" w:footer="0" w:header="0"/>
          <w:type w:val="continuous"/>
        </w:sectPr>
      </w:pPr>
    </w:p>
    <w:p>
      <w:pPr>
        <w:spacing w:after="0" w:line="209" w:lineRule="exact"/>
        <w:rPr>
          <w:sz w:val="20"/>
          <w:szCs w:val="20"/>
          <w:color w:val="auto"/>
        </w:rPr>
      </w:pPr>
    </w:p>
    <w:p>
      <w:pPr>
        <w:jc w:val="both"/>
        <w:ind w:left="420" w:right="4419" w:hanging="412"/>
        <w:spacing w:after="0" w:line="268" w:lineRule="auto"/>
        <w:tabs>
          <w:tab w:leader="none" w:pos="420" w:val="left"/>
        </w:tabs>
        <w:numPr>
          <w:ilvl w:val="0"/>
          <w:numId w:val="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description of transaction including maturity date, rate of interest, collateral, par or maturity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6798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ind w:left="220" w:hanging="212"/>
        <w:spacing w:after="0" w:line="233" w:lineRule="auto"/>
        <w:tabs>
          <w:tab w:leader="none" w:pos="220" w:val="left"/>
        </w:tabs>
        <w:numPr>
          <w:ilvl w:val="0"/>
          <w:numId w:val="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untimely remittance of loan repayments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7"/>
              </w:rPr>
              <w:t>(d) cost</w:t>
            </w:r>
          </w:p>
        </w:tc>
        <w:tc>
          <w:tcPr>
            <w:tcW w:w="2700" w:type="dxa"/>
            <w:vAlign w:val="bottom"/>
          </w:tcPr>
          <w:p>
            <w:pPr>
              <w:ind w:left="800"/>
              <w:spacing w:after="0"/>
              <w:rPr>
                <w:sz w:val="20"/>
                <w:szCs w:val="20"/>
                <w:color w:val="auto"/>
              </w:rPr>
            </w:pPr>
            <w:r>
              <w:rPr>
                <w:rFonts w:ascii="Courier New" w:cs="Courier New" w:eastAsia="Courier New" w:hAnsi="Courier New"/>
                <w:sz w:val="18"/>
                <w:szCs w:val="18"/>
                <w:color w:val="auto"/>
              </w:rPr>
              <w:t>(e) current</w:t>
            </w:r>
          </w:p>
        </w:tc>
        <w:tc>
          <w:tcPr>
            <w:tcW w:w="2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(f) net gain</w:t>
            </w:r>
          </w:p>
        </w:tc>
      </w:tr>
      <w:tr>
        <w:trPr>
          <w:trHeight w:val="203"/>
        </w:trPr>
        <w:tc>
          <w:tcPr>
            <w:tcW w:w="21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(historical)</w:t>
            </w:r>
          </w:p>
        </w:tc>
        <w:tc>
          <w:tcPr>
            <w:tcW w:w="27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value</w:t>
            </w:r>
          </w:p>
        </w:tc>
        <w:tc>
          <w:tcPr>
            <w:tcW w:w="2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(loss) on each</w:t>
            </w:r>
          </w:p>
        </w:tc>
      </w:tr>
      <w:tr>
        <w:trPr>
          <w:trHeight w:val="203"/>
        </w:trPr>
        <w:tc>
          <w:tcPr>
            <w:tcW w:w="21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of asset</w:t>
            </w: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of asset</w:t>
            </w: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transaction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$17,011.75</w:t>
            </w:r>
          </w:p>
        </w:tc>
        <w:tc>
          <w:tcPr>
            <w:tcW w:w="27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$18,514.64</w:t>
            </w:r>
          </w:p>
        </w:tc>
        <w:tc>
          <w:tcPr>
            <w:tcW w:w="2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$1,502.89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42818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348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818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2144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right"/>
        <w:ind w:right="2419"/>
        <w:spacing w:after="0" w:line="238" w:lineRule="auto"/>
        <w:rPr>
          <w:sz w:val="20"/>
          <w:szCs w:val="20"/>
          <w:color w:val="auto"/>
        </w:rPr>
      </w:pPr>
      <w:r>
        <w:rPr>
          <w:rFonts w:ascii="Courier New" w:cs="Courier New" w:eastAsia="Courier New" w:hAnsi="Courier New"/>
          <w:sz w:val="18"/>
          <w:szCs w:val="18"/>
          <w:color w:val="auto"/>
        </w:rPr>
        <w:t>Schedule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8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ind w:left="2540"/>
        <w:spacing w:after="0" w:line="238" w:lineRule="auto"/>
        <w:rPr>
          <w:sz w:val="20"/>
          <w:szCs w:val="20"/>
          <w:color w:val="auto"/>
        </w:rPr>
      </w:pPr>
      <w:r>
        <w:rPr>
          <w:rFonts w:ascii="Courier New" w:cs="Courier New" w:eastAsia="Courier New" w:hAnsi="Courier New"/>
          <w:sz w:val="18"/>
          <w:szCs w:val="18"/>
          <w:color w:val="auto"/>
        </w:rPr>
        <w:t>Schedule of Nonexempt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8804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ind w:left="1580"/>
        <w:spacing w:after="0"/>
        <w:rPr>
          <w:sz w:val="20"/>
          <w:szCs w:val="20"/>
          <w:color w:val="auto"/>
        </w:rPr>
      </w:pPr>
      <w:r>
        <w:rPr>
          <w:rFonts w:ascii="Courier New" w:cs="Courier New" w:eastAsia="Courier New" w:hAnsi="Courier New"/>
          <w:sz w:val="18"/>
          <w:szCs w:val="18"/>
          <w:color w:val="auto"/>
        </w:rPr>
        <w:t>for the twelve-month period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415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1579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identity of party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48171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616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ExxonMobil Fuels Marketing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42818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relationship to plan,</w:t>
      </w:r>
    </w:p>
    <w:p>
      <w:pPr>
        <w:ind w:left="520"/>
        <w:spacing w:after="0" w:line="238" w:lineRule="auto"/>
        <w:rPr>
          <w:sz w:val="20"/>
          <w:szCs w:val="20"/>
          <w:color w:val="auto"/>
        </w:rPr>
      </w:pPr>
      <w:r>
        <w:rPr>
          <w:rFonts w:ascii="Courier New" w:cs="Courier New" w:eastAsia="Courier New" w:hAnsi="Courier New"/>
          <w:sz w:val="18"/>
          <w:szCs w:val="18"/>
          <w:color w:val="auto"/>
        </w:rPr>
        <w:t>employer or other</w:t>
      </w:r>
    </w:p>
    <w:p>
      <w:pPr>
        <w:ind w:left="520"/>
        <w:spacing w:after="0"/>
        <w:rPr>
          <w:sz w:val="20"/>
          <w:szCs w:val="20"/>
          <w:color w:val="auto"/>
        </w:rPr>
      </w:pPr>
      <w:r>
        <w:rPr>
          <w:rFonts w:ascii="Courier New" w:cs="Courier New" w:eastAsia="Courier New" w:hAnsi="Courier New"/>
          <w:sz w:val="18"/>
          <w:szCs w:val="18"/>
          <w:color w:val="auto"/>
        </w:rPr>
        <w:t>party-in-interest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sponsor</w:t>
      </w:r>
    </w:p>
    <w:p>
      <w:pPr>
        <w:spacing w:after="0" w:line="200" w:lineRule="exact"/>
        <w:rPr>
          <w:sz w:val="20"/>
          <w:szCs w:val="20"/>
          <w:color w:val="auto"/>
        </w:rPr>
      </w:pPr>
    </w:p>
    <w:p>
      <w:pPr>
        <w:sectPr>
          <w:pgSz w:w="11900" w:h="16838" w:orient="portrait"/>
          <w:cols w:equalWidth="0" w:num="2">
            <w:col w:w="4240" w:space="720"/>
            <w:col w:w="5259"/>
          </w:cols>
          <w:pgMar w:left="240" w:top="136" w:right="1440" w:bottom="1440" w:gutter="0" w:footer="0" w:header="0"/>
          <w:type w:val="continuous"/>
        </w:sectPr>
      </w:pPr>
    </w:p>
    <w:p>
      <w:pPr>
        <w:spacing w:after="0" w:line="209" w:lineRule="exact"/>
        <w:rPr>
          <w:sz w:val="20"/>
          <w:szCs w:val="20"/>
          <w:color w:val="auto"/>
        </w:rPr>
      </w:pPr>
    </w:p>
    <w:p>
      <w:pPr>
        <w:jc w:val="both"/>
        <w:ind w:left="420" w:right="4419" w:hanging="419"/>
        <w:spacing w:after="0" w:line="268" w:lineRule="auto"/>
        <w:tabs>
          <w:tab w:leader="none" w:pos="400" w:val="left"/>
        </w:tabs>
        <w:rPr>
          <w:sz w:val="20"/>
          <w:szCs w:val="20"/>
          <w:color w:val="auto"/>
        </w:rPr>
      </w:pPr>
      <w:r>
        <w:rPr>
          <w:rFonts w:ascii="Courier New" w:cs="Courier New" w:eastAsia="Courier New" w:hAnsi="Courier New"/>
          <w:sz w:val="16"/>
          <w:szCs w:val="16"/>
          <w:color w:val="auto"/>
          <w:strike w:val="1"/>
        </w:rPr>
        <w:t>(c)</w:t>
        <w:tab/>
        <w:t>description of transaction including maturity date, rate of interest, collateral, par or maturity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6798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ind w:left="220" w:hanging="212"/>
        <w:spacing w:after="0" w:line="233" w:lineRule="auto"/>
        <w:tabs>
          <w:tab w:leader="none" w:pos="220" w:val="left"/>
        </w:tabs>
        <w:numPr>
          <w:ilvl w:val="0"/>
          <w:numId w:val="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untimely remittance of contributions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(d) cost</w:t>
            </w:r>
          </w:p>
        </w:tc>
        <w:tc>
          <w:tcPr>
            <w:tcW w:w="2700" w:type="dxa"/>
            <w:vAlign w:val="bottom"/>
          </w:tcPr>
          <w:p>
            <w:pPr>
              <w:jc w:val="center"/>
              <w:spacing w:after="0"/>
              <w:rPr>
                <w:sz w:val="20"/>
                <w:szCs w:val="20"/>
                <w:color w:val="auto"/>
              </w:rPr>
            </w:pPr>
            <w:r>
              <w:rPr>
                <w:rFonts w:ascii="Courier New" w:cs="Courier New" w:eastAsia="Courier New" w:hAnsi="Courier New"/>
                <w:sz w:val="18"/>
                <w:szCs w:val="18"/>
                <w:color w:val="auto"/>
                <w:w w:val="97"/>
              </w:rPr>
              <w:t>(e) current</w:t>
            </w:r>
          </w:p>
        </w:tc>
        <w:tc>
          <w:tcPr>
            <w:tcW w:w="2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(f) net gain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(historical)</w:t>
            </w:r>
          </w:p>
        </w:tc>
        <w:tc>
          <w:tcPr>
            <w:tcW w:w="27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value</w:t>
            </w:r>
          </w:p>
        </w:tc>
        <w:tc>
          <w:tcPr>
            <w:tcW w:w="2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(loss) on each</w:t>
            </w:r>
          </w:p>
        </w:tc>
      </w:tr>
      <w:tr>
        <w:trPr>
          <w:trHeight w:val="203"/>
        </w:trPr>
        <w:tc>
          <w:tcPr>
            <w:tcW w:w="21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of asset</w:t>
            </w: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of asset</w:t>
            </w: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transaction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1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$5,574.55</w:t>
            </w:r>
          </w:p>
        </w:tc>
        <w:tc>
          <w:tcPr>
            <w:tcW w:w="2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$7,835.94</w:t>
            </w:r>
          </w:p>
        </w:tc>
        <w:tc>
          <w:tcPr>
            <w:tcW w:w="2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$2,261.39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42818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3484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81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2144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Schedule H</w:t>
            </w:r>
          </w:p>
        </w:tc>
      </w:tr>
      <w:tr>
        <w:trPr>
          <w:trHeight w:val="405"/>
        </w:trPr>
        <w:tc>
          <w:tcPr>
            <w:tcW w:w="6640" w:type="dxa"/>
            <w:vAlign w:val="bottom"/>
            <w:gridSpan w:val="4"/>
          </w:tcPr>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tc>
        <w:tc>
          <w:tcPr>
            <w:tcW w:w="1380" w:type="dxa"/>
            <w:vAlign w:val="bottom"/>
          </w:tcPr>
          <w:p>
            <w:pPr>
              <w:spacing w:after="0"/>
              <w:rPr>
                <w:sz w:val="24"/>
                <w:szCs w:val="24"/>
                <w:color w:val="auto"/>
              </w:rPr>
            </w:pPr>
          </w:p>
        </w:tc>
      </w:tr>
      <w:tr>
        <w:trPr>
          <w:trHeight w:val="203"/>
        </w:trPr>
        <w:tc>
          <w:tcPr>
            <w:tcW w:w="36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8"/>
              </w:rPr>
              <w:t>ITEM 4i - SCHEDULE</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ASSETS (HELD AT END OF YEAR)</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(a) (b) Identity of issue</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(c) Description of investment (e) Current value</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 Merrill Lynch</w:t>
            </w:r>
          </w:p>
        </w:tc>
        <w:tc>
          <w:tcPr>
            <w:tcW w:w="620" w:type="dxa"/>
            <w:vAlign w:val="bottom"/>
          </w:tcPr>
          <w:p>
            <w:pPr>
              <w:spacing w:after="0"/>
              <w:rPr>
                <w:sz w:val="24"/>
                <w:szCs w:val="24"/>
                <w:color w:val="auto"/>
              </w:rPr>
            </w:pP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Money Market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7,730,287</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Bond Index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1,180,816</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Extended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Market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888,778</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International Equity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318,835</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S&amp;P 500 Stock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2,661,959</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Lifepath</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Income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250,069</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Lifepath</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2010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476,601</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Lifepath</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2020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1,139,909</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Lifepath</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2030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1,815,480</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Lifepath</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2040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372,966</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 Participant loans</w:t>
            </w:r>
          </w:p>
        </w:tc>
        <w:tc>
          <w:tcPr>
            <w:tcW w:w="620" w:type="dxa"/>
            <w:vAlign w:val="bottom"/>
          </w:tcPr>
          <w:p>
            <w:pPr>
              <w:spacing w:after="0"/>
              <w:rPr>
                <w:sz w:val="24"/>
                <w:szCs w:val="24"/>
                <w:color w:val="auto"/>
              </w:rPr>
            </w:pP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maturities ranging from</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1,073,514</w:t>
            </w:r>
          </w:p>
        </w:tc>
      </w:tr>
      <w:tr>
        <w:trPr>
          <w:trHeight w:val="203"/>
        </w:trPr>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 month</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178 months</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rates ranging from</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4.25% to 9.50%</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$ 17,909,214</w:t>
            </w:r>
          </w:p>
        </w:tc>
      </w:tr>
      <w:tr>
        <w:trPr>
          <w:trHeight w:val="203"/>
        </w:trPr>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-4697730</wp:posOffset>
            </wp:positionV>
            <wp:extent cx="49504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394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44157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0844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50844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0844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0844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0844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50844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0844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50844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50844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0844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844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8131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147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345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0844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0844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right="5579" w:hanging="3787"/>
        <w:spacing w:after="0" w:line="536" w:lineRule="auto"/>
        <w:tabs>
          <w:tab w:leader="none" w:pos="31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a party-in-interest to the Plan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9438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43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27432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center"/>
        <w:ind w:right="2619"/>
        <w:spacing w:after="0" w:line="234" w:lineRule="auto"/>
        <w:rPr>
          <w:sz w:val="20"/>
          <w:szCs w:val="20"/>
          <w:color w:val="auto"/>
        </w:rPr>
      </w:pPr>
      <w:r>
        <w:rPr>
          <w:rFonts w:ascii="Courier New" w:cs="Courier New" w:eastAsia="Courier New" w:hAnsi="Courier New"/>
          <w:sz w:val="18"/>
          <w:szCs w:val="18"/>
          <w:color w:val="auto"/>
        </w:rPr>
        <w:t>Report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8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strike w:val="1"/>
        </w:rPr>
        <w:t>To the Participants and Administrator of the ExxonMobil Fuels Marketing Savings Plan:</w:t>
      </w:r>
    </w:p>
    <w:p>
      <w:pPr>
        <w:spacing w:after="0" w:line="208"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strike w:val="1"/>
        </w:rPr>
        <w:t>In our opinion, the accompanying statements of net assets available for benefits and the related statement of changes in net assets available for benefits present fairly, in all material respects, the net assets available for benefits of the ExxonMobil Fuels Marketing Savings Plan (the "Plan") at December 31, 2002 and 2001, and the changes in net assets available for benefits for the year ended December 31, 2002 in conformity with</w:t>
      </w:r>
    </w:p>
    <w:p>
      <w:pPr>
        <w:sectPr>
          <w:pgSz w:w="11900" w:h="16838" w:orient="portrait"/>
          <w:cols w:equalWidth="0" w:num="1">
            <w:col w:w="10219"/>
          </w:cols>
          <w:pgMar w:left="240" w:top="1440" w:right="1440" w:bottom="0" w:gutter="0" w:footer="0" w:header="0"/>
        </w:sectPr>
      </w:pPr>
    </w:p>
    <w:bookmarkStart w:id="8" w:name="page9"/>
    <w:bookmarkEnd w:id="8"/>
    <w:p>
      <w:pPr>
        <w:ind w:right="2419"/>
        <w:spacing w:after="0" w:line="238" w:lineRule="auto"/>
        <w:rPr>
          <w:sz w:val="20"/>
          <w:szCs w:val="20"/>
          <w:color w:val="auto"/>
        </w:rPr>
      </w:pPr>
      <w:r>
        <w:rPr>
          <w:rFonts w:ascii="Courier New" w:cs="Courier New" w:eastAsia="Courier New" w:hAnsi="Courier New"/>
          <w:sz w:val="18"/>
          <w:szCs w:val="18"/>
          <w:color w:val="auto"/>
          <w:strike w:val="1"/>
        </w:rPr>
        <w:t>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strike w:val="1"/>
        </w:rPr>
        <w:t>Our audits were conducted for the purpose of forming an opinion on the basic financial statements taken as a whole. The supplemental schedule</w:t>
      </w:r>
    </w:p>
    <w:p>
      <w:pPr>
        <w:ind w:right="1879"/>
        <w:spacing w:after="0" w:line="237" w:lineRule="auto"/>
        <w:rPr>
          <w:sz w:val="20"/>
          <w:szCs w:val="20"/>
          <w:color w:val="auto"/>
        </w:rPr>
      </w:pPr>
      <w:r>
        <w:rPr>
          <w:rFonts w:ascii="Courier New" w:cs="Courier New" w:eastAsia="Courier New" w:hAnsi="Courier New"/>
          <w:sz w:val="18"/>
          <w:szCs w:val="18"/>
          <w:color w:val="auto"/>
          <w:strike w:val="1"/>
        </w:rPr>
        <w:t>of assets (held at end of year) and schedule of nonexempt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PricewaterhouseCoopers LLP</w:t>
      </w:r>
    </w:p>
    <w:p>
      <w:pPr>
        <w:spacing w:after="0" w:line="238" w:lineRule="auto"/>
        <w:rPr>
          <w:sz w:val="20"/>
          <w:szCs w:val="20"/>
          <w:color w:val="auto"/>
        </w:rPr>
      </w:pPr>
      <w:r>
        <w:rPr>
          <w:rFonts w:ascii="Courier New" w:cs="Courier New" w:eastAsia="Courier New" w:hAnsi="Courier New"/>
          <w:sz w:val="18"/>
          <w:szCs w:val="18"/>
          <w:color w:val="auto"/>
          <w:strike w:val="1"/>
        </w:rPr>
        <w:t>Houston, Texas</w:t>
      </w:r>
    </w:p>
    <w:p>
      <w:pPr>
        <w:spacing w:after="0"/>
        <w:rPr>
          <w:sz w:val="20"/>
          <w:szCs w:val="20"/>
          <w:color w:val="auto"/>
        </w:rPr>
      </w:pPr>
      <w:r>
        <w:rPr>
          <w:rFonts w:ascii="Courier New" w:cs="Courier New" w:eastAsia="Courier New" w:hAnsi="Courier New"/>
          <w:sz w:val="18"/>
          <w:szCs w:val="18"/>
          <w:color w:val="auto"/>
          <w:strike w:val="1"/>
        </w:rPr>
        <w:t>June 27,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39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strike w:val="1"/>
        </w:rPr>
        <w:t>Pursuant to the requirements of the Securities Exchange Act of 1934, the trustees (or other persons who administer the Plan) have duly caused this Annual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Stephen B. L. Penrose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Stephen B. L. Penrose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Administrator-Finance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spacing w:after="0" w:line="1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strike w:val="1"/>
        </w:rPr>
        <w:t>Dated:</w:t>
        <w:tab/>
        <w:t>June 27, 2003</w:t>
      </w:r>
    </w:p>
    <w:p>
      <w:pPr>
        <w:sectPr>
          <w:pgSz w:w="11900" w:h="16838" w:orient="portrait"/>
          <w:cols w:equalWidth="0" w:num="1">
            <w:col w:w="10219"/>
          </w:cols>
          <w:pgMar w:left="240" w:top="142" w:right="144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EXHIBIT</w:t>
      </w:r>
    </w:p>
    <w:p>
      <w:pPr>
        <w:spacing w:after="0" w:line="207" w:lineRule="exact"/>
        <w:rPr>
          <w:sz w:val="20"/>
          <w:szCs w:val="20"/>
          <w:color w:val="auto"/>
        </w:rPr>
      </w:pPr>
    </w:p>
    <w:p>
      <w:pPr>
        <w:ind w:left="540" w:right="5679" w:hanging="532"/>
        <w:spacing w:after="0" w:line="235" w:lineRule="auto"/>
        <w:tabs>
          <w:tab w:leader="none" w:pos="540" w:val="left"/>
        </w:tabs>
        <w:numPr>
          <w:ilvl w:val="0"/>
          <w:numId w:val="1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Consent of PricewaterhouseCoopers LLP, Independent Auditors</w:t>
      </w:r>
    </w:p>
    <w:p>
      <w:pPr>
        <w:spacing w:after="0" w:line="1" w:lineRule="exact"/>
        <w:rPr>
          <w:rFonts w:ascii="Courier New" w:cs="Courier New" w:eastAsia="Courier New" w:hAnsi="Courier New"/>
          <w:sz w:val="18"/>
          <w:szCs w:val="18"/>
          <w:color w:val="auto"/>
          <w:strike w:val="1"/>
        </w:rPr>
      </w:pPr>
    </w:p>
    <w:p>
      <w:pPr>
        <w:ind w:left="5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rPr>
        <w:t>Dated June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6725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16052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pacing w:after="0" w:line="18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right="2739"/>
        <w:spacing w:after="0" w:line="237" w:lineRule="auto"/>
        <w:rPr>
          <w:sz w:val="20"/>
          <w:szCs w:val="20"/>
          <w:color w:val="auto"/>
        </w:rPr>
      </w:pPr>
      <w:r>
        <w:rPr>
          <w:rFonts w:ascii="Courier New" w:cs="Courier New" w:eastAsia="Courier New" w:hAnsi="Courier New"/>
          <w:sz w:val="18"/>
          <w:szCs w:val="18"/>
          <w:color w:val="auto"/>
          <w:strike w:val="1"/>
        </w:rPr>
        <w:t>We hereby consent to the incorporation by reference in the Registration Statement on Form S-8 (No. 333-69378) of Exxon Mobil Corporation of our report dated June 27, 2003 relating to the financial statements and supplemental schedules of the ExxonMobil Fuels Marketing Savings Plan, which appear in this Form 11-K.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PricewaterhouseCoopers LLP</w:t>
      </w:r>
    </w:p>
    <w:p>
      <w:pPr>
        <w:spacing w:after="0" w:line="238" w:lineRule="auto"/>
        <w:rPr>
          <w:sz w:val="20"/>
          <w:szCs w:val="20"/>
          <w:color w:val="auto"/>
        </w:rPr>
      </w:pPr>
      <w:r>
        <w:rPr>
          <w:rFonts w:ascii="Courier New" w:cs="Courier New" w:eastAsia="Courier New" w:hAnsi="Courier New"/>
          <w:sz w:val="18"/>
          <w:szCs w:val="18"/>
          <w:color w:val="auto"/>
          <w:strike w:val="1"/>
        </w:rPr>
        <w:t>Houston, Texas</w:t>
      </w:r>
    </w:p>
    <w:p>
      <w:pPr>
        <w:sectPr>
          <w:pgSz w:w="11900" w:h="16838" w:orient="portrait"/>
          <w:cols w:equalWidth="0" w:num="1">
            <w:col w:w="10219"/>
          </w:cols>
          <w:pgMar w:left="240" w:top="144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strike w:val="1"/>
        </w:rPr>
        <w:t>June 27,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2019-12-12T09:18:20Z</dcterms:created>
  <dcterms:modified xsi:type="dcterms:W3CDTF">2019-12-12T09:18:20Z</dcterms:modified>
</cp:coreProperties>
</file>