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0000034088</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ProPetro Holding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001-38035</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One Marienfeld Place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w w:val="97"/>
              </w:rPr>
              <w:t>110 N. Marienfeld Street, 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Midland</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79701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432-688-0012</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EXXON MOBIL CORP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BofA Securities,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16600000</w:t>
            </w:r>
          </w:p>
        </w:tc>
        <w:tc>
          <w:tcPr>
            <w:tcW w:w="26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296974000.00 122616976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60" w:val="left"/>
          <w:tab w:leader="none" w:pos="444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70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600"/>
        <w:spacing w:after="0"/>
        <w:tabs>
          <w:tab w:leader="none" w:pos="57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ProPetro</w:t>
      </w:r>
    </w:p>
    <w:p>
      <w:pPr>
        <w:spacing w:after="0" w:line="4"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 xml:space="preserve">Common Stock 12/31/2018 Merger/Acquisition Holding Corp.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16600000</w:t>
      </w:r>
      <w:r>
        <w:rPr>
          <w:sz w:val="20"/>
          <w:szCs w:val="20"/>
          <w:color w:val="auto"/>
        </w:rPr>
        <w:tab/>
      </w:r>
      <w:r>
        <w:rPr>
          <w:rFonts w:ascii="Times New Roman" w:cs="Times New Roman" w:eastAsia="Times New Roman" w:hAnsi="Times New Roman"/>
          <w:sz w:val="21"/>
          <w:szCs w:val="21"/>
          <w:color w:val="auto"/>
        </w:rPr>
        <w:t>12/31/2018 Not Applicable</w:t>
      </w:r>
    </w:p>
    <w:p>
      <w:pPr>
        <w:ind w:left="4320"/>
        <w:spacing w:after="0"/>
        <w:rPr>
          <w:sz w:val="20"/>
          <w:szCs w:val="20"/>
          <w:color w:val="auto"/>
        </w:rPr>
      </w:pPr>
      <w:r>
        <w:rPr>
          <w:rFonts w:ascii="Times New Roman" w:cs="Times New Roman" w:eastAsia="Times New Roman" w:hAnsi="Times New Roman"/>
          <w:sz w:val="22"/>
          <w:szCs w:val="22"/>
          <w:color w:val="auto"/>
        </w:rPr>
        <w:t>(Issuer)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shares to be sold are held directly by Pioneer Natural Resources Pumping Services LLC, which is a wholly owned subsidiary of Pioneer Natural Resources USA, Inc., which is a wholly owned subsidiary of Pioneer Natural Resources Company, which is a wholly owned subsidiary of Exxon Mobil Corporation.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R. Chapman, Vice President, Treasurer and Investor Relations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2026-05-20T16:44:32Z</dcterms:created>
  <dcterms:modified xsi:type="dcterms:W3CDTF">2026-05-20T16:44:32Z</dcterms:modified>
</cp:coreProperties>
</file>