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4"/>
          <w:szCs w:val="14"/>
          <w:color w:val="auto"/>
        </w:rPr>
        <w:t>SCHEDULE 14A</w:t>
      </w:r>
    </w:p>
    <w:p>
      <w:pPr>
        <w:spacing w:after="0" w:line="7"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3"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Proxy Statement Pursuant to Section 14(a) of the</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Filed April 8, 1999</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230"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Preliminary Proxy Statement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Definitive Proxy Statement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Definitive Additional Materials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Soliciting Material Pursuant to</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Rule 14a-11(c) or Rule 14a-12</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Confidential, For Use of</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the Commission Only (as</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permitted by Rule</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14a-6(e)(2))</w:t>
      </w:r>
    </w:p>
    <w:p>
      <w:pPr>
        <w:spacing w:after="0" w:line="365" w:lineRule="exact"/>
        <w:rPr>
          <w:sz w:val="24"/>
          <w:szCs w:val="24"/>
          <w:color w:val="auto"/>
        </w:rPr>
      </w:pPr>
    </w:p>
    <w:p>
      <w:pPr>
        <w:sectPr>
          <w:pgSz w:w="11900" w:h="16838" w:orient="portrait"/>
          <w:cols w:equalWidth="0" w:num="2">
            <w:col w:w="3160" w:space="720"/>
            <w:col w:w="6359"/>
          </w:cols>
          <w:pgMar w:left="220" w:top="230" w:right="1440" w:bottom="0" w:gutter="0" w:footer="0" w:header="0"/>
          <w:type w:val="continuous"/>
        </w:sectPr>
      </w:pPr>
    </w:p>
    <w:p>
      <w:pPr>
        <w:spacing w:after="0" w:line="30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ind w:left="960" w:right="4019" w:hanging="688"/>
        <w:spacing w:after="0" w:line="255" w:lineRule="auto"/>
        <w:rPr>
          <w:sz w:val="20"/>
          <w:szCs w:val="20"/>
          <w:color w:val="auto"/>
        </w:rPr>
      </w:pPr>
      <w:r>
        <w:rPr>
          <w:rFonts w:ascii="Courier New" w:cs="Courier New" w:eastAsia="Courier New" w:hAnsi="Courier New"/>
          <w:sz w:val="14"/>
          <w:szCs w:val="14"/>
          <w:color w:val="auto"/>
        </w:rPr>
        <w:t>Note: This filing relates to the proposed merger of Mobil Corporation with a wholly owned subsidiary of Exxon Corporation.</w:t>
      </w:r>
    </w:p>
    <w:p>
      <w:pPr>
        <w:spacing w:after="0" w:line="326"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No fee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Fee computed on table below per Exchange Act Rules 14a-6(i)(1) and 0-11.</w:t>
      </w:r>
    </w:p>
    <w:p>
      <w:pPr>
        <w:spacing w:after="0" w:line="173" w:lineRule="exact"/>
        <w:rPr>
          <w:sz w:val="24"/>
          <w:szCs w:val="24"/>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paid previously with preliminary materials:</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   $ 20,226,541.56</w:t>
      </w:r>
    </w:p>
    <w:p>
      <w:pPr>
        <w:spacing w:after="0" w:line="173" w:lineRule="exact"/>
        <w:rPr>
          <w:sz w:val="24"/>
          <w:szCs w:val="24"/>
          <w:color w:val="auto"/>
        </w:rPr>
      </w:pPr>
    </w:p>
    <w:p>
      <w:pPr>
        <w:ind w:left="2760" w:right="3679" w:hanging="2238"/>
        <w:spacing w:after="0" w:line="255" w:lineRule="auto"/>
        <w:tabs>
          <w:tab w:leader="none" w:pos="2740" w:val="left"/>
        </w:tabs>
        <w:rPr>
          <w:sz w:val="20"/>
          <w:szCs w:val="20"/>
          <w:color w:val="auto"/>
        </w:rPr>
      </w:pPr>
      <w:r>
        <w:rPr>
          <w:rFonts w:ascii="Courier New" w:cs="Courier New" w:eastAsia="Courier New" w:hAnsi="Courier New"/>
          <w:sz w:val="14"/>
          <w:szCs w:val="14"/>
          <w:color w:val="auto"/>
        </w:rPr>
        <w:t>Dates Filed:</w:t>
      </w:r>
      <w:r>
        <w:rPr>
          <w:sz w:val="20"/>
          <w:szCs w:val="20"/>
          <w:color w:val="auto"/>
        </w:rPr>
        <w:tab/>
      </w:r>
      <w:r>
        <w:rPr>
          <w:rFonts w:ascii="Courier New" w:cs="Courier New" w:eastAsia="Courier New" w:hAnsi="Courier New"/>
          <w:sz w:val="14"/>
          <w:szCs w:val="14"/>
          <w:color w:val="auto"/>
        </w:rPr>
        <w:t>Preliminary Schedule 14A on January 25, 1999 Form S-4 (No. 333-75659) on April 5, 1999</w:t>
      </w:r>
    </w:p>
    <w:p>
      <w:pPr>
        <w:spacing w:after="0" w:line="200" w:lineRule="exact"/>
        <w:rPr>
          <w:sz w:val="24"/>
          <w:szCs w:val="24"/>
          <w:color w:val="auto"/>
        </w:rPr>
      </w:pPr>
    </w:p>
    <w:p>
      <w:pPr>
        <w:spacing w:after="0" w:line="291" w:lineRule="exact"/>
        <w:rPr>
          <w:sz w:val="24"/>
          <w:szCs w:val="24"/>
          <w:color w:val="auto"/>
        </w:rPr>
      </w:pPr>
    </w:p>
    <w:p>
      <w:pPr>
        <w:ind w:right="3519" w:firstLine="8"/>
        <w:spacing w:after="0" w:line="250" w:lineRule="auto"/>
        <w:tabs>
          <w:tab w:leader="none" w:pos="17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7"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7"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Parties:</w:t>
      </w:r>
    </w:p>
    <w:p>
      <w:pPr>
        <w:spacing w:after="0" w:line="7"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5840" w:val="left"/>
        </w:tabs>
        <w:rPr>
          <w:sz w:val="20"/>
          <w:szCs w:val="20"/>
          <w:color w:val="auto"/>
        </w:rPr>
      </w:pPr>
      <w:r>
        <w:rPr>
          <w:rFonts w:ascii="Courier New" w:cs="Courier New" w:eastAsia="Courier New" w:hAnsi="Courier New"/>
          <w:sz w:val="14"/>
          <w:szCs w:val="14"/>
          <w:color w:val="auto"/>
        </w:rPr>
        <w:t>EXXON logo</w:t>
      </w:r>
      <w:r>
        <w:rPr>
          <w:sz w:val="20"/>
          <w:szCs w:val="20"/>
          <w:color w:val="auto"/>
        </w:rPr>
        <w:tab/>
      </w:r>
      <w:r>
        <w:rPr>
          <w:rFonts w:ascii="Courier New" w:cs="Courier New" w:eastAsia="Courier New" w:hAnsi="Courier New"/>
          <w:sz w:val="14"/>
          <w:szCs w:val="14"/>
          <w:color w:val="auto"/>
        </w:rPr>
        <w:t>Mobil logo</w:t>
      </w:r>
    </w:p>
    <w:p>
      <w:pPr>
        <w:spacing w:after="0" w:line="173"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MERGER PROPOSED -- YOUR VOTE IS VERY IMPORTANT</w:t>
      </w:r>
    </w:p>
    <w:p>
      <w:pPr>
        <w:spacing w:after="0" w:line="173" w:lineRule="exact"/>
        <w:rPr>
          <w:sz w:val="24"/>
          <w:szCs w:val="24"/>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Boards of Directors of Exxon Corporation and Mobil Corporation have approved a merger agreement which provides for the combination of the two companies. We believe the combined company will be able to create substantially more shareholder value than could be achieved by the companies individually.</w:t>
      </w:r>
    </w:p>
    <w:p>
      <w:pPr>
        <w:spacing w:after="0" w:line="165" w:lineRule="exact"/>
        <w:rPr>
          <w:sz w:val="24"/>
          <w:szCs w:val="24"/>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Our combined company would be named Exxon Mobil Corporation, with its headquarters in Irving, Texas. Sometimes in this booklet we will refer to the combined company as "Exxon Mobil".</w:t>
      </w:r>
    </w:p>
    <w:p>
      <w:pPr>
        <w:spacing w:after="0" w:line="163" w:lineRule="exact"/>
        <w:rPr>
          <w:sz w:val="24"/>
          <w:szCs w:val="24"/>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If the merger is completed, holders of Mobil common stock will receive, for each Mobil share, 1.32015 shares of Exxon Mobil common stock, and each share of Mobil ESOP preferred stock will be converted into an equivalent share of a newly created class of Exxon Mobil preferred stock. Exxon shareholders will continue to own their existing shares after the merger. Sometimes in this booklet we refer to Exxon stock after the closing of the merger as "Exxon Mobil stock".</w:t>
      </w:r>
    </w:p>
    <w:p>
      <w:pPr>
        <w:spacing w:after="0" w:line="164" w:lineRule="exact"/>
        <w:rPr>
          <w:sz w:val="24"/>
          <w:szCs w:val="24"/>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Exxon Mobil will issue approximately 1.03 billion shares of Exxon Mobil common stock to Mobil shareholders in the merger, based on outstanding shares on March 1, 1999. These shares will represent approximately 30% of the outstanding Exxon Mobil common stock after the merger. Exxon shares held by Exxon shareholders before the merger will represent approximately 70% of the outstanding Exxon Mobil shares after the merger.</w:t>
      </w:r>
    </w:p>
    <w:p>
      <w:pPr>
        <w:spacing w:after="0" w:line="164" w:lineRule="exact"/>
        <w:rPr>
          <w:sz w:val="24"/>
          <w:szCs w:val="24"/>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We are asking shareholders of Exxon to approve the merger and related matters and to vote on the election of Exxon directors and other Exxon annual meeting matters described in this booklet.</w:t>
      </w:r>
    </w:p>
    <w:p>
      <w:pPr>
        <w:sectPr>
          <w:pgSz w:w="11900" w:h="16838" w:orient="portrait"/>
          <w:cols w:equalWidth="0" w:num="1">
            <w:col w:w="10239"/>
          </w:cols>
          <w:pgMar w:left="220" w:top="230" w:right="1440" w:bottom="0" w:gutter="0" w:footer="0" w:header="0"/>
          <w:type w:val="continuous"/>
        </w:sectPr>
      </w:pPr>
    </w:p>
    <w:bookmarkStart w:id="1" w:name="page2"/>
    <w:bookmarkEnd w:id="1"/>
    <w:p>
      <w:pPr>
        <w:ind w:right="3599"/>
        <w:spacing w:after="0" w:line="252" w:lineRule="auto"/>
        <w:rPr>
          <w:sz w:val="20"/>
          <w:szCs w:val="20"/>
          <w:color w:val="auto"/>
        </w:rPr>
      </w:pPr>
      <w:r>
        <w:rPr>
          <w:rFonts w:ascii="Courier New" w:cs="Courier New" w:eastAsia="Courier New" w:hAnsi="Courier New"/>
          <w:sz w:val="14"/>
          <w:szCs w:val="14"/>
          <w:color w:val="auto"/>
        </w:rPr>
        <w:t>We are asking shareholders of Mobil to approve the merger agreement and the merger and to vote on the election of Mobil directors and other Mobil annual meeting matters described in this booklet. If the merger is completed, these Mobil annual meeting matters will, as a result, be superseded.</w:t>
      </w:r>
    </w:p>
    <w:p>
      <w:pPr>
        <w:spacing w:after="0" w:line="162"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We cannot complete the merger unless shareholders of both companies approve it. Approval of the other annual meeting matters is not a condition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dates, times and places of the meetings are: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Exxon shareholders: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Thursday, May 27, 1999</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10:00 a.m., Central Time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Trinity Conference Center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Wyndham Anatole Hotel</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2201 Stemmons Freeway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Dallas, Texas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Mobil shareholders: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Thursday, May 27, 1999</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10:00 a.m., Central Time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Regency Ballroom of the Fairmont Hotel</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1717 North Akard Street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Dallas, Texas</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Lee R. Raymond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Lucio A. Noto</w:t>
      </w:r>
    </w:p>
    <w:p>
      <w:pPr>
        <w:spacing w:after="0" w:line="173" w:lineRule="exact"/>
        <w:rPr>
          <w:sz w:val="20"/>
          <w:szCs w:val="20"/>
          <w:color w:val="auto"/>
        </w:rPr>
      </w:pPr>
    </w:p>
    <w:p>
      <w:pPr>
        <w:sectPr>
          <w:pgSz w:w="11900" w:h="16838" w:orient="portrait"/>
          <w:cols w:equalWidth="0" w:num="2">
            <w:col w:w="1620" w:space="720"/>
            <w:col w:w="78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Lee R. Raymond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Exxon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Lucio A. Noto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Chairman of the Board and Chief Executive Officer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Mobil Corporation</w:t>
      </w:r>
    </w:p>
    <w:p>
      <w:pPr>
        <w:spacing w:after="0" w:line="173" w:lineRule="exact"/>
        <w:rPr>
          <w:sz w:val="20"/>
          <w:szCs w:val="20"/>
          <w:color w:val="auto"/>
        </w:rPr>
      </w:pPr>
    </w:p>
    <w:p>
      <w:pPr>
        <w:sectPr>
          <w:pgSz w:w="11900" w:h="16838" w:orient="portrait"/>
          <w:cols w:equalWidth="0" w:num="2">
            <w:col w:w="1900" w:space="440"/>
            <w:col w:w="7899"/>
          </w:cols>
          <w:pgMar w:left="220" w:top="141" w:right="1440" w:bottom="1440" w:gutter="0" w:footer="0" w:header="0"/>
          <w:type w:val="continuous"/>
        </w:sect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0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regulators have approved the Exxon Mobil stock to be issued under this Joint Proxy Statement/Prospectus or determined if this Joint Proxy Statement/Prospectus is accurate or adequate. Any representation to the contrary is a criminal offense.</w:t>
      </w:r>
    </w:p>
    <w:p>
      <w:pPr>
        <w:spacing w:after="0" w:line="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Joint Proxy Statement/Prospectus dated April 5, 1999, and first mailed to</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shareholders on April 9, 1999.</w:t>
      </w:r>
    </w:p>
    <w:p>
      <w:pPr>
        <w:sectPr>
          <w:pgSz w:w="11900" w:h="16838" w:orient="portrait"/>
          <w:cols w:equalWidth="0" w:num="1">
            <w:col w:w="10239"/>
          </w:cols>
          <w:pgMar w:left="220" w:top="141" w:right="1440" w:bottom="1440" w:gutter="0" w:footer="0" w:header="0"/>
          <w:type w:val="continuous"/>
        </w:sectPr>
      </w:pPr>
    </w:p>
    <w:bookmarkStart w:id="2" w:name="page3"/>
    <w:bookmarkEnd w:id="2"/>
    <w:p>
      <w:pPr>
        <w:jc w:val="right"/>
        <w:ind w:right="3519"/>
        <w:spacing w:after="0"/>
        <w:rPr>
          <w:sz w:val="20"/>
          <w:szCs w:val="20"/>
          <w:color w:val="auto"/>
        </w:rPr>
      </w:pPr>
      <w:r>
        <w:rPr>
          <w:rFonts w:ascii="Courier New" w:cs="Courier New" w:eastAsia="Courier New" w:hAnsi="Courier New"/>
          <w:sz w:val="14"/>
          <w:szCs w:val="14"/>
          <w:color w:val="auto"/>
        </w:rPr>
        <w:t>EXXON 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ANNUAL MEETING OF SHAREHOLDERS OF EXXON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10:00 a.m., Central Time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27,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Trinity Conference Center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Wyndham Anatole Hotel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2201 Stemmons Freeway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Dallas, Texas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7" w:lineRule="exact"/>
        <w:rPr>
          <w:sz w:val="20"/>
          <w:szCs w:val="20"/>
          <w:color w:val="auto"/>
        </w:rPr>
      </w:pPr>
    </w:p>
    <w:p>
      <w:pPr>
        <w:ind w:left="520" w:right="3859"/>
        <w:spacing w:after="0" w:line="250" w:lineRule="auto"/>
        <w:rPr>
          <w:sz w:val="20"/>
          <w:szCs w:val="20"/>
          <w:color w:val="auto"/>
        </w:rPr>
      </w:pPr>
      <w:r>
        <w:rPr>
          <w:rFonts w:ascii="Courier New" w:cs="Courier New" w:eastAsia="Courier New" w:hAnsi="Courier New"/>
          <w:sz w:val="14"/>
          <w:szCs w:val="14"/>
          <w:color w:val="auto"/>
        </w:rPr>
        <w:t>o Vote on the proposed merger of Exxon and Mobil and related matters o Elect directors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Ratify appointment of independent accountants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Vote on four shareholder proposals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 Conduct other business if properly raised</w:t>
      </w:r>
    </w:p>
    <w:p>
      <w:pPr>
        <w:spacing w:after="0" w:line="173" w:lineRule="exact"/>
        <w:rPr>
          <w:sz w:val="20"/>
          <w:szCs w:val="20"/>
          <w:color w:val="auto"/>
        </w:rPr>
      </w:pPr>
    </w:p>
    <w:p>
      <w:pPr>
        <w:ind w:left="520" w:right="3939"/>
        <w:spacing w:after="0" w:line="252" w:lineRule="auto"/>
        <w:rPr>
          <w:sz w:val="20"/>
          <w:szCs w:val="20"/>
          <w:color w:val="auto"/>
        </w:rPr>
      </w:pPr>
      <w:r>
        <w:rPr>
          <w:rFonts w:ascii="Courier New" w:cs="Courier New" w:eastAsia="Courier New" w:hAnsi="Courier New"/>
          <w:sz w:val="14"/>
          <w:szCs w:val="14"/>
          <w:color w:val="auto"/>
        </w:rPr>
        <w:t>Only shareholders of record on March 29, 1999 may vote at the meeting. Only shareholders or their proxy holders and Exxon guests may attend the meeting.</w:t>
      </w:r>
    </w:p>
    <w:p>
      <w:pPr>
        <w:spacing w:after="0" w:line="163" w:lineRule="exact"/>
        <w:rPr>
          <w:sz w:val="20"/>
          <w:szCs w:val="20"/>
          <w:color w:val="auto"/>
        </w:rPr>
      </w:pPr>
    </w:p>
    <w:p>
      <w:pPr>
        <w:ind w:left="520" w:right="3859"/>
        <w:spacing w:after="0" w:line="251" w:lineRule="auto"/>
        <w:rPr>
          <w:sz w:val="20"/>
          <w:szCs w:val="20"/>
          <w:color w:val="auto"/>
        </w:rPr>
      </w:pPr>
      <w:r>
        <w:rPr>
          <w:rFonts w:ascii="Courier New" w:cs="Courier New" w:eastAsia="Courier New" w:hAnsi="Courier New"/>
          <w:sz w:val="14"/>
          <w:szCs w:val="14"/>
          <w:color w:val="auto"/>
        </w:rPr>
        <w:t>Your vote is important. Please complete, sign, date and return your proxy card in the enclosed envelope promptly, or authorize the individuals named on your proxy card to vote your shares by calling the toll-free telephone number or using the internet as described in the instructions included with your proxy card.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T.P. Townsend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T.P. Townsend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9, 1999</w:t>
      </w:r>
    </w:p>
    <w:p>
      <w:pPr>
        <w:sectPr>
          <w:pgSz w:w="11900" w:h="16838" w:orient="portrait"/>
          <w:cols w:equalWidth="0" w:num="1">
            <w:col w:w="10239"/>
          </w:cols>
          <w:pgMar w:left="220" w:top="616"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596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CHAPTER ONE - THE MERGER</w:t>
            </w:r>
          </w:p>
        </w:tc>
        <w:tc>
          <w:tcPr>
            <w:tcW w:w="340" w:type="dxa"/>
            <w:vAlign w:val="bottom"/>
          </w:tcPr>
          <w:p>
            <w:pPr>
              <w:spacing w:after="0"/>
              <w:rPr>
                <w:sz w:val="24"/>
                <w:szCs w:val="24"/>
                <w:color w:val="auto"/>
              </w:rPr>
            </w:pP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QUESTIONS AND ANSWERS ABOUT THE</w:t>
            </w:r>
          </w:p>
        </w:tc>
        <w:tc>
          <w:tcPr>
            <w:tcW w:w="340" w:type="dxa"/>
            <w:vAlign w:val="bottom"/>
          </w:tcPr>
          <w:p>
            <w:pPr>
              <w:spacing w:after="0"/>
              <w:rPr>
                <w:sz w:val="24"/>
                <w:szCs w:val="2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I-1</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SUMMARY..............................................................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The Companies......................................................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Reasons for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Merger Recommendations to Shareholders.............................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Other Exxon Annual Meeting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I-6</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Other Mobil Annual Meeting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I-6</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SELECTED HISTORICAL AND PRO FORMA FINANCIAL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I-7</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SELECTED HISTORICAL FINANCIAL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I-8</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Selected Historical Financial Data of Exxon........................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I-8</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Selected Historical Financial Data of Mobil........................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I-9</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Selected Unaudited Pro Forma Combined Financial</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I-10</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Comparative Per Share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I-11</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CAUTIONARY STATEMENT CONCERNING FORWARD-LOOKING</w:t>
            </w:r>
          </w:p>
        </w:tc>
        <w:tc>
          <w:tcPr>
            <w:tcW w:w="340" w:type="dxa"/>
            <w:vAlign w:val="bottom"/>
          </w:tcPr>
          <w:p>
            <w:pPr>
              <w:spacing w:after="0"/>
              <w:rPr>
                <w:sz w:val="24"/>
                <w:szCs w:val="2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I-12</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YEAR 2000 ISSUE.....................................................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I-13</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THE MERGER TRANSACTION..............................................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General...........................................................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Background of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Our Reasons for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I-19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Exxon Mobil's Senior Management Team..............................</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Factors Considered by, and Recommendation of,</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the Exxon Board.................................................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Factors Considered by, and Recommendation of, the Mobil</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Board..........................................................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Accounting Treatment..............................................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I-26</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Material Federal Income Tax Consequences of the</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I-27</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Regulatory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I-28</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Appraisal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I-29</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Federal Securities Laws Consequences; Stock Transfer Restriction</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Agreements.....................................................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I-29</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COMPARATIVE PER SHARE MARKET PRICE</w:t>
            </w:r>
          </w:p>
        </w:tc>
        <w:tc>
          <w:tcPr>
            <w:tcW w:w="340" w:type="dxa"/>
            <w:vAlign w:val="bottom"/>
          </w:tcPr>
          <w:p>
            <w:pPr>
              <w:spacing w:after="0"/>
              <w:rPr>
                <w:sz w:val="24"/>
                <w:szCs w:val="2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AND DIVIDEND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I-30</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Effect of Merger on Mobil Dividend Reinvestment Plan..............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I-31</w:t>
            </w:r>
          </w:p>
        </w:tc>
      </w:tr>
      <w:tr>
        <w:trPr>
          <w:trHeight w:val="166"/>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UNAUDITED PRO FORMA CONDENSED COMBINED FINANCIAL</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I-32</w:t>
            </w:r>
          </w:p>
        </w:tc>
      </w:tr>
      <w:tr>
        <w:trPr>
          <w:trHeight w:val="331"/>
        </w:trPr>
        <w:tc>
          <w:tcPr>
            <w:tcW w:w="5960" w:type="dxa"/>
            <w:vAlign w:val="bottom"/>
          </w:tcPr>
          <w:p>
            <w:pPr>
              <w:ind w:left="100"/>
              <w:spacing w:after="0"/>
              <w:rPr>
                <w:sz w:val="20"/>
                <w:szCs w:val="20"/>
                <w:color w:val="auto"/>
              </w:rPr>
            </w:pPr>
            <w:r>
              <w:rPr>
                <w:rFonts w:ascii="Courier New" w:cs="Courier New" w:eastAsia="Courier New" w:hAnsi="Courier New"/>
                <w:sz w:val="14"/>
                <w:szCs w:val="14"/>
                <w:color w:val="auto"/>
              </w:rPr>
              <w:t>NOTES TO UNAUDITED PRO FORMA CONDENSED COMBINED FINANCIAL</w:t>
            </w:r>
          </w:p>
        </w:tc>
        <w:tc>
          <w:tcPr>
            <w:tcW w:w="340" w:type="dxa"/>
            <w:vAlign w:val="bottom"/>
          </w:tcPr>
          <w:p>
            <w:pPr>
              <w:spacing w:after="0"/>
              <w:rPr>
                <w:sz w:val="24"/>
                <w:szCs w:val="2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I-37</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OPINIONS OF FINANCIAL ADVISORS.....................................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Opinion of Exxon Financial Advisor...............................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I-39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Opinion of Mobil Financial Advisor...............................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I-44</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Board of Directors................................................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I-49</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 Directors' and</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Officers' Insurance............................................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Employee Severance Plan...........................................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I-49</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Incentive Compensation and Stock</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Ownership Plans................................................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I-51</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Management Retention Plan.........................................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I-52</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Rabbi Trust.......................................................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I-52</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Application of Past Practices.....................................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I-52</w:t>
            </w: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THE MERGER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Structure of 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Timing of Closing.................................................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Merger Consideration..............................................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Treatment of Mobil Stock Options;</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Other Mobil Stock-Based Awards..................................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Exchange of Shares................................................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Exxon Mobil Board and Related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I-55</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Certain Covenants.................................................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I-55</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I-58</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Conditions to the Completion of</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I-58</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Termination of the Merger</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I-59</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Other Expenses....................................................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I-60</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Amendments; Waivers...............................................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I-61</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Stock Option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I-61</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CHAPTER TWO- INFORMATION ABOUT THE MEETINGS AND VOTING</w:t>
            </w:r>
          </w:p>
        </w:tc>
        <w:tc>
          <w:tcPr>
            <w:tcW w:w="340" w:type="dxa"/>
            <w:vAlign w:val="bottom"/>
          </w:tcPr>
          <w:p>
            <w:pPr>
              <w:spacing w:after="0"/>
              <w:rPr>
                <w:sz w:val="24"/>
                <w:szCs w:val="24"/>
                <w:color w:val="auto"/>
              </w:rPr>
            </w:pPr>
          </w:p>
        </w:tc>
      </w:tr>
      <w:tr>
        <w:trPr>
          <w:trHeight w:val="331"/>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Matters Relating to the Meetings..................................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II-1</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Vote Necessary to Approve Exxon and</w:t>
            </w:r>
          </w:p>
        </w:tc>
        <w:tc>
          <w:tcPr>
            <w:tcW w:w="340" w:type="dxa"/>
            <w:vAlign w:val="bottom"/>
          </w:tcPr>
          <w:p>
            <w:pPr>
              <w:spacing w:after="0"/>
              <w:rPr>
                <w:sz w:val="14"/>
                <w:szCs w:val="14"/>
                <w:color w:val="auto"/>
              </w:rPr>
            </w:pP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Mobil Proposals.................................................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II-4</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Proxies.........................................................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II-5</w:t>
            </w:r>
          </w:p>
        </w:tc>
      </w:tr>
      <w:tr>
        <w:trPr>
          <w:trHeight w:val="166"/>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Other Business; Adjournments....................................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II-7</w:t>
            </w:r>
          </w:p>
        </w:tc>
      </w:tr>
    </w:tbl>
    <w:p>
      <w:pPr>
        <w:sectPr>
          <w:pgSz w:w="11900" w:h="16838" w:orient="portrait"/>
          <w:cols w:equalWidth="0" w:num="1">
            <w:col w:w="10239"/>
          </w:cols>
          <w:pgMar w:left="220" w:top="616"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CHAPTER THREE - CERTAIN LEGAL INFORMATION</w:t>
            </w:r>
          </w:p>
        </w:tc>
        <w:tc>
          <w:tcPr>
            <w:tcW w:w="520" w:type="dxa"/>
            <w:vAlign w:val="bottom"/>
          </w:tcPr>
          <w:p>
            <w:pPr>
              <w:spacing w:after="0"/>
              <w:rPr>
                <w:sz w:val="14"/>
                <w:szCs w:val="14"/>
                <w:color w:val="auto"/>
              </w:rPr>
            </w:pP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COMPARISON OF SHAREHOLDER RIGHTS...................................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III-1</w:t>
            </w:r>
          </w:p>
        </w:tc>
      </w:tr>
      <w:tr>
        <w:trPr>
          <w:trHeight w:val="166"/>
        </w:trPr>
        <w:tc>
          <w:tcPr>
            <w:tcW w:w="57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Summary of Material Differences Between Current</w:t>
            </w:r>
          </w:p>
        </w:tc>
        <w:tc>
          <w:tcPr>
            <w:tcW w:w="520" w:type="dxa"/>
            <w:vAlign w:val="bottom"/>
          </w:tcPr>
          <w:p>
            <w:pPr>
              <w:spacing w:after="0"/>
              <w:rPr>
                <w:sz w:val="14"/>
                <w:szCs w:val="14"/>
                <w:color w:val="auto"/>
              </w:rPr>
            </w:pPr>
          </w:p>
        </w:tc>
      </w:tr>
      <w:tr>
        <w:trPr>
          <w:trHeight w:val="166"/>
        </w:trPr>
        <w:tc>
          <w:tcPr>
            <w:tcW w:w="57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Rights of Mobil Shareholders and Rights Those</w:t>
            </w:r>
          </w:p>
        </w:tc>
        <w:tc>
          <w:tcPr>
            <w:tcW w:w="520" w:type="dxa"/>
            <w:vAlign w:val="bottom"/>
          </w:tcPr>
          <w:p>
            <w:pPr>
              <w:spacing w:after="0"/>
              <w:rPr>
                <w:sz w:val="14"/>
                <w:szCs w:val="14"/>
                <w:color w:val="auto"/>
              </w:rPr>
            </w:pPr>
          </w:p>
        </w:tc>
      </w:tr>
      <w:tr>
        <w:trPr>
          <w:trHeight w:val="166"/>
        </w:trPr>
        <w:tc>
          <w:tcPr>
            <w:tcW w:w="5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Shareholders Will Have as Exxon Mobil Shareholders</w:t>
            </w:r>
          </w:p>
        </w:tc>
        <w:tc>
          <w:tcPr>
            <w:tcW w:w="520" w:type="dxa"/>
            <w:vAlign w:val="bottom"/>
          </w:tcPr>
          <w:p>
            <w:pPr>
              <w:spacing w:after="0"/>
              <w:rPr>
                <w:sz w:val="14"/>
                <w:szCs w:val="14"/>
                <w:color w:val="auto"/>
              </w:rPr>
            </w:pP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Following the Merger...........................................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III-1</w:t>
            </w: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DESCRIPTION OF EXXON CAPITAL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III-8</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Authorized Capital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III-8</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Exxon Common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III-8</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Exxon Preferred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III-8</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Amendment of Exxon Charter......................................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III-10</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Transfer Agent and Registrar....................................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III-11</w:t>
            </w:r>
          </w:p>
        </w:tc>
      </w:tr>
      <w:tr>
        <w:trPr>
          <w:trHeight w:val="166"/>
        </w:trPr>
        <w:tc>
          <w:tcPr>
            <w:tcW w:w="578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Stock Exchange Listing; Delisting and</w:t>
            </w:r>
          </w:p>
        </w:tc>
        <w:tc>
          <w:tcPr>
            <w:tcW w:w="520" w:type="dxa"/>
            <w:vAlign w:val="bottom"/>
          </w:tcPr>
          <w:p>
            <w:pPr>
              <w:spacing w:after="0"/>
              <w:rPr>
                <w:sz w:val="14"/>
                <w:szCs w:val="14"/>
                <w:color w:val="auto"/>
              </w:rPr>
            </w:pP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Deregistration of Mobil Common Stock..........................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III-11</w:t>
            </w: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LEGAL MATTERS.....................................................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III-11</w:t>
            </w:r>
          </w:p>
        </w:tc>
      </w:tr>
      <w:tr>
        <w:trPr>
          <w:trHeight w:val="166"/>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EXPERTS...........................................................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III-11</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CHAPTER FOUR - OTHER EXXON ANNUAL MEETING PROPOSALS</w:t>
            </w:r>
          </w:p>
        </w:tc>
        <w:tc>
          <w:tcPr>
            <w:tcW w:w="520" w:type="dxa"/>
            <w:vAlign w:val="bottom"/>
          </w:tcPr>
          <w:p>
            <w:pPr>
              <w:spacing w:after="0"/>
              <w:rPr>
                <w:sz w:val="24"/>
                <w:szCs w:val="24"/>
                <w:color w:val="auto"/>
              </w:rPr>
            </w:pP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CHAPTER FIVE - OTHER MOBIL ANNUAL MEETING PROPOSALS</w:t>
            </w:r>
          </w:p>
        </w:tc>
        <w:tc>
          <w:tcPr>
            <w:tcW w:w="520" w:type="dxa"/>
            <w:vAlign w:val="bottom"/>
          </w:tcPr>
          <w:p>
            <w:pPr>
              <w:spacing w:after="0"/>
              <w:rPr>
                <w:sz w:val="24"/>
                <w:szCs w:val="24"/>
                <w:color w:val="auto"/>
              </w:rPr>
            </w:pP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CHAPTER SIX - ADDITIONAL INFORMATION FOR SHAREHOLDERS</w:t>
            </w:r>
          </w:p>
        </w:tc>
        <w:tc>
          <w:tcPr>
            <w:tcW w:w="520" w:type="dxa"/>
            <w:vAlign w:val="bottom"/>
          </w:tcPr>
          <w:p>
            <w:pPr>
              <w:spacing w:after="0"/>
              <w:rPr>
                <w:sz w:val="24"/>
                <w:szCs w:val="24"/>
                <w:color w:val="auto"/>
              </w:rPr>
            </w:pP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FUTURE SHAREHOLDER PROPOSALS........................................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VI-1</w:t>
            </w:r>
          </w:p>
        </w:tc>
      </w:tr>
      <w:tr>
        <w:trPr>
          <w:trHeight w:val="331"/>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WHERE YOU CAN FIND MORE INFORMATION.................................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VI-1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A..................Agreement and Plan of Merger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B..................Stock Option Agreement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C..................Opinion of J.P. Morgan Securities Inc.</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D..................Opinion of Goldman, Sachs &amp; Co.</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5" w:name="page6"/>
    <w:bookmarkEnd w:id="5"/>
    <w:p>
      <w:pPr>
        <w:ind w:left="3020"/>
        <w:spacing w:after="0"/>
        <w:rPr>
          <w:sz w:val="20"/>
          <w:szCs w:val="20"/>
          <w:color w:val="auto"/>
        </w:rPr>
      </w:pPr>
      <w:r>
        <w:rPr>
          <w:rFonts w:ascii="Courier New" w:cs="Courier New" w:eastAsia="Courier New" w:hAnsi="Courier New"/>
          <w:sz w:val="14"/>
          <w:szCs w:val="14"/>
          <w:color w:val="auto"/>
        </w:rPr>
        <w:t>CHAPTER ONE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QUESTIONS AND ANSWERS ABOUT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When and where are the shareholder meetings?</w:t>
      </w:r>
    </w:p>
    <w:p>
      <w:pPr>
        <w:spacing w:after="0" w:line="173" w:lineRule="exact"/>
        <w:rPr>
          <w:sz w:val="20"/>
          <w:szCs w:val="20"/>
          <w:color w:val="auto"/>
        </w:rPr>
      </w:pPr>
    </w:p>
    <w:p>
      <w:pPr>
        <w:ind w:right="3339" w:firstLine="8"/>
        <w:spacing w:after="0" w:line="255" w:lineRule="auto"/>
        <w:tabs>
          <w:tab w:leader="none" w:pos="25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company's meeting will take place on May 27, 1999 in Dallas, Texas. The address of each meeting is on page II-1.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do I need to do now?</w:t>
      </w:r>
    </w:p>
    <w:p>
      <w:pPr>
        <w:spacing w:after="0" w:line="173" w:lineRule="exact"/>
        <w:rPr>
          <w:sz w:val="20"/>
          <w:szCs w:val="20"/>
          <w:color w:val="auto"/>
        </w:rPr>
      </w:pPr>
    </w:p>
    <w:p>
      <w:pPr>
        <w:ind w:right="3419" w:firstLine="8"/>
        <w:spacing w:after="0" w:line="251" w:lineRule="auto"/>
        <w:tabs>
          <w:tab w:leader="none" w:pos="25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Just mail your signed proxy card in the enclosed return envelope or vote by telephone or the internet, as soon as possible, so that your shares may be represented at your meeting. In order to assure that your vote is obtained, please give your proxy as instructed on your proxy card even if you currently plan to attend a meeting in person. The Board of Directors of each of Exxon and Mobil recommends that its shareholders vote in favor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do I do if I want to change my vote?</w:t>
      </w:r>
    </w:p>
    <w:p>
      <w:pPr>
        <w:spacing w:after="0" w:line="173" w:lineRule="exact"/>
        <w:rPr>
          <w:sz w:val="20"/>
          <w:szCs w:val="20"/>
          <w:color w:val="auto"/>
        </w:rPr>
      </w:pPr>
    </w:p>
    <w:p>
      <w:pPr>
        <w:ind w:right="3419" w:firstLine="8"/>
        <w:spacing w:after="0" w:line="251" w:lineRule="auto"/>
        <w:tabs>
          <w:tab w:leader="none" w:pos="25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Just send in a later-dated, signed proxy card to your company's Secretary or vote again by telephone or the internet before your meeting. Or, you can attend your meeting in person and vote. You may also revoke your proxy by sending a notice of revocation to your company's Secretary at the address under "The Companies" on page I-2.</w:t>
      </w:r>
    </w:p>
    <w:p>
      <w:pPr>
        <w:spacing w:after="0" w:line="165" w:lineRule="exact"/>
        <w:rPr>
          <w:sz w:val="20"/>
          <w:szCs w:val="20"/>
          <w:color w:val="auto"/>
        </w:rPr>
      </w:pPr>
    </w:p>
    <w:p>
      <w:pPr>
        <w:ind w:right="3779" w:firstLine="8"/>
        <w:spacing w:after="0" w:line="255" w:lineRule="auto"/>
        <w:tabs>
          <w:tab w:leader="none" w:pos="25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my shares are held in "street name" by my broker, will my broker vote my shares for me?</w:t>
      </w:r>
    </w:p>
    <w:p>
      <w:pPr>
        <w:spacing w:after="0" w:line="160" w:lineRule="exact"/>
        <w:rPr>
          <w:sz w:val="20"/>
          <w:szCs w:val="20"/>
          <w:color w:val="auto"/>
        </w:rPr>
      </w:pPr>
    </w:p>
    <w:p>
      <w:pPr>
        <w:ind w:right="3339" w:firstLine="8"/>
        <w:spacing w:after="0" w:line="251" w:lineRule="auto"/>
        <w:tabs>
          <w:tab w:leader="none" w:pos="25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do not provide your broker with instructions on how to vote your "street name" shares, your broker will not be permitted to vote them on the merger. You should therefore be sure to provide your broker with instructions on how to vote your shares. Please check the voting form used by your broker to see if it offers telephone or internet voting.</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you are an Exxon shareholder and do not give voting instructions to your broker, you will not be counted as voting for purposes of the merger vote unless you appear in person at the Exxon meeting.</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you are a Mobil shareholder and do not give voting instructions to your broker, you will, in effect, be voting against the merger unless you appear in person at the Mobil meeting and vote in favor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Should I send in my stock certificates now?</w:t>
      </w:r>
    </w:p>
    <w:p>
      <w:pPr>
        <w:spacing w:after="0" w:line="173" w:lineRule="exact"/>
        <w:rPr>
          <w:sz w:val="20"/>
          <w:szCs w:val="20"/>
          <w:color w:val="auto"/>
        </w:rPr>
      </w:pPr>
    </w:p>
    <w:p>
      <w:pPr>
        <w:ind w:left="260" w:hanging="252"/>
        <w:spacing w:after="0"/>
        <w:tabs>
          <w:tab w:leader="none" w:pos="2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If the merger is completed, we will send Mobil shareholders written</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instructions for exchanging their share certificates. Exxon shareholders will keep their existing certificates.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happens to my future dividends?</w:t>
      </w:r>
    </w:p>
    <w:p>
      <w:pPr>
        <w:spacing w:after="0" w:line="173" w:lineRule="exact"/>
        <w:rPr>
          <w:sz w:val="20"/>
          <w:szCs w:val="20"/>
          <w:color w:val="auto"/>
        </w:rPr>
      </w:pPr>
    </w:p>
    <w:p>
      <w:pPr>
        <w:ind w:right="3419" w:firstLine="8"/>
        <w:spacing w:after="0" w:line="251" w:lineRule="auto"/>
        <w:tabs>
          <w:tab w:leader="none" w:pos="25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expect no changes in Exxon's or Mobil's dividend policies before the merger. We expect that Exxon Mobil will continue to pay quarterly dividends on Exxon Mobil common stock after the merger. The payment of dividends by Exxon Mobil in the future, however, will depend on business conditions, Exxon Mobil's financial condition and earnings, and other factors. To compare dividends paid by each of Exxon and Mobil, see page I-30.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When do you expect the merger to be completed?</w:t>
      </w:r>
    </w:p>
    <w:p>
      <w:pPr>
        <w:spacing w:after="0" w:line="173" w:lineRule="exact"/>
        <w:rPr>
          <w:sz w:val="20"/>
          <w:szCs w:val="20"/>
          <w:color w:val="auto"/>
        </w:rPr>
      </w:pPr>
    </w:p>
    <w:p>
      <w:pPr>
        <w:ind w:right="3419" w:firstLine="8"/>
        <w:spacing w:after="0" w:line="252" w:lineRule="auto"/>
        <w:tabs>
          <w:tab w:leader="none" w:pos="25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working towards completing the merger as quickly as possible. In addition to shareholder approvals, we must also obtain regulatory approvals. We hope to complete the merger by mid-year,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Who do I call if I have questions about the meetings or the merger?</w:t>
      </w:r>
    </w:p>
    <w:p>
      <w:pPr>
        <w:spacing w:after="0" w:line="173" w:lineRule="exact"/>
        <w:rPr>
          <w:sz w:val="20"/>
          <w:szCs w:val="20"/>
          <w:color w:val="auto"/>
        </w:rPr>
      </w:pPr>
    </w:p>
    <w:p>
      <w:pPr>
        <w:jc w:val="both"/>
        <w:ind w:left="260" w:right="6259" w:hanging="252"/>
        <w:spacing w:after="0" w:line="255" w:lineRule="auto"/>
        <w:tabs>
          <w:tab w:leader="none" w:pos="2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shareholders may call 1-800-628-8536. Mobil shareholders may call 1-800-300-3610.</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summary highlights selected information from this joint proxy statement/prospectus and may not contain all of the information that is important to you. To understand the merger fully and for a more complete description of the legal terms of the merger, you should read this document and the documents we have referred you to carefully. See "Where You Can Find More Information" on page VI-1.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75039-2298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(972) 444-1000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Exxon's principal business is energy, involving exploration for, and production of, crude oil and natural gas, manufacturing of petroleum products and transportation and sale of crude oil, natural gas and petroleum products. Exxon is also a major manufacturer and marketer of petrochemicals, including olefins, aromatics, polyethylene and polypropylene plastics, and a wide array of specialty products. Exxon also engages in exploration for, and mining and sale of, coal, copper and other minerals, and has interests in electric power generation. Exxon affiliates support our businesses with extensive research programs.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22307-0001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(703) 846-3000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Mobil's principal business involves crude oil, natural gas and petroleum products. Mobil is also a manufacturer and marketer of petrochemicals, packaging films and specialty chemical products. Mobil operates a worldwide oil and gas exploration and producing business, a global marketing and refining complex, a network of pipelines and tankers linking these worldwide oil and gas businesses, a worldwide chemical business and a sophisticated research and engineering operation.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believe the combined Exxon Mobil can be run more efficiently and can use its capital more profitably than either company on its own. As a result, we believe the merger will create substantial long-term value for the shareholders of both companies. Of course, these benefits depend on our ability to obtain the necessary approvals for the merger, to integrate the businesses of Exxon and Mobil successfully after the merger, and on other uncertainties described on page I-12.</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To review the reasons for the merger in greater detail, see pages I-19 through I-26.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Recommendations to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Exxon Shareholders: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Exxon Board believes that the merger is fair to you and in your best interest and recommends that you vote FOR the merger, including the related issuance of common stock and the related amendments to Exxon's charter described on page III-10.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Mobil Shareholders: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Mobil Board believes that the merger is fair to you and in your best interest and recommends that you vote FOR the approval of the merger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merger agreement is attached as Annex A to this joint proxy statement/prospectus. We encourage you to read the merger agreement as it is the legal document that governs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Mobil Shareholders Will Receive (see page I-54)</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As a result of the merger, Mobil shareholders will receive, for each share of Mobil common stock, 1.32015 shares of Exxon Mobil common stock.</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782" w:right="1440" w:bottom="1440" w:gutter="0" w:footer="0" w:header="0"/>
        </w:sectPr>
      </w:pPr>
    </w:p>
    <w:bookmarkStart w:id="7" w:name="page8"/>
    <w:bookmarkEnd w:id="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Exxon Mobil will not issue any fractional shares. Mobil shareholders will receive a check in the amount of the proceeds from the sale of their fractional shares in the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Example:</w:t>
      </w:r>
    </w:p>
    <w:p>
      <w:pPr>
        <w:spacing w:after="0" w:line="173" w:lineRule="exact"/>
        <w:rPr>
          <w:sz w:val="20"/>
          <w:szCs w:val="20"/>
          <w:color w:val="auto"/>
        </w:rPr>
      </w:pPr>
    </w:p>
    <w:p>
      <w:pPr>
        <w:ind w:left="520" w:right="6359" w:hanging="339"/>
        <w:spacing w:after="0" w:line="251"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currently own 1,000 shares of Mobil common stock, then after the merger you will receive 1,320 shares of Exxon Mobil common stock and a check for the sale proceeds for .15 of one share of Exxon Mobil common stock, rounded to the nearest one cent. The value of the stock that you will receive will fluctuate as the price of Exxon Mobil common stock changes after the merger.</w:t>
      </w:r>
    </w:p>
    <w:p>
      <w:pPr>
        <w:spacing w:after="0" w:line="163" w:lineRule="exact"/>
        <w:rPr>
          <w:rFonts w:ascii="Courier New" w:cs="Courier New" w:eastAsia="Courier New" w:hAnsi="Courier New"/>
          <w:sz w:val="14"/>
          <w:szCs w:val="14"/>
          <w:color w:val="auto"/>
        </w:rPr>
      </w:pPr>
    </w:p>
    <w:p>
      <w:pPr>
        <w:ind w:left="520" w:right="6619" w:hanging="339"/>
        <w:spacing w:after="0" w:line="250"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 1999 the last per share price of Exxon common stock on the Consolidated Tape was $70 1/8. Applying the 1.32015 exchange ratio to the Exxon last reported price on that date, each holder of Mobil common stock would be entitled to receive Exxon Mobil common stock with a market value of approximately $92.58 for each share of Mobil common stock. However, the market prices for Mobil and Exxon common stock are likely to change between now and the merger. You are urged to obtain current price quotes for Mobil and Exxon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Per Share Market Price Information</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Exxon and Mobil common stock are both listed on the New York Stock Exchange. On November 25, 1998, the last full trading day before Exxon and Mobil issued a joint release confirming that they were in discussions concerning a possible combination, Exxon common stock closed at $72 11/16 and Mobil common stock closed at $78 3/8. On November 30, 1998, the last full trading day prior to the public announcement of the proposed merger, Exxon closed at $75 and Mobil closed at $86. On April 1, 1999, Exxon closed at $70 1/8 and Mobil closed at $87 3/8.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of Exxon Mobil Common Stock</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shares of Exxon Mobil common stock will be listed on the New York Stock Exchange under the ticker symbol "XOM".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Exxon Mobil After the Merger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Exxon Mobil will issue approximately 1.03 billion shares of Exxon Mobil common stock to Mobil shareholders in the merger. The shares of Exxon Mobil common stock to be issued to Mobil shareholders in the merger will represent approximately 30% of the outstanding Exxon Mobil common stock after the merger. This information is based on the number of Exxon and Mobil shares outstanding on March 1, 1999 and does not take into account stock options or other equity-based awards.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Vote Required to Approve the Merger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Exxon shareholders: Approval of the merger and related matters described on page I-14 requires a majority of the votes cast by holders of Exxon common stock and Exxon Class A preferred stock, voting as a single class.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Mobil shareholders: Approval of the merger requires a majority of the total votes represented by the outstanding shares of Mobil common stock and Mobil ESOP preferred stock, voting as a single class.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 (see page I-29)</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holders of Exxon and Mobil common stock do not have any right to an appraisal of the value of their shares in connection with the merger. We provide on page I-29 in the section captioned "The Merger Transaction--Appraisal Rights" information regarding the appraisal rights available in connection with the merger to the trustee of the Mobil ESOP, the sole record holder of Mobil ESOP preferred stock.</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of Exxon Mobil and Related Matters After the Merger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the merger, the board of directors of Exxon Mobil will have 19 members, including the 13 current Exxon directors plus six directors designated by Mobil. These designees are named below (see page I-55). Mr. Lucio A. Noto, Chairman of Mobil, will become the Vice-Chairman of Exxon Mobil. In addition, one Mobil designee will be appointed to each of Exxon Mobil's Audit Committee and Compensation Committee. (see page I-55.)</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10239"/>
          </w:cols>
          <w:pgMar w:left="220" w:top="782" w:right="1440" w:bottom="94"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of Officers and Directors in the Merger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When you consider the Mobil Board's recommendation that Mobil shareholders vote in favor of the merger, you should be aware that a number of Mobil officers and directors may have interests in the merger that may be different from, or in addition to, yours (see page I-49).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expect the merger to qualify as a pooling of interests, which means that we will treat our companies as if they had always been combined for accounting and financial reporting purposes. As described on page I-26, we have each received letters from our independent accounting firms concurring with our conclusions that the merger should be accounted for as a pooling of interests.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Federal Income Tax Consequences of the Merger (see page I-27)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merger has been structured as a "tax-free reorganization" for federal income tax purposes. Accordingly, holders of Mobil common stock or Mobil ESOP preferred stock generally will not recognize any gain or loss for federal income tax purposes on the exchange of their Mobil stock for Exxon Mobil stock in the merger, except for any gain or loss recognized in connection with the receipt of cash instead of a fractional share of Exxon Mobil common stock. The companies themselves, as well as holders of Exxon stock, will not recognize gain or loss as a result of the merger. It is a condition to the obligations of Mobil and Exxon to complete the merger that each receive a legal opinion from its outside counsel that the merger will be a tax-free reorganization for federal income tax purposes.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federal income tax consequences described above may not apply to some holders of Mobil stock, including some types of holders specifically referred to on page I-27. Your tax consequences will depend upon your personal situation. You should consult your tax advisor for a full understanding of the tax consequences of the merger to you.</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Completion of the Merger (see page I-58)</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completion of the merger depends upon meeting a number of conditions, including the following:</w:t>
      </w:r>
    </w:p>
    <w:p>
      <w:pPr>
        <w:spacing w:after="0" w:line="160" w:lineRule="exact"/>
        <w:rPr>
          <w:sz w:val="20"/>
          <w:szCs w:val="20"/>
          <w:color w:val="auto"/>
        </w:rPr>
      </w:pPr>
    </w:p>
    <w:p>
      <w:pPr>
        <w:ind w:left="520" w:hanging="253"/>
        <w:spacing w:after="0"/>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shareholders of Exxon and Mobil;</w:t>
      </w:r>
    </w:p>
    <w:p>
      <w:pPr>
        <w:spacing w:after="0" w:line="172" w:lineRule="exact"/>
        <w:rPr>
          <w:rFonts w:ascii="Courier New" w:cs="Courier New" w:eastAsia="Courier New" w:hAnsi="Courier New"/>
          <w:sz w:val="14"/>
          <w:szCs w:val="14"/>
          <w:color w:val="auto"/>
        </w:rPr>
      </w:pPr>
    </w:p>
    <w:p>
      <w:pPr>
        <w:ind w:left="520" w:right="4019" w:hanging="253"/>
        <w:spacing w:after="0" w:line="255"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or termination of the relevant waiting period under the Hart-Scott-Rodino Act;</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European Commission of the merger;</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any law or court order prohibiting the merger;</w:t>
      </w:r>
    </w:p>
    <w:p>
      <w:pPr>
        <w:spacing w:after="0" w:line="172" w:lineRule="exact"/>
        <w:rPr>
          <w:rFonts w:ascii="Courier New" w:cs="Courier New" w:eastAsia="Courier New" w:hAnsi="Courier New"/>
          <w:sz w:val="14"/>
          <w:szCs w:val="14"/>
          <w:color w:val="auto"/>
        </w:rPr>
      </w:pPr>
    </w:p>
    <w:p>
      <w:pPr>
        <w:ind w:left="520" w:right="3599" w:hanging="253"/>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letters from the independent public accountants of Exxon and Mobil reconfirming their concurrence that "pooling of interests" accounting treatment for the merger is appropriate;</w:t>
      </w:r>
    </w:p>
    <w:p>
      <w:pPr>
        <w:spacing w:after="0" w:line="162" w:lineRule="exact"/>
        <w:rPr>
          <w:rFonts w:ascii="Courier New" w:cs="Courier New" w:eastAsia="Courier New" w:hAnsi="Courier New"/>
          <w:sz w:val="14"/>
          <w:szCs w:val="14"/>
          <w:color w:val="auto"/>
        </w:rPr>
      </w:pPr>
    </w:p>
    <w:p>
      <w:pPr>
        <w:ind w:left="520" w:right="3599" w:hanging="253"/>
        <w:spacing w:after="0" w:line="255"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opinions of Exxon's and Mobil's counsel that the merger will qualify as a tax-free reorganization;</w:t>
      </w:r>
    </w:p>
    <w:p>
      <w:pPr>
        <w:spacing w:after="0" w:line="159"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 material adverse effect on Exxon or Mobil during the period from December 1, 1998 until the closing of the merger; and</w:t>
      </w:r>
    </w:p>
    <w:p>
      <w:pPr>
        <w:spacing w:after="0" w:line="159" w:lineRule="exact"/>
        <w:rPr>
          <w:rFonts w:ascii="Courier New" w:cs="Courier New" w:eastAsia="Courier New" w:hAnsi="Courier New"/>
          <w:sz w:val="14"/>
          <w:szCs w:val="14"/>
          <w:color w:val="auto"/>
        </w:rPr>
      </w:pPr>
    </w:p>
    <w:p>
      <w:pPr>
        <w:ind w:left="520" w:right="3339" w:hanging="253"/>
        <w:spacing w:after="0" w:line="255"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accuracy as of closing of the representations and warranties made by the other party.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Exxon's obligation to complete the merger is subject to</w:t>
      </w:r>
    </w:p>
    <w:p>
      <w:pPr>
        <w:spacing w:after="0" w:line="173" w:lineRule="exact"/>
        <w:rPr>
          <w:sz w:val="20"/>
          <w:szCs w:val="20"/>
          <w:color w:val="auto"/>
        </w:rPr>
      </w:pPr>
    </w:p>
    <w:p>
      <w:pPr>
        <w:ind w:left="520" w:right="3519" w:hanging="426"/>
        <w:spacing w:after="0" w:line="252" w:lineRule="auto"/>
        <w:tabs>
          <w:tab w:leader="none" w:pos="5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being no proceeding seeking to limit Exxon's ownership of Mobil or to compel divestiture of assets, in either case to an extent that could reasonably be expected to result in a substantial detriment to Exxon and Mobil taken as a whole; and</w:t>
      </w:r>
    </w:p>
    <w:p>
      <w:pPr>
        <w:spacing w:after="0" w:line="162" w:lineRule="exact"/>
        <w:rPr>
          <w:rFonts w:ascii="Courier New" w:cs="Courier New" w:eastAsia="Courier New" w:hAnsi="Courier New"/>
          <w:sz w:val="14"/>
          <w:szCs w:val="14"/>
          <w:color w:val="auto"/>
        </w:rPr>
      </w:pPr>
    </w:p>
    <w:p>
      <w:pPr>
        <w:ind w:left="520" w:right="3519" w:hanging="426"/>
        <w:spacing w:after="0" w:line="255" w:lineRule="auto"/>
        <w:tabs>
          <w:tab w:leader="none" w:pos="5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regulatory approvals for the merger being obtained on terms that are not reasonably likely to result in such a substantial detriment.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w:t>
      </w:r>
    </w:p>
    <w:p>
      <w:pPr>
        <w:sectPr>
          <w:pgSz w:w="11900" w:h="16838" w:orient="portrait"/>
          <w:cols w:equalWidth="0" w:num="1">
            <w:col w:w="10239"/>
          </w:cols>
          <w:pgMar w:left="220" w:top="782" w:right="1440" w:bottom="1440" w:gutter="0" w:footer="0" w:header="0"/>
        </w:sectPr>
      </w:pPr>
    </w:p>
    <w:bookmarkStart w:id="9" w:name="page10"/>
    <w:bookmarkEnd w:id="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Pursuant to the Hart-Scott-Rodino Act, the merger cannot be completed until after we have given certain information and materials to the Federal Trade Commission and a required waiting period has expired or been terminated. The companies submitted pre-merger notification and report forms during the week of December 14, 1998. On January 15, 1999, the FTC issued a request for additional information and other materials to Exxon and Mobil. The merger may not be completed until 20 days after both parties have substantially complied with this request or unless the waiting period is terminated earlier. The FTC has the authority to challenge the merger on antitrust grounds by seeking a federal court order enjoining the transaction pending an administrative hearing.</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merger is also subject to review under the competition laws of the European Union. We informally notified the European Commission of the merger on December 1, 1998, and expect to make the required formal pre-merger filing by the end of April 1999.</w:t>
      </w:r>
    </w:p>
    <w:p>
      <w:pPr>
        <w:spacing w:after="0" w:line="162"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The merger may also be subject to regulatory review in jurisdictions other than the U.S. and the EU.</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Exxon and Mobil are working to obtain the required regulatory approvals and consents. However, we can give no assurance as to when or whether any of these approvals and consents will be obtained or the terms and conditions that may be imposed.</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 described beginning on page I-58, Exxon and Mobil are not required to close unless the regulatory conditions to completion of the merger are satisfied.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 (see page I-59)</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Either Exxon or Mobil can terminate the merger agreement if any of the following occurs:</w:t>
      </w:r>
    </w:p>
    <w:p>
      <w:pPr>
        <w:spacing w:after="0" w:line="160" w:lineRule="exact"/>
        <w:rPr>
          <w:sz w:val="20"/>
          <w:szCs w:val="20"/>
          <w:color w:val="auto"/>
        </w:rPr>
      </w:pPr>
    </w:p>
    <w:p>
      <w:pPr>
        <w:ind w:left="520" w:right="3339" w:hanging="426"/>
        <w:spacing w:after="0" w:line="252"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do not complete the merger by December 1, 1999 -- however, that date becomes June 30, 2000 if the reason for not closing by December 1, 1999 is that the regulatory conditions specified in the merger agreement have not been satisfied by that date;</w:t>
      </w:r>
    </w:p>
    <w:p>
      <w:pPr>
        <w:spacing w:after="0" w:line="162"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or Mobil shareholders do not give the required approvals;</w:t>
      </w:r>
    </w:p>
    <w:p>
      <w:pPr>
        <w:spacing w:after="0" w:line="172"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law or court order permanently prohibits the merger; or</w:t>
      </w:r>
    </w:p>
    <w:p>
      <w:pPr>
        <w:spacing w:after="0" w:line="172" w:lineRule="exact"/>
        <w:rPr>
          <w:rFonts w:ascii="Courier New" w:cs="Courier New" w:eastAsia="Courier New" w:hAnsi="Courier New"/>
          <w:sz w:val="14"/>
          <w:szCs w:val="14"/>
          <w:color w:val="auto"/>
        </w:rPr>
      </w:pPr>
    </w:p>
    <w:p>
      <w:pPr>
        <w:ind w:left="520" w:right="3339" w:hanging="426"/>
        <w:spacing w:after="0" w:line="251"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Mobil Board changes, in a manner adverse to Exxon, its recommendation of the merger. An adverse change would include the Mobil Board withdrawing or qualifying its recommendation or changing the recommendation to support another transaction. However, Mobil may not terminate for the reasons laid out in this paragraph (4) unless three conditions are met:</w:t>
      </w:r>
    </w:p>
    <w:p>
      <w:pPr>
        <w:spacing w:after="0" w:line="165" w:lineRule="exact"/>
        <w:rPr>
          <w:sz w:val="20"/>
          <w:szCs w:val="20"/>
          <w:color w:val="auto"/>
        </w:rPr>
      </w:pPr>
    </w:p>
    <w:p>
      <w:pPr>
        <w:ind w:left="960" w:right="3339" w:hanging="263"/>
        <w:spacing w:after="0" w:line="252" w:lineRule="auto"/>
        <w:tabs>
          <w:tab w:leader="none" w:pos="9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has received an offer that is superior to the merger with Exxon and intends to enter into an agreement with respect to the superior offer,</w:t>
      </w:r>
    </w:p>
    <w:p>
      <w:pPr>
        <w:spacing w:after="0" w:line="16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within a specified time period, does not make an offer that is as favorable to Mobil's shareholders as the superior offer, and</w:t>
      </w:r>
    </w:p>
    <w:p>
      <w:pPr>
        <w:spacing w:after="0" w:line="159"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has, prior to termination, paid to Exxon the termination fee described below.</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addition, Mobil can terminate the merger agreement if the Exxon Board changes its recommendation of the merger in a manner adverse to Mobil.</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Neither Exxon nor Mobil can terminate the merger agreement for the reasons described in paragraph (1) above if it is in material breach of its obligations under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Finally, Exxon and Mobil can mutually agree to terminate the merger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 (see page I-60)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must pay Exxon a termination fee of $1.5 billion in cash if:</w:t>
      </w:r>
    </w:p>
    <w:p>
      <w:pPr>
        <w:spacing w:after="0" w:line="173" w:lineRule="exact"/>
        <w:rPr>
          <w:sz w:val="20"/>
          <w:szCs w:val="20"/>
          <w:color w:val="auto"/>
        </w:rPr>
      </w:pPr>
    </w:p>
    <w:p>
      <w:pPr>
        <w:ind w:left="520" w:right="3599" w:hanging="426"/>
        <w:spacing w:after="0" w:line="255" w:lineRule="auto"/>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is terminated as described in paragraph (4) above, unless Exxon is in material breach of the merger agreement, or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w:t>
      </w:r>
    </w:p>
    <w:p>
      <w:pPr>
        <w:sectPr>
          <w:pgSz w:w="11900" w:h="16838" w:orient="portrait"/>
          <w:cols w:equalWidth="0" w:num="1">
            <w:col w:w="10239"/>
          </w:cols>
          <w:pgMar w:left="220" w:top="78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520" w:hanging="426"/>
        <w:spacing w:after="0"/>
        <w:tabs>
          <w:tab w:leader="none" w:pos="5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is terminated in circumstances where</w:t>
      </w:r>
    </w:p>
    <w:p>
      <w:pPr>
        <w:spacing w:after="0" w:line="173" w:lineRule="exact"/>
        <w:rPr>
          <w:sz w:val="20"/>
          <w:szCs w:val="20"/>
          <w:color w:val="auto"/>
        </w:rPr>
      </w:pPr>
    </w:p>
    <w:p>
      <w:pPr>
        <w:ind w:left="1040" w:right="6439" w:hanging="343"/>
        <w:spacing w:after="0" w:line="255"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Mobil's shareholders do not vote in favor of the merger,</w:t>
      </w:r>
    </w:p>
    <w:p>
      <w:pPr>
        <w:spacing w:after="0" w:line="159" w:lineRule="exact"/>
        <w:rPr>
          <w:rFonts w:ascii="Courier New" w:cs="Courier New" w:eastAsia="Courier New" w:hAnsi="Courier New"/>
          <w:sz w:val="14"/>
          <w:szCs w:val="14"/>
          <w:color w:val="auto"/>
        </w:rPr>
      </w:pPr>
    </w:p>
    <w:p>
      <w:pPr>
        <w:ind w:left="1040" w:right="6179" w:hanging="343"/>
        <w:spacing w:after="0" w:line="255"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third party has made a proposal for an alternative transaction, and</w:t>
      </w:r>
    </w:p>
    <w:p>
      <w:pPr>
        <w:spacing w:after="0" w:line="160" w:lineRule="exact"/>
        <w:rPr>
          <w:sz w:val="20"/>
          <w:szCs w:val="20"/>
          <w:color w:val="auto"/>
        </w:rPr>
      </w:pPr>
    </w:p>
    <w:p>
      <w:pPr>
        <w:ind w:left="1040" w:right="6259" w:hanging="429"/>
        <w:spacing w:after="0" w:line="251"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twelve months of the termination of the merger agreement Mobil enters into an agreement for an alternative transaction with that third party, or with another third party at a value per Mobil share higher than $95.96.</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Exxon must pay Mobil a termination fee of $1.5 billion in cash if the merger agreement is terminated by Mobil because the Exxon Board changes, in a manner adverse to Mobil, its recommendation in favor of the merger, unless Mobil is in material breach of the merger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merger agreement, Exxon and Mobil entered into a stock option agreement under which Mobil granted to Exxon an option to purchase approximately 14.9% of Mobil's outstanding common stock, at a price of $95.96 per share which is adjustable in certain events. The option is exercisable under the same circumstances in which Mobil is required to pay to Exxon the $1.5 billion termination fee referred to above. The stock option agreement is attached as Annex B. We encourage you to read this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Opinions of Financial Advisors (see pages I-39 and I-44)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deciding to approve the merger, each Board considered the opinion of its financial advisor. Exxon received an opinion from J.P. Morgan Securities Inc. as to the fairness from a financial point of view of the consideration to be paid by Exxon in the merger as of December 1, 1998, and Mobil received an opinion from Goldman, Sachs &amp; Co. as to the fairness from a financial point of view of the exchange ratio as of December 1, 1998. These opinions were reaffirmed as of April 2, 1999 and are attached as Annex C and Annex D. We encourage you to read these opinions.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Exxon Annual Meeting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Exxon meeting, Exxon is also asking its shareholders to:</w:t>
      </w:r>
    </w:p>
    <w:p>
      <w:pPr>
        <w:spacing w:after="0" w:line="173" w:lineRule="exact"/>
        <w:rPr>
          <w:sz w:val="20"/>
          <w:szCs w:val="20"/>
          <w:color w:val="auto"/>
        </w:rPr>
      </w:pPr>
    </w:p>
    <w:p>
      <w:pPr>
        <w:ind w:left="620" w:hanging="353"/>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directors to the Exxon Board;</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ratify the appointment of Exxon's independent accountants;</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on four Exxon shareholder proposals; and</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other business if properly presented.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Approval by Exxon shareholders of these other annual meeting proposals is not a condition to completion of the merger. Approval of the merger is not a condition to approval of these other annual meeting proposals.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Exxon Board recommends that you vote FOR the election of directors and the ratification of the appointment of Exxon's independent accountants, and that you vote AGAINST the Exxon shareholder proposals.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Mobil Annual Meeting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Mobil meeting, Mobil is also asking its shareholders to:</w:t>
      </w:r>
    </w:p>
    <w:p>
      <w:pPr>
        <w:spacing w:after="0" w:line="173" w:lineRule="exact"/>
        <w:rPr>
          <w:sz w:val="20"/>
          <w:szCs w:val="20"/>
          <w:color w:val="auto"/>
        </w:rPr>
      </w:pPr>
    </w:p>
    <w:p>
      <w:pPr>
        <w:ind w:left="620" w:hanging="353"/>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directors to the Mobil Board;</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ratify the appointment of Mobil's independent auditors;</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on two Mobil shareholder proposals; and</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other business if properly presented.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Approval by Mobil shareholders of these other annual meeting proposals is not a condition to completion of the merger. Approval of the merger is not a condition to approval of these other annual meeting proposals. If the merger is completed, these other annual meeting proposals will, as a result, be superseded.</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Mobil Board recommends that you vote FOR the election of directors and the ratification of the appointment of Mobil's independent auditors, and that you vote AGAINST the Mobil shareholder proposals.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I-6</w:t>
      </w:r>
    </w:p>
    <w:p>
      <w:pPr>
        <w:sectPr>
          <w:pgSz w:w="11900" w:h="16838" w:orient="portrait"/>
          <w:cols w:equalWidth="0" w:num="1">
            <w:col w:w="10239"/>
          </w:cols>
          <w:pgMar w:left="220" w:top="782" w:right="1440" w:bottom="757" w:gutter="0" w:footer="0" w:header="0"/>
        </w:sectPr>
      </w:pPr>
    </w:p>
    <w:bookmarkStart w:id="11" w:name="page12"/>
    <w:bookmarkEnd w:id="1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SELECTED HISTORICAL AND PRO FORMA FINANCIAL DATA</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How We Prepared the Financial Statements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are providing the following information to aid you in your analysis of the financial aspects of the merger. We derived this information from the audited financial statements of Exxon for the years 1994 through 1998 and from the audited financial statements of Mobil for the years 1994 through 1998. The information is only a summary and you should read it together with our historical financial statements and related notes contained in the annual reports and other information that we have filed with the SEC and incorporated by reference. See "Where You Can Find More Information" on page VI-1.</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Pooling of Interests Accounting Treatment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expect that the merger will be accounted for as a "pooling of interests." This means that, for accounting and financial reporting purposes, we will treat our companies as if they had always been combined. For a more detailed description of pooling of interests accounting, see "The Merger Transaction--Accounting Treatment" on page I-26.</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presented unaudited pro forma condensed combined financial information that reflects the pooling of interests method of accounting to give you a better picture of what our businesses might have looked like had they been combined since January 1, 1996. We prepared the pro forma condensed combined statements of income and pro forma condensed combined balance sheet by adding or combining the historical amounts of each company. The accounting policies of Exxon and Mobil are substantially comparable. Consequently, we did not make adjustments to the unaudited pro forma condensed combined financial statements to conform the accounting policies of the combining companies. The companies may have performed differently had they always been combined. You should not rely on the unaudited pro forma condensed combined financial information as being indicative of the historical results that we would have had or the future results that we will experience after the merger. See "Unaudited Pro Forma Condensed Combined Financial Statements" on page I-32.</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Merger-Related Expenses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estimate that merger-related fees and expenses, consisting primarily of SEC filing fees, fees and expenses of investment bankers, attorneys and accountants, and financial printing and other related charges, will be approximately $90 million. See note 5 on pages I-37 and I-38.</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Integration-Related Expenses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estimate that costs of approximately $2.0 billion will be incurred for severance and other integration-related expenses, including the elimination of duplicate facilities and excess capacity, operational realignment and related workforce reductions. These expenditures are necessary to reduce costs and operate efficiently. These costs will be charged to operations in the relevant period and therefore are not reflected in the unaudited pro forma condensed combined financial statements. See note 5 on pages I-37 and I-38.</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Periods Covered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unaudited pro forma condensed combined statements of income combine Exxon's results for the years 1998, 1997 and 1996 with Mobil's results for the years 1998, 1997 and 1996, giving effect to the merger as if it had occurred on January 1, 1996. The unaudited pro forma condensed combined balance sheet combines the balance sheets of Exxon and Mobil as of December 31, 1998, giving effect to the merger as if it had occurred on December 31, 1998.</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I-7</w:t>
      </w:r>
    </w:p>
    <w:p>
      <w:pPr>
        <w:sectPr>
          <w:pgSz w:w="11900" w:h="16838" w:orient="portrait"/>
          <w:cols w:equalWidth="0" w:num="1">
            <w:col w:w="10239"/>
          </w:cols>
          <w:pgMar w:left="220" w:top="78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SELECTED HISTORICAL FINANCIAL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Historical Financial Data of Exxon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selected historical financial data for each of the years ended December 31, 1994 through 1998 has been derived from Exxon's audited consolidated financial statements. This information is only a summary and you should read it together with Exxon's historical financial statements and related notes contained in the annual reports and other information that we have filed with the SEC and incorporated by reference. See "Where You Can Find More Information" on page VI-1.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Years Ended December 31,</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67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5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(millions of dollars, except per share amounts)</w:t>
            </w:r>
          </w:p>
        </w:tc>
        <w:tc>
          <w:tcPr>
            <w:tcW w:w="112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Sales and operating revenues......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$115,417</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$135,142</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$131,543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$121,804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$112,128</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Before change in accounting</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principle......................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6,440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8,460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7,510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accounting change..............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6,370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8,460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7,510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Before change in accounting</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principle......................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accounting change..............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per common</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share--assuming dilution</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Before change in accounting</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principle......................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accounting change..............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3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2.58</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331"/>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 dividends per common share...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1.455</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92,630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96,064</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95,527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91,296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87,862</w:t>
            </w:r>
          </w:p>
        </w:tc>
      </w:tr>
      <w:tr>
        <w:trPr>
          <w:trHeight w:val="166"/>
        </w:trPr>
        <w:tc>
          <w:tcPr>
            <w:tcW w:w="3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Long-term debt....................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4,530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7,050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7,236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8,831</w:t>
            </w:r>
          </w:p>
        </w:tc>
      </w:tr>
      <w:tr>
        <w:trPr>
          <w:trHeight w:val="497"/>
        </w:trPr>
        <w:tc>
          <w:tcPr>
            <w:tcW w:w="3100" w:type="dxa"/>
            <w:vAlign w:val="bottom"/>
          </w:tcPr>
          <w:p>
            <w:pPr>
              <w:spacing w:after="0"/>
              <w:rPr>
                <w:sz w:val="24"/>
                <w:szCs w:val="2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I-8</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3" w:name="page14"/>
    <w:bookmarkEnd w:id="1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Historical Financial Data of Mobil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selected historical financial data for each of the years ended December 31, 1994 through 1998 has been derived from Mobil's audited consolidated financial statements. This information is only a summary and you should read it together with Mobil's historical financial statements and related notes contained in the annual reports and other information that we have filed with the SEC and incorporated by reference. See "Where You Can Find More Information" on page VI-1.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Years Ended December 31,</w:t>
            </w:r>
          </w:p>
        </w:tc>
        <w:tc>
          <w:tcPr>
            <w:tcW w:w="102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520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(millions of dollars, except</w:t>
            </w: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per share amounts)</w:t>
            </w:r>
          </w:p>
        </w:tc>
      </w:tr>
      <w:tr>
        <w:trPr>
          <w:trHeight w:val="497"/>
        </w:trPr>
        <w:tc>
          <w:tcPr>
            <w:tcW w:w="4880" w:type="dxa"/>
            <w:vAlign w:val="bottom"/>
          </w:tcPr>
          <w:p>
            <w:pPr>
              <w:spacing w:after="0"/>
              <w:rPr>
                <w:sz w:val="20"/>
                <w:szCs w:val="20"/>
                <w:color w:val="auto"/>
              </w:rPr>
            </w:pPr>
            <w:r>
              <w:rPr>
                <w:rFonts w:ascii="Courier New" w:cs="Courier New" w:eastAsia="Courier New" w:hAnsi="Courier New"/>
                <w:sz w:val="14"/>
                <w:szCs w:val="14"/>
                <w:color w:val="auto"/>
              </w:rPr>
              <w:t>Sales and operating revenues(1).........................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51,893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64,028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79,944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73,047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66,423</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1,759</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(680)</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1,079</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(0.86)</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 per common share--assuming dilution</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(0.83)</w:t>
            </w:r>
          </w:p>
        </w:tc>
      </w:tr>
      <w:tr>
        <w:trPr>
          <w:trHeight w:val="166"/>
        </w:trPr>
        <w:tc>
          <w:tcPr>
            <w:tcW w:w="48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w:t>
            </w:r>
          </w:p>
        </w:tc>
      </w:tr>
      <w:tr>
        <w:trPr>
          <w:trHeight w:val="331"/>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per common share.........................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42,754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43,559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46,408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42,138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41,542</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left="3280" w:right="4119" w:hanging="3272"/>
        <w:spacing w:after="0" w:line="756" w:lineRule="auto"/>
        <w:tabs>
          <w:tab w:leader="none" w:pos="43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revenues have been reclassified.  See note 2 on page I-37. I-9</w:t>
      </w:r>
    </w:p>
    <w:p>
      <w:pPr>
        <w:sectPr>
          <w:pgSz w:w="11900" w:h="16838" w:orient="portrait"/>
          <w:cols w:equalWidth="0" w:num="1">
            <w:col w:w="10239"/>
          </w:cols>
          <w:pgMar w:left="220" w:top="78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Unaudited Pro Forma Combined Financial Data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selected unaudited pro forma combined financial data has been derived from and should be read with the Unaudited Pro Forma Condensed Combined Financial Statements and related notes on page I-32 through page I-38. This information is based on the historical consolidated balance sheets and related historical consolidated statements of income of Exxon and Mobil giving effect to the merger using the pooling of interests method of accounting for business combinations. This information is for illustrative purposes only. The companies may have performed differently had they always been combined. You should not rely on the selected unaudited pro forma combined financial data as being indicative of the historical results that would have been achieved had the companies always been combined or the future results that the combined company will experience after the merger.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4040" w:type="dxa"/>
            <w:vAlign w:val="bottom"/>
            <w:gridSpan w:val="4"/>
          </w:tcPr>
          <w:p>
            <w:pPr>
              <w:jc w:val="right"/>
              <w:ind w:right="868"/>
              <w:spacing w:after="0"/>
              <w:rPr>
                <w:sz w:val="20"/>
                <w:szCs w:val="20"/>
                <w:color w:val="auto"/>
              </w:rPr>
            </w:pPr>
            <w:r>
              <w:rPr>
                <w:rFonts w:ascii="Courier New" w:cs="Courier New" w:eastAsia="Courier New" w:hAnsi="Courier New"/>
                <w:sz w:val="14"/>
                <w:szCs w:val="14"/>
                <w:color w:val="auto"/>
              </w:rPr>
              <w:t>Years Ended December 31,</w:t>
            </w:r>
          </w:p>
        </w:tc>
      </w:tr>
      <w:tr>
        <w:trPr>
          <w:trHeight w:val="166"/>
        </w:trPr>
        <w:tc>
          <w:tcPr>
            <w:tcW w:w="4920" w:type="dxa"/>
            <w:vAlign w:val="bottom"/>
          </w:tcPr>
          <w:p>
            <w:pPr>
              <w:spacing w:after="0"/>
              <w:rPr>
                <w:sz w:val="14"/>
                <w:szCs w:val="14"/>
                <w:color w:val="auto"/>
              </w:rPr>
            </w:pPr>
          </w:p>
        </w:tc>
        <w:tc>
          <w:tcPr>
            <w:tcW w:w="4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4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(millions of dollars, except per share amounts)</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Sales and operating revenues..............................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164,640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195,155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207,888</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8,144</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11,732</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10,474</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8,074</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11,732</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10,474</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 per common share--assuming dilution</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 principle..................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9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22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r>
      <w:tr>
        <w:trPr>
          <w:trHeight w:val="331"/>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per common share...........................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1.666</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1.619</w:t>
            </w:r>
          </w:p>
        </w:tc>
        <w:tc>
          <w:tcPr>
            <w:tcW w:w="220" w:type="dxa"/>
            <w:vAlign w:val="bottom"/>
          </w:tcPr>
          <w:p>
            <w:pPr>
              <w:spacing w:after="0"/>
              <w:rPr>
                <w:sz w:val="24"/>
                <w:szCs w:val="2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1.538</w:t>
            </w:r>
          </w:p>
        </w:tc>
      </w:tr>
      <w:tr>
        <w:trPr>
          <w:trHeight w:val="331"/>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139,544</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8,532</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49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I-10</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5" w:name="page16"/>
    <w:bookmarkEnd w:id="1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Per Share Data</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Set forth below are the net income, cash dividends and book value per common share data separately for Exxon and Mobil on a historic basis, for Exxon Mobil on a pro forma combined basis and on a pro forma combined basis per Mobil equivalent share. The exchange ratio for the business combination is 1.32015 shares of Exxon Mobil common stock for each share of Mobil common stock.</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Exxon Mobil pro forma data was derived by combining the historic consolidated financial information of Exxon and Mobil using the pooling of interests method of accounting for business combinations as described under "Unaudited Pro Forma Condensed Combined Financial Statements" beginning on page I-32.</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Mobil equivalent share pro forma information shows the effect of the merger from the perspective of an owner of Mobil common stock. The information was computed by multiplying the Exxon Mobil pro forma information by the exchange ratio of 1.32015.</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should read the information below together with our historical financial statements and related notes contained in the annual reports and other information that we have filed with the SEC and incorporated by reference. See "Where You Can Find More Information" on page VI-1. The unaudited pro forma combined data below is for illustrative purposes only. The companies may have performed differently had they always been combined. You should not rely on this information as being indicative of the historical results that would have been achieved had the companies always been combined or the future results that the combined company will experience after the merger.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Years Ended December 31,</w:t>
            </w:r>
          </w:p>
        </w:tc>
      </w:tr>
      <w:tr>
        <w:trPr>
          <w:trHeight w:val="166"/>
        </w:trPr>
        <w:tc>
          <w:tcPr>
            <w:tcW w:w="6820" w:type="dxa"/>
            <w:vAlign w:val="bottom"/>
          </w:tcPr>
          <w:p>
            <w:pPr>
              <w:spacing w:after="0"/>
              <w:rPr>
                <w:sz w:val="14"/>
                <w:szCs w:val="14"/>
                <w:color w:val="auto"/>
              </w:rPr>
            </w:pPr>
          </w:p>
        </w:tc>
        <w:tc>
          <w:tcPr>
            <w:tcW w:w="310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82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Exxon Historic per Common Share Data: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income--assuming dilution..............................................</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1.640</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1.560</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18.02</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Exxon Mobil Pro Forma Combined per Exxon Mobil Common Share Data: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income--assuming dilution..............................................</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1.666</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1.619</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1.538</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17.91</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Mobil Historic per Common Share Data: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income--assuming dilution..............................................</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4.01</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2.280</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2.120</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1.963</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23.31</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Exxon Mobil Pro Forma Combined per Mobil Equivalent Common Share Data: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4.38</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Net income--assuming dilution..............................................</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2.199</w:t>
            </w:r>
          </w:p>
        </w:tc>
        <w:tc>
          <w:tcPr>
            <w:tcW w:w="3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2.137</w:t>
            </w:r>
          </w:p>
        </w:tc>
        <w:tc>
          <w:tcPr>
            <w:tcW w:w="3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2.030</w:t>
            </w:r>
          </w:p>
        </w:tc>
      </w:tr>
      <w:tr>
        <w:trPr>
          <w:trHeight w:val="166"/>
        </w:trPr>
        <w:tc>
          <w:tcPr>
            <w:tcW w:w="682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23.64</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63"/>
        </w:trPr>
        <w:tc>
          <w:tcPr>
            <w:tcW w:w="6820" w:type="dxa"/>
            <w:vAlign w:val="bottom"/>
          </w:tcPr>
          <w:p>
            <w:pPr>
              <w:ind w:left="3280"/>
              <w:spacing w:after="0"/>
              <w:rPr>
                <w:sz w:val="20"/>
                <w:szCs w:val="20"/>
                <w:color w:val="auto"/>
              </w:rPr>
            </w:pPr>
            <w:r>
              <w:rPr>
                <w:rFonts w:ascii="Courier New" w:cs="Courier New" w:eastAsia="Courier New" w:hAnsi="Courier New"/>
                <w:sz w:val="14"/>
                <w:szCs w:val="14"/>
                <w:color w:val="auto"/>
              </w:rPr>
              <w:t>I-11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CAUTIONARY STATEMENT CONCERNING</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We have made forward-looking statements in this document that are subject to risks and uncertainties. Forward-looking statements include the information in this document regarding:</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synergies</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capital</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spending</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efficiencies</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oil and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natural gas production</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cost savings</w:t>
            </w:r>
          </w:p>
        </w:tc>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asset portfolios</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 enhancements</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oil and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natural gas resource potential of Exxon</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capital productivity</w:t>
            </w:r>
          </w:p>
        </w:tc>
        <w:tc>
          <w:tcPr>
            <w:tcW w:w="44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Mobil after the closing,</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returns on capital employed</w:t>
            </w:r>
          </w:p>
        </w:tc>
        <w:tc>
          <w:tcPr>
            <w:tcW w:w="4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timetable for closing the merger</w:t>
            </w:r>
          </w:p>
        </w:tc>
      </w:tr>
    </w:tbl>
    <w:p>
      <w:pPr>
        <w:spacing w:after="0" w:line="335"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The sections of this document which contain forward-looking statements include "Questions and Answers About the Merger," * "Summary," * "Selected Historical and Pro Forma Financial Data--Merger-Related Expenses," * "Selected Historical and Pro Forma Financial Data-- Integration Related Expenses," * "The Merger Transaction--Background of the Merger," * "The Merger Transaction--Our Reasons for the Merger," * "Unaudited Pro Forma Condensed Combined Financial Statements" and * "Opinions of Financial Advisors". Our forward-looking statements are also identified by words such as "believes," "expects," "anticipates," "intends," "estimates" or similar expressions.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those statements, we claim the protection of the safe harbor for forward-looking statements contained in the Private Securities Litigation Reform Act of 1995.</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You should understand that the following important factors, in addition to those discussed elsewhere in this document and in the documents which are incorporated by reference, could affect the future results of Exxon and Mobil, and of Exxon Mobil after the closing, and could cause those results or other outcomes to differ materially from those expressed in our forward-looking statements:</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and Industry Conditions</w:t>
      </w:r>
    </w:p>
    <w:p>
      <w:pPr>
        <w:spacing w:after="0" w:line="173" w:lineRule="exact"/>
        <w:rPr>
          <w:sz w:val="20"/>
          <w:szCs w:val="20"/>
          <w:color w:val="auto"/>
        </w:rPr>
      </w:pPr>
    </w:p>
    <w:p>
      <w:pPr>
        <w:ind w:left="360" w:hanging="352"/>
        <w:spacing w:after="0" w:line="250"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materially adverse changes in economic or industry conditions generally or in the markets served by our companies</w:t>
      </w:r>
    </w:p>
    <w:p>
      <w:pPr>
        <w:spacing w:after="0" w:line="1" w:lineRule="exact"/>
        <w:rPr>
          <w:rFonts w:ascii="Courier New" w:cs="Courier New" w:eastAsia="Courier New" w:hAnsi="Courier New"/>
          <w:sz w:val="14"/>
          <w:szCs w:val="14"/>
          <w:color w:val="auto"/>
        </w:rPr>
      </w:pPr>
    </w:p>
    <w:p>
      <w:pPr>
        <w:ind w:left="360" w:right="260" w:hanging="352"/>
        <w:spacing w:after="0" w:line="250"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and demand for and pricing of crude oil, natural gas and petrochemicals</w:t>
      </w:r>
    </w:p>
    <w:p>
      <w:pPr>
        <w:ind w:left="360" w:right="1200" w:hanging="352"/>
        <w:spacing w:after="0" w:line="255"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demographics and consumer preferences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Project/Technology Advances</w:t>
      </w:r>
    </w:p>
    <w:p>
      <w:pPr>
        <w:spacing w:after="0" w:line="173" w:lineRule="exact"/>
        <w:rPr>
          <w:sz w:val="20"/>
          <w:szCs w:val="20"/>
          <w:color w:val="auto"/>
        </w:rPr>
      </w:pPr>
    </w:p>
    <w:p>
      <w:pPr>
        <w:ind w:left="360" w:right="680" w:hanging="352"/>
        <w:spacing w:after="0" w:line="250"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oil, natural gas and petrochemical project advancement</w:t>
      </w:r>
    </w:p>
    <w:p>
      <w:pPr>
        <w:ind w:left="360" w:hanging="352"/>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and use of new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Political/Governmental Factors</w:t>
      </w:r>
    </w:p>
    <w:p>
      <w:pPr>
        <w:spacing w:after="0" w:line="173" w:lineRule="exact"/>
        <w:rPr>
          <w:sz w:val="20"/>
          <w:szCs w:val="20"/>
          <w:color w:val="auto"/>
        </w:rPr>
      </w:pPr>
    </w:p>
    <w:p>
      <w:pPr>
        <w:ind w:left="350" w:hanging="350"/>
        <w:spacing w:after="0"/>
        <w:tabs>
          <w:tab w:leader="none" w:pos="3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stability in relevant areas of the world</w:t>
      </w:r>
    </w:p>
    <w:p>
      <w:pPr>
        <w:spacing w:after="0" w:line="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and laws and regulations,</w:t>
      </w:r>
    </w:p>
    <w:p>
      <w:pPr>
        <w:spacing w:after="0" w:line="7" w:lineRule="exact"/>
        <w:rPr>
          <w:rFonts w:ascii="Courier New" w:cs="Courier New" w:eastAsia="Courier New" w:hAnsi="Courier New"/>
          <w:sz w:val="14"/>
          <w:szCs w:val="14"/>
          <w:color w:val="auto"/>
        </w:rPr>
      </w:pPr>
    </w:p>
    <w:p>
      <w:pPr>
        <w:ind w:left="350" w:right="1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as forced divestiture of assets, restrictions on production, imports or exports, price controls, tax increases and retroactive tax claims, expropriation of property, cancellation of contract rights, and environmental regulations</w:t>
      </w:r>
    </w:p>
    <w:p>
      <w:pPr>
        <w:spacing w:after="0" w:line="16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Operating Factors</w:t>
      </w:r>
    </w:p>
    <w:p>
      <w:pPr>
        <w:spacing w:after="0" w:line="173" w:lineRule="exact"/>
        <w:rPr>
          <w:sz w:val="20"/>
          <w:szCs w:val="20"/>
          <w:color w:val="auto"/>
        </w:rPr>
      </w:pPr>
    </w:p>
    <w:p>
      <w:pPr>
        <w:ind w:left="350" w:hanging="350"/>
        <w:spacing w:after="0"/>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disruptions</w:t>
      </w:r>
    </w:p>
    <w:p>
      <w:pPr>
        <w:spacing w:after="0" w:line="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difficulties</w:t>
      </w:r>
    </w:p>
    <w:p>
      <w:pPr>
        <w:spacing w:after="0" w:line="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conditions and costs</w:t>
      </w:r>
    </w:p>
    <w:p>
      <w:pPr>
        <w:spacing w:after="0" w:line="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w:t>
      </w:r>
    </w:p>
    <w:p>
      <w:pPr>
        <w:spacing w:after="0" w:line="200" w:lineRule="exact"/>
        <w:rPr>
          <w:sz w:val="20"/>
          <w:szCs w:val="20"/>
          <w:color w:val="auto"/>
        </w:rPr>
      </w:pPr>
    </w:p>
    <w:p>
      <w:pPr>
        <w:sectPr>
          <w:pgSz w:w="11900" w:h="16838" w:orient="portrait"/>
          <w:cols w:equalWidth="0" w:num="2">
            <w:col w:w="4660" w:space="430"/>
            <w:col w:w="5149"/>
          </w:cols>
          <w:pgMar w:left="220" w:top="782"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I-12</w:t>
      </w:r>
    </w:p>
    <w:p>
      <w:pPr>
        <w:sectPr>
          <w:pgSz w:w="11900" w:h="16838" w:orient="portrait"/>
          <w:cols w:equalWidth="0" w:num="1">
            <w:col w:w="10239"/>
          </w:cols>
          <w:pgMar w:left="220" w:top="782" w:right="1440" w:bottom="1440" w:gutter="0" w:footer="0" w:header="0"/>
          <w:type w:val="continuous"/>
        </w:sectPr>
      </w:pPr>
    </w:p>
    <w:bookmarkStart w:id="17" w:name="page18"/>
    <w:bookmarkEnd w:id="1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5"/>
          </w:tcPr>
          <w:p>
            <w:pPr>
              <w:spacing w:after="0"/>
              <w:rPr>
                <w:sz w:val="20"/>
                <w:szCs w:val="20"/>
                <w:color w:val="auto"/>
              </w:rPr>
            </w:pPr>
            <w:r>
              <w:rPr>
                <w:rFonts w:ascii="Courier New" w:cs="Courier New" w:eastAsia="Courier New" w:hAnsi="Courier New"/>
                <w:sz w:val="14"/>
                <w:szCs w:val="14"/>
                <w:color w:val="auto"/>
              </w:rPr>
              <w:t>Transaction or Commercial Factors</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Competitive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Factors</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the</w:t>
            </w:r>
          </w:p>
        </w:tc>
        <w:tc>
          <w:tcPr>
            <w:tcW w:w="43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outcome of negotiations with partners,</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o</w:t>
            </w:r>
          </w:p>
        </w:tc>
        <w:tc>
          <w:tcPr>
            <w:tcW w:w="36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competitiveness of alternative energy</w:t>
            </w:r>
          </w:p>
        </w:tc>
      </w:tr>
      <w:tr>
        <w:trPr>
          <w:trHeight w:val="166"/>
        </w:trPr>
        <w:tc>
          <w:tcPr>
            <w:tcW w:w="220" w:type="dxa"/>
            <w:vAlign w:val="bottom"/>
          </w:tcPr>
          <w:p>
            <w:pPr>
              <w:spacing w:after="0"/>
              <w:rPr>
                <w:sz w:val="14"/>
                <w:szCs w:val="14"/>
                <w:color w:val="auto"/>
              </w:rPr>
            </w:pPr>
          </w:p>
        </w:tc>
        <w:tc>
          <w:tcPr>
            <w:tcW w:w="474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governments, suppliers, customers or others</w:t>
            </w:r>
          </w:p>
        </w:tc>
        <w:tc>
          <w:tcPr>
            <w:tcW w:w="34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sources</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or product substitutes</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our</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ability to integrate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businesses of Exxon and</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o</w:t>
            </w:r>
          </w:p>
        </w:tc>
        <w:tc>
          <w:tcPr>
            <w:tcW w:w="36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actions of competitors</w:t>
            </w:r>
          </w:p>
        </w:tc>
      </w:tr>
      <w:tr>
        <w:trPr>
          <w:trHeight w:val="166"/>
        </w:trPr>
        <w:tc>
          <w:tcPr>
            <w:tcW w:w="220" w:type="dxa"/>
            <w:vAlign w:val="bottom"/>
          </w:tcPr>
          <w:p>
            <w:pPr>
              <w:spacing w:after="0"/>
              <w:rPr>
                <w:sz w:val="14"/>
                <w:szCs w:val="14"/>
                <w:color w:val="auto"/>
              </w:rPr>
            </w:pPr>
          </w:p>
        </w:tc>
        <w:tc>
          <w:tcPr>
            <w:tcW w:w="2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Mobil successfully after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merger</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80" w:type="dxa"/>
            <w:vAlign w:val="bottom"/>
          </w:tcPr>
          <w:p>
            <w:pPr>
              <w:spacing w:after="0"/>
              <w:rPr>
                <w:sz w:val="14"/>
                <w:szCs w:val="14"/>
                <w:color w:val="auto"/>
              </w:rPr>
            </w:pPr>
          </w:p>
        </w:tc>
      </w:tr>
    </w:tbl>
    <w:p>
      <w:pPr>
        <w:spacing w:after="0" w:line="170" w:lineRule="exact"/>
        <w:rPr>
          <w:sz w:val="20"/>
          <w:szCs w:val="20"/>
          <w:color w:val="auto"/>
        </w:rPr>
      </w:pPr>
    </w:p>
    <w:p>
      <w:pPr>
        <w:ind w:left="360" w:right="5659" w:hanging="352"/>
        <w:spacing w:after="0" w:line="252"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challenges inherent in diverting management's focus and resources from other strategic opportunities and from operational matters during the integration process</w:t>
      </w:r>
    </w:p>
    <w:p>
      <w:pPr>
        <w:spacing w:after="0" w:line="162" w:lineRule="exact"/>
        <w:rPr>
          <w:rFonts w:ascii="Courier New" w:cs="Courier New" w:eastAsia="Courier New" w:hAnsi="Courier New"/>
          <w:sz w:val="14"/>
          <w:szCs w:val="14"/>
          <w:color w:val="auto"/>
        </w:rPr>
      </w:pPr>
    </w:p>
    <w:p>
      <w:pPr>
        <w:jc w:val="both"/>
        <w:ind w:left="360" w:right="5499" w:hanging="352"/>
        <w:spacing w:after="0" w:line="255"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process of, or conditions imposed in connection with, obtaining regulatory approvals for the merger</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YEAR 2000 ISSUE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and Mobil are each engaged in major company-wide efforts to address the year 2000 issue. This issue relates to the inability of some computer programs and computer chips embedded in operating equipment to properly recognize dates in and after the year 2000. This could result in system failures or miscalculations that could cause disruptions to various business activities and operations. The efforts to address this issue generally include:</w:t>
      </w:r>
    </w:p>
    <w:p>
      <w:pPr>
        <w:spacing w:after="0" w:line="164" w:lineRule="exact"/>
        <w:rPr>
          <w:sz w:val="20"/>
          <w:szCs w:val="20"/>
          <w:color w:val="auto"/>
        </w:rPr>
      </w:pPr>
    </w:p>
    <w:p>
      <w:pPr>
        <w:ind w:left="860" w:right="3339" w:firstLine="440"/>
        <w:spacing w:after="0" w:line="252" w:lineRule="auto"/>
        <w:tabs>
          <w:tab w:leader="none" w:pos="16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identification and assessment from a year 2000 standpoint of all business-critical software systems and operating equipment and the remediation of those that are not year 2000 compliant;</w:t>
      </w:r>
    </w:p>
    <w:p>
      <w:pPr>
        <w:spacing w:after="0" w:line="162" w:lineRule="exact"/>
        <w:rPr>
          <w:rFonts w:ascii="Courier New" w:cs="Courier New" w:eastAsia="Courier New" w:hAnsi="Courier New"/>
          <w:sz w:val="14"/>
          <w:szCs w:val="14"/>
          <w:color w:val="auto"/>
        </w:rPr>
      </w:pPr>
    </w:p>
    <w:p>
      <w:pPr>
        <w:ind w:left="1640" w:hanging="340"/>
        <w:spacing w:after="0"/>
        <w:tabs>
          <w:tab w:leader="none" w:pos="16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assessment of the year 2000 readiness of</w:t>
      </w:r>
    </w:p>
    <w:p>
      <w:pPr>
        <w:spacing w:after="0" w:line="7" w:lineRule="exact"/>
        <w:rPr>
          <w:sz w:val="20"/>
          <w:szCs w:val="20"/>
          <w:color w:val="auto"/>
        </w:rPr>
      </w:pPr>
    </w:p>
    <w:p>
      <w:pPr>
        <w:ind w:left="860" w:right="3599"/>
        <w:spacing w:after="0" w:line="255" w:lineRule="auto"/>
        <w:rPr>
          <w:sz w:val="20"/>
          <w:szCs w:val="20"/>
          <w:color w:val="auto"/>
        </w:rPr>
      </w:pPr>
      <w:r>
        <w:rPr>
          <w:rFonts w:ascii="Courier New" w:cs="Courier New" w:eastAsia="Courier New" w:hAnsi="Courier New"/>
          <w:sz w:val="14"/>
          <w:szCs w:val="14"/>
          <w:color w:val="auto"/>
        </w:rPr>
        <w:t>business-critical third parties such as suppliers, customers, joint venture companies and governments; and</w:t>
      </w:r>
    </w:p>
    <w:p>
      <w:pPr>
        <w:spacing w:after="0" w:line="160" w:lineRule="exact"/>
        <w:rPr>
          <w:sz w:val="20"/>
          <w:szCs w:val="20"/>
          <w:color w:val="auto"/>
        </w:rPr>
      </w:pPr>
    </w:p>
    <w:p>
      <w:pPr>
        <w:ind w:left="860" w:right="3339" w:firstLine="440"/>
        <w:spacing w:after="0" w:line="252" w:lineRule="auto"/>
        <w:tabs>
          <w:tab w:leader="none" w:pos="163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contingency plans for mitigating the impact of failures for year 2000 reasons of business-critical systems, operating equipment or relationships with third parties.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and Mobil expect to complete their efforts to address the year 2000 issue in advance of December 31, 1999, and each is planning to take steps to deal with possible year 2000 issues that may arise around that date. Each company's effort is designed to address the company's unique systems, embedded computer chips and third-party relationships, and each effort is well advanced. Accordingly, irrespective of when the merger is completed, each company's effort will continue as planned to completion. There will be no major integration of the companies' computer systems that would delay either company's year 2000 compliance efforts.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I-13</w:t>
      </w:r>
    </w:p>
    <w:p>
      <w:pPr>
        <w:sectPr>
          <w:pgSz w:w="11900" w:h="16838" w:orient="portrait"/>
          <w:cols w:equalWidth="0" w:num="1">
            <w:col w:w="10239"/>
          </w:cols>
          <w:pgMar w:left="220" w:top="78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MERGER TRANSACTION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Exxon's Board is using this joint proxy statement/prospectus to solicit proxies from the holders of Exxon common stock and Exxon Class A preferred stock for use at the Exxon meeting. Mobil's Board is also using this document to solicit proxies from the holders of Mobil common stock and Mobil ESOP preferred stock for use at the Mobil meeting.</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Exxon Proposals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At the Exxon meeting, holders of Exxon common stock and Exxon Class A preferred stock will be asked to vote upon:</w:t>
      </w:r>
    </w:p>
    <w:p>
      <w:pPr>
        <w:spacing w:after="0" w:line="160" w:lineRule="exact"/>
        <w:rPr>
          <w:sz w:val="20"/>
          <w:szCs w:val="20"/>
          <w:color w:val="auto"/>
        </w:rPr>
      </w:pPr>
    </w:p>
    <w:p>
      <w:pPr>
        <w:ind w:left="860" w:right="3339" w:firstLine="440"/>
        <w:spacing w:after="0" w:line="252" w:lineRule="auto"/>
        <w:tabs>
          <w:tab w:leader="none" w:pos="16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proposed merger pursuant to an Agreement and Plan of Merger dated as of December 1, 1998 among Exxon, Mobil and a wholly owned Exxon subsidiary, including the related issuance of Exxon Mobil common stock,</w:t>
      </w:r>
    </w:p>
    <w:p>
      <w:pPr>
        <w:spacing w:after="0" w:line="162"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amendment of Exxon's certificate of incorporation to increase the number of authorized shares of Exxon common stock to 4.5 billion, to change Exxon's name to "Exxon Mobil Corporation" and to eliminate Exxon's Class B preferred stock, none of which is outstanding, and</w:t>
      </w:r>
    </w:p>
    <w:p>
      <w:pPr>
        <w:spacing w:after="0" w:line="164" w:lineRule="exact"/>
        <w:rPr>
          <w:rFonts w:ascii="Courier New" w:cs="Courier New" w:eastAsia="Courier New" w:hAnsi="Courier New"/>
          <w:sz w:val="14"/>
          <w:szCs w:val="14"/>
          <w:color w:val="auto"/>
        </w:rPr>
      </w:pPr>
    </w:p>
    <w:p>
      <w:pPr>
        <w:ind w:left="860" w:right="3419" w:firstLine="440"/>
        <w:spacing w:after="0" w:line="252" w:lineRule="auto"/>
        <w:tabs>
          <w:tab w:leader="none" w:pos="16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Exxon annual meeting proposals described under "Other Exxon Annual Meeting Proposals" in Chapter Four of this booklet.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merger will not be completed and the Exxon charter amendments will not be effected unless each is approved by Exxon shareholders. We sometimes refer to</w:t>
      </w:r>
    </w:p>
    <w:p>
      <w:pPr>
        <w:spacing w:after="0" w:line="1" w:lineRule="exact"/>
        <w:rPr>
          <w:sz w:val="20"/>
          <w:szCs w:val="20"/>
          <w:color w:val="auto"/>
        </w:rPr>
      </w:pPr>
    </w:p>
    <w:p>
      <w:pPr>
        <w:ind w:left="440" w:right="5319" w:hanging="432"/>
        <w:spacing w:after="0" w:line="501" w:lineRule="auto"/>
        <w:tabs>
          <w:tab w:leader="none" w:pos="35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collectively as the "Exxon Merger Proposals". Mobil Proposals</w:t>
      </w:r>
    </w:p>
    <w:p>
      <w:pPr>
        <w:ind w:right="4119" w:firstLine="431"/>
        <w:spacing w:after="0" w:line="255" w:lineRule="auto"/>
        <w:rPr>
          <w:sz w:val="20"/>
          <w:szCs w:val="20"/>
          <w:color w:val="auto"/>
        </w:rPr>
      </w:pPr>
      <w:r>
        <w:rPr>
          <w:rFonts w:ascii="Courier New" w:cs="Courier New" w:eastAsia="Courier New" w:hAnsi="Courier New"/>
          <w:sz w:val="14"/>
          <w:szCs w:val="14"/>
          <w:color w:val="auto"/>
        </w:rPr>
        <w:t>At the Mobil meeting, holders of Mobil common stock and Mobil ESOP preferred stock will be asked to vote upon:</w:t>
      </w:r>
    </w:p>
    <w:p>
      <w:pPr>
        <w:spacing w:after="0" w:line="160" w:lineRule="exact"/>
        <w:rPr>
          <w:sz w:val="20"/>
          <w:szCs w:val="20"/>
          <w:color w:val="auto"/>
        </w:rPr>
      </w:pPr>
    </w:p>
    <w:p>
      <w:pPr>
        <w:ind w:left="860" w:right="3939" w:firstLine="440"/>
        <w:spacing w:after="0" w:line="255" w:lineRule="auto"/>
        <w:tabs>
          <w:tab w:leader="none" w:pos="172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and adoption of the merger agreement and the merger, and</w:t>
      </w:r>
    </w:p>
    <w:p>
      <w:pPr>
        <w:spacing w:after="0" w:line="159" w:lineRule="exact"/>
        <w:rPr>
          <w:rFonts w:ascii="Courier New" w:cs="Courier New" w:eastAsia="Courier New" w:hAnsi="Courier New"/>
          <w:sz w:val="14"/>
          <w:szCs w:val="14"/>
          <w:color w:val="auto"/>
        </w:rPr>
      </w:pPr>
    </w:p>
    <w:p>
      <w:pPr>
        <w:ind w:left="860" w:right="3419" w:firstLine="440"/>
        <w:spacing w:after="0" w:line="252" w:lineRule="auto"/>
        <w:tabs>
          <w:tab w:leader="none" w:pos="163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Mobil annual meeting proposals described under "Other Mobil Annual Meeting Proposals" in Chapter Five of this booklet.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management of each of Exxon and Mobil continually review their company's respective positions in light of the changing competitive environment of the oil and gas industry with the objective of determining what alternatives are available to further enhance shareholder value. While both companies believe they have positive future prospects on a stand-alone basis, in recent years, the managements of both Exxon and Mobil have had conversations with a number of other companies regarding a range of options to improve their competitive positions, including acquisitions or dispositions of assets, possible partnerships, alliances or other significant transactions.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June 16, 1998, Mr. Lee R. Raymond, Exxon's Chairman and Chief Executive Officer, met with Mr. Lucio A. Noto, Mobil's Chairman and Chief Executive Officer, at Mobil's headquarters in Fairfax, Virginia. At the meeting, among other things, Mr. Raymond and Mr. Noto had preliminary discussions about the possibility of a combination of the two companies and touched on what each company could contribute to the combination in both</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I-14</w:t>
      </w:r>
    </w:p>
    <w:p>
      <w:pPr>
        <w:sectPr>
          <w:pgSz w:w="11900" w:h="16838" w:orient="portrait"/>
          <w:cols w:equalWidth="0" w:num="1">
            <w:col w:w="10239"/>
          </w:cols>
          <w:pgMar w:left="220" w:top="948" w:right="1440" w:bottom="1440" w:gutter="0" w:footer="0" w:header="0"/>
        </w:sectPr>
      </w:pPr>
    </w:p>
    <w:bookmarkStart w:id="19" w:name="page20"/>
    <w:bookmarkEnd w:id="1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near- and longer-term, including areas where the companies' businesses are complementary or redundant, and on the possible allocation of management responsibilities and Board composition. They agreed that Mr. Raymond would serve as sole CEO of any combined entity that might result from the discussions. They agreed to further consider separately the possibility of such a transaction. On June 23, 1998, Mr. Noto telephoned Mr. Raymond to continue the discussions from their meeting the previous week. At the regular meeting of the Mobil Board on June 26, 1998, Mr. Noto informed the Mobil Board of his meeting with Mr. Raymond.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July 1, 1998, Mr. Raymond and Mr. Charles W. Matthews, Exxon's general counsel, met with Mr. Noto and Mr. Samuel H. Gillespie III, senior vice president and general counsel of Mobil, at Exxon's headquarters in Irving, Texas to continue the preliminary discussions concerning the possibility of a transaction. The discussions focused on the need to identify, in the context of the near- and longer-term benefits, a mutually acceptable range for the possible relative ownerships by Exxon and Mobil shareholders of the combined company after the merger, before proceeding to discuss other transaction terms or to involve a significant number of other employees or outside advisors. Later that day, Mr. Noto notified the Mobil Board of the discussions between Mobil and Exxon. During the course of the month of July, Mr. Raymond and Mr. Noto had several further telephone conversations in which they continued to discuss their views on the benefits to shareholders of a possible combination transaction and an acceptable relative ownership range.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regular meeting of the Mobil Board on July 24, 1998, Mr. Noto briefed the Mobil Board on the preliminary discussions with Exxon regarding a possible combination transaction. Mr. Noto discussed with the Mobil Board recent developments in the oil industry and the potential benefits of a combination transaction between Exxon and Mobil. The Mobil Board indicated its support of initiatives to enhance shareholder value and authorized Mr. Noto to continue to pursue the possibility of a combination transaction between Mobil and Exxon.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regular meeting of the Exxon Board on July 29, 1998, Mr. Raymond briefed the Exxon Board on the preliminary discussions with Mr. Noto regarding the possibility of a combination transaction between Exxon and Mobil. Mr. Raymond reviewed with the Board recent developments in the oil industry and his preliminary views on the potential near- and longer-term benefits and operating and capital synergies of such a combination transaction and some of the terms on which such a transaction might occur. The Exxon Board indicated its support for the objectives and opportunities to further enhance shareholder value described by Mr. Raymond and encouraged Mr. Raymond to continue to explore the possibility of a transaction which would achieve these objectives.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early August 1998, Mr. Raymond and Mr. Noto continued telephone discussions on a number of important aspects of a possible merger, including possible relative ownership ranges. Not having identified a mutually acceptable range, in a conversation on August 5, Messrs. Raymond and Noto mutually agreed to discontinue discussions. On August 6, Mr. Noto notified the Mobil Board of the discontinuation of discussions between Exxon and Mobil.</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August 11, 1998, The British Petroleum Company p.l.c. and Amoco Corporation announced the terms of their merger agreement. In any negotiation, price information from recent, comparable deals helps the parties identify a benchmark price range for their transaction. Before BP/Amoco was announced, Exxon and Mobil could only compare their proposed transaction with recent deals involving companies that were much smaller or in different industries. Pricing in these other deals varied widely and did not help Exxon and Mobil identify an appropriate range for their discussions. BP/Amoco, however, involved companies operating on a similar scale to Exxon and Mobil within the same industry. The transaction therefore provided Exxon and Mobil with a better reference point from which to discuss price and other key terms.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Shortly thereafter, Mr. Raymond and Mr. Noto resumed their discussions taking into account this new pricing benchmark. They concluded that for discussions to progress, the parties would need to develop a better understanding of the potential near-term synergies and cost savings as well as longer-term capital efficiencies and strategic benefits that could be realized from a merger. They agreed to meet again in New Orleans on September 3, 1998.</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I-15</w:t>
      </w:r>
    </w:p>
    <w:p>
      <w:pPr>
        <w:sectPr>
          <w:pgSz w:w="11900" w:h="16838" w:orient="portrait"/>
          <w:cols w:equalWidth="0" w:num="1">
            <w:col w:w="10239"/>
          </w:cols>
          <w:pgMar w:left="220" w:top="78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mid-August 1998, the management of Mobil asked Goldman Sachs to undertake an analysis of strategic alternatives available to Mobil. In late August and September 1998, Mobil management met with Goldman Sachs to discuss Goldman Sachs' analyses, which included a preliminary analysis of a possible merger with Exxon as well as other possible alternatives, including preliminary, hypothetical analyses of possible combinations and joint venture transactions with large publicly-traded oil companies other than Exxon. At that time, Mobil had not advised Goldman Sachs that Mobil was engaged in discussions with Exxon regarding a potential transaction.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September 3 meeting, Messrs. Raymond and Matthews, together with Mr. Rene Dahan and Mr. Harry J. Longwell, senior vice presidents and directors of Exxon, met with Messrs. Noto and Gillespie and other senior executives of Mobil, including Mr. Eugene A. Renna, President, Chief Operating Officer and a director of Mobil. Discussions focused on Mobil's identification of potential near-term savings and longer-term benefits achievable from a potential merger. Mobil presented its preliminary analysis of the synergies which it believed would be achievable by the third anniversary of the closing. The scope of synergies discussed at this meeting included savings achievable through elimination of duplicative overheads at the corporate and operating levels; focusing the combined company's exploration and capital programs on high quality investments; and efficiencies resulting from economies of scale and sharing of best practices in, for example, refining operations, raw material purchasing, product transportation and handling of inventory. In addition, Mobil and Exxon agreed that achieving near-term cost reductions was not a sufficient reason to merge, and that it was essential that they also expect to achieve long-term benefits in order to justify merging. As examples of long-term benefits Exxon and Mobil discussed the ability of the combined company to use its capital more profitably than either company on its own and to compete more effectively with the scale and cost structure of the largest international firms. Exxon and Mobil acknowledged that these long-term benefits would be difficult to quantify.</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14, 1998, Goldman Sachs presented to the Mobil Board its analyses regarding the various possible transactions that might be considered by Mobil, including a possible merger with Exxon. Following its presentation, Goldman Sachs was requested to consider additional hypothetically possible transactions with large publicly-traded oil companies. At that time, Mobil had not advised Goldman Sachs that Mobil was engaged in discussions with Exxon regarding a potential transaction. After Goldman Sachs was excused from the meeting, Mr. Noto briefed the Mobil Board on the recent developments in discussions between Mobil and Exxon.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16, 1998, Mr. Noto called Mr. Raymond to confirm that Mobil had provided Exxon with sufficient information for Exxon to perform its analysis regarding potential synergies. They discussed issues raised at the September 3 meeting, including the ability of the combined company to manage assets for a greater return than each company could achieve individually, and agreed to a further meeting at Exxon's headquarters on September 24. At this meeting, Messrs. Raymond and Matthews continued discussions with Messrs. Noto and Gillespie principally on mutually acceptable relative ownership ranges, and near- and longer-term benefits of the merger. After this meeting, Mobil advised Goldman Sachs that Mobil was engaged in discussions with Exxon regarding a potential transaction.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a regular meeting of the Mobil Board on September 25, 1998 at which Mobil's financial and legal advisors were present, Mr. Noto updated the Mobil Board on the status of the discussions between Exxon and Mobil. The Mobil Board discussed issues involving a possible merger with Exxon, including the two companies' differing views on the relative ownership by Mobil and Exxon shareholders of a combined company. The Mobil Board expressed its support for Mr. Noto's views in this regard. In addition, Goldman Sachs reviewed additional possible transactions with large publicly-traded oil companies that might be considered by Mobil.</w:t>
      </w:r>
    </w:p>
    <w:p>
      <w:pPr>
        <w:spacing w:after="0" w:line="164" w:lineRule="exact"/>
        <w:rPr>
          <w:sz w:val="20"/>
          <w:szCs w:val="20"/>
          <w:color w:val="auto"/>
        </w:rPr>
      </w:pPr>
    </w:p>
    <w:p>
      <w:pPr>
        <w:ind w:right="3859" w:firstLine="431"/>
        <w:spacing w:after="0" w:line="251" w:lineRule="auto"/>
        <w:rPr>
          <w:sz w:val="20"/>
          <w:szCs w:val="20"/>
          <w:color w:val="auto"/>
        </w:rPr>
      </w:pPr>
      <w:r>
        <w:rPr>
          <w:rFonts w:ascii="Courier New" w:cs="Courier New" w:eastAsia="Courier New" w:hAnsi="Courier New"/>
          <w:sz w:val="14"/>
          <w:szCs w:val="14"/>
          <w:color w:val="auto"/>
        </w:rPr>
        <w:t>On September 30, 1998, at the regular meeting of the Exxon Board, Mr. Raymond updated the board on his discussions with Mr. Noto, including the differing views on relative ownership ranges. The Exxon Board expressed its support for Mr. Raymond's views in this regard and encouraged Mr. Raymond to continue the discussions. Discussions on possible ownership ranges continued between Messrs. Raymond and Noto over the next few weeks.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I-16</w:t>
      </w:r>
    </w:p>
    <w:p>
      <w:pPr>
        <w:sectPr>
          <w:pgSz w:w="11900" w:h="16838" w:orient="portrait"/>
          <w:cols w:equalWidth="0" w:num="1">
            <w:col w:w="10239"/>
          </w:cols>
          <w:pgMar w:left="220" w:top="782" w:right="1440" w:bottom="1440" w:gutter="0" w:footer="0" w:header="0"/>
        </w:sectPr>
      </w:pPr>
    </w:p>
    <w:bookmarkStart w:id="21" w:name="page22"/>
    <w:bookmarkEnd w:id="2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October 15, 1998, Mr. Noto updated the Mobil Board on Mobil's strategic alternatives, the advantages of a combination with Exxon and the status of discussions between Mobil and Exxon regarding a possible merger. Other alternatives discussed by Mr. Noto included the possibility of Mobil remaining an independent company, the possibility of seeking an acquisition candidate, the possibility of pursuing one or more joint ventures, and the possibility of seeking to engage in a combination with a company other than Exxon. For the reasons contained in "Factors Considered by, and Recommendation of, the Mobil Board" beginning on page I-24 of this proxy statement/prospectus, including that a transaction with Exxon was more feasible and was expected to yield greater benefits than the potential alternatives reviewed by Mobil, the Mobil Board viewed a combination with Exxon as sufficiently superior to other alternatives to make it worthwhile to continue considering such a transaction. The Mobil Board discussed the issues regarding a possible merger and authorized Mr. Noto to continue to pursue discussions with Exxon.</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 meeting on October 19, 1998 at Exxon's headquarters attended by Messrs. Raymond, Matthews, Noto and Gillespie, the parties reviewed the possible relative ownership ranges and expanded the discussions to include such issues as the representation of current Mobil directors on the board of the combined company; Mr. Noto's role in the management of the combined company; staffing and employee issues; the name and principal office locations of the combined company; and potential termination fees. Messrs. Raymond and Noto concluded that discussions should be further expanded to cover other terms of a possible transaction and should involve other senior employees and outside advisors.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27, 1998, at a regular meeting of the Exxon Board Compensation Committee to which all non-employee members of the Exxon Board were invited, Mr. Raymond updated the Exxon Board on the discussions with Mobil. On October 29, 1998, at the regular meeting of the Mobil Board, Mr. Noto updated the Mobil Board on discussions with Exxon regarding a possible merger.</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October 28, 1998, Skadden, Arps, Slate, Meagher &amp; Flom LLP, counsel to Mobil, provided a memorandum to Davis Polk &amp; Wardwell, counsel to Exxon, outlining certain merger agreement terms proposed by Mobil for the transaction. The Mobil proposal outlined, among other things: a stock for stock merger in which the parties would account for the transaction as a pooling of interests; the representation of Mobil directors on the Exxon board after the merger; matters relating to the benefits of Mobil employees following the merger; mechanisms designed to address integration issues; provisions limiting the conditions to the consummation of a possible transaction and providing for the payment of termination fees if the merger agreement was terminated or the transaction was not consummated.</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On November 4, 1998, Davis Polk provided a memorandum to Skadden outlining Exxon's responses to the proposal submitted by Mobil. On November 5, representatives of Exxon, Mobil and their counsel met in New York to discuss the merger agreement and open issues. Significant issues addressed included composition of the combined company's board and committees of such board, location of the combined company's headquarters, use of the Mobil brand name, the role of the transition committee, employee matters, conditions to closing, circumstances under which a termination fee would be payable, whether Mobil would grant a stock option to Exxon, and certain representations and warranties to be included in the merger agreement.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October 16, 1998, Exxon informed J.P. Morgan that Exxon was interested in engaging J.P. Morgan as its financial advisor if discussions with Mobil regarding a possible transaction reached a more advanced stage. On November 9, 1998, Exxon entered into an engagement letter relating to the retention of J.P. Morgan as Exxon's financial advisor for the proposed transaction with Mobil.</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November 1998, Exxon and Mobil exchanged due diligence request lists and representatives of both companies and their advisors participated in a video conference and numerous telephone calls and meetings to conduct reciprocal legal, business, accounting and financial due diligence. A reciprocal confidentiality agreement was entered into on November 12.</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I-17</w:t>
      </w:r>
    </w:p>
    <w:p>
      <w:pPr>
        <w:sectPr>
          <w:pgSz w:w="11900" w:h="16838" w:orient="portrait"/>
          <w:cols w:equalWidth="0" w:num="1">
            <w:col w:w="10239"/>
          </w:cols>
          <w:pgMar w:left="220" w:top="78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November 12, 1998, Davis Polk delivered a first draft of the merger agreement to Mobil and its counsel. On November 13, Mobil and its counsel provided written comments on this draft to Exxon and its counsel and in the following weeks, Exxon and Mobil and their counsel continued to negotiate the provisions of this agreement. On November 17, a first draft of the stock option agreement was provided to Mobil and its counsel.</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meeting was held in Washington, D.C. on November 18, 1998, attended by Messrs. Raymond and Noto and other senior Exxon and Mobil officers, as well as outside counsel, to discuss regulatory issues as well as key open issues in the merger agreement, including closing conditions, payment of termination fees, employee matters, and the proposed grant by Mobil to Exxon of an option to buy Mobil stock.</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On November 19, 1998, Messrs. Longwell and Dahan of Exxon met with Mr. Renna of Mobil in Washington, D.C. to discuss organizational issues for the combined company, including a proposal to organize the combined company along functional business lines rather than on the basis of geography.</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Over the weekend of November 21, 1998, drafts of the merger agreement and the stock option agreement were delivered to the Mobil and Exxon Boards.</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On November 22, 1998, Mobil formalized its retention of Goldman Sachs as its financial advisor for the proposed transaction with Exxon by entering into an engagement letter with Goldman Sachs.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November 22, 1998, the Mobil Board held a special meeting at which it was briefed on the status of discussions between Exxon and Mobil and reviewed the relevant financial, accounting and legal considerations of the proposed transaction. At the meeting, Goldman Sachs made a preliminary financial presentation that was similar to the final presentation made at the December 1, 1998 meeting of the Mobil Board. Skadden reviewed the terms and conditions of the proposed merger agreement and stock option agreement, as well as remaining open issues, and reviewed with the Mobil Board its fiduciary duties under Delaware law. In addition, Hogan &amp; Hartson and Linklaters &amp; Alliance, Mobil's regulatory counsel, presented their analyses of regulatory matters and discussed related issues with the Mobil Board. Ernst &amp; Young LLP also reviewed with the Mobil Board accounting matters relating to the proposed merger and issued a letter to the Mobil Board from E&amp;Y concurring with Mobil's conclusion that the merger should be accounted for as a pooling of interests. At the conclusion of the November 22 meeting, the Mobil Board authorized Mobil management to continue discussions with Exxon regarding a possible merger.</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On November 23, 1998, Mr. Noto telephoned Mr. Raymond to discuss, among other things, open issues in the merger agreement and the stock option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regular meeting of the Exxon Board on November 25, 1998, at which all of Exxon's directors were present, Exxon's directors were briefed on the objectives and strategic benefits, both near- and longer-term, from a merger with Mobil and the possibility of further enhancing shareholder value over what could be achieved on a stand alone basis, as well as on the status of the discussions with Mobil. J.P. Morgan presented its preliminary financial analysis of the merger. PricewaterhouseCoopers LLP discussed accounting matters relating to the merger and submitted to the Exxon Board a letter from PwC concurring with Exxon's conclusion that the merger should be accounted for as a pooling of interests. In addition, Covington &amp; Burling, Exxon's regulatory counsel, presented its analysis of regulatory matters. Davis Polk reviewed the terms and conditions of the proposed merger agreement and stock option agreement as well as remaining open issues, and reviewed the Exxon Board's legal duties and responsibilities. The Exxon Board authorized Exxon management to continue discussions with Mobil and to move toward finalizing a merger agreement to achieve the objectives discussed.</w:t>
      </w:r>
    </w:p>
    <w:p>
      <w:pPr>
        <w:spacing w:after="0" w:line="328"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On November 26, 1998, Mr. Noto and Mr. Raymond spoke by telephone to discuss reports that had appeared in the media about a possible transaction between Exxon and Mobil. On November 27, 1998, prior to the opening of NYSE trading, Exxon and Mobil issued a joint statement confirming that the two companies were in discussions concerning a possible business combination.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I-18</w:t>
      </w:r>
    </w:p>
    <w:p>
      <w:pPr>
        <w:sectPr>
          <w:pgSz w:w="11900" w:h="16838" w:orient="portrait"/>
          <w:cols w:equalWidth="0" w:num="1">
            <w:col w:w="10239"/>
          </w:cols>
          <w:pgMar w:left="220" w:top="782" w:right="1440" w:bottom="1440" w:gutter="0" w:footer="0" w:header="0"/>
        </w:sectPr>
      </w:pPr>
    </w:p>
    <w:bookmarkStart w:id="23" w:name="page24"/>
    <w:bookmarkEnd w:id="2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Over the course of the weekend of November 27, 1998, Exxon and Mobil representatives and outside counsel continued discussions towards resolving open issues. On the evening of November 30, Messrs. Raymond and Noto met and reached agreement in principle, subject to Board approval, on the remaining unresolved terms of the merger, including the exchange ratio and the resulting exercise price in the stock option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 special meeting of the Exxon Board on December 1, 1998, Mr. Raymond reviewed the near- and longer-term strategic benefits of a merger with Mobil and the status of the transaction; J.P. Morgan delivered its fairness opinion to the Exxon Board; and Davis Polk made a presentation on the terms and conditions of the merger agreement and the stock option agreement and updated the Board on how remaining open issues had been resolved. After due consideration, the Exxon Board unanimously approved the merger agreement and the stock option agreement and the related merger matters described in this document.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 special meeting of the Mobil Board held on December 1, 1998 to consider the merger, the Mobil Board received a financial presentation from and the fairness opinion of Goldman Sachs. Skadden then reviewed the changes in the terms of the proposed merger agreement and stock option agreement since the November 22 meeting. Following these presentations, and a discussion regarding the strategic benefits of the proposed merger and of the terms and conditions of the merger agreement and the stock option agreement, the Mobil Board, with one director voting against, approved the merger agreement and the stock option agreement and determined to recommend that the Mobil shareholders approve the merger agreement and the merger.</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Following the approval of their Boards, Exxon and Mobil executed the merger agreement and the stock option agreement, and issued a joint press release immediately thereafter prior to the opening of NYSE trading.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Reasons for the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Exxon and Mobil each have a long history of being managed to enhance shareholder value. Individually, both companies have positive prospects for the future. However, we believe that by combining the two companies, we can create substantially more shareholder value than could be achieved by the companies on their own. This is the fundamental reason for the merger.</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Simply having a bigger company is not a reason for us to merge. To create shareholder value, the new company must be better. As we explain in more detail below, we believe that by combining the businesses of Exxon and Mobil we can save money, increase profits and returns, and reduce risk. We will also have greater financial, technological, and human resources. This will increase our ability to handle large, complex, and costly international energy projects.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scale and cost structure of the combined company will help us compete more effectively with the largest firms outside the U.S. These include other multi-national oil companies which have recently combined or formed joint ventures, as well as the very large state-owned oil companies which have been rapidly expanding outside their traditional areas.</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benefits of the merger fall broadly in two categories: near-term operating synergies and capital productivity improvements. We believe these benefits depend on the merger and are not available to the companies on their own.</w:t>
      </w:r>
    </w:p>
    <w:p>
      <w:pPr>
        <w:spacing w:after="0" w:line="162" w:lineRule="exact"/>
        <w:rPr>
          <w:sz w:val="20"/>
          <w:szCs w:val="20"/>
          <w:color w:val="auto"/>
        </w:rPr>
      </w:pPr>
    </w:p>
    <w:p>
      <w:pPr>
        <w:jc w:val="both"/>
        <w:ind w:left="440" w:right="3419"/>
        <w:spacing w:after="0" w:line="250" w:lineRule="auto"/>
        <w:rPr>
          <w:sz w:val="20"/>
          <w:szCs w:val="20"/>
          <w:color w:val="auto"/>
        </w:rPr>
      </w:pPr>
      <w:r>
        <w:rPr>
          <w:rFonts w:ascii="Courier New" w:cs="Courier New" w:eastAsia="Courier New" w:hAnsi="Courier New"/>
          <w:sz w:val="14"/>
          <w:szCs w:val="14"/>
          <w:color w:val="auto"/>
        </w:rPr>
        <w:t>Near-term Operating Synergies. We believe we can run the combined company more efficiently than either company on its own. Specifically, we expect the combined company to achieve about $2.8 billion in annual</w:t>
      </w:r>
    </w:p>
    <w:p>
      <w:pPr>
        <w:spacing w:after="0" w:line="1"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pre-tax benefits from operating synergies. By operating synergies we mean increases in production, sales, and efficiency, decreases in unit costs and overhead expense, and other benefits made possible by combining complementary operations.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I-19</w:t>
      </w:r>
    </w:p>
    <w:p>
      <w:pPr>
        <w:sectPr>
          <w:pgSz w:w="11900" w:h="16838" w:orient="portrait"/>
          <w:cols w:equalWidth="0" w:num="1">
            <w:col w:w="10239"/>
          </w:cols>
          <w:pgMar w:left="220" w:top="78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About two-thirds of these benefits should come from:</w:t>
      </w:r>
    </w:p>
    <w:p>
      <w:pPr>
        <w:spacing w:after="0" w:line="173" w:lineRule="exact"/>
        <w:rPr>
          <w:sz w:val="20"/>
          <w:szCs w:val="20"/>
          <w:color w:val="auto"/>
        </w:rPr>
      </w:pPr>
    </w:p>
    <w:p>
      <w:pPr>
        <w:ind w:left="1220" w:right="3339" w:hanging="179"/>
        <w:spacing w:after="0" w:line="252" w:lineRule="auto"/>
        <w:tabs>
          <w:tab w:leader="none" w:pos="1200" w:val="left"/>
        </w:tabs>
        <w:rPr>
          <w:sz w:val="20"/>
          <w:szCs w:val="20"/>
          <w:color w:val="auto"/>
        </w:rPr>
      </w:pPr>
      <w:r>
        <w:rPr>
          <w:rFonts w:ascii="Courier New" w:cs="Courier New" w:eastAsia="Courier New" w:hAnsi="Courier New"/>
          <w:sz w:val="14"/>
          <w:szCs w:val="14"/>
          <w:color w:val="auto"/>
        </w:rPr>
        <w:t>o</w:t>
        <w:tab/>
        <w:t>Streamlining the combined organization, which we can run with less administrative and overhead cost than two separate organizations; and</w:t>
      </w:r>
    </w:p>
    <w:p>
      <w:pPr>
        <w:spacing w:after="0" w:line="163" w:lineRule="exact"/>
        <w:rPr>
          <w:sz w:val="20"/>
          <w:szCs w:val="20"/>
          <w:color w:val="auto"/>
        </w:rPr>
      </w:pPr>
    </w:p>
    <w:p>
      <w:pPr>
        <w:ind w:left="1220" w:right="3519" w:hanging="179"/>
        <w:spacing w:after="0" w:line="255" w:lineRule="auto"/>
        <w:tabs>
          <w:tab w:leader="none" w:pos="1200" w:val="left"/>
        </w:tabs>
        <w:rPr>
          <w:sz w:val="20"/>
          <w:szCs w:val="20"/>
          <w:color w:val="auto"/>
        </w:rPr>
      </w:pPr>
      <w:r>
        <w:rPr>
          <w:rFonts w:ascii="Courier New" w:cs="Courier New" w:eastAsia="Courier New" w:hAnsi="Courier New"/>
          <w:sz w:val="14"/>
          <w:szCs w:val="14"/>
          <w:color w:val="auto"/>
        </w:rPr>
        <w:t>o</w:t>
        <w:tab/>
        <w:t>Eliminating excess capacity, duplicate facilities, and redundant operations.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Additional synergy benefits should come from:</w:t>
      </w:r>
    </w:p>
    <w:p>
      <w:pPr>
        <w:spacing w:after="0" w:line="173" w:lineRule="exact"/>
        <w:rPr>
          <w:sz w:val="20"/>
          <w:szCs w:val="20"/>
          <w:color w:val="auto"/>
        </w:rPr>
      </w:pPr>
    </w:p>
    <w:p>
      <w:pPr>
        <w:ind w:left="1220" w:right="3599" w:hanging="179"/>
        <w:spacing w:after="0" w:line="255" w:lineRule="auto"/>
        <w:tabs>
          <w:tab w:leader="none" w:pos="1200" w:val="left"/>
        </w:tabs>
        <w:rPr>
          <w:sz w:val="20"/>
          <w:szCs w:val="20"/>
          <w:color w:val="auto"/>
        </w:rPr>
      </w:pPr>
      <w:r>
        <w:rPr>
          <w:rFonts w:ascii="Courier New" w:cs="Courier New" w:eastAsia="Courier New" w:hAnsi="Courier New"/>
          <w:sz w:val="14"/>
          <w:szCs w:val="14"/>
          <w:color w:val="auto"/>
        </w:rPr>
        <w:t>o</w:t>
        <w:tab/>
        <w:t>Exploring for oil and gas more efficiently in regions where the companies operate separately today;</w:t>
      </w:r>
    </w:p>
    <w:p>
      <w:pPr>
        <w:spacing w:after="0" w:line="160" w:lineRule="exact"/>
        <w:rPr>
          <w:sz w:val="20"/>
          <w:szCs w:val="20"/>
          <w:color w:val="auto"/>
        </w:rPr>
      </w:pPr>
    </w:p>
    <w:p>
      <w:pPr>
        <w:ind w:left="1220" w:right="4019" w:hanging="179"/>
        <w:spacing w:after="0" w:line="255" w:lineRule="auto"/>
        <w:tabs>
          <w:tab w:leader="none" w:pos="1200" w:val="left"/>
        </w:tabs>
        <w:rPr>
          <w:sz w:val="20"/>
          <w:szCs w:val="20"/>
          <w:color w:val="auto"/>
        </w:rPr>
      </w:pPr>
      <w:r>
        <w:rPr>
          <w:rFonts w:ascii="Courier New" w:cs="Courier New" w:eastAsia="Courier New" w:hAnsi="Courier New"/>
          <w:sz w:val="14"/>
          <w:szCs w:val="14"/>
          <w:color w:val="auto"/>
        </w:rPr>
        <w:t>o</w:t>
        <w:tab/>
        <w:t>Applying each company's best business practices across the worldwide operations of the combined company; and</w:t>
      </w:r>
    </w:p>
    <w:p>
      <w:pPr>
        <w:spacing w:after="0" w:line="160" w:lineRule="exact"/>
        <w:rPr>
          <w:sz w:val="20"/>
          <w:szCs w:val="20"/>
          <w:color w:val="auto"/>
        </w:rPr>
      </w:pPr>
    </w:p>
    <w:p>
      <w:pPr>
        <w:ind w:left="1220" w:right="3419" w:hanging="179"/>
        <w:spacing w:after="0" w:line="255" w:lineRule="auto"/>
        <w:tabs>
          <w:tab w:leader="none" w:pos="1200" w:val="left"/>
        </w:tabs>
        <w:rPr>
          <w:sz w:val="20"/>
          <w:szCs w:val="20"/>
          <w:color w:val="auto"/>
        </w:rPr>
      </w:pPr>
      <w:r>
        <w:rPr>
          <w:rFonts w:ascii="Courier New" w:cs="Courier New" w:eastAsia="Courier New" w:hAnsi="Courier New"/>
          <w:sz w:val="14"/>
          <w:szCs w:val="14"/>
          <w:color w:val="auto"/>
        </w:rPr>
        <w:t>o</w:t>
        <w:tab/>
        <w:t>Coordinating purchases of raw materials across the two companies' extensive supply, refining and chemicals networks.</w:t>
      </w:r>
    </w:p>
    <w:p>
      <w:pPr>
        <w:spacing w:after="0" w:line="160" w:lineRule="exact"/>
        <w:rPr>
          <w:sz w:val="20"/>
          <w:szCs w:val="20"/>
          <w:color w:val="auto"/>
        </w:rPr>
      </w:pPr>
    </w:p>
    <w:p>
      <w:pPr>
        <w:ind w:left="440" w:right="3519" w:firstLine="431"/>
        <w:spacing w:after="0" w:line="251" w:lineRule="auto"/>
        <w:rPr>
          <w:sz w:val="20"/>
          <w:szCs w:val="20"/>
          <w:color w:val="auto"/>
        </w:rPr>
      </w:pPr>
      <w:r>
        <w:rPr>
          <w:rFonts w:ascii="Courier New" w:cs="Courier New" w:eastAsia="Courier New" w:hAnsi="Courier New"/>
          <w:sz w:val="14"/>
          <w:szCs w:val="14"/>
          <w:color w:val="auto"/>
        </w:rPr>
        <w:t>We expect to realize the full $2.8 billion in annual pre-tax synergy benefits by the third year after the merger. During the first two years, the benefits should begin to be realized but will be partly offset by one-time costs we estimate at $2 billion. These are non-recurring costs that we expect to incur to integrate the businesses. On a net basis, the earnings impact should be neutral in the first year after the merger and positive by the second year.</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Capital Productivity Improvements. We also believe the combined company can use its capital more profitably than either company on its own. As discussed below, Exxon Mobil will, by combining complementary assets, have a stronger presence in those regions of the world with the best potential for future oil and gas discoveries and production. We will also have an improved and more balanced presence in high-growth markets and businesses. This will provide a broader menu of capital investment opportunities from which to choose the best projects to advance. As a result, we believe the combined company will be able to maintain or improve earnings while spending less on capital projects overall. Additionally, we believe that many of our existing assets will perform better when combined due to efficiencies of scale, cost savings, and sharing of best management practices.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businesses and assets of Exxon and Mobil are highly complementary in key areas. As a result, the combined company should be a top competitor among international energy companies in all three of its main businesses: exploration and production, refining and marketing, and chemicals. In terms of both geography and areas of business, the combined company will also have a more diverse portfolio. Diversification helps us better spread and manage the risks inherent in our volatile industry. This means that a downturn in a particular country or business will have less impact on overall performance.</w:t>
      </w:r>
    </w:p>
    <w:p>
      <w:pPr>
        <w:spacing w:after="0" w:line="164" w:lineRule="exact"/>
        <w:rPr>
          <w:sz w:val="20"/>
          <w:szCs w:val="20"/>
          <w:color w:val="auto"/>
        </w:rPr>
      </w:pPr>
    </w:p>
    <w:p>
      <w:pPr>
        <w:ind w:left="440" w:right="3679"/>
        <w:spacing w:after="0" w:line="252" w:lineRule="auto"/>
        <w:rPr>
          <w:sz w:val="20"/>
          <w:szCs w:val="20"/>
          <w:color w:val="auto"/>
        </w:rPr>
      </w:pPr>
      <w:r>
        <w:rPr>
          <w:rFonts w:ascii="Courier New" w:cs="Courier New" w:eastAsia="Courier New" w:hAnsi="Courier New"/>
          <w:sz w:val="14"/>
          <w:szCs w:val="14"/>
          <w:color w:val="auto"/>
        </w:rPr>
        <w:t>Exploration and Production. The combined company will have an improved portfolio in key exploration and production areas of the world today. For example:</w:t>
      </w:r>
    </w:p>
    <w:p>
      <w:pPr>
        <w:spacing w:after="0" w:line="163" w:lineRule="exact"/>
        <w:rPr>
          <w:sz w:val="20"/>
          <w:szCs w:val="20"/>
          <w:color w:val="auto"/>
        </w:rPr>
      </w:pPr>
    </w:p>
    <w:p>
      <w:pPr>
        <w:ind w:left="960" w:right="3339" w:hanging="263"/>
        <w:spacing w:after="0" w:line="252" w:lineRule="auto"/>
        <w:tabs>
          <w:tab w:leader="none" w:pos="9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Exxon's leadership position in deepwater exploration in West Africa will combine with Mobil's existing production and exploration acreage in Nigeria and Equatorial Guinea;</w:t>
      </w:r>
    </w:p>
    <w:p>
      <w:pPr>
        <w:spacing w:after="0" w:line="162" w:lineRule="exact"/>
        <w:rPr>
          <w:rFonts w:ascii="Courier New" w:cs="Courier New" w:eastAsia="Courier New" w:hAnsi="Courier New"/>
          <w:sz w:val="14"/>
          <w:szCs w:val="14"/>
          <w:color w:val="auto"/>
        </w:rPr>
      </w:pPr>
    </w:p>
    <w:p>
      <w:pPr>
        <w:ind w:left="960" w:right="3599" w:hanging="263"/>
        <w:spacing w:after="0" w:line="252" w:lineRule="auto"/>
        <w:tabs>
          <w:tab w:leader="none" w:pos="9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Caspian, Exxon's strong presence in Azerbaijan will combine with Mobil's similar position in Kazakhstan, including its significant interest in the Tengiz field, and its presence in Turkmenistan;</w:t>
      </w:r>
    </w:p>
    <w:p>
      <w:pPr>
        <w:spacing w:after="0" w:line="162" w:lineRule="exact"/>
        <w:rPr>
          <w:rFonts w:ascii="Courier New" w:cs="Courier New" w:eastAsia="Courier New" w:hAnsi="Courier New"/>
          <w:sz w:val="14"/>
          <w:szCs w:val="14"/>
          <w:color w:val="auto"/>
        </w:rPr>
      </w:pPr>
    </w:p>
    <w:p>
      <w:pPr>
        <w:ind w:left="960" w:right="3679" w:hanging="263"/>
        <w:spacing w:after="0" w:line="255" w:lineRule="auto"/>
        <w:tabs>
          <w:tab w:leader="none" w:pos="9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Complementary exploration and production operations also exist in South America, Russia and Eastern Canada;</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I-20</w:t>
      </w:r>
    </w:p>
    <w:p>
      <w:pPr>
        <w:sectPr>
          <w:pgSz w:w="11900" w:h="16838" w:orient="portrait"/>
          <w:cols w:equalWidth="0" w:num="1">
            <w:col w:w="10239"/>
          </w:cols>
          <w:pgMar w:left="220" w:top="782" w:right="1440" w:bottom="1440" w:gutter="0" w:footer="0" w:header="0"/>
        </w:sectPr>
      </w:pPr>
    </w:p>
    <w:bookmarkStart w:id="25" w:name="page26"/>
    <w:bookmarkEnd w:id="2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3339" w:hanging="263"/>
        <w:spacing w:after="0" w:line="253" w:lineRule="auto"/>
        <w:tabs>
          <w:tab w:leader="none" w:pos="9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higher-growth natural gas business, the companies will combine their own leading technologies and large positions in several of the world's key markets, including North America, Europe and Asia-Pacific.</w:t>
      </w:r>
    </w:p>
    <w:p>
      <w:pPr>
        <w:spacing w:after="0" w:line="327" w:lineRule="exact"/>
        <w:rPr>
          <w:sz w:val="20"/>
          <w:szCs w:val="20"/>
          <w:color w:val="auto"/>
        </w:rPr>
      </w:pPr>
    </w:p>
    <w:p>
      <w:pPr>
        <w:ind w:left="440" w:right="3599" w:firstLine="431"/>
        <w:spacing w:after="0" w:line="255" w:lineRule="auto"/>
        <w:rPr>
          <w:sz w:val="20"/>
          <w:szCs w:val="20"/>
          <w:color w:val="auto"/>
        </w:rPr>
      </w:pPr>
      <w:r>
        <w:rPr>
          <w:rFonts w:ascii="Courier New" w:cs="Courier New" w:eastAsia="Courier New" w:hAnsi="Courier New"/>
          <w:sz w:val="14"/>
          <w:szCs w:val="14"/>
          <w:color w:val="auto"/>
        </w:rPr>
        <w:t>On a worldwide basis, the combined company will have proved oil and natural gas reserves of 21 billion oil-equivalent barrels.</w:t>
      </w:r>
    </w:p>
    <w:p>
      <w:pPr>
        <w:spacing w:after="0" w:line="160" w:lineRule="exact"/>
        <w:rPr>
          <w:sz w:val="20"/>
          <w:szCs w:val="20"/>
          <w:color w:val="auto"/>
        </w:rPr>
      </w:pPr>
    </w:p>
    <w:p>
      <w:pPr>
        <w:ind w:left="440" w:right="3519"/>
        <w:spacing w:after="0" w:line="251" w:lineRule="auto"/>
        <w:rPr>
          <w:sz w:val="20"/>
          <w:szCs w:val="20"/>
          <w:color w:val="auto"/>
        </w:rPr>
      </w:pPr>
      <w:r>
        <w:rPr>
          <w:rFonts w:ascii="Courier New" w:cs="Courier New" w:eastAsia="Courier New" w:hAnsi="Courier New"/>
          <w:sz w:val="14"/>
          <w:szCs w:val="14"/>
          <w:color w:val="auto"/>
        </w:rPr>
        <w:t>Refining and Marketing. In refining operations, the combined company will have access to an expanded network of refineries for manufacturing high quality fuel products and feedstocks. Both companies have traditionally focused on maintaining highly efficient, technologically up-to-date refineries. These facilities have good locations and are integrated with lubricant or chemical manufacturing facilities, providing additional opportunities to improve efficiency.</w:t>
      </w:r>
    </w:p>
    <w:p>
      <w:pPr>
        <w:spacing w:after="0" w:line="164"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In retail marketing, the combined company will benefit from an expanded worldwide base of branded service stations, as well as Exxon's and Mobil's global brand recognition. By sharing expertise, we expect to enhance the combined company's offering of high-quality products and services and attractive, efficient store designs.</w:t>
      </w:r>
    </w:p>
    <w:p>
      <w:pPr>
        <w:spacing w:after="0" w:line="165" w:lineRule="exact"/>
        <w:rPr>
          <w:sz w:val="20"/>
          <w:szCs w:val="20"/>
          <w:color w:val="auto"/>
        </w:rPr>
      </w:pPr>
    </w:p>
    <w:p>
      <w:pPr>
        <w:ind w:left="440" w:right="3599" w:firstLine="431"/>
        <w:spacing w:after="0" w:line="252" w:lineRule="auto"/>
        <w:rPr>
          <w:sz w:val="20"/>
          <w:szCs w:val="20"/>
          <w:color w:val="auto"/>
        </w:rPr>
      </w:pPr>
      <w:r>
        <w:rPr>
          <w:rFonts w:ascii="Courier New" w:cs="Courier New" w:eastAsia="Courier New" w:hAnsi="Courier New"/>
          <w:sz w:val="14"/>
          <w:szCs w:val="14"/>
          <w:color w:val="auto"/>
        </w:rPr>
        <w:t>In lubricants, Exxon's industry leading basestock manufacturing business will combine with Mobil's expertise in synthetic lubricants and leading position in worldwide finished product sales.</w:t>
      </w:r>
    </w:p>
    <w:p>
      <w:pPr>
        <w:spacing w:after="0" w:line="16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Chemicals. On a worldwide basis, the combined company will have a greater olefin, polyolefin and paraxylene capacity. This will provide opportunities to save money through manufacturing efficiencies. We also believe that a common focus on efficiency, use of cost-effective raw materials, and further integration of fuels and chemicals operations at individual sites will improve overall performance.</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Proprietary Technologies. Exxon and Mobil have each invested in extensive research and development programs over the years. As a result, each company has its own exclusive patents on valuable technologies. The merger will let us share these proprietary technologies and apply them across the combined business. For example, in the exploration and production business, we will benefit from sharing deepwater, arctic, heavy oil and remote natural gas technologies. In the refining and marketing and chemicals businesses, we will benefit from sharing catalysis technologies and proprietary processes for manufacturing fuels, chemicals, and synthetic lubricants.</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Exxon and Mobil share a number of important long-term corporate values, including:</w:t>
      </w:r>
    </w:p>
    <w:p>
      <w:pPr>
        <w:spacing w:after="0" w:line="160" w:lineRule="exact"/>
        <w:rPr>
          <w:sz w:val="20"/>
          <w:szCs w:val="20"/>
          <w:color w:val="auto"/>
        </w:rPr>
      </w:pPr>
    </w:p>
    <w:p>
      <w:pPr>
        <w:ind w:left="1040" w:hanging="343"/>
        <w:spacing w:after="0"/>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commitment to enhancing shareholder value;</w:t>
      </w:r>
    </w:p>
    <w:p>
      <w:pPr>
        <w:spacing w:after="0" w:line="172" w:lineRule="exact"/>
        <w:rPr>
          <w:rFonts w:ascii="Courier New" w:cs="Courier New" w:eastAsia="Courier New" w:hAnsi="Courier New"/>
          <w:sz w:val="14"/>
          <w:szCs w:val="14"/>
          <w:color w:val="auto"/>
        </w:rPr>
      </w:pPr>
    </w:p>
    <w:p>
      <w:pPr>
        <w:ind w:left="1040" w:right="4199" w:hanging="343"/>
        <w:spacing w:after="0" w:line="255" w:lineRule="auto"/>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emphasis on efficiency, investment discipline and asset productivity;</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focus on product quality and customer satisfaction; and</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commitment to safety, health and environmental care.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Both companies also benefit from talented and dedicated employees with a long-standing commitment to excellence. We believe these shared values will facilitate a relatively smooth integration of the two companies.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I-21</w:t>
      </w:r>
    </w:p>
    <w:p>
      <w:pPr>
        <w:sectPr>
          <w:pgSz w:w="11900" w:h="16838" w:orient="portrait"/>
          <w:cols w:equalWidth="0" w:num="1">
            <w:col w:w="10239"/>
          </w:cols>
          <w:pgMar w:left="220" w:top="78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Mobil's Senior Management Team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senior management team is expected to consist of the six individuals named below. This team reflects that Exxon Mobil will be organized along business lines with three major business units: * exploration &amp; production * refining and marketing and * chemicals. A transition committee consisting of Mr. Raymond and Mr. Noto is responsible for recommending to the Exxon Mobil Board the other senior officers.</w:t>
      </w:r>
    </w:p>
    <w:p>
      <w:pPr>
        <w:sectPr>
          <w:pgSz w:w="11900" w:h="16838" w:orient="portrait"/>
          <w:cols w:equalWidth="0" w:num="1">
            <w:col w:w="10239"/>
          </w:cols>
          <w:pgMar w:left="220" w:top="782" w:right="1440" w:bottom="1440" w:gutter="0" w:footer="0" w:header="0"/>
        </w:sectPr>
      </w:pP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Lee R. Raymond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Lucio A. Noto</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Harry J. Longwell</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Rene Dahan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Eugene A. Renna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Robert E. Wilhelm</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CEO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173" w:lineRule="exact"/>
        <w:rPr>
          <w:sz w:val="20"/>
          <w:szCs w:val="20"/>
          <w:color w:val="auto"/>
        </w:rPr>
      </w:pPr>
    </w:p>
    <w:p>
      <w:pPr>
        <w:sectPr>
          <w:pgSz w:w="11900" w:h="16838" w:orient="portrait"/>
          <w:cols w:equalWidth="0" w:num="2">
            <w:col w:w="3600" w:space="720"/>
            <w:col w:w="5919"/>
          </w:cols>
          <w:pgMar w:left="220" w:top="782" w:right="1440" w:bottom="1440" w:gutter="0" w:footer="0" w:header="0"/>
          <w:type w:val="continuous"/>
        </w:sect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Mr. Longwell will be responsible for exploration and production. Mr. Dahan will be responsible for chemicals. Mr. Renna will be responsible for refining and marketing. All six individuals will be on the Exxon Mobil Board.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Considered by, and Recommendation of, the Exxon Board</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At a meeting of the Exxon Board held on December 1, 1998, after due consideration, the Exxon Board unanimously:</w:t>
      </w:r>
    </w:p>
    <w:p>
      <w:pPr>
        <w:spacing w:after="0" w:line="160" w:lineRule="exact"/>
        <w:rPr>
          <w:sz w:val="20"/>
          <w:szCs w:val="20"/>
          <w:color w:val="auto"/>
        </w:rPr>
      </w:pPr>
    </w:p>
    <w:p>
      <w:pPr>
        <w:ind w:left="960" w:right="3519" w:hanging="435"/>
        <w:spacing w:after="0" w:line="252" w:lineRule="auto"/>
        <w:tabs>
          <w:tab w:leader="none" w:pos="9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merger agreement, the merger, the stock option agreement, the amendments to Exxon's charter and the related transactions are fair to and in the best interests of Exxon and its shareholders,</w:t>
      </w:r>
    </w:p>
    <w:p>
      <w:pPr>
        <w:spacing w:after="0" w:line="162" w:lineRule="exact"/>
        <w:rPr>
          <w:rFonts w:ascii="Courier New" w:cs="Courier New" w:eastAsia="Courier New" w:hAnsi="Courier New"/>
          <w:sz w:val="14"/>
          <w:szCs w:val="14"/>
          <w:color w:val="auto"/>
        </w:rPr>
      </w:pPr>
    </w:p>
    <w:p>
      <w:pPr>
        <w:ind w:left="960" w:right="3519" w:hanging="521"/>
        <w:spacing w:after="0" w:line="255" w:lineRule="auto"/>
        <w:tabs>
          <w:tab w:leader="none" w:pos="9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the merger agreement, the merger, the stock option agreement, the charter amendments and the related transactions, and</w:t>
      </w:r>
    </w:p>
    <w:p>
      <w:pPr>
        <w:spacing w:after="0" w:line="159" w:lineRule="exact"/>
        <w:rPr>
          <w:rFonts w:ascii="Courier New" w:cs="Courier New" w:eastAsia="Courier New" w:hAnsi="Courier New"/>
          <w:sz w:val="14"/>
          <w:szCs w:val="14"/>
          <w:color w:val="auto"/>
        </w:rPr>
      </w:pPr>
    </w:p>
    <w:p>
      <w:pPr>
        <w:ind w:left="960" w:right="3519" w:hanging="607"/>
        <w:spacing w:after="0" w:line="251" w:lineRule="auto"/>
        <w:tabs>
          <w:tab w:leader="none" w:pos="9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to recommend that the shareholders of Exxon approve the merger, including the issuance of Exxon common stock in the merger, and the charter amendments. Accordingly, the Exxon Board recommends that the Exxon shareholders vote "FOR" the approval of the merger, including the issuance of Exxon common stock in the merger, and the charter amendments.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approving the transaction and making these recommendations, the Exxon Board consulted with Exxon's management as well as its outside legal counsel and financial advisor, and considered the following material factors:</w:t>
      </w:r>
    </w:p>
    <w:p>
      <w:pPr>
        <w:spacing w:after="0" w:line="163" w:lineRule="exact"/>
        <w:rPr>
          <w:sz w:val="20"/>
          <w:szCs w:val="20"/>
          <w:color w:val="auto"/>
        </w:rPr>
      </w:pPr>
    </w:p>
    <w:p>
      <w:pPr>
        <w:ind w:left="440" w:right="3679" w:firstLine="430"/>
        <w:spacing w:after="0" w:line="252" w:lineRule="auto"/>
        <w:tabs>
          <w:tab w:leader="none" w:pos="121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reasons described above under "Our Reasons for the Merger", including the near- and longer-term synergies and productivity improvements expected to be available to the combined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as alternatives to the merger, of pursuing an acquisition of or a business combination or joint venture with an entity other than Mobil and the Exxon Board's conclusion that a transaction with Mobil is more feasible, and is expected to yield greater benefits, than the likely alternatives. The Exxon Board reached this conclusion for reasons including Mobil's interest in pursuing a transaction with Exxon, Exxon's view that the transaction could be acceptably completed from a timing and regulatory standpoint, and Exxon management's assessment of the alternatives and the expected benefits of the merger and compatibility of the companies as described under "Our Reasons for the Merger" above;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I-22</w:t>
      </w:r>
    </w:p>
    <w:p>
      <w:pPr>
        <w:sectPr>
          <w:pgSz w:w="11900" w:h="16838" w:orient="portrait"/>
          <w:cols w:equalWidth="0" w:num="1">
            <w:col w:w="10239"/>
          </w:cols>
          <w:pgMar w:left="220" w:top="782" w:right="1440" w:bottom="1440" w:gutter="0" w:footer="0" w:header="0"/>
          <w:type w:val="continuous"/>
        </w:sectPr>
      </w:pPr>
    </w:p>
    <w:bookmarkStart w:id="27" w:name="page28"/>
    <w:bookmarkEnd w:id="2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440" w:right="3519" w:firstLine="430"/>
        <w:spacing w:after="0" w:line="255"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Exxon shareholders would hold approximately 70% of the outstanding stock of the combined company after the merger;</w:t>
      </w:r>
    </w:p>
    <w:p>
      <w:pPr>
        <w:spacing w:after="0" w:line="15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comparisons of historical financial measures for Exxon and Mobil, including earnings, return on capital employed and cash flow, and comparisons of historical operational measures for Exxon and Mobil, including hydrocarbon reserve replacement, hydrocarbon production and refinery runs;</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industry, economic and market conditions, including current low prices for crude oil and refined products. The Exxon Board considered that, when oil prices and refining margins fall, companies must improve the performance of their internal operations to maintain profitability. The Exxon Board considered it likely that low prices would lead to further consolidation in the oil and gas industry because, as explained under "Our Reasons for the Merger," combining operations can help companies save money and operate more efficiently;</w:t>
      </w:r>
    </w:p>
    <w:p>
      <w:pPr>
        <w:spacing w:after="0" w:line="163"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intended accounting of the merger as a pooling of interests which results in combined financial statements prepared on a basis consistent with the underlying view that shareholder interests in the two companies have simply been combined, and in the preservation of the historical cost approach for both Exxon and Mobil. This will facilitate future comparison and benchmarking of Exxon Mobil against our key international competitors;</w:t>
      </w:r>
    </w:p>
    <w:p>
      <w:pPr>
        <w:spacing w:after="0" w:line="164" w:lineRule="exact"/>
        <w:rPr>
          <w:rFonts w:ascii="Courier New" w:cs="Courier New" w:eastAsia="Courier New" w:hAnsi="Courier New"/>
          <w:sz w:val="14"/>
          <w:szCs w:val="14"/>
          <w:color w:val="auto"/>
        </w:rPr>
      </w:pPr>
    </w:p>
    <w:p>
      <w:pPr>
        <w:ind w:left="440" w:right="3599" w:firstLine="430"/>
        <w:spacing w:after="0" w:line="255"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complete the merger as a tax-free reorganization for U.S. federal income tax purposes;</w:t>
      </w:r>
    </w:p>
    <w:p>
      <w:pPr>
        <w:spacing w:after="0" w:line="159"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including the conditions to closing and the termination fees payable under certain circumstances (see "The Merger Agreement--Conditions to the Completion of the Merger" and "The Merger Agreement--Termination of the Merger Agreement");</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to Exxon of an option to acquire Mobil stock exercisable under certain circumstances pursuant to the stock option agreement (see "The Merger Agreement--Stock Option Agreement");</w:t>
      </w:r>
    </w:p>
    <w:p>
      <w:pPr>
        <w:spacing w:after="0" w:line="162"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analyses and presentations of J.P. Morgan, and J.P. Morgan's written opinion to the effect that, as of December 1, 1998, and based upon and subject to the various considerations set forth in its opinion, the consideration proposed to be paid by Exxon in the merger was fair from a financial point of view to Exxon;</w:t>
      </w:r>
    </w:p>
    <w:p>
      <w:pPr>
        <w:spacing w:after="0" w:line="164" w:lineRule="exact"/>
        <w:rPr>
          <w:rFonts w:ascii="Courier New" w:cs="Courier New" w:eastAsia="Courier New" w:hAnsi="Courier New"/>
          <w:sz w:val="14"/>
          <w:szCs w:val="14"/>
          <w:color w:val="auto"/>
        </w:rPr>
      </w:pPr>
    </w:p>
    <w:p>
      <w:pPr>
        <w:ind w:left="440" w:right="3779" w:firstLine="344"/>
        <w:spacing w:after="0" w:line="252"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role that Exxon's current management would play in the management of the combined company and the composition of the combined company's Board of Directors;</w:t>
      </w:r>
    </w:p>
    <w:p>
      <w:pPr>
        <w:spacing w:after="0" w:line="162" w:lineRule="exact"/>
        <w:rPr>
          <w:rFonts w:ascii="Courier New" w:cs="Courier New" w:eastAsia="Courier New" w:hAnsi="Courier New"/>
          <w:sz w:val="14"/>
          <w:szCs w:val="14"/>
          <w:color w:val="auto"/>
        </w:rPr>
      </w:pPr>
    </w:p>
    <w:p>
      <w:pPr>
        <w:ind w:left="440" w:right="3599" w:firstLine="344"/>
        <w:spacing w:after="0" w:line="251"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challenges of combining the businesses of two major corporations of this size and the attendant risk of not achieving the expected cost savings and other benefits, as discussed under "Cautionary Statement Concerning Forward-Looking Statements", and of diverting management focus and resources from other strategic opportunities and operational matters for an extended period of time; and</w:t>
      </w:r>
    </w:p>
    <w:p>
      <w:pPr>
        <w:spacing w:after="0" w:line="164"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while the merger is likely to be completed, there are risks associated with obtaining necessary approvals, and as a result of certain conditions to the completion of the merger, it is possible that the merger may not be completed even if approved by shareholders (see "The Merger Agreement--Conditions to the Completion of the Merger").</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view of the wide variety of factors considered in connection with its evaluation of the merger and the complexity of these matters, the Exxon Board did not find it useful to and did not attempt to quantify, rank or otherwise assign relative weights to these factors. The Exxon Board relied on the experience and expertise of J.P. Morgan, its financial advisor, for quantitative analysis of the financial terms of the merger. See "Opinions 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I-23</w:t>
      </w:r>
    </w:p>
    <w:p>
      <w:pPr>
        <w:sectPr>
          <w:pgSz w:w="11900" w:h="16838" w:orient="portrait"/>
          <w:cols w:equalWidth="0" w:num="1">
            <w:col w:w="10239"/>
          </w:cols>
          <w:pgMar w:left="220" w:top="78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Financial Advisors--Opinion of Exxon Financial Advisor". In addition, the Exxon Board did not undertake to make any specific determination as to whether any particular factor, or any aspect of any particular factor, was favorable or unfavorable to the Exxon Board's ultimate determination, but rather the Exxon Board conducted an overall analysis of the factors described above, including through discussions with and questioning of Exxon's management and legal, financial and accounting advisors. In considering the factors described above, individual members of the Exxon Board may have given different weight to different factors.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Exxon Board considered all these factors as a whole, and overall considered the factors to be favorable to and to support its determination. However, the general view of the Exxon Board was that factors 12 and 13 were uncertainties or risks relating to the transaction, and that the other reasons and factors described above were generally considered favorable.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Considered by, and Recommendation of, the Mobil Board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its December 1, 1998 meeting, the Mobil Board, with one director voting against, determined that the merger agreement and the related transactions, including the merger, are fair to and in the best interests of Mobil and Mobil's shareholders. Accordingly, the Mobil Board has adopted the merger agreement, with one director voting against such adoption, and the Mobil Board recommends that Mobil's shareholders vote "FOR" approval of the merger agreement and the merger.</w:t>
      </w:r>
    </w:p>
    <w:p>
      <w:pPr>
        <w:spacing w:after="0" w:line="33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the course of reaching its decision to adopt the merger agreement, the Mobil Board consulted with Mobil's management, as well as its outside legal counsel and its financial advisor, and considered the following material factors:</w:t>
      </w:r>
    </w:p>
    <w:p>
      <w:pPr>
        <w:spacing w:after="0" w:line="162" w:lineRule="exact"/>
        <w:rPr>
          <w:sz w:val="20"/>
          <w:szCs w:val="20"/>
          <w:color w:val="auto"/>
        </w:rPr>
      </w:pPr>
    </w:p>
    <w:p>
      <w:pPr>
        <w:ind w:left="440" w:right="3679" w:firstLine="430"/>
        <w:spacing w:after="0" w:line="252" w:lineRule="auto"/>
        <w:tabs>
          <w:tab w:leader="none" w:pos="121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reasons described above under "Our Reasons for the Merger", including the near- and longer-term synergies and productivity improvements expected to be available to the combined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and potential rewards associated with, as an alternative to the merger, continuing to execute Mobil's strategic plan as an independent entity. Such risks include, among others, the risks associated with remaining independent amidst industry-wide consolidation, and such rewards include, among others, the ability of existing Mobil shareholders to partake in the potential future growth and profitability of Mobil;</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as alternatives to the merger, of seeking to acquire another company, seeking to engage in one or more joint ventures or seeking to engage in a combination with a company other than Exxon and the Mobil Board's conclusion that a transaction with Exxon is more feasible, and is expected to yield greater benefits, than the likely alternatives. The Mobil Board concluded that a combination with Exxon was more feasible than the other alternatives it reviewed for reasons including the fact that Exxon was interested in pursuing a transaction with Mobil, and Mobil's view that the transaction could be acceptably completed from a timing and regulatory standpoint, and would yield greater benefits than the alternatives given Exxon's financial strength, and the ability of a combined company to fund a greater number of long-term growth projects and to compete effectively;</w:t>
      </w:r>
    </w:p>
    <w:p>
      <w:pPr>
        <w:spacing w:after="0" w:line="328"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exchange ratio provided for in the merger agreement relative to the then-current market prices and historical trading prices of Mobil and Exxon shares over the past year and relative to the stock price premiums paid in mergers of comparable size as discussed in Goldman Sachs' selected transaction analysis, that the premium offered in the merger was within the range of premiums paid in comparable transactions, and that Mobil's shareholders would hold approximately 30% of the outstanding stock of the combined company after the merger;</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comparisons of historical financial measures for Mobil and Exxon, including earnings, return on capital employed and cash flow, and comparisons of historical operational measures for Mobil and Exxon, including hydrocarbon reserve replacement, hydrocarbon production and refinery runs;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I-24</w:t>
      </w:r>
    </w:p>
    <w:p>
      <w:pPr>
        <w:sectPr>
          <w:pgSz w:w="11900" w:h="16838" w:orient="portrait"/>
          <w:cols w:equalWidth="0" w:num="1">
            <w:col w:w="10239"/>
          </w:cols>
          <w:pgMar w:left="220" w:top="782" w:right="1440" w:bottom="1440" w:gutter="0" w:footer="0" w:header="0"/>
        </w:sectPr>
      </w:pPr>
    </w:p>
    <w:bookmarkStart w:id="29" w:name="page30"/>
    <w:bookmarkEnd w:id="29"/>
    <w:p>
      <w:pPr>
        <w:ind w:left="3876"/>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344" w:right="3419" w:firstLine="430"/>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of Mobil to compete effectively in the future, the prospects of Exxon based on Goldman Sachs' due diligence and its analysis of publicly available information including earnings estimates compiled by I/B/E/S and First Call, and Mobil management's view, based on its due diligence, of Exxon's prospects to compete effectively in the future;</w:t>
      </w:r>
    </w:p>
    <w:p>
      <w:pPr>
        <w:spacing w:after="0" w:line="164" w:lineRule="exact"/>
        <w:rPr>
          <w:rFonts w:ascii="Courier New" w:cs="Courier New" w:eastAsia="Courier New" w:hAnsi="Courier New"/>
          <w:sz w:val="14"/>
          <w:szCs w:val="14"/>
          <w:color w:val="auto"/>
        </w:rPr>
      </w:pPr>
    </w:p>
    <w:p>
      <w:pPr>
        <w:ind w:left="-344" w:right="3339" w:firstLine="430"/>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industry, economic and market conditions, including current low prices for crude oil and refined products. The Mobil Board considered that, when oil prices and refining margins fall, companies must improve the performance of their internal operations to maintain profitability. The Mobil Board considered it likely that low prices would lead to further consolidation in the oil and gas industry because, as explained under "Our Reasons for the Merger," combining operations can help companies save money and operate more efficiently;</w:t>
      </w:r>
    </w:p>
    <w:p>
      <w:pPr>
        <w:spacing w:after="0" w:line="163" w:lineRule="exact"/>
        <w:rPr>
          <w:rFonts w:ascii="Courier New" w:cs="Courier New" w:eastAsia="Courier New" w:hAnsi="Courier New"/>
          <w:sz w:val="14"/>
          <w:szCs w:val="14"/>
          <w:color w:val="auto"/>
        </w:rPr>
      </w:pPr>
    </w:p>
    <w:p>
      <w:pPr>
        <w:ind w:left="-344" w:right="3519" w:firstLine="430"/>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intended accounting of the merger as a pooling of interests which results in combined financial statements prepared on a basis consistent with the underlying view that shareholder interests in the two companies have simply been combined, and in the preservation of the historical cost approach for both Exxon and Mobil. This will facilitate future comparison and benchmarking of Exxon Mobil against our key international competitors;</w:t>
      </w:r>
    </w:p>
    <w:p>
      <w:pPr>
        <w:spacing w:after="0" w:line="164" w:lineRule="exact"/>
        <w:rPr>
          <w:rFonts w:ascii="Courier New" w:cs="Courier New" w:eastAsia="Courier New" w:hAnsi="Courier New"/>
          <w:sz w:val="14"/>
          <w:szCs w:val="14"/>
          <w:color w:val="auto"/>
        </w:rPr>
      </w:pPr>
    </w:p>
    <w:p>
      <w:pPr>
        <w:ind w:left="-344" w:right="3599" w:firstLine="430"/>
        <w:spacing w:after="0" w:line="255"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complete the merger as a tax-free reorganization for U.S. federal income tax purposes;</w:t>
      </w:r>
    </w:p>
    <w:p>
      <w:pPr>
        <w:spacing w:after="0" w:line="159" w:lineRule="exact"/>
        <w:rPr>
          <w:rFonts w:ascii="Courier New" w:cs="Courier New" w:eastAsia="Courier New" w:hAnsi="Courier New"/>
          <w:sz w:val="14"/>
          <w:szCs w:val="14"/>
          <w:color w:val="auto"/>
        </w:rPr>
      </w:pPr>
    </w:p>
    <w:p>
      <w:pPr>
        <w:ind w:left="-344" w:right="3599" w:firstLine="344"/>
        <w:spacing w:after="0" w:line="252"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which include restrictions on the conduct of Mobil's business pending closing which permit Mobil generally to conduct its business in the ordinary course during that period (see "The Merger Agreement");</w:t>
      </w:r>
    </w:p>
    <w:p>
      <w:pPr>
        <w:spacing w:after="0" w:line="162" w:lineRule="exact"/>
        <w:rPr>
          <w:rFonts w:ascii="Courier New" w:cs="Courier New" w:eastAsia="Courier New" w:hAnsi="Courier New"/>
          <w:sz w:val="14"/>
          <w:szCs w:val="14"/>
          <w:color w:val="auto"/>
        </w:rPr>
      </w:pPr>
    </w:p>
    <w:p>
      <w:pPr>
        <w:ind w:left="-344" w:right="3339" w:firstLine="344"/>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effect of the terms of the merger agreement with respect to possible third-party proposals to acquire Mobil after execution of the merger agreement, including that if any third party made a superior proposal (as described under "The Merger Agreement--Termination of the Merger Agreement"), the Mobil Board could provide information to and engage in negotiations with such third party, subject to the terms and conditions of the merger agreement;</w:t>
      </w:r>
    </w:p>
    <w:p>
      <w:pPr>
        <w:spacing w:after="0" w:line="164" w:lineRule="exact"/>
        <w:rPr>
          <w:rFonts w:ascii="Courier New" w:cs="Courier New" w:eastAsia="Courier New" w:hAnsi="Courier New"/>
          <w:sz w:val="14"/>
          <w:szCs w:val="14"/>
          <w:color w:val="auto"/>
        </w:rPr>
      </w:pPr>
    </w:p>
    <w:p>
      <w:pPr>
        <w:ind w:left="-344" w:right="3339" w:firstLine="344"/>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while the termination payment provisions of the merger agreement could have the effect of discouraging alternative proposals for a business combination with Mobil and that the stock option agreement could prevent an alternative business combination with Mobil from being accounted for as a pooling of interests, these provisions would not preclude bona fide alternative proposals, and that the size of the termination fee was reasonable in light of the size and benefits of the transaction;</w:t>
      </w:r>
    </w:p>
    <w:p>
      <w:pPr>
        <w:spacing w:after="0" w:line="164" w:lineRule="exact"/>
        <w:rPr>
          <w:rFonts w:ascii="Courier New" w:cs="Courier New" w:eastAsia="Courier New" w:hAnsi="Courier New"/>
          <w:sz w:val="14"/>
          <w:szCs w:val="14"/>
          <w:color w:val="auto"/>
        </w:rPr>
      </w:pPr>
    </w:p>
    <w:p>
      <w:pPr>
        <w:ind w:left="-344" w:right="3419" w:firstLine="344"/>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analyses and presentations prepared by Goldman Sachs, and Goldman Sachs' written opinion to the effect that, as of December 1, 1998, and subject to the various considerations set forth in its opinion, the exchange ratio was fair from a financial point of view to Mobil's shareholders;</w:t>
      </w:r>
    </w:p>
    <w:p>
      <w:pPr>
        <w:spacing w:after="0" w:line="164" w:lineRule="exact"/>
        <w:rPr>
          <w:rFonts w:ascii="Courier New" w:cs="Courier New" w:eastAsia="Courier New" w:hAnsi="Courier New"/>
          <w:sz w:val="14"/>
          <w:szCs w:val="14"/>
          <w:color w:val="auto"/>
        </w:rPr>
      </w:pPr>
    </w:p>
    <w:p>
      <w:pPr>
        <w:ind w:left="-344" w:right="3419" w:firstLine="344"/>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role that Mobil's current management is expected to play in the management of the combined company, in particular Mobil management's participation in the transition and the intention of Exxon and Mobil to take advantage of the best management resources of both companies in Exxon Mobil;</w:t>
      </w:r>
    </w:p>
    <w:p>
      <w:pPr>
        <w:spacing w:after="0" w:line="164" w:lineRule="exact"/>
        <w:rPr>
          <w:rFonts w:ascii="Courier New" w:cs="Courier New" w:eastAsia="Courier New" w:hAnsi="Courier New"/>
          <w:sz w:val="14"/>
          <w:szCs w:val="14"/>
          <w:color w:val="auto"/>
        </w:rPr>
      </w:pPr>
    </w:p>
    <w:p>
      <w:pPr>
        <w:jc w:val="both"/>
        <w:ind w:left="-344" w:right="3599" w:firstLine="344"/>
        <w:spacing w:after="0" w:line="252"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six of the Mobil Board's members would become directors of Exxon Mobil, as described under "The Merger Agreement--Exxon Mobil Board and Related Matters";</w:t>
      </w:r>
    </w:p>
    <w:p>
      <w:pPr>
        <w:spacing w:after="0" w:line="162" w:lineRule="exact"/>
        <w:rPr>
          <w:rFonts w:ascii="Courier New" w:cs="Courier New" w:eastAsia="Courier New" w:hAnsi="Courier New"/>
          <w:sz w:val="14"/>
          <w:szCs w:val="14"/>
          <w:color w:val="auto"/>
        </w:rPr>
      </w:pPr>
    </w:p>
    <w:p>
      <w:pPr>
        <w:ind w:left="-344" w:right="3419" w:firstLine="344"/>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while there would be the expected reduction of workforce affecting both Mobil and Exxon employees, Mobil employees would be given a fair opportunity to be considered for jobs in the combined company, and Mobil employees who were not offered positions in the combined company would be</w:t>
      </w:r>
    </w:p>
    <w:p>
      <w:pPr>
        <w:spacing w:after="0" w:line="165" w:lineRule="exact"/>
        <w:rPr>
          <w:sz w:val="20"/>
          <w:szCs w:val="20"/>
          <w:color w:val="auto"/>
        </w:rPr>
      </w:pPr>
    </w:p>
    <w:p>
      <w:pPr>
        <w:ind w:left="2496"/>
        <w:spacing w:after="0"/>
        <w:rPr>
          <w:sz w:val="20"/>
          <w:szCs w:val="20"/>
          <w:color w:val="auto"/>
        </w:rPr>
      </w:pPr>
      <w:r>
        <w:rPr>
          <w:rFonts w:ascii="Courier New" w:cs="Courier New" w:eastAsia="Courier New" w:hAnsi="Courier New"/>
          <w:sz w:val="14"/>
          <w:szCs w:val="14"/>
          <w:color w:val="auto"/>
        </w:rPr>
        <w:t>I-25</w:t>
      </w:r>
    </w:p>
    <w:p>
      <w:pPr>
        <w:sectPr>
          <w:pgSz w:w="11900" w:h="16838" w:orient="portrait"/>
          <w:cols w:equalWidth="0" w:num="1">
            <w:col w:w="9456"/>
          </w:cols>
          <w:pgMar w:left="1004" w:top="78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entitled to receive severance benefits under the Mobil severance</w:t>
      </w:r>
    </w:p>
    <w:p>
      <w:pPr>
        <w:spacing w:after="0" w:line="7"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plan described under "Interests of Certain Persons in the Merger" that the Mobil Board believed to be fair;</w:t>
      </w:r>
    </w:p>
    <w:p>
      <w:pPr>
        <w:spacing w:after="0" w:line="160" w:lineRule="exact"/>
        <w:rPr>
          <w:sz w:val="20"/>
          <w:szCs w:val="20"/>
          <w:color w:val="auto"/>
        </w:rPr>
      </w:pPr>
    </w:p>
    <w:p>
      <w:pPr>
        <w:ind w:left="440" w:right="3519" w:firstLine="344"/>
        <w:spacing w:after="0" w:line="252" w:lineRule="auto"/>
        <w:tabs>
          <w:tab w:leader="none" w:pos="121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while Exxon Mobil's corporate headquarters will be located in Irving, Texas, Exxon Mobil's downstream headquarters will be located in Fairfax, Virginia;</w:t>
      </w:r>
    </w:p>
    <w:p>
      <w:pPr>
        <w:spacing w:after="0" w:line="162"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while the merger is likely to be completed, there are risks associated with obtaining necessary approvals, and as a result of certain conditions to the completion of the merger, it is possible that the merger may not be completed even if approved by shareholders (see "The Merger Agreement--Conditions to the Completion of the Merger");</w:t>
      </w:r>
    </w:p>
    <w:p>
      <w:pPr>
        <w:spacing w:after="0" w:line="164"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although, pending completion of the proposed merger, Mobil's relationships with customers, governments and partners might be negatively affected because of uncertainty surrounding Mobil's future status and direction, the Mobil Board believed that any such effect would cease once the merger was completed; and</w:t>
      </w:r>
    </w:p>
    <w:p>
      <w:pPr>
        <w:spacing w:after="0" w:line="164" w:lineRule="exact"/>
        <w:rPr>
          <w:rFonts w:ascii="Courier New" w:cs="Courier New" w:eastAsia="Courier New" w:hAnsi="Courier New"/>
          <w:sz w:val="14"/>
          <w:szCs w:val="14"/>
          <w:color w:val="auto"/>
        </w:rPr>
      </w:pPr>
    </w:p>
    <w:p>
      <w:pPr>
        <w:ind w:left="440" w:right="3339" w:firstLine="344"/>
        <w:spacing w:after="0" w:line="252" w:lineRule="auto"/>
        <w:tabs>
          <w:tab w:leader="none" w:pos="121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interests that certain executive officers and directors of Mobil may have with respect to the merger in addition to their interests as shareholders of Mobil generally (see "Interests of Certain Persons in the Merger").</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view of the wide variety of factors considered in connection with its evaluation of the merger and the complexity of these matters, the Mobil Board did not find it useful to and did not attempt to quantify, rank or otherwise assign relative weights to these factors. The Mobil Board relied on the experience and expertise of Goldman Sachs, its financial advisor, for quantitative analysis of the financial terms of the merger. See "Opinions of Financial Advisors--Opinion of Mobil Financial Advisor". In addition, the Mobil Board did not undertake to make any specific determination as to whether any particular factor, or any aspect of any particular factor, was favorable or unfavorable to the Mobil Board's ultimate determination, but rather the Mobil Board conducted an overall analysis of the factors described above, including through discussions with and questioning of Mobil's management and legal, financial and accounting advisors. In considering the factors described above, individual members of the Mobil Board may have given different weight to different factors.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Mobil Board considered all these factors as a whole, and overall considered the factors to be favorable to and to support its determination. However, the general view of the Mobil Board was that factor 20 was part of the general mix of available information without being clearly favorable or unfavorable, that factors 12, 16, 18 and 19 were uncertainties, risks or drawbacks relating to the transaction, and that the other reasons and factors described above were generally considered favorable.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and Mobil intend for the merger to be accounted for under the "pooling of interests" method under the requirements of Opinion No. 16 (Business Combinations) of the Accounting Principles Board of the American Institute of Certified Public Accountants, the Financial Accounting Standards Board, and the rules and regulations of the SEC.</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has received a letter regarding pooling dated November 25, 1998 from PwC, its independent accounting firm. The letter states that, as of its date, based on certain information provided to PwC by Exxon and based on the E&amp;Y letter described below, PwC concurred with Exxon's conclusion that no conditions existed which would preclude Exxon from accounting for the merger as a pooling of interests.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Mobil has received a letter regarding pooling dated November 22, 1998 from E&amp;Y, its independent auditing firm. The letter states that, as of its date, E&amp;Y concurred with Mobil's conclusion that no conditions existed relating to Mobil that would preclude Exxon from accounting for the merger as a pooling of interests.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I-26</w:t>
      </w:r>
    </w:p>
    <w:p>
      <w:pPr>
        <w:sectPr>
          <w:pgSz w:w="11900" w:h="16838" w:orient="portrait"/>
          <w:cols w:equalWidth="0" w:num="1">
            <w:col w:w="10239"/>
          </w:cols>
          <w:pgMar w:left="220" w:top="782" w:right="1440" w:bottom="1440" w:gutter="0" w:footer="0" w:header="0"/>
        </w:sectPr>
      </w:pPr>
    </w:p>
    <w:bookmarkStart w:id="31" w:name="page32"/>
    <w:bookmarkEnd w:id="3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receipt of letters from PwC and E&amp;Y dated as of the closing date of the merger reconfirming their concurrence with the conclusions of Exxon's and Mobil's managements as to the appropriateness of pooling of interests accounting treatment is a condition to the closing of the merger.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pooling of interests accounting method, the reported balance sheet amounts and results of operations of the separate companies for prior periods will be combined, reclassified and conformed, as appropriate, to reflect the combined financial position and results of operations for Exxon Mobil. See "Unaudited Pro Forma Condensed Combined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Federal Income Tax Consequences of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following discussion summarizes the opinions of Davis Polk &amp; Wardwell and Skadden, Arps, Slate, Meagher &amp; Flom LLP as to the material federal income tax consequences of the merger. We have filed these opinions with the SEC as exhibits to the registration statement related to this joint proxy statement/prospectus. See "Where You Can Find More Information" on page VI-1. This discussion is based upon the Internal Revenue Code of 1986, as amended, the regulations promulgated under the Code, Internal Revenue Service rulings, and judicial and administrative rulings in effect as of the date hereof, all of which are subject to change, possibly with retroactive effect. This discussion does not address all aspects of federal income taxation that may be relevant to a shareholder in light of the shareholder's particular circumstances or to those Mobil shareholders subject to special rules, such as shareholders who are not citizens or residents of the United States, financial institutions, tax-exempt organizations, insurance companies, dealers in securities, shareholders who acquired their Mobil stock pursuant to the exercise of options or similar derivative securities or otherwise as compensation or shareholders who hold their Mobil stock as part of a straddle or conversion transaction. This discussion assumes that Mobil shareholders hold their respective shares of Mobil stock as capital assets within the meaning of Section 1221 of the Code.</w:t>
      </w:r>
    </w:p>
    <w:p>
      <w:pPr>
        <w:spacing w:after="0" w:line="17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It is a condition to the obligations of Mobil and Exxon to complete the merger that each receive a legal opinion from its counsel that the merger constitutes a tax-free reorganization, within the meaning of Section 368 of the Code, for federal income tax purposes. These legal opinions will assume the absence of certain changes in the existing facts and may rely on assumptions, representations and covenants made by Mobil, Exxon and others, including those contained in certificates of officers of Mobil and Exxon. If any of these factual assumptions is inaccurate, the tax consequences of the merger could differ from those described here. The opinions regarding the tax-free nature of the merger neither bind the IRS nor preclude the IRS from adopting a contrary position. Neither Mobil nor Exxon intends to obtain a ruling from the IRS with respect to the tax consequences of the merger.</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Federal Income Tax Consequences to Exxon Shareholders. Holders of Exxon stock will not recognize any gain or loss for federal income tax purposes as a result of the merger.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Federal Income Tax Consequences to Mobil Shareholders. Except as provided below, holders of shares of Mobil stock will (1) not recognize any gain or loss for federal income tax purposes as a result of the exchange of their shares of Mobil stock for Exxon Mobil stock in the merger except with respect to cash received instead of a fractional share of Exxon Mobil common stock and (2) have a tax basis in the Exxon Mobil stock received in the merger equal to the tax basis of the Mobil stock surrendered in the merger less any tax basis of the Mobil stock surrendered that is allocable to a fractional share of Exxon Mobil common stock for which cash is received. The Mobil shareholders' holding period with respect to the Exxon Mobil stock received in the merger will include the holding period of the Mobil stock surrendered in the merger.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extent that a holder of shares of Mobil common stock receives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instead of a fractional share of Exxon Mobil common stock, the holder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recognize gain or loss for federal income tax purposes,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measured by the difference between the amount of cash received and the portion of the tax basis of the holder's shares of Mobil common stock allocable to such fractional share of Exxon Mobil common stock. This gain or loss will be a capital gain or loss and will be a long-term capital gain or loss if the share of Mobil common stock exchanged for the fractional share of Exxon Mobil common stock was held for more than one year at the effective time of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I-27</w:t>
      </w:r>
    </w:p>
    <w:p>
      <w:pPr>
        <w:sectPr>
          <w:pgSz w:w="11900" w:h="16838" w:orient="portrait"/>
          <w:cols w:equalWidth="0" w:num="1">
            <w:col w:w="10239"/>
          </w:cols>
          <w:pgMar w:left="220" w:top="78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merger agreement, Mobil will pay any transfer taxes incurred as a result of a change in ownership of Mobil, including transfer taxes that under applicable law may be the primary liability of the holders of Mobil stock. Although the matter is not free from doubt (because of the absence of legislative, judicial or other authority directly on point), Mobil's payment of transfer taxes for which the Mobil shareholders are primarily liable, if any, may be taxable as a dividend to the Mobil shareholders for federal income tax purposes.</w:t>
      </w:r>
    </w:p>
    <w:p>
      <w:pPr>
        <w:spacing w:after="0" w:line="33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Federal Income Tax Consequences to Mobil, Exxon and the Merger Subsidiary. None of Exxon, Mobil, or the merger subsidiary will recognize gain or loss for federal income tax purposes as a result of the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INTEND THIS DISCUSSION TO PROVIDE ONLY A SUMMARY OF THE MATERIAL FEDERAL INCOME TAX CONSEQUENCES OF THE MERGER. WE DO NOT INTEND THAT IT BE A COMPLETE ANALYSIS OR DESCRIPTION OF ALL POTENTIAL FEDERAL INCOME TAX CONSEQUENCES OF THE MERGER. IN ADDITION, WE DO NOT ADDRESS TAX CONSEQUENCES WHICH MAY VARY WITH, OR ARE CONTINGENT UPON, INDIVIDUAL CIRCUMSTANCES. MOREOVER, EXCEPT FOR THE DISCUSSION OF TRANSFER TAXES ABOVE, WE DO NOT ADDRESS ANY NON-INCOME TAX OR ANY FOREIGN, STATE OR LOCAL TAX CONSEQUENCES OF THE MERGER. ACCORDINGLY, WE STRONGLY URGE YOU TO CONSULT YOUR TAX ADVISOR TO DETERMINE YOUR PARTICULAR UNITED STATES FEDERAL, STATE, LOCAL OR FOREIGN INCOME OR OTHER TAX CONSEQUENCES RESULTING FROM THE MERGER, WITH RESPECT TO YOUR INDIVIDUAL CIRCUMSTANCES.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U.S. Antitrust. Under the Hart-Scott-Rodino Antitrust Improvements Act of 1976, as amended, and the related rules the merger may not be completed until notifications have been given, certain information has been furnished to the FTC and specified waiting period requirements have been satisfied. During the week of December 14, 1998 Exxon and Mobil each filed the required notification and report forms under the HSR Act with the FTC and the Antitrust Division of the United States Department of Justice. On January 15, 1999, the FTC issued a request for additional information and other documentary materials to Exxon and Mobil relating to the merger. The merger may not be completed until 20 days following substantial compliance with this request by both parties, unless the waiting period is terminated earlier. If it believes that the merger would violate the federal antitrust law by substantially lessening competition in any line of commerce affecting U.S. consumers, the FTC has the authority to challenge the merger on antitrust grounds by seeking a federal court order temporarily enjoining the transaction pending conclusion of an administrative hearing. The FTC may also proceed with an administrative proceeding if the injunction is denied, and if the merger is found to be anticompetitive, challenge it after the fact. We can give no assurance that a challenge to the merger will not be made or, if such a challenge is made, that it would be unsuccessful. In addition, a number of state attorneys general have indicated their intent to review the proposed merger and to coordinate that review with the FTC. Expiration or termination of the HSR Act waiting period is a condition to the merger. See "The Merger Agreement--Conditions to the Completion of the Merger" on page I-58.</w:t>
      </w:r>
    </w:p>
    <w:p>
      <w:pPr>
        <w:spacing w:after="0" w:line="3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European Union. Under Council Regulation No. 4064/89 of the European Commission and accompanying regulations, the merger is subject to review by the European Commission. Exxon and Mobil informally notified the EC of the merger on December 1, 1998 and expect to file formal notifications with the EC of the merger agreement by the end of April 1999. Completion of review under the EC merger regulation is a condition to the merger. See "The Merger Agreement--Conditions to the Completion of the Merger" on page I-58.</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Other Laws. Exxon and Mobil conduct operations in a number of jurisdictions where other regulatory filings or approvals may be required or advisable in connection with the completion of the merger. Exxon and Mobil are currently in the process of reviewing whether other filings or approvals may be required or desirable in these other jurisdictions. We recognize that some of these filings may not be completed before the closing, and that some of these approvals, which are not as a matter of practice required to be obtained</w:t>
      </w:r>
    </w:p>
    <w:p>
      <w:pPr>
        <w:spacing w:after="0" w:line="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prior to effectiveness of a merger transaction, may not be obtained prior to the closing.</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It is possible that governmental entities having jurisdiction over Exxon and Mobil may seek regulatory concessions as conditions for granting approval of the merger. If any regulatory body's approval contains terms or imposes conditions or restrictions relating or applying to, or requiring changes in or limitations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I-28</w:t>
      </w:r>
    </w:p>
    <w:p>
      <w:pPr>
        <w:sectPr>
          <w:pgSz w:w="11900" w:h="16838" w:orient="portrait"/>
          <w:cols w:equalWidth="0" w:num="1">
            <w:col w:w="10239"/>
          </w:cols>
          <w:pgMar w:left="220" w:top="782" w:right="1440" w:bottom="1440" w:gutter="0" w:footer="0" w:header="0"/>
        </w:sectPr>
      </w:pPr>
    </w:p>
    <w:bookmarkStart w:id="33" w:name="page34"/>
    <w:bookmarkEnd w:id="3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on, the operation or ownership of any asset or business of Exxon, Mobil or any of their subsidiaries, or on Exxon Mobil's ownership of Mobil or requiring asset divestitures, which could reasonably be expected to result in a substantial detriment to Exxon, Mobil and their subsidiaries, taken as a whole, after the closing, Exxon can decline to close under the merger agreement. We can give no assurance that the required regulatory approvals will be obtained on terms that satisfy the conditions to closing of the merger or within the time frame contemplated by Exxon and Mobil. See "The Merger Agreement--Conditions to the Completion of the Merger" on page I-58.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Exxon common stock are not entitled to dissenters' appraisal rights under New Jersey law in connection with the merger. Holders of Mobil common stock do not have dissenters' appraisal rights under Delaware law in connection with the merger because the shares of Exxon Mobil common stock that such holders will be entitled to receive in the merger will be listed on the New York Stock Exchange at the closing. See "Chapter Three--Comparison of Shareholder Rights--Appraisal Rights". Dissenters' appraisal rights are available in connection with the merger to the trustee of the Mobil ESOP, the sole record holder of Mobil ESOP preferred stock, if the trustee complies with the procedural requirements of the Delaware dissenters' rights statute.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Securities Laws Consequences; Stock Transfer Restriction Agreements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This joint proxy statement/prospectus does not cover any resales of the Exxon Mobil common stock to be received by the shareholders of Mobil upon completion of the merger, and no person is authorized to make any use of this joint proxy statement/prospectus in connection with any such resale.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shares of Exxon Mobil common stock received by Mobil shareholders in the merger will be freely transferable, except that shares of Exxon Mobil common stock received by persons who are deemed to be "affiliates" of Mobil under the Securities Act of 1933, as amended, at the time of the Mobil meeting may be resold by them only in transactions permitted by Rule 145 under the 1933 Act or as otherwise permitted under the 1933 Act. Persons who may be deemed to be affiliates of Mobil for such purposes generally include individuals or entities that control, are controlled by or are under common control with Mobil and include directors and executive officers of Mobil. The merger agreement requires Mobil to use its reasonable best efforts to cause each of such affiliates to execute a written agreement to the effect that such persons will not offer, sell or otherwise dispose of any of the shares of Exxon Mobil common stock issued to them in the merger in violation of the 1933 Act or the related SEC rules.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each of the directors and some of the executive officers of Exxon and Mobil have executed written agreements prohibiting them from selling, transferring or otherwise disposing of, or acquiring or selling any options or other securities relating to, securities of Exxon or Mobil that would be intended to reduce the individual's risk relative to, any shares of Exxon common stock or Mobil common stock beneficially owned by him or her during the period beginning 30 days prior to the closing and ending at such time as financial results covering at least 30 days of combined operations of Exxon and Mobil have been publicly released by Exxon Mobil after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I-29</w:t>
      </w:r>
    </w:p>
    <w:p>
      <w:pPr>
        <w:sectPr>
          <w:pgSz w:w="11900" w:h="16838" w:orient="portrait"/>
          <w:cols w:equalWidth="0" w:num="1">
            <w:col w:w="10239"/>
          </w:cols>
          <w:pgMar w:left="220" w:top="616"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COMPARATIVE PER SHARE MARKET PRICE AND DIVIDEND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common stock and Mobil common stock are each listed on the NYSE. Exxon's ticker symbol on the NYSE is "XON" and Mobil's ticker symbol on the NYSE is "MOB". The following table shows, for the periods indicated, the high and low of the last reported closing prices per share of Exxon common stock and Mobil common stock, as reported on the Consolidated Tape, and the dividends per share.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80" w:type="dxa"/>
            <w:vAlign w:val="bottom"/>
            <w:gridSpan w:val="4"/>
          </w:tcPr>
          <w:p>
            <w:pPr>
              <w:jc w:val="right"/>
              <w:ind w:right="628"/>
              <w:spacing w:after="0"/>
              <w:rPr>
                <w:sz w:val="20"/>
                <w:szCs w:val="20"/>
                <w:color w:val="auto"/>
              </w:rPr>
            </w:pPr>
            <w:r>
              <w:rPr>
                <w:rFonts w:ascii="Courier New" w:cs="Courier New" w:eastAsia="Courier New" w:hAnsi="Courier New"/>
                <w:sz w:val="14"/>
                <w:szCs w:val="14"/>
                <w:color w:val="auto"/>
              </w:rPr>
              <w:t>Exxon Common Stock(1)</w:t>
            </w:r>
          </w:p>
        </w:tc>
        <w:tc>
          <w:tcPr>
            <w:tcW w:w="480" w:type="dxa"/>
            <w:vAlign w:val="bottom"/>
          </w:tcPr>
          <w:p>
            <w:pPr>
              <w:spacing w:after="0"/>
              <w:rPr>
                <w:sz w:val="14"/>
                <w:szCs w:val="14"/>
                <w:color w:val="auto"/>
              </w:rPr>
            </w:pPr>
          </w:p>
        </w:tc>
        <w:tc>
          <w:tcPr>
            <w:tcW w:w="296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Mobil Common Stock(2)</w:t>
            </w:r>
          </w:p>
        </w:tc>
      </w:tr>
      <w:tr>
        <w:trPr>
          <w:trHeight w:val="166"/>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5"/>
                <w:szCs w:val="5"/>
                <w:color w:val="auto"/>
                <w:w w:val="75"/>
              </w:rPr>
              <w:t>-------------------------------------</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4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Low</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Dividend</w:t>
            </w:r>
          </w:p>
        </w:tc>
        <w:tc>
          <w:tcPr>
            <w:tcW w:w="48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High</w:t>
            </w:r>
          </w:p>
        </w:tc>
        <w:tc>
          <w:tcPr>
            <w:tcW w:w="30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Low</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w:t>
            </w:r>
          </w:p>
        </w:tc>
      </w:tr>
      <w:tr>
        <w:trPr>
          <w:trHeight w:val="166"/>
        </w:trPr>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55.625</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48.250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0.395</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68.000</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60.625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0.530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65.125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49.875</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72.250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60.000</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0.530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Third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67.250</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58.625</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78.000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69.625</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0.530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Fourth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66.875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54.750</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77.500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66.438</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0.530</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70.000</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56.625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83.813</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63.750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76.000</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65.375</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82.813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73.438</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Third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73.813</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62.000</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80.000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62.438</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Fourth Quarter...........</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77.313</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69.438</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91.250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71.000</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76.375</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64.313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0.410</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95.875</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80.063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0.570</w:t>
            </w: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Second Quarter (through</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April</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3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70.375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69.438</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0.000</w:t>
            </w:r>
          </w:p>
        </w:tc>
        <w:tc>
          <w:tcPr>
            <w:tcW w:w="48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88.063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86.625</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0.000</w:t>
            </w:r>
          </w:p>
        </w:tc>
      </w:tr>
      <w:tr>
        <w:trPr>
          <w:trHeight w:val="497"/>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gridSpan w:val="8"/>
          </w:tcPr>
          <w:p>
            <w:pPr>
              <w:jc w:val="right"/>
              <w:ind w:right="268"/>
              <w:spacing w:after="0"/>
              <w:rPr>
                <w:sz w:val="20"/>
                <w:szCs w:val="20"/>
                <w:color w:val="auto"/>
              </w:rPr>
            </w:pPr>
            <w:r>
              <w:rPr>
                <w:rFonts w:ascii="Courier New" w:cs="Courier New" w:eastAsia="Courier New" w:hAnsi="Courier New"/>
                <w:sz w:val="14"/>
                <w:szCs w:val="14"/>
                <w:color w:val="auto"/>
              </w:rPr>
              <w:t>(1)  Exxon prior period share prices and dividends restated for a</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gridSpan w:val="7"/>
          </w:tcPr>
          <w:p>
            <w:pPr>
              <w:ind w:left="520"/>
              <w:spacing w:after="0"/>
              <w:rPr>
                <w:sz w:val="20"/>
                <w:szCs w:val="20"/>
                <w:color w:val="auto"/>
              </w:rPr>
            </w:pPr>
            <w:r>
              <w:rPr>
                <w:rFonts w:ascii="Courier New" w:cs="Courier New" w:eastAsia="Courier New" w:hAnsi="Courier New"/>
                <w:sz w:val="14"/>
                <w:szCs w:val="14"/>
                <w:color w:val="auto"/>
              </w:rPr>
              <w:t>two-for-one stock split effective March 14, 1997.</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6040" w:type="dxa"/>
            <w:vAlign w:val="bottom"/>
            <w:gridSpan w:val="8"/>
          </w:tcPr>
          <w:p>
            <w:pPr>
              <w:jc w:val="right"/>
              <w:ind w:right="268"/>
              <w:spacing w:after="0"/>
              <w:rPr>
                <w:sz w:val="20"/>
                <w:szCs w:val="20"/>
                <w:color w:val="auto"/>
              </w:rPr>
            </w:pPr>
            <w:r>
              <w:rPr>
                <w:rFonts w:ascii="Courier New" w:cs="Courier New" w:eastAsia="Courier New" w:hAnsi="Courier New"/>
                <w:sz w:val="14"/>
                <w:szCs w:val="14"/>
                <w:color w:val="auto"/>
              </w:rPr>
              <w:t>(2)  Mobil prior period share prices and dividends restated for a</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580" w:type="dxa"/>
            <w:vAlign w:val="bottom"/>
            <w:gridSpan w:val="6"/>
          </w:tcPr>
          <w:p>
            <w:pPr>
              <w:ind w:left="520"/>
              <w:spacing w:after="0"/>
              <w:rPr>
                <w:sz w:val="20"/>
                <w:szCs w:val="20"/>
                <w:color w:val="auto"/>
              </w:rPr>
            </w:pPr>
            <w:r>
              <w:rPr>
                <w:rFonts w:ascii="Courier New" w:cs="Courier New" w:eastAsia="Courier New" w:hAnsi="Courier New"/>
                <w:sz w:val="14"/>
                <w:szCs w:val="14"/>
                <w:color w:val="auto"/>
              </w:rPr>
              <w:t>two-for-one stock split effective May 20, 1997.</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5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On November 25, 1998, the last full trading day</w:t>
            </w:r>
          </w:p>
        </w:tc>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before Exxon and Mobil</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7280" w:type="dxa"/>
            <w:vAlign w:val="bottom"/>
            <w:gridSpan w:val="10"/>
          </w:tcPr>
          <w:p>
            <w:pPr>
              <w:spacing w:after="0"/>
              <w:rPr>
                <w:sz w:val="20"/>
                <w:szCs w:val="20"/>
                <w:color w:val="auto"/>
              </w:rPr>
            </w:pPr>
            <w:r>
              <w:rPr>
                <w:rFonts w:ascii="Courier New" w:cs="Courier New" w:eastAsia="Courier New" w:hAnsi="Courier New"/>
                <w:sz w:val="14"/>
                <w:szCs w:val="14"/>
                <w:color w:val="auto"/>
              </w:rPr>
              <w:t>issued a joint press release confirming that they were in discussions concerning</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a possible combination, the last</w:t>
            </w:r>
          </w:p>
        </w:tc>
        <w:tc>
          <w:tcPr>
            <w:tcW w:w="4420" w:type="dxa"/>
            <w:vAlign w:val="bottom"/>
            <w:gridSpan w:val="7"/>
          </w:tcPr>
          <w:p>
            <w:pPr>
              <w:spacing w:after="0"/>
              <w:rPr>
                <w:sz w:val="20"/>
                <w:szCs w:val="20"/>
                <w:color w:val="auto"/>
              </w:rPr>
            </w:pPr>
            <w:r>
              <w:rPr>
                <w:rFonts w:ascii="Courier New" w:cs="Courier New" w:eastAsia="Courier New" w:hAnsi="Courier New"/>
                <w:sz w:val="14"/>
                <w:szCs w:val="14"/>
                <w:color w:val="auto"/>
              </w:rPr>
              <w:t>reported per share closing price was $72.688</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80" w:type="dxa"/>
            <w:vAlign w:val="bottom"/>
            <w:gridSpan w:val="10"/>
          </w:tcPr>
          <w:p>
            <w:pPr>
              <w:spacing w:after="0"/>
              <w:rPr>
                <w:sz w:val="20"/>
                <w:szCs w:val="20"/>
                <w:color w:val="auto"/>
              </w:rPr>
            </w:pPr>
            <w:r>
              <w:rPr>
                <w:rFonts w:ascii="Courier New" w:cs="Courier New" w:eastAsia="Courier New" w:hAnsi="Courier New"/>
                <w:sz w:val="14"/>
                <w:szCs w:val="14"/>
                <w:color w:val="auto"/>
              </w:rPr>
              <w:t>for Exxon common stock and $78.375 for Mobil common stock. On November 30, 1998,</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the last full trading day before</w:t>
            </w:r>
          </w:p>
        </w:tc>
        <w:tc>
          <w:tcPr>
            <w:tcW w:w="4420" w:type="dxa"/>
            <w:vAlign w:val="bottom"/>
            <w:gridSpan w:val="7"/>
          </w:tcPr>
          <w:p>
            <w:pPr>
              <w:spacing w:after="0"/>
              <w:rPr>
                <w:sz w:val="20"/>
                <w:szCs w:val="20"/>
                <w:color w:val="auto"/>
              </w:rPr>
            </w:pPr>
            <w:r>
              <w:rPr>
                <w:rFonts w:ascii="Courier New" w:cs="Courier New" w:eastAsia="Courier New" w:hAnsi="Courier New"/>
                <w:sz w:val="14"/>
                <w:szCs w:val="14"/>
                <w:color w:val="auto"/>
              </w:rPr>
              <w:t>the public announcement of the proposed merger,</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80" w:type="dxa"/>
            <w:vAlign w:val="bottom"/>
            <w:gridSpan w:val="10"/>
          </w:tcPr>
          <w:p>
            <w:pPr>
              <w:spacing w:after="0"/>
              <w:rPr>
                <w:sz w:val="20"/>
                <w:szCs w:val="20"/>
                <w:color w:val="auto"/>
              </w:rPr>
            </w:pPr>
            <w:r>
              <w:rPr>
                <w:rFonts w:ascii="Courier New" w:cs="Courier New" w:eastAsia="Courier New" w:hAnsi="Courier New"/>
                <w:sz w:val="14"/>
                <w:szCs w:val="14"/>
                <w:color w:val="auto"/>
              </w:rPr>
              <w:t>the last reported closing price was $75.000 for Exxon common stock and $86.000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for Mobil common stock. On April</w:t>
            </w:r>
          </w:p>
        </w:tc>
        <w:tc>
          <w:tcPr>
            <w:tcW w:w="4420" w:type="dxa"/>
            <w:vAlign w:val="bottom"/>
            <w:gridSpan w:val="7"/>
          </w:tcPr>
          <w:p>
            <w:pPr>
              <w:spacing w:after="0"/>
              <w:rPr>
                <w:sz w:val="20"/>
                <w:szCs w:val="20"/>
                <w:color w:val="auto"/>
              </w:rPr>
            </w:pPr>
            <w:r>
              <w:rPr>
                <w:rFonts w:ascii="Courier New" w:cs="Courier New" w:eastAsia="Courier New" w:hAnsi="Courier New"/>
                <w:sz w:val="14"/>
                <w:szCs w:val="14"/>
                <w:color w:val="auto"/>
              </w:rPr>
              <w:t>1, 1999, the most recent practicable date prior</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20" w:type="dxa"/>
            <w:vAlign w:val="bottom"/>
            <w:gridSpan w:val="9"/>
          </w:tcPr>
          <w:p>
            <w:pPr>
              <w:spacing w:after="0"/>
              <w:rPr>
                <w:sz w:val="20"/>
                <w:szCs w:val="20"/>
                <w:color w:val="auto"/>
              </w:rPr>
            </w:pPr>
            <w:r>
              <w:rPr>
                <w:rFonts w:ascii="Courier New" w:cs="Courier New" w:eastAsia="Courier New" w:hAnsi="Courier New"/>
                <w:sz w:val="14"/>
                <w:szCs w:val="14"/>
                <w:color w:val="auto"/>
              </w:rPr>
              <w:t>to the printing of this joint proxy statement/prospectus, the last reported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5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closing price was $70.125 for Exxon common stock and</w:t>
            </w:r>
          </w:p>
        </w:tc>
        <w:tc>
          <w:tcPr>
            <w:tcW w:w="2700" w:type="dxa"/>
            <w:vAlign w:val="bottom"/>
            <w:gridSpan w:val="4"/>
          </w:tcPr>
          <w:p>
            <w:pPr>
              <w:spacing w:after="0"/>
              <w:rPr>
                <w:sz w:val="20"/>
                <w:szCs w:val="20"/>
                <w:color w:val="auto"/>
              </w:rPr>
            </w:pPr>
            <w:r>
              <w:rPr>
                <w:rFonts w:ascii="Courier New" w:cs="Courier New" w:eastAsia="Courier New" w:hAnsi="Courier New"/>
                <w:sz w:val="14"/>
                <w:szCs w:val="14"/>
                <w:color w:val="auto"/>
              </w:rPr>
              <w:t>$87.375 for Mobil common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20" w:type="dxa"/>
            <w:vAlign w:val="bottom"/>
            <w:gridSpan w:val="9"/>
          </w:tcPr>
          <w:p>
            <w:pPr>
              <w:spacing w:after="0"/>
              <w:rPr>
                <w:sz w:val="20"/>
                <w:szCs w:val="20"/>
                <w:color w:val="auto"/>
              </w:rPr>
            </w:pPr>
            <w:r>
              <w:rPr>
                <w:rFonts w:ascii="Courier New" w:cs="Courier New" w:eastAsia="Courier New" w:hAnsi="Courier New"/>
                <w:sz w:val="14"/>
                <w:szCs w:val="14"/>
                <w:color w:val="auto"/>
              </w:rPr>
              <w:t>stock. We urge you to obtain current market quotations prior to making any</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60" w:type="dxa"/>
            <w:vAlign w:val="bottom"/>
            <w:gridSpan w:val="4"/>
          </w:tcPr>
          <w:p>
            <w:pPr>
              <w:spacing w:after="0"/>
              <w:rPr>
                <w:sz w:val="20"/>
                <w:szCs w:val="20"/>
                <w:color w:val="auto"/>
              </w:rPr>
            </w:pPr>
            <w:r>
              <w:rPr>
                <w:rFonts w:ascii="Courier New" w:cs="Courier New" w:eastAsia="Courier New" w:hAnsi="Courier New"/>
                <w:sz w:val="14"/>
                <w:szCs w:val="14"/>
                <w:color w:val="auto"/>
              </w:rPr>
              <w:t>decision with respect to the merger.</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Following the merger, Exxon Mobil common stock will be traded on the NYSE under the ticker symbol "XOM".</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merger agreement permits Exxon and Mobil to pay, prior to the closing, regular quarterly cash dividends to holders. The parties have agreed in the merger agreement to coordinate declaring dividends and the related record dates and payment dates so that Mobil shareholders do not receive two dividends, or fail to receive one dividend, for any single calendar quarter with respect to their Mobil shares and the Exxon Mobil shares to be received by them in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I-30</w:t>
      </w:r>
    </w:p>
    <w:p>
      <w:pPr>
        <w:sectPr>
          <w:pgSz w:w="11900" w:h="16838" w:orient="portrait"/>
          <w:cols w:equalWidth="0" w:num="1">
            <w:col w:w="10239"/>
          </w:cols>
          <w:pgMar w:left="220" w:top="782" w:right="1440" w:bottom="1440" w:gutter="0" w:footer="0" w:header="0"/>
        </w:sectPr>
      </w:pPr>
    </w:p>
    <w:bookmarkStart w:id="35" w:name="page36"/>
    <w:bookmarkEnd w:id="3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Exxon Mobil expects to continue to pay quarterly dividends on Exxon Mobil common stock after completion of the merger. The payment of dividends by Exxon Mobil in the future, however, will depend on business conditions, Exxon Mobil's financial condition and earnings and other factors.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Merger on Mobil Dividend Reinvestment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completion of the merger, Mobil's Stock Purchase and Dividend Reinvestment Plan (the "Mobil DRIP") will terminate and participants in the plan will be automatically enrolled in Exxon Mobil's Shareholder Investment Program (the "Exxon Mobil SIP"). Exxon Mobil shares issued in exchange for Mobil DRIP shares will be held in book-entry form by the administrator of the Exxon Mobil SIP and cash dividends paid by Exxon Mobil on those shares will be reinvested in additional Exxon Mobil shares. Participants in the Exxon Mobil SIP can obtain certificates for their plan shares, change dividend reinvestment levels, or withdraw from the plan by following specified procedures. Mobil DRIP participants will receive more information on the Exxon Mobil SIP as soon as practicable after completion of the merger.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I-31</w:t>
      </w:r>
    </w:p>
    <w:p>
      <w:pPr>
        <w:sectPr>
          <w:pgSz w:w="11900" w:h="16838" w:orient="portrait"/>
          <w:cols w:equalWidth="0" w:num="1">
            <w:col w:w="10239"/>
          </w:cols>
          <w:pgMar w:left="220" w:top="78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unaudited pro forma condensed combined financial statements combine the historical consolidated balance sheets and statements of income of Exxon and Mobil giving effect to the merger using the pooling of interests method of accounting for a business combination.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providing the following information to aid you in your analysis of the financial aspects of the merger. We derived this information from the audited financial statements of Exxon for the years 1998, 1997 and 1996 and from the audited financial statements of Mobil for the years 1998, 1997 and 1996. The information is only a summary and you should read it in conjunction with our historical financial statements and related notes contained in the annual reports and other information that we have filed with the SEC and incorporated by reference. See "Where You Can Find More Information" on page VI-1.</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unaudited pro forma condensed combined statements of income for the years ended December 31, 1998, 1997 and 1996 assume the merger was effected on January 1, 1996. The unaudited pro forma condensed combined balance sheet gives effect to the merger as if it had occurred on December 31, 1998. The accounting policies of Exxon and Mobil are substantially comparable. Consequently, we did not make adjustments to the unaudited pro forma condensed combined financial statements to conform the accounting policies of the combining companies.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unaudited pro forma combined financial information is for illustrative purposes only. The companies may have performed differently had they always been combined. You should not rely on the pro forma combined financial information as being indicative of the historical results that would have been achieved had the companies always been combined or the future results that the combined company will experience after the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I-32</w:t>
      </w:r>
    </w:p>
    <w:p>
      <w:pPr>
        <w:sectPr>
          <w:pgSz w:w="11900" w:h="16838" w:orient="portrait"/>
          <w:cols w:equalWidth="0" w:num="1">
            <w:col w:w="10239"/>
          </w:cols>
          <w:pgMar w:left="220" w:top="782" w:right="1440" w:bottom="1440" w:gutter="0" w:footer="0" w:header="0"/>
        </w:sectPr>
      </w:pPr>
    </w:p>
    <w:bookmarkStart w:id="37" w:name="page38"/>
    <w:bookmarkEnd w:id="3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UNAUDITED PRO FORMA CONDENSED COMBINED BALANCE SHEET</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AS OF DECEMBER 31,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Historic</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 Forma</w:t>
            </w:r>
          </w:p>
        </w:tc>
        <w:tc>
          <w:tcPr>
            <w:tcW w:w="3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Exxon(2)</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Mobil(2)</w:t>
            </w:r>
          </w:p>
        </w:tc>
        <w:tc>
          <w:tcPr>
            <w:tcW w:w="2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Adjustments</w:t>
            </w:r>
          </w:p>
        </w:tc>
        <w:tc>
          <w:tcPr>
            <w:tcW w:w="3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544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2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(millions of dollars)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2,218</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marketable securities............................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5440" w:type="dxa"/>
            <w:vAlign w:val="bottom"/>
          </w:tcPr>
          <w:p>
            <w:pPr>
              <w:ind w:left="520"/>
              <w:spacing w:after="0"/>
              <w:rPr>
                <w:sz w:val="20"/>
                <w:szCs w:val="20"/>
                <w:color w:val="auto"/>
              </w:rPr>
            </w:pPr>
            <w:r>
              <w:rPr>
                <w:rFonts w:ascii="Courier New" w:cs="Courier New" w:eastAsia="Courier New" w:hAnsi="Courier New"/>
                <w:sz w:val="14"/>
                <w:szCs w:val="14"/>
                <w:color w:val="auto"/>
              </w:rPr>
              <w:t>Notes and accounts receivable, less estimated doubtful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accounts.............................................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9,512</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5,518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16,259</w:t>
            </w:r>
          </w:p>
        </w:tc>
      </w:tr>
      <w:tr>
        <w:trPr>
          <w:trHeight w:val="166"/>
        </w:trPr>
        <w:tc>
          <w:tcPr>
            <w:tcW w:w="544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Crude oil, products and merchandise..................</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4,896</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1,545</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7,537</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Materials and supplies...............................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709</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Prepaid taxes and expenses.............................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1,636</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17,593</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8,731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2,701</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29,025</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Investments and advances.....................................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6,434</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8,490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(1,203)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13,721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at cost, less accumulated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depreciation and depletion..................................</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65,199</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24,727</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2,656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92,582</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assets, including intangibles, net.....................</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3,404</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4,216</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92,630</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$ 42,754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4,160</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139,544</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 and loans payable................................</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8,607</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Accounts payable and accrued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13,825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8,167</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23,351</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taxes payable...................................</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1,339</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797</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2,143</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19,412</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12,946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1,743</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34,101</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 debt...............................................</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4,530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3,719</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8,532</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Annuity reserves and accrued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9,514</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12,987</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tax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13,142</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3,254</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354</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16,750</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credits.............................................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1,518</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Equity of minority and preferred shareholders in affiliated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companies...................................................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1,807</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(6A)</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3,626</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48,880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24,384</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4,250</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77,514</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Preferred stock..............................................</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Benefit plan related balances................................</w:t>
            </w: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2,323</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(6B)</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3,104</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Capital surplus..............................................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1,649</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(1,649)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(6B)</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Earnings reinvested..........................................</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54,575</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20,534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(1,860)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(6B)</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73,159</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Accumulated other nonowner changes in equity</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Cumulative foreign exchange translation adjustment..........</w:t>
            </w: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(641)</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(932)</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(1,573)</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Minimum pension liability adjustment........................</w:t>
            </w: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(408)</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 held in treasury................................</w:t>
            </w:r>
          </w:p>
        </w:tc>
        <w:tc>
          <w:tcPr>
            <w:tcW w:w="3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(12,205)</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(3,626)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(6B)</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(12,205)</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shareholders' equity..........................</w:t>
            </w:r>
          </w:p>
        </w:tc>
        <w:tc>
          <w:tcPr>
            <w:tcW w:w="3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43,750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18,370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62,030</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 and shareholders' equity..........</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92,630</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$ 42,754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4,160</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139,544</w:t>
            </w:r>
          </w:p>
        </w:tc>
      </w:tr>
      <w:tr>
        <w:trPr>
          <w:trHeight w:val="166"/>
        </w:trPr>
        <w:tc>
          <w:tcPr>
            <w:tcW w:w="544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Accompanying Notes to Unaudited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I-33</w:t>
      </w:r>
    </w:p>
    <w:p>
      <w:pPr>
        <w:sectPr>
          <w:pgSz w:w="11900" w:h="16838" w:orient="portrait"/>
          <w:cols w:equalWidth="0" w:num="1">
            <w:col w:w="10600"/>
          </w:cols>
          <w:pgMar w:left="220" w:top="782" w:right="107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UNAUDITED PRO FORMA CONDENSED COMBINED STATEMENTS OF INCOME</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FOR YEAR ENDED DECEMBER 31,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Historic</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Exxon</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Mobil(2)</w:t>
            </w: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Adjustments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6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3"/>
          </w:tcPr>
          <w:p>
            <w:pPr>
              <w:jc w:val="right"/>
              <w:ind w:right="168"/>
              <w:spacing w:after="0"/>
              <w:rPr>
                <w:sz w:val="20"/>
                <w:szCs w:val="20"/>
                <w:color w:val="auto"/>
              </w:rPr>
            </w:pPr>
            <w:r>
              <w:rPr>
                <w:rFonts w:ascii="Courier New" w:cs="Courier New" w:eastAsia="Courier New" w:hAnsi="Courier New"/>
                <w:sz w:val="14"/>
                <w:szCs w:val="14"/>
                <w:color w:val="auto"/>
              </w:rPr>
              <w:t>(millions of dollars)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48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Sales and other operating revenue, including</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excise taxes.......................................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115,417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51,893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7,630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$ 164,640</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Earnings from equity interests and other revenue......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2,355</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1,638</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3,975</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Total revenue....................................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117,772</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53,531</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(2,688)</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168,615</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Costs and other deductions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Crude oil and product purchases.......................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45,020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27,687</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5,947</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68,354</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11,540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5,222</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852</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17,614</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8,372</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3,708</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12,365</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Depreciation and depletion............................</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5,340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8,341</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Exploration expenses, including dry holes.............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863</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1,506</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451</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Excise taxes..........................................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14,720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5,853</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20,573</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Other taxes and duties................................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22,576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4,029</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26,947</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Income applicable to minority and preferred interests.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Total costs and other deductions.................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108,716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50,471</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156,531</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Income before income taxes..............................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9,056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3,060</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12,084</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2,616</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1,356</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(6A)</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3,940</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Income before cumulative effect of accounting change....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6,440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1,704</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8,144</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2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8,074</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 per common share (dollars)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2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(0.03)</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(0.02) (3)</w:t>
            </w: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 per common share--assuming dilution (dollars)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accounting change................</w:t>
            </w:r>
          </w:p>
        </w:tc>
        <w:tc>
          <w:tcPr>
            <w:tcW w:w="12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(0.03)</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(0.02) (3)</w:t>
            </w: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Average number common shares outstanding</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(millions)............................................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2,440</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779</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Average number common shares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outstanding--assuming dilution (millions).............</w:t>
            </w:r>
          </w:p>
        </w:tc>
        <w:tc>
          <w:tcPr>
            <w:tcW w:w="1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2,468</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807</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4880" w:type="dxa"/>
            <w:vAlign w:val="bottom"/>
          </w:tcPr>
          <w:p>
            <w:pPr>
              <w:jc w:val="right"/>
              <w:spacing w:after="0"/>
              <w:rPr>
                <w:sz w:val="20"/>
                <w:szCs w:val="20"/>
                <w:color w:val="auto"/>
              </w:rPr>
            </w:pPr>
            <w:r>
              <w:rPr>
                <w:rFonts w:ascii="Courier New" w:cs="Courier New" w:eastAsia="Courier New" w:hAnsi="Courier New"/>
                <w:sz w:val="14"/>
                <w:szCs w:val="14"/>
                <w:color w:val="auto"/>
              </w:rPr>
              <w:t>Dividends per common share (dollars)....................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17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Accompanying Notes to Unaudited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I-34</w:t>
      </w:r>
    </w:p>
    <w:p>
      <w:pPr>
        <w:sectPr>
          <w:pgSz w:w="11900" w:h="16838" w:orient="portrait"/>
          <w:cols w:equalWidth="0" w:num="1">
            <w:col w:w="10260"/>
          </w:cols>
          <w:pgMar w:left="220" w:top="782" w:right="1419" w:bottom="1440" w:gutter="0" w:footer="0" w:header="0"/>
        </w:sectPr>
      </w:pPr>
    </w:p>
    <w:bookmarkStart w:id="39" w:name="page40"/>
    <w:bookmarkEnd w:id="3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 PRO FORMA CONDENSED COMBINED STATEMENTS OF INCOME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YEAR ENDED DECEMBER 31, 1997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Historic</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13"/>
                <w:szCs w:val="13"/>
                <w:color w:val="auto"/>
                <w:w w:val="71"/>
              </w:rPr>
              <w: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Exxon</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Mobil(2)</w:t>
            </w:r>
          </w:p>
        </w:tc>
        <w:tc>
          <w:tcPr>
            <w:tcW w:w="2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Adjustments</w:t>
            </w:r>
          </w:p>
        </w:tc>
        <w:tc>
          <w:tcPr>
            <w:tcW w:w="22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Combined</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2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(millions of dollars)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Sales and other operating revenue, including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excise taxes...................................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135,142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64,028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(13,600)(4)</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9,585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195,155</w:t>
            </w:r>
          </w:p>
        </w:tc>
        <w:tc>
          <w:tcPr>
            <w:tcW w:w="26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Earnings from equity interests and 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2,100</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1,878</w:t>
            </w:r>
          </w:p>
        </w:tc>
        <w:tc>
          <w:tcPr>
            <w:tcW w:w="2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(81)(6A)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3,897</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revenue................................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137,242</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65,906</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(4,096)</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199,052</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Costs and other deductions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Crude oil and product purchases...................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57,971</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35,784</w:t>
            </w:r>
          </w:p>
        </w:tc>
        <w:tc>
          <w:tcPr>
            <w:tcW w:w="20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(13,600)(4)</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7,308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87,463</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13,045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19,504</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8,406</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4,334</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13,059</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and depletion........................</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5,474</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2,554</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8,206</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Exploration expenses, including dry holes.........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753</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499</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1,252</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428</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847</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Excise taxes......................................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14,863</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5,928</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20,791</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taxes and duties............................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23,111</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4,578</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28,079</w:t>
            </w:r>
          </w:p>
        </w:tc>
        <w:tc>
          <w:tcPr>
            <w:tcW w:w="26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Income applicable to minority and preferred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513</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costs and other deductions.............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124,444</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59,541</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(4,271)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179,714</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12,798</w:t>
            </w:r>
          </w:p>
        </w:tc>
        <w:tc>
          <w:tcPr>
            <w:tcW w:w="2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6,365</w:t>
            </w:r>
          </w:p>
        </w:tc>
        <w:tc>
          <w:tcPr>
            <w:tcW w:w="2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19,338</w:t>
            </w:r>
          </w:p>
        </w:tc>
        <w:tc>
          <w:tcPr>
            <w:tcW w:w="2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4,338</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7,606</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8,460</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11,732</w:t>
            </w:r>
          </w:p>
        </w:tc>
        <w:tc>
          <w:tcPr>
            <w:tcW w:w="2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per common share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 per common share--assuming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dilution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4.01</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number common shares outstanding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(millions)........................................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2,473</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number common shares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outstanding--assuming dilution (millions).........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815</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Dividends per common share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1.625</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2.120</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bl>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Accompanying Notes to Unaudited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I-35</w:t>
      </w:r>
    </w:p>
    <w:p>
      <w:pPr>
        <w:sectPr>
          <w:pgSz w:w="11900" w:h="16838" w:orient="portrait"/>
          <w:cols w:equalWidth="0" w:num="1">
            <w:col w:w="10239"/>
          </w:cols>
          <w:pgMar w:left="220" w:top="78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Chapter One - The Merger</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 PRO FORMA CONDENSED COMBINED STATEMENTS OF INCOME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YEAR ENDED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Historic</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13"/>
                <w:szCs w:val="13"/>
                <w:color w:val="auto"/>
                <w:w w:val="71"/>
              </w:rPr>
              <w:t>-----------------------</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Exxon</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Mobil(2)</w:t>
            </w:r>
          </w:p>
        </w:tc>
        <w:tc>
          <w:tcPr>
            <w:tcW w:w="20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w:t>
            </w:r>
          </w:p>
        </w:tc>
        <w:tc>
          <w:tcPr>
            <w:tcW w:w="22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Combined</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20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(millions of dollars)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1"/>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Sales and other operating revenue, including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excise taxes...................................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131,543</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79,944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(14,000)(4)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207,888</w:t>
            </w:r>
          </w:p>
        </w:tc>
        <w:tc>
          <w:tcPr>
            <w:tcW w:w="36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Earnings from equity interests and 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2,706</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1,559</w:t>
            </w:r>
          </w:p>
        </w:tc>
        <w:tc>
          <w:tcPr>
            <w:tcW w:w="20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(42)(6A)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4,223</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revenue................................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134,249</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81,503</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(3,641)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212,111</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Costs and other deductions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Crude oil and product purchases...................</w:t>
            </w:r>
          </w:p>
        </w:tc>
        <w:tc>
          <w:tcPr>
            <w:tcW w:w="3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56,406</w:t>
            </w: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41,831</w:t>
            </w:r>
          </w:p>
        </w:tc>
        <w:tc>
          <w:tcPr>
            <w:tcW w:w="200" w:type="dxa"/>
            <w:vAlign w:val="bottom"/>
          </w:tcPr>
          <w:p>
            <w:pPr>
              <w:spacing w:after="0"/>
              <w:rPr>
                <w:sz w:val="24"/>
                <w:szCs w:val="2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(14,000)(4)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8,022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92,259</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13,255</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5,659</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19,962</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7,961</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5,157</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13,583</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and depletion........................</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5,329</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2,725</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8,241</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Exploration expenses, including dry holes.........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455</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Excise taxes......................................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14,815</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9,236</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24,051</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taxes and duties............................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22,956</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9,787</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33,213</w:t>
            </w:r>
          </w:p>
        </w:tc>
        <w:tc>
          <w:tcPr>
            <w:tcW w:w="36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Income applicable to minority and preferred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costs and other deductions.............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122,333</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75,392</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(3,756)</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193,969</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11,916</w:t>
            </w: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6,111</w:t>
            </w:r>
          </w:p>
        </w:tc>
        <w:tc>
          <w:tcPr>
            <w:tcW w:w="2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18,142</w:t>
            </w:r>
          </w:p>
        </w:tc>
        <w:tc>
          <w:tcPr>
            <w:tcW w:w="3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4,406</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3,147</w:t>
            </w:r>
          </w:p>
        </w:tc>
        <w:tc>
          <w:tcPr>
            <w:tcW w:w="2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(6A)</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7,668</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7,510</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2,964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10,474</w:t>
            </w:r>
          </w:p>
        </w:tc>
        <w:tc>
          <w:tcPr>
            <w:tcW w:w="36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per common share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 per common share--assuming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dilution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number common shares outstanding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(millions)........................................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2,484</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788</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number common shares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6"/>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outstanding--assuming dilution (millions).........</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2,512</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816</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r>
        <w:trPr>
          <w:trHeight w:val="331"/>
        </w:trPr>
        <w:tc>
          <w:tcPr>
            <w:tcW w:w="4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Dividends per common share (dollars).................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1.560</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w:t>
            </w:r>
          </w:p>
        </w:tc>
      </w:tr>
    </w:tbl>
    <w:p>
      <w:pPr>
        <w:spacing w:after="0" w:line="200" w:lineRule="exact"/>
        <w:rPr>
          <w:sz w:val="20"/>
          <w:szCs w:val="20"/>
          <w:color w:val="auto"/>
        </w:rPr>
      </w:pPr>
    </w:p>
    <w:p>
      <w:pPr>
        <w:spacing w:after="0" w:line="30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Accompanying Notes to Unaudited Pro Forma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I-36</w:t>
      </w:r>
    </w:p>
    <w:p>
      <w:pPr>
        <w:sectPr>
          <w:pgSz w:w="11900" w:h="16838" w:orient="portrait"/>
          <w:cols w:equalWidth="0" w:num="1">
            <w:col w:w="10239"/>
          </w:cols>
          <w:pgMar w:left="220" w:top="782" w:right="1440" w:bottom="1440" w:gutter="0" w:footer="0" w:header="0"/>
        </w:sectPr>
      </w:pPr>
    </w:p>
    <w:bookmarkStart w:id="41" w:name="page42"/>
    <w:bookmarkEnd w:id="4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1.</w:t>
        <w:tab/>
        <w:t>Basis of Presentation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unaudited pro forma condensed combined statements of income are based on the consolidated financial statements of Exxon and Mobil for the years ended December 31, 1998, 1997 and 1996. The unaudited pro forma condensed combined balance sheet is based on the consolidated financial statements of Exxon and Mobil at December 31, 1998.</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Exxon and Mobil consolidated financial statements are prepared in conformity with generally accepted accounting principles and require Exxon and Mobil management to make estimates that affect the reported amounts of assets, liabilities, revenues and expenses and the disclosure of contingent assets and liabilities. In the opinion of Exxon and Mobil, the unaudited pro forma condensed combined financial statements include all adjustments necessary to present fairly the results of the periods presented. Actual results are not expected to differ materially from these estimates.</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2.</w:t>
        <w:tab/>
        <w:t>Accounting Policies and Financial Statement Classifications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accounting policies of Exxon and Mobil are substantially comparable. Consequently, we did not make adjustments to the unaudited pro forma condensed combined financial statements to conform the accounting policies of the combining companies.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revenues, costs and other deductions in the consolidated statements of income for Mobil have been reclassified to conform to the line item presentation in the pro forma condensed combined statements of income. Certain assets and liabilities in the consolidated balance sheets for Exxon and Mobil have been reclassified to conform to the line item presentation in the pro forma condensed combined balance sheet.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3.</w:t>
        <w:tab/>
        <w:t>Pro Forma Earnings Per Share and Dividends Per Share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pro forma combined net income per common share is based on net income less preferred stock dividends and the weighted average number of outstanding common shares. Net income per common share--assuming dilution includes the dilutive effect of incentive program stock options and convertible preferred stock. The weighted average number of outstanding common shares has been adjusted to reflect the exchange ratio of 1.32015 shares of Exxon Mobil common stock for each share of Mobil common stock.</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pro forma combined dividends per share reflect the sum of the dividends paid by Exxon and Mobil divided by the number of shares that would have been outstanding for the periods, after adjusting the Mobil shares for the exchange ratio of 1.32015 shares of Exxon Mobil common stock.</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4.</w:t>
        <w:tab/>
        <w:t>Intercompany Transactions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Intercompany sales and purchase transactions have been eliminated in the unaudited pro forma condensed combined statements of income. Intercompany amounts receivable and payable have been eliminated in the unaudited pro forma condensed combined balance sheet.</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5.</w:t>
        <w:tab/>
        <w:t>Merger-Related and Integration-Related Expenses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Merger-related fees and expenses, consisting primarily of SEC filing fees, fees and expenses of investment bankers, attorneys and accountants, and financial printing and other related charges, are estimated to be approximately $90 million. These fees and expenses have been reflected in the unaudited pro forma condensed combined balance sheet as of December 31, 1998. These charges are not reflected in the unaudited pro forma condensed combined statements of income or the pro forma combined per share data.</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I-37</w:t>
      </w:r>
    </w:p>
    <w:p>
      <w:pPr>
        <w:sectPr>
          <w:pgSz w:w="11900" w:h="16838" w:orient="portrait"/>
          <w:cols w:equalWidth="0" w:num="1">
            <w:col w:w="10239"/>
          </w:cols>
          <w:pgMar w:left="220" w:top="78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estimate that costs of approximately $2.0 billion ($1.3 billion after-tax) will be incurred for severance and other integration-related expenses, including the elimination of duplicate facilities and excess capacity, operational realignment and related workforce reductions. These expenditures are necessary to reduce costs and operate efficiently. The unaudited pro forma condensed combined financial statements reflect neither the impact of these charges nor the benefits from the expected synergies. The costs for severance and other integration-related expenses will be charged to operations in the periods the obligations occur.</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6.</w:t>
        <w:tab/>
        <w:t>Other Pro Forma Adjustments</w:t>
      </w:r>
    </w:p>
    <w:p>
      <w:pPr>
        <w:spacing w:after="0" w:line="173" w:lineRule="exact"/>
        <w:rPr>
          <w:sz w:val="20"/>
          <w:szCs w:val="20"/>
          <w:color w:val="auto"/>
        </w:rPr>
      </w:pPr>
    </w:p>
    <w:p>
      <w:pPr>
        <w:ind w:left="260" w:right="3519" w:firstLine="265"/>
        <w:spacing w:after="0" w:line="252" w:lineRule="auto"/>
        <w:tabs>
          <w:tab w:leader="none" w:pos="86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adjustment has been made to consolidate the accounts of certain refining, marketing and chemicals operations that are jointly controlled by the combining companies and which were accounted for by Exxon and Mobil as separate companies using the equity method.</w:t>
      </w:r>
    </w:p>
    <w:p>
      <w:pPr>
        <w:spacing w:after="0" w:line="162" w:lineRule="exact"/>
        <w:rPr>
          <w:rFonts w:ascii="Courier New" w:cs="Courier New" w:eastAsia="Courier New" w:hAnsi="Courier New"/>
          <w:sz w:val="14"/>
          <w:szCs w:val="14"/>
          <w:color w:val="auto"/>
        </w:rPr>
      </w:pPr>
    </w:p>
    <w:p>
      <w:pPr>
        <w:ind w:left="260" w:right="3519" w:firstLine="265"/>
        <w:spacing w:after="0" w:line="251" w:lineRule="auto"/>
        <w:tabs>
          <w:tab w:leader="none" w:pos="86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adjustment has been made to reflect the cancellation of Mobil common stock accounted for as treasury stock and the assumed issuance of approximately 1.0 billion shares of Exxon Mobil common stock in exchange for all of the outstanding Mobil common stock (based on the exchange ratio of 1.32015). The actual number of shares of Exxon Mobil common stock to be issued in connection with the merger will be based on the number of shares of Mobil common stock issued and outstanding at the effective time.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I-38</w:t>
      </w:r>
    </w:p>
    <w:p>
      <w:pPr>
        <w:sectPr>
          <w:pgSz w:w="11900" w:h="16838" w:orient="portrait"/>
          <w:cols w:equalWidth="0" w:num="1">
            <w:col w:w="10239"/>
          </w:cols>
          <w:pgMar w:left="220" w:top="782" w:right="1440" w:bottom="1440" w:gutter="0" w:footer="0" w:header="0"/>
        </w:sectPr>
      </w:pPr>
    </w:p>
    <w:bookmarkStart w:id="43" w:name="page44"/>
    <w:bookmarkEnd w:id="4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OPINIONS OF FINANCIAL ADVISORS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each retained our own financial advisor to assist us and our Boards in our consideration of valuation, financial and other matters relating to the merger. Exxon retained J.P. Morgan Securities Inc. as its financial advisor and Mobil retained Goldman, Sachs &amp; Co. as its financial advisor.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Exxon Financial Advisor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December 1, 1998 meeting of the Exxon Board, J.P. Morgan gave its opinion to the Exxon Board that, as of such date and based upon and subject to the various considerations set forth in its opinion, the consideration to be paid by Exxon in connection with the proposed merger was fair from a financial point of view to Exxon. J.P. Morgan has reaffirmed its December 1, 1998 opinion in its written opinion to the Exxon Board dated as of April 2,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full text of the updated opinion of J.P. Morgan, which sets forth among other things the assumptions made, procedures followed, matters considered and limitations on the scope of the review undertaken by J.P. Morgan in rendering its opinion, is attached as Annex C and is incorporated by reference with the consent of J.P. Morgan. This opinion should be read carefully and in its entirety. J.P. Morgan's opinion is addressed to the Exxon Board, is directed only to the fairness of the consideration to be paid in the merger, does not address any other aspect of the merger and does not constitute a recommendation to any Exxon shareholder as to how to vote with respect to the merger. The summary of the opinion of J.P. Morgan set forth in this joint proxy statement/prospectus is qualified in its entirety by reference to the full text of such opinion.</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rendering its opinions, J.P. Morgan reviewed:</w:t>
      </w:r>
    </w:p>
    <w:p>
      <w:pPr>
        <w:spacing w:after="0" w:line="173" w:lineRule="exact"/>
        <w:rPr>
          <w:sz w:val="20"/>
          <w:szCs w:val="20"/>
          <w:color w:val="auto"/>
        </w:rPr>
      </w:pPr>
    </w:p>
    <w:p>
      <w:pPr>
        <w:ind w:left="960" w:hanging="263"/>
        <w:spacing w:after="0"/>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w:t>
      </w:r>
    </w:p>
    <w:p>
      <w:pPr>
        <w:spacing w:after="0" w:line="17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its updated opinion, this document;</w:t>
      </w:r>
    </w:p>
    <w:p>
      <w:pPr>
        <w:spacing w:after="0" w:line="172" w:lineRule="exact"/>
        <w:rPr>
          <w:rFonts w:ascii="Courier New" w:cs="Courier New" w:eastAsia="Courier New" w:hAnsi="Courier New"/>
          <w:sz w:val="14"/>
          <w:szCs w:val="14"/>
          <w:color w:val="auto"/>
        </w:rPr>
      </w:pPr>
    </w:p>
    <w:p>
      <w:pPr>
        <w:ind w:left="960" w:right="3339" w:hanging="263"/>
        <w:spacing w:after="0" w:line="251"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publicly available information concerning the business of Mobil and of certain other companies engaged in businesses that J.P. Morgan deemed comparable to those of Mobil, and the reported market prices for the securities of certain other companies that J.P. Morgan deemed comparable;</w:t>
      </w:r>
    </w:p>
    <w:p>
      <w:pPr>
        <w:spacing w:after="0" w:line="164" w:lineRule="exact"/>
        <w:rPr>
          <w:rFonts w:ascii="Courier New" w:cs="Courier New" w:eastAsia="Courier New" w:hAnsi="Courier New"/>
          <w:sz w:val="14"/>
          <w:szCs w:val="14"/>
          <w:color w:val="auto"/>
        </w:rPr>
      </w:pPr>
    </w:p>
    <w:p>
      <w:pPr>
        <w:ind w:left="960" w:right="3419" w:hanging="263"/>
        <w:spacing w:after="0" w:line="252"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publicly available terms of certain transactions involving companies comparable to Mobil and the consideration received for such companies;</w:t>
      </w:r>
    </w:p>
    <w:p>
      <w:pPr>
        <w:spacing w:after="0" w:line="162"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and historical market prices of the Exxon common stock and the Mobil common stock;</w:t>
      </w:r>
    </w:p>
    <w:p>
      <w:pPr>
        <w:spacing w:after="0" w:line="159" w:lineRule="exact"/>
        <w:rPr>
          <w:rFonts w:ascii="Courier New" w:cs="Courier New" w:eastAsia="Courier New" w:hAnsi="Courier New"/>
          <w:sz w:val="14"/>
          <w:szCs w:val="14"/>
          <w:color w:val="auto"/>
        </w:rPr>
      </w:pPr>
    </w:p>
    <w:p>
      <w:pPr>
        <w:ind w:left="960" w:right="3519" w:hanging="263"/>
        <w:spacing w:after="0" w:line="252"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financial statements of Exxon and Mobil for the fiscal year ended December 31, 1997, and the unaudited condensed financial statements of Exxon and Mobil for the period ended September 30, 1998;</w:t>
      </w:r>
    </w:p>
    <w:p>
      <w:pPr>
        <w:spacing w:after="0" w:line="162" w:lineRule="exact"/>
        <w:rPr>
          <w:rFonts w:ascii="Courier New" w:cs="Courier New" w:eastAsia="Courier New" w:hAnsi="Courier New"/>
          <w:sz w:val="14"/>
          <w:szCs w:val="14"/>
          <w:color w:val="auto"/>
        </w:rPr>
      </w:pPr>
    </w:p>
    <w:p>
      <w:pPr>
        <w:ind w:left="960" w:right="3419" w:hanging="263"/>
        <w:spacing w:after="0" w:line="255"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its updated opinion, the audited financial statements of Exxon and Mobil for the fiscal year ended December 31, 1998;</w:t>
      </w:r>
    </w:p>
    <w:p>
      <w:pPr>
        <w:spacing w:after="0" w:line="159"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presentations made by Exxon and Mobil in 1998 to equity analysts regarding the performance of their respective businesses;</w:t>
      </w:r>
    </w:p>
    <w:p>
      <w:pPr>
        <w:spacing w:after="0" w:line="159" w:lineRule="exact"/>
        <w:rPr>
          <w:rFonts w:ascii="Courier New" w:cs="Courier New" w:eastAsia="Courier New" w:hAnsi="Courier New"/>
          <w:sz w:val="14"/>
          <w:szCs w:val="14"/>
          <w:color w:val="auto"/>
        </w:rPr>
      </w:pPr>
    </w:p>
    <w:p>
      <w:pPr>
        <w:ind w:left="960" w:right="3519" w:hanging="263"/>
        <w:spacing w:after="0" w:line="252"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internal financial analyses of potential synergies that may be realized from the merger prepared by Exxon and Mobil and their respective managements; and</w:t>
      </w:r>
    </w:p>
    <w:p>
      <w:pPr>
        <w:spacing w:after="0" w:line="162" w:lineRule="exact"/>
        <w:rPr>
          <w:rFonts w:ascii="Courier New" w:cs="Courier New" w:eastAsia="Courier New" w:hAnsi="Courier New"/>
          <w:sz w:val="14"/>
          <w:szCs w:val="14"/>
          <w:color w:val="auto"/>
        </w:rPr>
      </w:pPr>
    </w:p>
    <w:p>
      <w:pPr>
        <w:ind w:left="960" w:right="3779" w:hanging="263"/>
        <w:spacing w:after="0" w:line="255"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other business combinations that J.P. Morgan deemed relevant.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I-39</w:t>
      </w:r>
    </w:p>
    <w:p>
      <w:pPr>
        <w:sectPr>
          <w:pgSz w:w="11900" w:h="16838" w:orient="portrait"/>
          <w:cols w:equalWidth="0" w:num="1">
            <w:col w:w="10239"/>
          </w:cols>
          <w:pgMar w:left="220" w:top="78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J.P. Morgan participated in discussions with certain members of the management of Exxon and Mobil with respect to certain aspects of the merger, the past and current business operations of Exxon and Mobil, the financial condition and future prospects and operations of Exxon and Mobil, and certain other matters J.P. Morgan believed necessary or appropriate to its inquiry. J.P. Morgan reviewed such other financial studies and analyses and considered such other information as it deemed appropriate for the purposes of its opinion.</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giving its opinion, J.P. Morgan relied upon and assumed, without independent verification, the accuracy and completeness of all information that was publicly available or was furnished to it by Exxon and Mobil or otherwise reviewed by J.P. Morgan, and J.P. Morgan has not assumed any responsibility or liability therefor. J.P. Morgan has not conducted any evaluation or appraisal of any assets or liabilities, nor have any such valuations or appraisals been provided to J.P. Morgan. In relying on financial analyses provided to it of potential synergies that may be realized from the merger, J.P. Morgan has assumed that they have been reasonably prepared based on assumptions reflecting the best currently available estimates and judgments by management of Exxon as to such potential synergies. J.P. Morgan has also assumed that the merger will have the tax consequences and pooling of interests accounting treatment described in the merger agreement and this document, and that the transactions contemplated by the merger agreement will be consummated as described in the merger agreement and this document. J.P. Morgan relied as to all legal matters relevant to rendering its opinion upon the advice of counsel.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J.P. Morgan's opinion is necessarily based on economic, market and other conditions as in effect on, and the information made available to J.P. Morgan as of, the date of such opinion. Subsequent developments may affect its opinion, and J.P. Morgan does not have any obligation to update, or revise or reaffirm such opinion. J.P. Morgan expressed no opinion as to the price at which Exxon common stock will trade at any future time.</w:t>
      </w:r>
    </w:p>
    <w:p>
      <w:pPr>
        <w:spacing w:after="0" w:line="164" w:lineRule="exact"/>
        <w:rPr>
          <w:sz w:val="20"/>
          <w:szCs w:val="20"/>
          <w:color w:val="auto"/>
        </w:rPr>
      </w:pPr>
    </w:p>
    <w:p>
      <w:pPr>
        <w:jc w:val="both"/>
        <w:ind w:right="3859" w:firstLine="431"/>
        <w:spacing w:after="0" w:line="250" w:lineRule="auto"/>
        <w:rPr>
          <w:sz w:val="20"/>
          <w:szCs w:val="20"/>
          <w:color w:val="auto"/>
        </w:rPr>
      </w:pPr>
      <w:r>
        <w:rPr>
          <w:rFonts w:ascii="Courier New" w:cs="Courier New" w:eastAsia="Courier New" w:hAnsi="Courier New"/>
          <w:sz w:val="14"/>
          <w:szCs w:val="14"/>
          <w:color w:val="auto"/>
        </w:rPr>
        <w:t>In accordance with customary investment banking practice, J.P. Morgan employed generally accepted valuation methods in reaching its opinion. The following is a summary of the material financial analyses utilized by J.P.</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Morgan in connection with providing its December 1, 1998 opinion. J.P. Morgan utilized substantially the same types of analyses in connection with providing its updated opinion.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elements of J.P. Morgan's analyses included:</w:t>
      </w:r>
    </w:p>
    <w:p>
      <w:pPr>
        <w:spacing w:after="0" w:line="173" w:lineRule="exact"/>
        <w:rPr>
          <w:sz w:val="20"/>
          <w:szCs w:val="20"/>
          <w:color w:val="auto"/>
        </w:rPr>
      </w:pPr>
    </w:p>
    <w:p>
      <w:pPr>
        <w:ind w:left="960" w:right="3779" w:hanging="263"/>
        <w:spacing w:after="0" w:line="255" w:lineRule="auto"/>
        <w:tabs>
          <w:tab w:leader="none" w:pos="9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assessing the potential value creation as a result of the merger (paragraphs 1-3);</w:t>
      </w:r>
    </w:p>
    <w:p>
      <w:pPr>
        <w:spacing w:after="0" w:line="159" w:lineRule="exact"/>
        <w:rPr>
          <w:rFonts w:ascii="Courier New" w:cs="Courier New" w:eastAsia="Courier New" w:hAnsi="Courier New"/>
          <w:sz w:val="14"/>
          <w:szCs w:val="14"/>
          <w:color w:val="auto"/>
        </w:rPr>
      </w:pPr>
    </w:p>
    <w:p>
      <w:pPr>
        <w:ind w:left="960" w:right="3779" w:hanging="263"/>
        <w:spacing w:after="0" w:line="252" w:lineRule="auto"/>
        <w:tabs>
          <w:tab w:leader="none" w:pos="9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assessing the sharing of the combined pro forma entity given the historical and forecast contributions of each company, and the sharing of the potential value creation (paragraphs 4-6);</w:t>
      </w:r>
    </w:p>
    <w:p>
      <w:pPr>
        <w:spacing w:after="0" w:line="162" w:lineRule="exact"/>
        <w:rPr>
          <w:rFonts w:ascii="Courier New" w:cs="Courier New" w:eastAsia="Courier New" w:hAnsi="Courier New"/>
          <w:sz w:val="14"/>
          <w:szCs w:val="14"/>
          <w:color w:val="auto"/>
        </w:rPr>
      </w:pPr>
    </w:p>
    <w:p>
      <w:pPr>
        <w:ind w:left="960" w:right="3679" w:hanging="263"/>
        <w:spacing w:after="0" w:line="252" w:lineRule="auto"/>
        <w:tabs>
          <w:tab w:leader="none" w:pos="9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testing the results on pro-forma Exxon earnings per share for the potential accretion/dilution of earnings for the next 3 years (paragraph 7); and</w:t>
      </w:r>
    </w:p>
    <w:p>
      <w:pPr>
        <w:spacing w:after="0" w:line="16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checking the premium to be paid by Exxon in the merger against market precedent (paragraph 8).</w:t>
      </w:r>
    </w:p>
    <w:p>
      <w:pPr>
        <w:spacing w:after="0" w:line="160" w:lineRule="exact"/>
        <w:rPr>
          <w:sz w:val="20"/>
          <w:szCs w:val="20"/>
          <w:color w:val="auto"/>
        </w:rPr>
      </w:pPr>
    </w:p>
    <w:p>
      <w:pPr>
        <w:ind w:right="3419" w:firstLine="611"/>
        <w:spacing w:after="0" w:line="251" w:lineRule="auto"/>
        <w:tabs>
          <w:tab w:leader="none" w:pos="94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Return on Capital Employed. J.P. Morgan reviewed and analyzed the return on capital employed ("ROCE") of both Exxon and Mobil since 1993. J.P. Morgan observed that Exxon's ROCE has consistently been 2-3% above that of Mobil. J.P. Morgan's analysis indicated that if Mobil were to be merged with Exxon, the combined entity's capital productivity would eventually be higher than the pro forma capital productivity of Exxon and Mobil. J.P. Morgan indicated that it would be reasonable to assume that the benefits of this capital productivity increase would occur within three years of the closing of the merger. J.P. Morgan pointed out, however, that its views in this respect were based on discussions with senior management at Exxon and that there could be no assurance that this increase in capital productivity would be realized.</w:t>
      </w:r>
    </w:p>
    <w:p>
      <w:pPr>
        <w:spacing w:after="0" w:line="163"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P/E Analysis. J.P. Morgan performed an analysis comparing Exxon's price to earnings multiples with Mobil's price to earnings multiples for the past five years. The source for these price to earnings multiples was</w:t>
      </w:r>
    </w:p>
    <w:p>
      <w:pPr>
        <w:spacing w:after="0" w:line="1" w:lineRule="exact"/>
        <w:rPr>
          <w:rFonts w:ascii="Courier New" w:cs="Courier New" w:eastAsia="Courier New" w:hAnsi="Courier New"/>
          <w:sz w:val="14"/>
          <w:szCs w:val="14"/>
          <w:color w:val="auto"/>
        </w:rPr>
      </w:pPr>
    </w:p>
    <w:p>
      <w:pPr>
        <w:ind w:right="40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one and two year prospective price to earnings multiple estimates by I/B/E/S International Inc. and First Call, organizations which compile brokers' earnings estimates on public companies. Such analysis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I-40</w:t>
      </w:r>
    </w:p>
    <w:p>
      <w:pPr>
        <w:sectPr>
          <w:pgSz w:w="11900" w:h="16838" w:orient="portrait"/>
          <w:cols w:equalWidth="0" w:num="1">
            <w:col w:w="10239"/>
          </w:cols>
          <w:pgMar w:left="220" w:top="782" w:right="1440" w:bottom="1440" w:gutter="0" w:footer="0" w:header="0"/>
        </w:sectPr>
      </w:pPr>
    </w:p>
    <w:bookmarkStart w:id="45" w:name="page46"/>
    <w:bookmarkEnd w:id="4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indicated that Mobil has been trading in the recent past at an 8% to 15% discount to Exxon. J.P. Morgan's analysis indicated that if Mobil were to be valued at price to earnings multiples comparable to those of Exxon, there would be an enhancement of value to its shareholders of approximately $11 billion. Finally, this analysis suggested that the combined company might enjoy an overall increase in its price to earnings multiple due to the potential for improved capital productivity and the expected strategic benefits of the merger. According to J.P. Morgan's analysis, a price to earnings multiple increase of 1 for Exxon Mobil would result in an enhancement of value to shareholders of approximately $10 billion. J.P. Morgan pointed out, however, that there could be no assurance that these values would be realized.</w:t>
      </w:r>
    </w:p>
    <w:p>
      <w:pPr>
        <w:spacing w:after="0" w:line="163" w:lineRule="exact"/>
        <w:rPr>
          <w:sz w:val="20"/>
          <w:szCs w:val="20"/>
          <w:color w:val="auto"/>
        </w:rPr>
      </w:pPr>
    </w:p>
    <w:p>
      <w:pPr>
        <w:ind w:right="3339" w:firstLine="611"/>
        <w:spacing w:after="0" w:line="251"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Pre-Tax Synergies. J.P. Morgan reviewed and analyzed the future synergies expected to result from the merger, estimated by management at $2.8 billion annually on a pre-tax basis. J.P. Morgan also analyzed stock-for-stock merger transactions over the past three years where the market capitalization of the smaller entity pre-announcement was greater than $5 billion. The analysis indicated that for industrially logical mergers, the market granted a post-announcement value pick-up to the companies of 6-9 times the anticipated synergy benefits identified by management on a pre-tax basis. In cases where management also had a good track record of cost cutting, J.P. Morgan indicated that the market might be expected to capitalize synergies at a multiple of 8-9 times on a pre-tax basis. Based on the estimated synergies of $2.8 billion expected to result from the merger, this suggested a potential value creation in the short term of approximately $22-25 billion.</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J.P. Morgan also indicated that the value of the potential synergies for the combined company could be greater in the long term if management achieved its stated objectives and the expected synergies were demonstrated to the market. On this basis, J.P. Morgan estimated that as much as $11 billion in value could be created in excess of the short term impact, in addition to the potential enhancement of value described in paragraph 2 above.</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addition to expressing no opinion as to the potential future trading price of the Exxon common stock, J.P. Morgan also pointed out that there could be no assurance that either these short-term or long-term values would be realized.</w:t>
      </w:r>
    </w:p>
    <w:p>
      <w:pPr>
        <w:spacing w:after="0" w:line="162" w:lineRule="exact"/>
        <w:rPr>
          <w:sz w:val="20"/>
          <w:szCs w:val="20"/>
          <w:color w:val="auto"/>
        </w:rPr>
      </w:pPr>
    </w:p>
    <w:p>
      <w:pPr>
        <w:ind w:right="3679" w:firstLine="611"/>
        <w:spacing w:after="0" w:line="255" w:lineRule="auto"/>
        <w:tabs>
          <w:tab w:leader="none" w:pos="86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Sharing of Future Benefits of the Merger. J.P. Morgan reviewed the elements of potential value creation, which were:</w:t>
      </w:r>
    </w:p>
    <w:p>
      <w:pPr>
        <w:spacing w:after="0" w:line="160" w:lineRule="exact"/>
        <w:rPr>
          <w:sz w:val="20"/>
          <w:szCs w:val="20"/>
          <w:color w:val="auto"/>
        </w:rPr>
      </w:pPr>
    </w:p>
    <w:p>
      <w:pPr>
        <w:ind w:left="700" w:hanging="261"/>
        <w:spacing w:after="0"/>
        <w:tabs>
          <w:tab w:leader="none" w:pos="7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value pick-up based on estimated pre-tax synergies; and</w:t>
      </w:r>
    </w:p>
    <w:p>
      <w:pPr>
        <w:spacing w:after="0" w:line="7" w:lineRule="exact"/>
        <w:rPr>
          <w:rFonts w:ascii="Courier New" w:cs="Courier New" w:eastAsia="Courier New" w:hAnsi="Courier New"/>
          <w:sz w:val="14"/>
          <w:szCs w:val="14"/>
          <w:color w:val="auto"/>
        </w:rPr>
      </w:pPr>
    </w:p>
    <w:p>
      <w:pPr>
        <w:ind w:left="700" w:right="3519" w:hanging="261"/>
        <w:spacing w:after="0" w:line="250" w:lineRule="auto"/>
        <w:tabs>
          <w:tab w:leader="none" w:pos="7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long-term value pick-up that could result from the possible o realization of anticipated synergies,</w:t>
      </w: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price to earnings multiple re-rating for Mobil, and</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price to earnings multiple re-rating for the combined company.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J.P. Morgan's review suggested that over the long term, the potential for value creation from these elements could be as much as $47-57 billion. Since Exxon's market capitalization is significantly larger than Mobil's, Exxon's shareholders would enjoy a greater proportion of the value creation if no premium were paid by Exxon in the merger. By offering a premium to Mobil's shareholders, this potential value creation was instead shared in approximately equal proportions between the companies' shareholders and such sharing was deemed to be a reasonable allocation of value creation.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I-41</w:t>
      </w:r>
    </w:p>
    <w:p>
      <w:pPr>
        <w:sectPr>
          <w:pgSz w:w="11900" w:h="16838" w:orient="portrait"/>
          <w:cols w:equalWidth="0" w:num="1">
            <w:col w:w="10239"/>
          </w:cols>
          <w:pgMar w:left="220" w:top="78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80" w:firstLine="439"/>
        <w:spacing w:after="0" w:line="252" w:lineRule="auto"/>
        <w:tabs>
          <w:tab w:leader="none" w:pos="68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Contribution Analysis. J.P. Morgan reviewed and analyzed the relative historical contribution of both Exxon and Mobil to the combined pro forma entity.</w:t>
      </w:r>
    </w:p>
    <w:p>
      <w:pPr>
        <w:spacing w:after="0" w:line="163" w:lineRule="exact"/>
        <w:rPr>
          <w:sz w:val="20"/>
          <w:szCs w:val="20"/>
          <w:color w:val="auto"/>
        </w:rPr>
      </w:pPr>
    </w:p>
    <w:p>
      <w:pPr>
        <w:ind w:right="860" w:firstLine="431"/>
        <w:spacing w:after="0" w:line="255" w:lineRule="auto"/>
        <w:rPr>
          <w:sz w:val="20"/>
          <w:szCs w:val="20"/>
          <w:color w:val="auto"/>
        </w:rPr>
      </w:pPr>
      <w:r>
        <w:rPr>
          <w:rFonts w:ascii="Courier New" w:cs="Courier New" w:eastAsia="Courier New" w:hAnsi="Courier New"/>
          <w:sz w:val="14"/>
          <w:szCs w:val="14"/>
          <w:color w:val="auto"/>
        </w:rPr>
        <w:t>The following table illustrates the historical relative market capitalization contribution by Exxon to a combined Exxon Mobil entity: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4"/>
          </w:tcPr>
          <w:p>
            <w:pPr>
              <w:spacing w:after="0"/>
              <w:rPr>
                <w:sz w:val="20"/>
                <w:szCs w:val="20"/>
                <w:color w:val="auto"/>
              </w:rPr>
            </w:pPr>
            <w:r>
              <w:rPr>
                <w:rFonts w:ascii="Courier New" w:cs="Courier New" w:eastAsia="Courier New" w:hAnsi="Courier New"/>
                <w:sz w:val="14"/>
                <w:szCs w:val="14"/>
                <w:color w:val="auto"/>
              </w:rPr>
              <w:t>At closing on November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8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1998.......................................</w:t>
            </w:r>
          </w:p>
        </w:tc>
        <w:tc>
          <w:tcPr>
            <w:tcW w:w="2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Average for the one</w:t>
            </w:r>
          </w:p>
        </w:tc>
        <w:tc>
          <w:tcPr>
            <w:tcW w:w="1340" w:type="dxa"/>
            <w:vAlign w:val="bottom"/>
            <w:gridSpan w:val="3"/>
          </w:tcPr>
          <w:p>
            <w:pPr>
              <w:jc w:val="right"/>
              <w:ind w:right="21"/>
              <w:spacing w:after="0"/>
              <w:rPr>
                <w:sz w:val="20"/>
                <w:szCs w:val="20"/>
                <w:color w:val="auto"/>
              </w:rPr>
            </w:pPr>
            <w:r>
              <w:rPr>
                <w:rFonts w:ascii="Courier New" w:cs="Courier New" w:eastAsia="Courier New" w:hAnsi="Courier New"/>
                <w:sz w:val="14"/>
                <w:szCs w:val="14"/>
                <w:color w:val="auto"/>
              </w:rPr>
              <w:t>month prior to</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November 20,</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74.9%</w:t>
            </w:r>
          </w:p>
        </w:tc>
      </w:tr>
      <w:tr>
        <w:trPr>
          <w:trHeight w:val="166"/>
        </w:trPr>
        <w:tc>
          <w:tcPr>
            <w:tcW w:w="3020" w:type="dxa"/>
            <w:vAlign w:val="bottom"/>
            <w:gridSpan w:val="6"/>
          </w:tcPr>
          <w:p>
            <w:pPr>
              <w:spacing w:after="0"/>
              <w:rPr>
                <w:sz w:val="20"/>
                <w:szCs w:val="20"/>
                <w:color w:val="auto"/>
              </w:rPr>
            </w:pPr>
            <w:r>
              <w:rPr>
                <w:rFonts w:ascii="Courier New" w:cs="Courier New" w:eastAsia="Courier New" w:hAnsi="Courier New"/>
                <w:sz w:val="14"/>
                <w:szCs w:val="14"/>
                <w:color w:val="auto"/>
              </w:rPr>
              <w:t>Average for the three months prior</w:t>
            </w:r>
          </w:p>
        </w:tc>
        <w:tc>
          <w:tcPr>
            <w:tcW w:w="31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to November 20, 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the six</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months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prior to</w:t>
            </w:r>
          </w:p>
        </w:tc>
        <w:tc>
          <w:tcPr>
            <w:tcW w:w="31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November 20, 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twelve</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months prior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to November</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20, 1998..............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73.8%</w:t>
            </w:r>
          </w:p>
        </w:tc>
      </w:tr>
    </w:tbl>
    <w:p>
      <w:pPr>
        <w:spacing w:after="0" w:line="170" w:lineRule="exact"/>
        <w:rPr>
          <w:sz w:val="20"/>
          <w:szCs w:val="20"/>
          <w:color w:val="auto"/>
        </w:rPr>
      </w:pPr>
    </w:p>
    <w:p>
      <w:pPr>
        <w:ind w:right="600" w:firstLine="431"/>
        <w:spacing w:after="0" w:line="255" w:lineRule="auto"/>
        <w:rPr>
          <w:sz w:val="20"/>
          <w:szCs w:val="20"/>
          <w:color w:val="auto"/>
        </w:rPr>
      </w:pPr>
      <w:r>
        <w:rPr>
          <w:rFonts w:ascii="Courier New" w:cs="Courier New" w:eastAsia="Courier New" w:hAnsi="Courier New"/>
          <w:sz w:val="14"/>
          <w:szCs w:val="14"/>
          <w:color w:val="auto"/>
        </w:rPr>
        <w:t>The source for the table above was Datastream, an organization which compiles share prices for public companies.</w:t>
      </w:r>
    </w:p>
    <w:p>
      <w:pPr>
        <w:spacing w:after="0" w:line="160" w:lineRule="exact"/>
        <w:rPr>
          <w:sz w:val="20"/>
          <w:szCs w:val="20"/>
          <w:color w:val="auto"/>
        </w:rPr>
      </w:pPr>
    </w:p>
    <w:p>
      <w:pPr>
        <w:ind w:right="80" w:firstLine="431"/>
        <w:spacing w:after="0" w:line="252" w:lineRule="auto"/>
        <w:rPr>
          <w:sz w:val="20"/>
          <w:szCs w:val="20"/>
          <w:color w:val="auto"/>
        </w:rPr>
      </w:pPr>
      <w:r>
        <w:rPr>
          <w:rFonts w:ascii="Courier New" w:cs="Courier New" w:eastAsia="Courier New" w:hAnsi="Courier New"/>
          <w:sz w:val="14"/>
          <w:szCs w:val="14"/>
          <w:color w:val="auto"/>
        </w:rPr>
        <w:t>The following table illustrates the historical relative contribution by Exxon to a combined Exxon Mobil entity for the different financial and physical performance measures that were reviewed: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0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Firm value........................</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After tax earnings before change</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in accounting principles.......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78.6%</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71.7%</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74.4%</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73.1%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Pre-tax earnings before interest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and pre-extraordinary items....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70.5%</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67.3%</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67.9%</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69.8%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Earnings before interest, tax,</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pre-extraordinary items........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68.1%</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66.5%</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65.6%</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65.9%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Dividends distributed.............</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73.4%</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73.4%</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72.8%</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72.2%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After tax operating cash flow.....</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69.6%</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69.1%</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68.1%</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68.3%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Capital employed..................</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65.3%</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65.2%</w:t>
            </w: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66.8%</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67.1%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Pre tax earnings before interest,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exploration expense pre-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extraordinary items............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fixed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 reserves..............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Refinery capacity.................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SEC-10............................</w:t>
      </w:r>
    </w:p>
    <w:p>
      <w:pPr>
        <w:spacing w:after="0" w:line="338"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J.P. Morgan observed that the relative contribution by Exxon to a combined Exxon Mobil entity in the most recent full year of Exxon would have been between 61% and 73% depending on the measure used. J.P. Morgan compared this range of relative contribution with the approximately 70% continuing ownership stake that Exxon's shareholders would have in the combined company following the merger. Sources for the historical financial information used in connection with the ratios were Exxon's and Mobil's annual reports for the years 1992-1997, inclusive, and first nine months results of 1998 as announced by both companies.</w:t>
      </w:r>
    </w:p>
    <w:p>
      <w:pPr>
        <w:spacing w:after="0" w:line="164" w:lineRule="exact"/>
        <w:rPr>
          <w:sz w:val="20"/>
          <w:szCs w:val="20"/>
          <w:color w:val="auto"/>
        </w:rPr>
      </w:pPr>
    </w:p>
    <w:p>
      <w:pPr>
        <w:ind w:right="80" w:firstLine="611"/>
        <w:spacing w:after="0" w:line="251" w:lineRule="auto"/>
        <w:tabs>
          <w:tab w:leader="none" w:pos="8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Forecast Contribution Analysis. J.P. Morgan reviewed and analyzed the then most current First Call earnings and after-tax operating cash flow forecasts for 1998, 1999 and 2000. J.P. Morgan observed that Exxon was forecast to contribute between 70% and 73% of the future earnings and cash flow of a combined Exxon Mobil</w:t>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9 months to</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w w:val="99"/>
              </w:rPr>
              <w:t>Sep 30, 1998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7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71.3%</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73.0%</w:t>
            </w:r>
          </w:p>
        </w:tc>
      </w:tr>
      <w:tr>
        <w:trPr>
          <w:trHeight w:val="166"/>
        </w:trPr>
        <w:tc>
          <w:tcPr>
            <w:tcW w:w="7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67.6%</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68.7%</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71.7%</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72.1%</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72.6%</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66.0%</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66.7%</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68.4%</w:t>
            </w:r>
          </w:p>
        </w:tc>
      </w:tr>
      <w:tr>
        <w:trPr>
          <w:trHeight w:val="497"/>
        </w:trPr>
        <w:tc>
          <w:tcPr>
            <w:tcW w:w="740" w:type="dxa"/>
            <w:vAlign w:val="bottom"/>
          </w:tcPr>
          <w:p>
            <w:pPr>
              <w:spacing w:after="0"/>
              <w:rPr>
                <w:sz w:val="20"/>
                <w:szCs w:val="20"/>
                <w:color w:val="auto"/>
              </w:rPr>
            </w:pPr>
            <w:r>
              <w:rPr>
                <w:rFonts w:ascii="Courier New" w:cs="Courier New" w:eastAsia="Courier New" w:hAnsi="Courier New"/>
                <w:sz w:val="14"/>
                <w:szCs w:val="14"/>
                <w:color w:val="auto"/>
              </w:rPr>
              <w:t>66.1%</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67.1%</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68.6%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71.5%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70.5%</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69.2%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68.5%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69.1%</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71.5%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66.4%</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67.2%</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66.3%</w:t>
            </w:r>
          </w:p>
        </w:tc>
      </w:tr>
      <w:tr>
        <w:trPr>
          <w:trHeight w:val="663"/>
        </w:trPr>
        <w:tc>
          <w:tcPr>
            <w:tcW w:w="7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66.8%</w:t>
            </w:r>
          </w:p>
        </w:tc>
        <w:tc>
          <w:tcPr>
            <w:tcW w:w="120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73.0%</w:t>
            </w:r>
          </w:p>
        </w:tc>
        <w:tc>
          <w:tcPr>
            <w:tcW w:w="12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66.6%</w:t>
            </w:r>
          </w:p>
        </w:tc>
        <w:tc>
          <w:tcPr>
            <w:tcW w:w="12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65.7%</w:t>
            </w:r>
          </w:p>
        </w:tc>
        <w:tc>
          <w:tcPr>
            <w:tcW w:w="1200" w:type="dxa"/>
            <w:vAlign w:val="bottom"/>
          </w:tcPr>
          <w:p>
            <w:pPr>
              <w:spacing w:after="0"/>
              <w:rPr>
                <w:sz w:val="14"/>
                <w:szCs w:val="14"/>
                <w:color w:val="auto"/>
              </w:rPr>
            </w:pPr>
          </w:p>
        </w:tc>
      </w:tr>
    </w:tbl>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61.9%</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61.2%</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63.1%</w:t>
      </w:r>
    </w:p>
    <w:p>
      <w:pPr>
        <w:sectPr>
          <w:pgSz w:w="11900" w:h="16838" w:orient="portrait"/>
          <w:cols w:equalWidth="0" w:num="2">
            <w:col w:w="6900" w:space="340"/>
            <w:col w:w="2999"/>
          </w:cols>
          <w:pgMar w:left="220" w:top="782" w:right="1440" w:bottom="1440" w:gutter="0" w:footer="0" w:header="0"/>
        </w:sectPr>
      </w:pPr>
    </w:p>
    <w:bookmarkStart w:id="47" w:name="page48"/>
    <w:bookmarkEnd w:id="47"/>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entity. J.P. Morgan compared this range of forecasted contribution with the approximately 70% continuing ownership stake that Exxon's shareholders would have in the combined company following the merger.</w:t>
      </w:r>
    </w:p>
    <w:p>
      <w:pPr>
        <w:spacing w:after="0" w:line="163" w:lineRule="exact"/>
        <w:rPr>
          <w:sz w:val="20"/>
          <w:szCs w:val="20"/>
          <w:color w:val="auto"/>
        </w:rPr>
      </w:pPr>
    </w:p>
    <w:p>
      <w:pPr>
        <w:ind w:right="3339" w:firstLine="611"/>
        <w:spacing w:after="0" w:line="251" w:lineRule="auto"/>
        <w:tabs>
          <w:tab w:leader="none" w:pos="86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Pro Forma Merger Analysis. J.P. Morgan analyzed the then-current pro forma Exxon earnings per share forecasts for 1999, 2000 and 2001 based on First Call estimates. The analysis showed, assuming $2.8 billion in synergies phased in over three years, on an equivalent share basis, that the merger would be accretive from 1999 to Exxon's shareholders, excluding non-recurring integration-related costs.</w:t>
      </w:r>
    </w:p>
    <w:p>
      <w:pPr>
        <w:spacing w:after="0" w:line="164"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Analysis of Selected Comparable Transactions. J.P. Morgan reviewed 38 recently announced or closed large capitalization stock-for-stock transactions. J.P. Morgan then compared the implied premiums resulting from the smaller company's share of the pro forma combined company resulting from the transaction as compared with the smaller company's market capitalization relative to the combined market capitalization of the companies prior to announcement of the transaction.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J.P. Morgan's analysis showed that for transactions involving smaller companies with a relative market capitalization comparable to that of Mobil pre-announcement, a premium of 15% to 25% matched market precedent. The analysis indicated that, based on the closing share prices on November 30, 1998, the day prior to announcement of the merger, the implied premium paid to Mobil shareholders would be approximately 10%. The analysis also indicated that, based on closing share prices on November 24, 1998, two trading days before Exxon and Mobil issued a joint press release confirming that they were in discussions concerning a possible merger, the implied premium paid to Mobil shareholders would be approximately 20%.</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summary set forth above is not a complete description of the analyses or data presented by J.P. Morgan. The preparation of a fairness opinion is a complex process and is not necessarily susceptible to partial analysis or summary description. In arriving at its opinion, J.P. Morgan considered the results of all of its analyses as a whole and did not attribute any particular weight to any analysis or factor considered by it. Furthermore, J.P. Morgan believes that selecting any portion of its analyses, without considering all analyses, would create an incomplete view of the process underlying its opinion. In addition, J.P. Morgan may have given various analyses and factors more or less weight than other analyses and factors, and may have deemed various assumptions more or less probable than other assumptions, so that the ranges of valuation resulting from any particular analysis described should not be taken as J.P. Morgan's view of the actual value of Exxon or Mobil. In performing its analyses, J.P. Morgan made numerous assumptions with respect to industry performance, general business and economic conditions and other matters, many of which are beyond the control of Exxon and Mobil. Any estimates contained in J.P. Morgan's analyses are not necessarily indicative of future results or actual values, which may be significantly more or less favorable than those suggested by such estimates.</w:t>
      </w:r>
    </w:p>
    <w:p>
      <w:pPr>
        <w:spacing w:after="0" w:line="33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estate, corporate and other purposes. J.P. Morgan was selected to advise Exxon and to deliver a fairness opinion with respect to the merger on the basis of such experience and its familiarity with Exxon.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a letter agreement dated November 9, 1998, Exxon engaged J.P. Morgan as its exclusive financial advisor in connection with the merger. Pursuant to the terms of the J.P. Morgan engagement letter, Exxon has agreed to pay J.P. Morgan a fee equal to (i) $100,000 per month and (ii) $8,000,000 payable upon the consummation of the merger or acquisition of a majority of the common stock or assets of Mobil by Exxon, with up to $2,400,000 of the fees paid pursuant to clause (i) above to be creditable to any fees that become payable pursuant to clause (ii) above. In addition, Exxon has agreed to reimburse J.P. Morgan for its reasonable expenses incurred in connection with its services, including the fees and disbursements of counsel, and will indemnify J.P. Morgan against certain liabilities arising out of J.P. Morgan's engagement, including liabilities under the federal securities laws. The SEC has taken the position that such indemnification under the federal securities laws may not be enforceable if it is found to be against public policy.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I-43</w:t>
      </w:r>
    </w:p>
    <w:p>
      <w:pPr>
        <w:sectPr>
          <w:pgSz w:w="11900" w:h="16838" w:orient="portrait"/>
          <w:cols w:equalWidth="0" w:num="1">
            <w:col w:w="10239"/>
          </w:cols>
          <w:pgMar w:left="220" w:top="78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J.P. Morgan has in the past provided financial advisory services to a subsidiary of Exxon, and in the past has provided financial advisory and other services to Mobil. In addition, Mr. Raymond has been a member of J.P. Morgan's board of directors since 1987. As a result, a potential conflict of interest could be deemed to exist. The Exxon Board did not consider this potential conflict to be significant either to the selection of J.P. Morgan as financial advisor or to relying on J.P. Morgan's opinion. In the ordinary course of their businesses, J.P. Morgan and its affiliates may actively trade the debt and equity securities of Exxon or Mobil for their own account or for the accounts of customers and, accordingly, they may at any time hold long or short positions in such securities.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Mobil Financial Advisor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December 1, 1998, Goldman Sachs delivered its written opinion to the Mobil Board that, as of the date of such opinion, the exchange ratio pursuant to the merger agreement was fair from a financial point of view to the holders of Mobil common stock. Goldman Sachs reconfirmed its December 1, 1998 opinion by delivery of its written opinion dated as of April 2, 1999.</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full text of the written opinion of Goldman Sachs, dated April 2, 1999, which sets forth assumptions made, matters considered and limitations on the review undertaken in connection with the opinion is attached as Annex D and is incorporated by reference. Mobil shareholders are urged to, and should, read such opinion in its entirety.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its opinion, Goldman Sachs reviewed, among other things:</w:t>
      </w:r>
    </w:p>
    <w:p>
      <w:pPr>
        <w:spacing w:after="0" w:line="173" w:lineRule="exact"/>
        <w:rPr>
          <w:sz w:val="20"/>
          <w:szCs w:val="20"/>
          <w:color w:val="auto"/>
        </w:rPr>
      </w:pPr>
    </w:p>
    <w:p>
      <w:pPr>
        <w:ind w:left="1040" w:hanging="343"/>
        <w:spacing w:after="0"/>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option agreement;</w:t>
      </w:r>
    </w:p>
    <w:p>
      <w:pPr>
        <w:spacing w:after="0" w:line="172" w:lineRule="exact"/>
        <w:rPr>
          <w:rFonts w:ascii="Courier New" w:cs="Courier New" w:eastAsia="Courier New" w:hAnsi="Courier New"/>
          <w:sz w:val="14"/>
          <w:szCs w:val="14"/>
          <w:color w:val="auto"/>
        </w:rPr>
      </w:pPr>
    </w:p>
    <w:p>
      <w:pPr>
        <w:ind w:left="1040" w:right="3339" w:hanging="343"/>
        <w:spacing w:after="0" w:line="251" w:lineRule="auto"/>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Reports to Stockholders and Annual Reports on Form 10-K of Mobil and Exxon for the five years ended December 31, 1997 and, in the case of its reconfirmed opinion, the Annual Reports on Form 10-K of Mobil and Exxon for the year ended December 31, 1998 and this document;</w:t>
      </w:r>
    </w:p>
    <w:p>
      <w:pPr>
        <w:spacing w:after="0" w:line="164" w:lineRule="exact"/>
        <w:rPr>
          <w:rFonts w:ascii="Courier New" w:cs="Courier New" w:eastAsia="Courier New" w:hAnsi="Courier New"/>
          <w:sz w:val="14"/>
          <w:szCs w:val="14"/>
          <w:color w:val="auto"/>
        </w:rPr>
      </w:pPr>
    </w:p>
    <w:p>
      <w:pPr>
        <w:ind w:left="1040" w:right="3679" w:hanging="343"/>
        <w:spacing w:after="0" w:line="255" w:lineRule="auto"/>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interim reports to shareholders and Quarterly Reports on Form 10-Q of Mobil and Exxon;</w:t>
      </w:r>
    </w:p>
    <w:p>
      <w:pPr>
        <w:spacing w:after="0" w:line="159" w:lineRule="exact"/>
        <w:rPr>
          <w:rFonts w:ascii="Courier New" w:cs="Courier New" w:eastAsia="Courier New" w:hAnsi="Courier New"/>
          <w:sz w:val="14"/>
          <w:szCs w:val="14"/>
          <w:color w:val="auto"/>
        </w:rPr>
      </w:pPr>
    </w:p>
    <w:p>
      <w:pPr>
        <w:ind w:left="1040" w:right="4199" w:hanging="343"/>
        <w:spacing w:after="0" w:line="255" w:lineRule="auto"/>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communications from Mobil and Exxon to their respective shareholders;</w:t>
      </w:r>
    </w:p>
    <w:p>
      <w:pPr>
        <w:spacing w:after="0" w:line="159" w:lineRule="exact"/>
        <w:rPr>
          <w:rFonts w:ascii="Courier New" w:cs="Courier New" w:eastAsia="Courier New" w:hAnsi="Courier New"/>
          <w:sz w:val="14"/>
          <w:szCs w:val="14"/>
          <w:color w:val="auto"/>
        </w:rPr>
      </w:pPr>
    </w:p>
    <w:p>
      <w:pPr>
        <w:ind w:left="1040" w:right="3339" w:hanging="343"/>
        <w:spacing w:after="0" w:line="255" w:lineRule="auto"/>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internal financial analyses and forecasts for Mobil prepared by its management; and</w:t>
      </w:r>
    </w:p>
    <w:p>
      <w:pPr>
        <w:spacing w:after="0" w:line="159" w:lineRule="exact"/>
        <w:rPr>
          <w:rFonts w:ascii="Courier New" w:cs="Courier New" w:eastAsia="Courier New" w:hAnsi="Courier New"/>
          <w:sz w:val="14"/>
          <w:szCs w:val="14"/>
          <w:color w:val="auto"/>
        </w:rPr>
      </w:pPr>
    </w:p>
    <w:p>
      <w:pPr>
        <w:ind w:left="960" w:right="4019" w:hanging="263"/>
        <w:spacing w:after="0" w:line="255" w:lineRule="auto"/>
        <w:tabs>
          <w:tab w:leader="none" w:pos="9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cost savings and operating synergies projected by the managements of Mobil and Exxon to result from the merger.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Goldman Sachs also held discussions with members of the senior management of Mobil regarding the strategic rationale for, and the potential benefits of, the merger and Mobil's past and current business operations, financial condition and future prospects. Goldman Sachs reviewed forecasts regarding selected measures of future operating and financial performance of Exxon in summary form prepared by management of Mobil based on its discussions with management of Exxon. Internal financial analyses and forecasts prepared by Exxon were not otherwise made available for review by Goldman Sachs. In addition, Goldman Sachs:</w:t>
      </w:r>
    </w:p>
    <w:p>
      <w:pPr>
        <w:spacing w:after="0" w:line="329" w:lineRule="exact"/>
        <w:rPr>
          <w:sz w:val="20"/>
          <w:szCs w:val="20"/>
          <w:color w:val="auto"/>
        </w:rPr>
      </w:pPr>
    </w:p>
    <w:p>
      <w:pPr>
        <w:ind w:left="960" w:right="3679" w:hanging="263"/>
        <w:spacing w:after="0" w:line="255" w:lineRule="auto"/>
        <w:tabs>
          <w:tab w:leader="none" w:pos="9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 and trading activity for Mobil common stock and Exxon common stock;</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certain financial and stock market information for Mobil and Exxon with similar information for certain other companies the securities of which are publicly traded;</w:t>
      </w:r>
    </w:p>
    <w:p>
      <w:pPr>
        <w:spacing w:after="0" w:line="16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certain recent business combinations; and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I-44</w:t>
      </w:r>
    </w:p>
    <w:p>
      <w:pPr>
        <w:sectPr>
          <w:pgSz w:w="11900" w:h="16838" w:orient="portrait"/>
          <w:cols w:equalWidth="0" w:num="1">
            <w:col w:w="10239"/>
          </w:cols>
          <w:pgMar w:left="220" w:top="782" w:right="1440" w:bottom="1440" w:gutter="0" w:footer="0" w:header="0"/>
        </w:sectPr>
      </w:pPr>
    </w:p>
    <w:bookmarkStart w:id="49" w:name="page50"/>
    <w:bookmarkEnd w:id="4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4279" w:hanging="263"/>
        <w:spacing w:after="0" w:line="255" w:lineRule="auto"/>
        <w:tabs>
          <w:tab w:leader="none" w:pos="9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studies and analyses as it considered appropriate.</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Goldman Sachs relied upon the accuracy and completeness of all of the financial and other information reviewed by it and assumed such accuracy and completeness for purposes of rendering its opinion. In that regard, Goldman Sachs assumed, with the consent of the Mobil Board, that the synergies were reasonably prepared on a basis reflecting the best available estimates and judgments of Mobil and Exxon as of the date of its opinion. Goldman Sachs also assumed, with the consent of the Mobil Board, that the merger will be accounted for as a pooling of interests under generally accepted accounting principles. Goldman Sachs also has assumed that all material governmental, regulatory or other consents and approvals necessary for the completion of the merger will be obtained without any meaningful adverse effect on Mobil or Exxon. In addition, Goldman Sachs did not make an independent evaluation or appraisal of the assets and liabilities of Mobil or Exxon or any of their subsidiaries and Goldman Sachs was not furnished with any such evaluation or appraisal. The opinion of Goldman Sachs was provided for the information and assistance of the Mobil Board in connection with its consideration of the merger and is not a recommendation as to how any holder of shares of Mobil common stock should vote.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is a summary of the material financial analyses used by Goldman Sachs in connection with providing its written opinion to the Mobil Board on December 1, 1998. Goldman Sachs utilized substantially the same types of financial analyses in connection with providing its opinion dated April 2, 1999.</w:t>
      </w:r>
    </w:p>
    <w:p>
      <w:pPr>
        <w:spacing w:after="0" w:line="165" w:lineRule="exact"/>
        <w:rPr>
          <w:sz w:val="20"/>
          <w:szCs w:val="20"/>
          <w:color w:val="auto"/>
        </w:rPr>
      </w:pPr>
    </w:p>
    <w:p>
      <w:pPr>
        <w:ind w:right="3419" w:firstLine="611"/>
        <w:spacing w:after="0" w:line="251" w:lineRule="auto"/>
        <w:tabs>
          <w:tab w:leader="none" w:pos="86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Stock Trading Analysis. Goldman Sachs reviewed the average historical trading prices for the shares of Mobil common stock. In addition, Goldman Sachs analyzed the consideration to be received by holders of Mobil common stock pursuant to the merger agreement in relation to the average per share closing price of Mobil common stock for the one week, one month, three month, six month, one year, three year, five year and ten year periods ended November 24, 1998 and in relation to the closing price of Mobil common stock on November 24, 1998 and November 30, 1998. November 24, 1998 was chosen as a reference date because it was the last trading day prior to public reports that Mobil and Exxon were discussing a potential business combination transaction.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analysis was based on the exchange ratio of 1.32015 and the per share price of Exxon common stock of $75.00 on November 30, 1998, the last trading day prior to the announcement of the execution of the merger agreement. The analysis indicated that the consideration per share of Mobil common stock to be received by holders of Mobil common stock pursuant to the merger agreement:</w:t>
      </w:r>
    </w:p>
    <w:p>
      <w:pPr>
        <w:spacing w:after="0" w:line="165" w:lineRule="exact"/>
        <w:rPr>
          <w:sz w:val="20"/>
          <w:szCs w:val="20"/>
          <w:color w:val="auto"/>
        </w:rPr>
      </w:pPr>
    </w:p>
    <w:p>
      <w:pPr>
        <w:ind w:left="960" w:right="3339" w:hanging="263"/>
        <w:spacing w:after="0" w:line="252"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the average closing price for the one week, one month, three month, six month and one year periods ending November 24, 1998, represented a premium of 33.4%, 33.6%, 31.5%, 32.5% and 33.4%, respectively;</w:t>
      </w:r>
    </w:p>
    <w:p>
      <w:pPr>
        <w:spacing w:after="0" w:line="162" w:lineRule="exact"/>
        <w:rPr>
          <w:rFonts w:ascii="Courier New" w:cs="Courier New" w:eastAsia="Courier New" w:hAnsi="Courier New"/>
          <w:sz w:val="14"/>
          <w:szCs w:val="14"/>
          <w:color w:val="auto"/>
        </w:rPr>
      </w:pPr>
    </w:p>
    <w:p>
      <w:pPr>
        <w:jc w:val="both"/>
        <w:ind w:left="960" w:right="3599" w:hanging="263"/>
        <w:spacing w:after="0" w:line="252"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the closing price of Mobil common stock on November 24, 1998 and November 30, 1998, represented a premium of 32.1% and 15.1%, respectively; and</w:t>
      </w:r>
    </w:p>
    <w:p>
      <w:pPr>
        <w:spacing w:after="0" w:line="162" w:lineRule="exact"/>
        <w:rPr>
          <w:rFonts w:ascii="Courier New" w:cs="Courier New" w:eastAsia="Courier New" w:hAnsi="Courier New"/>
          <w:sz w:val="14"/>
          <w:szCs w:val="14"/>
          <w:color w:val="auto"/>
        </w:rPr>
      </w:pPr>
    </w:p>
    <w:p>
      <w:pPr>
        <w:ind w:left="960" w:right="3419" w:hanging="263"/>
        <w:spacing w:after="0" w:line="252" w:lineRule="auto"/>
        <w:tabs>
          <w:tab w:leader="none" w:pos="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relation to the closing price of Mobil common stock on May 1, 1998, the date of Mobil's all time high closing stock price prior to November 25, 1998, represented a premium of 19.9%.</w:t>
      </w:r>
    </w:p>
    <w:p>
      <w:pPr>
        <w:spacing w:after="0" w:line="163" w:lineRule="exact"/>
        <w:rPr>
          <w:sz w:val="20"/>
          <w:szCs w:val="20"/>
          <w:color w:val="auto"/>
        </w:rPr>
      </w:pPr>
    </w:p>
    <w:p>
      <w:pPr>
        <w:ind w:right="3339" w:firstLine="611"/>
        <w:spacing w:after="0" w:line="251" w:lineRule="auto"/>
        <w:tabs>
          <w:tab w:leader="none" w:pos="86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Ratio Analysis. Goldman Sachs calculated the average of the historical daily exchange ratios of Exxon common stock to Mobil common stock based on the closing prices of Exxon common stock and Mobil common stock for the one week, one month, three month, six month and one year periods ended November 24, 1998. Such analysis indicated:</w:t>
      </w:r>
    </w:p>
    <w:p>
      <w:pPr>
        <w:spacing w:after="0" w:line="165" w:lineRule="exact"/>
        <w:rPr>
          <w:sz w:val="20"/>
          <w:szCs w:val="20"/>
          <w:color w:val="auto"/>
        </w:rPr>
      </w:pPr>
    </w:p>
    <w:p>
      <w:pPr>
        <w:ind w:left="960" w:right="3339" w:hanging="263"/>
        <w:spacing w:after="0" w:line="252" w:lineRule="auto"/>
        <w:tabs>
          <w:tab w:leader="none" w:pos="9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average exchange ratios over such periods were 1.041, 1.035, 1.064, 1.059 and 1.096, respectively, compared to the exchange ratio of 1.32015 pursuant to the merger agreement;</w:t>
      </w:r>
    </w:p>
    <w:p>
      <w:pPr>
        <w:spacing w:after="0" w:line="162" w:lineRule="exact"/>
        <w:rPr>
          <w:rFonts w:ascii="Courier New" w:cs="Courier New" w:eastAsia="Courier New" w:hAnsi="Courier New"/>
          <w:sz w:val="14"/>
          <w:szCs w:val="14"/>
          <w:color w:val="auto"/>
        </w:rPr>
      </w:pPr>
    </w:p>
    <w:p>
      <w:pPr>
        <w:ind w:left="960" w:right="3779" w:hanging="263"/>
        <w:spacing w:after="0" w:line="252" w:lineRule="auto"/>
        <w:tabs>
          <w:tab w:leader="none" w:pos="9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average exchange ratio since the closing price of Mobil common stock on May 1, 1998, the date of Mobil's all time high closing price prior to November 25, 1998, was 1.092; and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I-45</w:t>
      </w:r>
    </w:p>
    <w:p>
      <w:pPr>
        <w:sectPr>
          <w:pgSz w:w="11900" w:h="16838" w:orient="portrait"/>
          <w:cols w:equalWidth="0" w:num="1">
            <w:col w:w="10239"/>
          </w:cols>
          <w:pgMar w:left="220" w:top="78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3419" w:hanging="263"/>
        <w:spacing w:after="0" w:line="252" w:lineRule="auto"/>
        <w:tabs>
          <w:tab w:leader="none" w:pos="9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exchange ratio of 1.147 for the closing price of Exxon common stock to Mobil common stock on November 30, 1998, as compared to the exchange ratio of 1.32015 pursuant to the merger agreement.</w:t>
      </w:r>
    </w:p>
    <w:p>
      <w:pPr>
        <w:spacing w:after="0" w:line="163" w:lineRule="exact"/>
        <w:rPr>
          <w:sz w:val="20"/>
          <w:szCs w:val="20"/>
          <w:color w:val="auto"/>
        </w:rPr>
      </w:pPr>
    </w:p>
    <w:p>
      <w:pPr>
        <w:ind w:right="3339" w:firstLine="611"/>
        <w:spacing w:after="0" w:line="250" w:lineRule="auto"/>
        <w:tabs>
          <w:tab w:leader="none" w:pos="86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Analysis. Goldman Sachs reviewed certain historical and estimated future operating and financial information, including, among other things, equity market value, levered value, total assets, shareholders' equity, earnings before interest, taxes, depreciation and amortization ("EBITDA"), net income and discretionary cash flow for Exxon, Mobil and the pro forma combined company resulting from the merger. Levered value is market value of equity plus book value of debt less cash. Discretionary cash flow is net income plus depreciation, depletion, amortization, deferred taxes and exploration expenses. This analysis indicated that, excluding shares of Mobil common stock held in trust pursuant to the Trust Agreement, dated June 29, 1992, as amended, between Mobil and Bankers Trust (Delaware), holders of Mobil common stock would receive 30% of the outstanding common equity of the pro forma combined company after the merger based on the exchange ratio of 1.32015 and contribute 25%, 26%, 31% and 34% of the equity market value, levered value, total assets and 1997 EBITDA of the pro forma combined company, respectively.</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Goldman Sachs also analyzed the relative income statement contribution of Mobil and Exxon to the pro forma combined company resulting from the merger, before taking into account any of the possible benefits that may be realized following the merger, for 1997 and estimated years 1998, 1999 and 2000, based on I/B/E/S International Inc. estimates of earnings and cash flows.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results of these analyses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Contribution</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of Mobil</w:t>
            </w:r>
          </w:p>
        </w:tc>
        <w:tc>
          <w:tcPr>
            <w:tcW w:w="4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298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to the Pro Forma Combined Company</w:t>
            </w:r>
          </w:p>
        </w:tc>
      </w:tr>
      <w:tr>
        <w:trPr>
          <w:trHeight w:val="166"/>
        </w:trPr>
        <w:tc>
          <w:tcPr>
            <w:tcW w:w="3580" w:type="dxa"/>
            <w:vAlign w:val="bottom"/>
          </w:tcPr>
          <w:p>
            <w:pPr>
              <w:spacing w:after="0"/>
              <w:rPr>
                <w:sz w:val="14"/>
                <w:szCs w:val="14"/>
                <w:color w:val="auto"/>
              </w:rPr>
            </w:pPr>
          </w:p>
        </w:tc>
        <w:tc>
          <w:tcPr>
            <w:tcW w:w="298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1998E</w:t>
            </w:r>
          </w:p>
        </w:tc>
        <w:tc>
          <w:tcPr>
            <w:tcW w:w="8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1999E</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rPr>
              <w:t>2000E</w:t>
            </w:r>
          </w:p>
        </w:tc>
      </w:tr>
      <w:tr>
        <w:trPr>
          <w:trHeight w:val="166"/>
        </w:trPr>
        <w:tc>
          <w:tcPr>
            <w:tcW w:w="358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29%</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w w:val="95"/>
              </w:rPr>
              <w:t>30%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Discretionary Cash Flow.................</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w:t>
            </w:r>
          </w:p>
        </w:tc>
        <w:tc>
          <w:tcPr>
            <w:tcW w:w="8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w w:val="95"/>
              </w:rPr>
              <w:t>33%</w:t>
            </w:r>
          </w:p>
        </w:tc>
      </w:tr>
    </w:tbl>
    <w:p>
      <w:pPr>
        <w:spacing w:after="0" w:line="335" w:lineRule="exact"/>
        <w:rPr>
          <w:sz w:val="20"/>
          <w:szCs w:val="20"/>
          <w:color w:val="auto"/>
        </w:rPr>
      </w:pPr>
    </w:p>
    <w:p>
      <w:pPr>
        <w:ind w:right="3339" w:firstLine="611"/>
        <w:spacing w:after="0" w:line="252" w:lineRule="auto"/>
        <w:tabs>
          <w:tab w:leader="none" w:pos="86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Companies Analysis. Goldman Sachs reviewed and compared certain financial information, ratios and public market multiples relating to Mobil to corresponding financial information, ratios and public market multiples for the following six publicly traded companies:</w:t>
      </w:r>
    </w:p>
    <w:p>
      <w:pPr>
        <w:spacing w:after="0" w:line="162" w:lineRule="exact"/>
        <w:rPr>
          <w:sz w:val="20"/>
          <w:szCs w:val="20"/>
          <w:color w:val="auto"/>
        </w:rPr>
      </w:pPr>
    </w:p>
    <w:p>
      <w:pPr>
        <w:ind w:left="1040" w:hanging="343"/>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British Petroleum Company plc,</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Chevron Corporation,</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Royal Dutch Petroleum Company,</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Shell Transport &amp; Trading Co. plc, and</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Texaco Inc.</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selected companies were chosen because they are publicly traded companies that for purposes of analysis may be considered similar to Mobil.</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Goldman Sachs calculated and compared various financial multiples and ratios. The multiples of Mobil were calculated using a price of $74.94 per share, the closing price of Mobil common stock on November 24, 1998, the last trading day prior to public reports that Mobil and Exxon were discussing a potential business combination. The multiples and ratios for Mobil and for each of the selected companies were based on the most recent publicly available information.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I-46</w:t>
      </w:r>
    </w:p>
    <w:p>
      <w:pPr>
        <w:sectPr>
          <w:pgSz w:w="11900" w:h="16838" w:orient="portrait"/>
          <w:cols w:equalWidth="0" w:num="1">
            <w:col w:w="10239"/>
          </w:cols>
          <w:pgMar w:left="220" w:top="782" w:right="1440" w:bottom="1440" w:gutter="0" w:footer="0" w:header="0"/>
        </w:sectPr>
      </w:pPr>
    </w:p>
    <w:bookmarkStart w:id="51" w:name="page52"/>
    <w:bookmarkEnd w:id="5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results of these analyses are as follows:</w:t>
      </w:r>
    </w:p>
    <w:p>
      <w:pPr>
        <w:spacing w:after="0" w:line="338"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The Selected Companies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5680" w:val="left"/>
        </w:tabs>
        <w:rPr>
          <w:sz w:val="20"/>
          <w:szCs w:val="20"/>
          <w:color w:val="auto"/>
        </w:rPr>
      </w:pPr>
      <w:r>
        <w:rPr>
          <w:rFonts w:ascii="Courier New" w:cs="Courier New" w:eastAsia="Courier New" w:hAnsi="Courier New"/>
          <w:sz w:val="14"/>
          <w:szCs w:val="14"/>
          <w:color w:val="auto"/>
        </w:rPr>
        <w:t>1998E range</w:t>
      </w:r>
      <w:r>
        <w:rPr>
          <w:sz w:val="20"/>
          <w:szCs w:val="20"/>
          <w:color w:val="auto"/>
        </w:rPr>
        <w:tab/>
      </w:r>
      <w:r>
        <w:rPr>
          <w:rFonts w:ascii="Courier New" w:cs="Courier New" w:eastAsia="Courier New" w:hAnsi="Courier New"/>
          <w:sz w:val="14"/>
          <w:szCs w:val="14"/>
          <w:color w:val="auto"/>
        </w:rPr>
        <w:t>1999E range</w:t>
      </w:r>
    </w:p>
    <w:p>
      <w:pPr>
        <w:spacing w:after="0" w:line="7" w:lineRule="exact"/>
        <w:rPr>
          <w:sz w:val="20"/>
          <w:szCs w:val="20"/>
          <w:color w:val="auto"/>
        </w:rPr>
      </w:pPr>
    </w:p>
    <w:p>
      <w:pPr>
        <w:ind w:left="3980"/>
        <w:spacing w:after="0"/>
        <w:tabs>
          <w:tab w:leader="none" w:pos="5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4040" w:val="left"/>
          <w:tab w:leader="none" w:pos="5580" w:val="left"/>
        </w:tabs>
        <w:rPr>
          <w:sz w:val="20"/>
          <w:szCs w:val="20"/>
          <w:color w:val="auto"/>
        </w:rPr>
      </w:pPr>
      <w:r>
        <w:rPr>
          <w:rFonts w:ascii="Courier New" w:cs="Courier New" w:eastAsia="Courier New" w:hAnsi="Courier New"/>
          <w:sz w:val="14"/>
          <w:szCs w:val="14"/>
          <w:color w:val="auto"/>
        </w:rPr>
        <w:t>Price/earnings ratio........................</w:t>
      </w:r>
      <w:r>
        <w:rPr>
          <w:sz w:val="20"/>
          <w:szCs w:val="20"/>
          <w:color w:val="auto"/>
        </w:rPr>
        <w:tab/>
      </w:r>
      <w:r>
        <w:rPr>
          <w:rFonts w:ascii="Courier New" w:cs="Courier New" w:eastAsia="Courier New" w:hAnsi="Courier New"/>
          <w:sz w:val="14"/>
          <w:szCs w:val="14"/>
          <w:color w:val="auto"/>
        </w:rPr>
        <w:t>26.4x - 29.6x</w:t>
      </w:r>
      <w:r>
        <w:rPr>
          <w:sz w:val="20"/>
          <w:szCs w:val="20"/>
          <w:color w:val="auto"/>
        </w:rPr>
        <w:tab/>
      </w:r>
      <w:r>
        <w:rPr>
          <w:rFonts w:ascii="Courier New" w:cs="Courier New" w:eastAsia="Courier New" w:hAnsi="Courier New"/>
          <w:sz w:val="14"/>
          <w:szCs w:val="14"/>
          <w:color w:val="auto"/>
        </w:rPr>
        <w:t>19.3x - 23.8x</w:t>
      </w:r>
    </w:p>
    <w:p>
      <w:pPr>
        <w:spacing w:after="0" w:line="7" w:lineRule="exact"/>
        <w:rPr>
          <w:sz w:val="20"/>
          <w:szCs w:val="20"/>
          <w:color w:val="auto"/>
        </w:rPr>
      </w:pPr>
    </w:p>
    <w:p>
      <w:pPr>
        <w:spacing w:after="0"/>
        <w:tabs>
          <w:tab w:leader="none" w:pos="4040" w:val="left"/>
          <w:tab w:leader="none" w:pos="5680" w:val="left"/>
        </w:tabs>
        <w:rPr>
          <w:sz w:val="20"/>
          <w:szCs w:val="20"/>
          <w:color w:val="auto"/>
        </w:rPr>
      </w:pPr>
      <w:r>
        <w:rPr>
          <w:rFonts w:ascii="Courier New" w:cs="Courier New" w:eastAsia="Courier New" w:hAnsi="Courier New"/>
          <w:sz w:val="14"/>
          <w:szCs w:val="14"/>
          <w:color w:val="auto"/>
        </w:rPr>
        <w:t>Price/cash flow ratio.......................</w:t>
      </w:r>
      <w:r>
        <w:rPr>
          <w:sz w:val="20"/>
          <w:szCs w:val="20"/>
          <w:color w:val="auto"/>
        </w:rPr>
        <w:tab/>
      </w:r>
      <w:r>
        <w:rPr>
          <w:rFonts w:ascii="Courier New" w:cs="Courier New" w:eastAsia="Courier New" w:hAnsi="Courier New"/>
          <w:sz w:val="14"/>
          <w:szCs w:val="14"/>
          <w:color w:val="auto"/>
        </w:rPr>
        <w:t>10.0x - 13.6x</w:t>
      </w:r>
      <w:r>
        <w:rPr>
          <w:sz w:val="20"/>
          <w:szCs w:val="20"/>
          <w:color w:val="auto"/>
        </w:rPr>
        <w:tab/>
      </w:r>
      <w:r>
        <w:rPr>
          <w:rFonts w:ascii="Courier New" w:cs="Courier New" w:eastAsia="Courier New" w:hAnsi="Courier New"/>
          <w:sz w:val="14"/>
          <w:szCs w:val="14"/>
          <w:color w:val="auto"/>
        </w:rPr>
        <w:t>8.5x - 12.5x</w:t>
      </w:r>
    </w:p>
    <w:p>
      <w:pPr>
        <w:spacing w:after="0" w:line="338" w:lineRule="exact"/>
        <w:rPr>
          <w:sz w:val="20"/>
          <w:szCs w:val="20"/>
          <w:color w:val="auto"/>
        </w:rPr>
      </w:pPr>
    </w:p>
    <w:p>
      <w:pPr>
        <w:ind w:firstLine="431"/>
        <w:spacing w:after="0" w:line="255" w:lineRule="auto"/>
        <w:rPr>
          <w:sz w:val="20"/>
          <w:szCs w:val="20"/>
          <w:color w:val="auto"/>
        </w:rPr>
      </w:pPr>
      <w:r>
        <w:rPr>
          <w:rFonts w:ascii="Courier New" w:cs="Courier New" w:eastAsia="Courier New" w:hAnsi="Courier New"/>
          <w:sz w:val="14"/>
          <w:szCs w:val="14"/>
          <w:color w:val="auto"/>
        </w:rPr>
        <w:t>The review also indicated that the dividend yield of the selected companies ranged from 2.22% to 3.12%, compared to 3.04% for Mobil.</w:t>
      </w:r>
    </w:p>
    <w:p>
      <w:pPr>
        <w:spacing w:after="0" w:line="160" w:lineRule="exact"/>
        <w:rPr>
          <w:sz w:val="20"/>
          <w:szCs w:val="20"/>
          <w:color w:val="auto"/>
        </w:rPr>
      </w:pPr>
    </w:p>
    <w:p>
      <w:pPr>
        <w:ind w:firstLine="611"/>
        <w:spacing w:after="0" w:line="251" w:lineRule="auto"/>
        <w:tabs>
          <w:tab w:leader="none" w:pos="86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Merger Analysis. Goldman Sachs prepared a pro forma analysis of the financial impact of the merger. Using I/B/E/S International Inc. earnings estimates for 1999 and 2000, Goldman Sachs compared the earnings per share of Mobil common stock on a stand-alone basis and Exxon common stock on a stand-alone basis, to the earnings per share of the common stock of the pro forma combined company. Goldman Sachs performed this analysis based on the exchange ratio of 1.32015 and under three scenarios reflecting cost savings and operating synergies projected by the management of Mobil and Exxon to result from the merger:</w:t>
      </w:r>
    </w:p>
    <w:p>
      <w:pPr>
        <w:spacing w:after="0" w:line="329" w:lineRule="exact"/>
        <w:rPr>
          <w:sz w:val="20"/>
          <w:szCs w:val="20"/>
          <w:color w:val="auto"/>
        </w:rPr>
      </w:pPr>
    </w:p>
    <w:p>
      <w:pPr>
        <w:ind w:left="960" w:hanging="349"/>
        <w:spacing w:after="0"/>
        <w:tabs>
          <w:tab w:leader="none" w:pos="9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Scenario I - assuming no synergies;</w:t>
      </w:r>
    </w:p>
    <w:p>
      <w:pPr>
        <w:spacing w:after="0" w:line="172" w:lineRule="exact"/>
        <w:rPr>
          <w:rFonts w:ascii="Courier New" w:cs="Courier New" w:eastAsia="Courier New" w:hAnsi="Courier New"/>
          <w:sz w:val="14"/>
          <w:szCs w:val="14"/>
          <w:color w:val="auto"/>
        </w:rPr>
      </w:pPr>
    </w:p>
    <w:p>
      <w:pPr>
        <w:jc w:val="both"/>
        <w:ind w:left="960" w:hanging="349"/>
        <w:spacing w:after="0" w:line="252" w:lineRule="auto"/>
        <w:tabs>
          <w:tab w:leader="none" w:pos="9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Scenario II - assuming $950 million in pre-tax synergies are realized in 1999 and $1,820 million in pre-tax synergies are realized in 2000; and</w:t>
      </w:r>
    </w:p>
    <w:p>
      <w:pPr>
        <w:spacing w:after="0" w:line="162" w:lineRule="exact"/>
        <w:rPr>
          <w:rFonts w:ascii="Courier New" w:cs="Courier New" w:eastAsia="Courier New" w:hAnsi="Courier New"/>
          <w:sz w:val="14"/>
          <w:szCs w:val="14"/>
          <w:color w:val="auto"/>
        </w:rPr>
      </w:pPr>
    </w:p>
    <w:p>
      <w:pPr>
        <w:ind w:left="960" w:right="520" w:hanging="349"/>
        <w:spacing w:after="0" w:line="255" w:lineRule="auto"/>
        <w:tabs>
          <w:tab w:leader="none" w:pos="9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Scenario III - assuming $2,800 million in pre-tax synergies are realized in each of 1999 and 2000.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analysis indicated that:</w:t>
      </w:r>
    </w:p>
    <w:p>
      <w:pPr>
        <w:spacing w:after="0" w:line="173" w:lineRule="exact"/>
        <w:rPr>
          <w:sz w:val="20"/>
          <w:szCs w:val="20"/>
          <w:color w:val="auto"/>
        </w:rPr>
      </w:pPr>
    </w:p>
    <w:p>
      <w:pPr>
        <w:ind w:left="960" w:hanging="263"/>
        <w:spacing w:after="0" w:line="251" w:lineRule="auto"/>
        <w:tabs>
          <w:tab w:leader="none" w:pos="9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Scenario I, the merger would be dilutive - that is, would represent a reduction - to both 1999 and 2000 earnings per share of Exxon common stock on a stand-alone basis and would be accretive-that is, would represent an addition - to 1999 and 2000 earnings per share of Mobil common stock on a stand-alone basis; and</w:t>
      </w:r>
    </w:p>
    <w:p>
      <w:pPr>
        <w:spacing w:after="0" w:line="164" w:lineRule="exact"/>
        <w:rPr>
          <w:rFonts w:ascii="Courier New" w:cs="Courier New" w:eastAsia="Courier New" w:hAnsi="Courier New"/>
          <w:sz w:val="14"/>
          <w:szCs w:val="14"/>
          <w:color w:val="auto"/>
        </w:rPr>
      </w:pPr>
    </w:p>
    <w:p>
      <w:pPr>
        <w:ind w:left="960" w:hanging="263"/>
        <w:spacing w:after="0" w:line="252" w:lineRule="auto"/>
        <w:tabs>
          <w:tab w:leader="none" w:pos="9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Scenario II or Scenario III, the merger would be accretive in 1999 and 2000 to the earnings per share of Exxon common stock on a stand-alone basis and the earnings per share of Mobil common stock on a stand-alone basis.</w:t>
      </w:r>
    </w:p>
    <w:p>
      <w:pPr>
        <w:spacing w:after="0" w:line="162" w:lineRule="exact"/>
        <w:rPr>
          <w:sz w:val="20"/>
          <w:szCs w:val="20"/>
          <w:color w:val="auto"/>
        </w:rPr>
      </w:pPr>
    </w:p>
    <w:p>
      <w:pPr>
        <w:ind w:firstLine="611"/>
        <w:spacing w:after="0" w:line="251" w:lineRule="auto"/>
        <w:tabs>
          <w:tab w:leader="none" w:pos="86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Transactions Analysis. Goldman Sachs analyzed certain information relating to the proposed transaction in relation to certain publicly available information for 28 stock-for-stock transactions, substantially all of which were in excess of $10 billion. Such analysis indicated that for the selected transactions the premiums paid in such transactions as compared to:</w:t>
      </w:r>
    </w:p>
    <w:p>
      <w:pPr>
        <w:spacing w:after="0" w:line="165" w:lineRule="exact"/>
        <w:rPr>
          <w:sz w:val="20"/>
          <w:szCs w:val="20"/>
          <w:color w:val="auto"/>
        </w:rPr>
      </w:pPr>
    </w:p>
    <w:p>
      <w:pPr>
        <w:ind w:left="960" w:right="180" w:hanging="263"/>
        <w:spacing w:after="0" w:line="252" w:lineRule="auto"/>
        <w:tabs>
          <w:tab w:leader="none" w:pos="9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target's price one day prior to the announcement of the transaction, ranged from a low of (5.8)% to a high of 58.8%, with a median of 12.1% and a mean of 17.0%, as compared to 15.1% for the proposed merger;</w:t>
      </w:r>
    </w:p>
    <w:p>
      <w:pPr>
        <w:spacing w:after="0" w:line="162" w:lineRule="exact"/>
        <w:rPr>
          <w:rFonts w:ascii="Courier New" w:cs="Courier New" w:eastAsia="Courier New" w:hAnsi="Courier New"/>
          <w:sz w:val="14"/>
          <w:szCs w:val="14"/>
          <w:color w:val="auto"/>
        </w:rPr>
      </w:pPr>
    </w:p>
    <w:p>
      <w:pPr>
        <w:ind w:left="960" w:hanging="263"/>
        <w:spacing w:after="0" w:line="250" w:lineRule="auto"/>
        <w:tabs>
          <w:tab w:leader="none" w:pos="9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target's price one day prior to the date of any disclosure of the possible transaction (the "Disclosure Date"), ranged from a low of (5.2%) to a high of 70.5%, with a median of 20.7% and a mean of</w:t>
      </w:r>
    </w:p>
    <w:p>
      <w:pPr>
        <w:spacing w:after="0" w:line="1"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24.1%, as compared to 32.1% for the proposed transaction;</w:t>
      </w:r>
    </w:p>
    <w:p>
      <w:pPr>
        <w:spacing w:after="0" w:line="172" w:lineRule="exact"/>
        <w:rPr>
          <w:rFonts w:ascii="Courier New" w:cs="Courier New" w:eastAsia="Courier New" w:hAnsi="Courier New"/>
          <w:sz w:val="14"/>
          <w:szCs w:val="14"/>
          <w:color w:val="auto"/>
        </w:rPr>
      </w:pPr>
    </w:p>
    <w:p>
      <w:pPr>
        <w:ind w:left="960" w:right="440" w:hanging="263"/>
        <w:spacing w:after="0" w:line="252" w:lineRule="auto"/>
        <w:tabs>
          <w:tab w:leader="none" w:pos="9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target's 30-day average price prior to the Disclosure Date, ranged from a low of (1.8)% to a high of 76.0%, with a median of 18.6% and a mean of 28.1%, as compared to 33.6% for the proposed transaction;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4"/>
          <w:szCs w:val="14"/>
          <w:color w:val="auto"/>
        </w:rPr>
        <w:t>Mobil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20"/>
                <w:szCs w:val="20"/>
                <w:color w:val="auto"/>
              </w:rPr>
            </w:pPr>
            <w:r>
              <w:rPr>
                <w:rFonts w:ascii="Courier New" w:cs="Courier New" w:eastAsia="Courier New" w:hAnsi="Courier New"/>
                <w:sz w:val="14"/>
                <w:szCs w:val="14"/>
                <w:color w:val="auto"/>
              </w:rPr>
              <w:t>1998E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1999E</w:t>
            </w: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25.0x</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20.1x</w:t>
            </w: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rPr>
              <w:t>10.9x</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9.6x</w:t>
            </w:r>
          </w:p>
        </w:tc>
      </w:tr>
    </w:tbl>
    <w:p>
      <w:pPr>
        <w:sectPr>
          <w:pgSz w:w="11900" w:h="16838" w:orient="portrait"/>
          <w:cols w:equalWidth="0" w:num="2">
            <w:col w:w="6900" w:space="520"/>
            <w:col w:w="2819"/>
          </w:cols>
          <w:pgMar w:left="220" w:top="78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3779" w:hanging="263"/>
        <w:spacing w:after="0" w:line="252" w:lineRule="auto"/>
        <w:tabs>
          <w:tab w:leader="none" w:pos="9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target's 90-day average price prior to the Disclosure Date, ranged from a low of (6.8)% to a high of 82.8%, with a median of 21.9% and a mean of 28.7%, as compared to 31.5% for the proposed transaction; and</w:t>
      </w:r>
    </w:p>
    <w:p>
      <w:pPr>
        <w:spacing w:after="0" w:line="162" w:lineRule="exact"/>
        <w:rPr>
          <w:rFonts w:ascii="Courier New" w:cs="Courier New" w:eastAsia="Courier New" w:hAnsi="Courier New"/>
          <w:sz w:val="14"/>
          <w:szCs w:val="14"/>
          <w:color w:val="auto"/>
        </w:rPr>
      </w:pPr>
    </w:p>
    <w:p>
      <w:pPr>
        <w:ind w:left="960" w:right="3419" w:hanging="263"/>
        <w:spacing w:after="0" w:line="250" w:lineRule="auto"/>
        <w:tabs>
          <w:tab w:leader="none" w:pos="9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daily exchange ratios for the 90-day period prior to the Disclosure Date, ranged from a low of (8.8)% to a high of 53.6%, with a median of 16.9% and a mean of 18.6%, as compared to</w:t>
      </w:r>
    </w:p>
    <w:p>
      <w:pPr>
        <w:spacing w:after="0" w:line="1"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24.1% for the proposed transaction.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analysis further indicated that for the selected transactions, the premium resulting from the target's share of the pro forma combined company resulting from the transaction as compared with the target's market capitalization relative to the combined market capitalization of the target and the acquirer one day prior to the Disclosure Date ranged from a low of (4.4)% to a high of 45.0%, with a median of 9.0% and a mean of 13.0%, as compared to 22.4% for the proposed transaction.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such analyses. No company or transaction used in the above analyses as a comparison is directly comparable to Mobil or Exxon or the contemplated transaction.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analyses were prepared solely for purposes of Goldman Sachs' providing its opinion to the Mobil Board as to the fairness from a financial point of view of the exchange ratio to the holders, other than Exxon or any of its subsidiaries or affiliates, of the outstanding shares of Mobil common stock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parties or their respective advisors, none of Mobil, Exxon, Goldman Sachs nor any other person assumes responsibility if future results are materially different from those forecast.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described above, Goldman Sachs' opinion to the Mobil Board was one of many factors taken into consideration by the Mobil Board in making its determination to approve the merger agreement. The foregoing summary does not purport to be a complete description of the analysis performed by Goldman Sachs in connection with such opinion and is qualified by reference to the written opinion of Goldman Sachs set forth in Annex D.</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Mobil selected Goldman Sachs to render its opinion because it is a nationally recognized investment banking firm that has substantial experience in transactions similar to the merger. Goldman Sachs is familiar with Mobil having provided certain investment banking services to Mobil from time to time, including having acted as dealer on Mobil's commercial paper program; having acted as agent on Mobil's stock repurchase program and medium term note program; and having acted as lead-managing underwriter of a public offering of Mobil Corporation Pass Through Certificates, Series 1997-A in May 1997. Goldman Sachs also has provided certain investment banking services to Exxon from time to time, and may provide investment banking services to Exxon in the future.</w:t>
      </w:r>
    </w:p>
    <w:p>
      <w:pPr>
        <w:spacing w:after="0" w:line="17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Goldman Sachs provides a full range of financial advisory and securities services and, in the course of its normal trading activities, may from time to time effect transactions and hold securities, including derivative securities, of Mobil or Exxon for its own account and for the accounts of customers.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I-48</w:t>
      </w:r>
    </w:p>
    <w:p>
      <w:pPr>
        <w:sectPr>
          <w:pgSz w:w="11900" w:h="16838" w:orient="portrait"/>
          <w:cols w:equalWidth="0" w:num="1">
            <w:col w:w="10239"/>
          </w:cols>
          <w:pgMar w:left="220" w:top="782" w:right="1440" w:bottom="1440" w:gutter="0" w:footer="0" w:header="0"/>
        </w:sectPr>
      </w:pPr>
    </w:p>
    <w:bookmarkStart w:id="53" w:name="page54"/>
    <w:bookmarkEnd w:id="5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a letter agreement dated November 22, 1998, Mobil engaged Goldman Sachs to render its opinion in connection with the merger. Pursuant to the terms of the Goldman Sachs engagement letter, Mobil has agreed to pay Goldman Sachs a fee equal to (i) $100,000 per month beginning on November 30, 1998 and (ii) $8,000,000 payable upon the consummation of the merger or acquisition of a majority of the common stock or assets of Mobil by Exxon, with up to $2,400,000 of the fees paid pursuant to clause (i) above to be creditable to any fees that become payable pursuant to clause (ii) above. From time to time, Goldman Sachs has also provided other financial advisory services to Mobil. Payment for certain of these services would be accelerated if the merger is consummated. Mobil has also agreed to reimburse Goldman Sachs for its reasonable out-of-pocket expenses, including attorney's fees, and to indemnify Goldman Sachs against certain liabilities, including certain liabilities under the federal securities laws. The SEC has taken the position that such indemnification under the federal securities laws may not be enforceable if it is found to be against public policy.</w:t>
      </w:r>
    </w:p>
    <w:p>
      <w:pPr>
        <w:spacing w:after="0" w:line="200" w:lineRule="exact"/>
        <w:rPr>
          <w:sz w:val="20"/>
          <w:szCs w:val="20"/>
          <w:color w:val="auto"/>
        </w:rPr>
      </w:pPr>
    </w:p>
    <w:p>
      <w:pPr>
        <w:spacing w:after="0" w:line="29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considering the recommendation of the Mobil Board with respect to the merger agreement, shareholders should be aware that certain members of the management of Mobil and the Mobil Board have interests in the merger that may be different from, or in addition to, the interests of the other shareholders of Mobil generally.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has agreed that, as of the closing, it will cause Mr. Noto and Mr. Renna and four other persons who immediately prior to the closing were directors but not employees of Mobil, to be elected to the Exxon Mobil Board. See "The Merger Agreement--Exxon Mobil Board and Related Matters" on page I-55. It is expected that Donald V. Fites, Charles A. Heimbold, Jr., Helene L. Kaplan and J. Richard Munro will be the non-employee directors of Mobil who will be elected to the Exxon Mobil Board as of the closing. For information about the benefits received by Exxon directors, see "Chapter Four--Board of Directors Proposal: Election of Directors--Director Compensation" on page IV-6.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Directors' and Officers' Insurance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seven years after the closing, Exxon has agreed to indemnify, to the extent provided under Mobil's charter and by-laws in effect on December 1, 1998, the individuals who on or before the closing were officers, directors and employees of Mobil or its subsidiaries with respect to all acts or omissions before the closing by these individuals in these capacities. Exxon has further agreed to cause Mobil to honor all its indemnification agreements, including under Mobil's by-laws, in effect on December 1, 1998. Exxon has also agreed to provide, for seven years after the closing, directors' and officers' liability insurance in respect of acts or omissions occurring before the closing covering each person currently covered by Mobil's directors' and officers' liability insurance policy. Exxon can discharge this obligation by providing an insurance policy underwritten by a wholly-owned subsidiary of Exxon. See "The Merger Agreement--Certain Covenants--Indemnification and Insurance of Mobil Directors and Officers" on page I-57.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Severance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25, 1998, upon the recommendation of the Management Compensation and Organization Committee of the Mobil Board (the "MCOC"), the Mobil Board revoked Mobil's prior severance arrangements in the event of a change in control of Mobil and adopted a cash-based employee severance plan. Generally, all Mobil employees on the U.S. payroll who work a regular schedule of at least 20 hours per week are eligible to participate in the severance plan. However, temporary employees, employees represented by a collective bargaining agent or subject to a collective bargaining agreement, leased employees, employees of Mobil-owned and operated service stations and any person retained pursuant to a written contract are not eligible to participate in the severance plan.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I-49</w:t>
      </w:r>
    </w:p>
    <w:p>
      <w:pPr>
        <w:sectPr>
          <w:pgSz w:w="11900" w:h="16838" w:orient="portrait"/>
          <w:cols w:equalWidth="0" w:num="1">
            <w:col w:w="10239"/>
          </w:cols>
          <w:pgMar w:left="220" w:top="78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Tier 1 employees comprising 19 senior executives, including Messrs. Noto, Renna, Thomas C. DeLoach, Jr., Harold R. Cramer and Stephen D. Pryor and all other executive officers of Mobil, as well as approximately 112 Tier 2 employees, approximately 1,329 Tier 3 employees and approximately 10,801 Tier 4 employees are eligible to receive severance benefits in the event of a qualifying termination of their employment on or within two years following a change in control, as such term is defined in the severance plan. In the following discussion, we refer collectively to the employees listed in the previous sentence as the covered employees and to Messrs. Noto, Renna, DeLoach, Cramer and Pryor collectively as the Mobil named executive officers. A qualifying termination of employment under the severance plan means (1) a termination by the employer other than for "cause" (as defined in the severance plan) or (2) a termination by the covered employee for "good reason" (as defined in the severance plan). A termination by the covered employee for good reason under the severance plan, in respect of a Tier 1, Tier 2 or Tier 3 employee means:</w:t>
      </w:r>
    </w:p>
    <w:p>
      <w:pPr>
        <w:spacing w:after="0" w:line="328" w:lineRule="exact"/>
        <w:rPr>
          <w:sz w:val="20"/>
          <w:szCs w:val="20"/>
          <w:color w:val="auto"/>
        </w:rPr>
      </w:pPr>
    </w:p>
    <w:p>
      <w:pPr>
        <w:ind w:left="960" w:right="3339" w:hanging="263"/>
        <w:spacing w:after="0" w:line="252" w:lineRule="auto"/>
        <w:tabs>
          <w:tab w:leader="none" w:pos="9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covered employee's base salary or incentive compensation opportunity in effect immediately prior to the change in control,</w:t>
      </w:r>
    </w:p>
    <w:p>
      <w:pPr>
        <w:spacing w:after="0" w:line="162" w:lineRule="exact"/>
        <w:rPr>
          <w:rFonts w:ascii="Courier New" w:cs="Courier New" w:eastAsia="Courier New" w:hAnsi="Courier New"/>
          <w:sz w:val="14"/>
          <w:szCs w:val="14"/>
          <w:color w:val="auto"/>
        </w:rPr>
      </w:pPr>
    </w:p>
    <w:p>
      <w:pPr>
        <w:ind w:left="960" w:right="3339" w:hanging="263"/>
        <w:spacing w:after="0" w:line="251" w:lineRule="auto"/>
        <w:tabs>
          <w:tab w:leader="none" w:pos="9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covered employee of duties that in the aggregate are inconsistent with the covered employee's level of responsibility immediately before the change in control or any decline in the nature or status of the covered employee's responsibilities from those in effect immediately before the change in control and including, in the case of a Tier 1 or Tier 2 employee who was, immediately before the change in control, an executive officer, that employee ceasing to be an executive officer of a public company, or</w:t>
      </w:r>
    </w:p>
    <w:p>
      <w:pPr>
        <w:spacing w:after="0" w:line="329" w:lineRule="exact"/>
        <w:rPr>
          <w:rFonts w:ascii="Courier New" w:cs="Courier New" w:eastAsia="Courier New" w:hAnsi="Courier New"/>
          <w:sz w:val="14"/>
          <w:szCs w:val="14"/>
          <w:color w:val="auto"/>
        </w:rPr>
      </w:pPr>
    </w:p>
    <w:p>
      <w:pPr>
        <w:ind w:left="960" w:right="3779" w:hanging="263"/>
        <w:spacing w:after="0" w:line="252" w:lineRule="auto"/>
        <w:tabs>
          <w:tab w:leader="none" w:pos="9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relocation of the covered employee's principal place of employment to a location more than 50 miles from that employee's principal place of employment immediately before the change in control.</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 covered Tier 1, Tier 2 or Tier 3 employee who incurs a qualifying termination of employment will be entitled to receive a cash lump sum severance payment equal to:</w:t>
      </w:r>
    </w:p>
    <w:p>
      <w:pPr>
        <w:spacing w:after="0" w:line="163" w:lineRule="exact"/>
        <w:rPr>
          <w:sz w:val="20"/>
          <w:szCs w:val="20"/>
          <w:color w:val="auto"/>
        </w:rPr>
      </w:pPr>
    </w:p>
    <w:p>
      <w:pPr>
        <w:ind w:left="960" w:right="3339" w:hanging="263"/>
        <w:spacing w:after="0" w:line="251" w:lineRule="auto"/>
        <w:tabs>
          <w:tab w:leader="none" w:pos="9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his or her annual base salary, plus the highest annual bonus received in the three years immediately before the change in control, plus the value of contributions or allocations made, as applicable, by Mobil on that employee's behalf to the employees savings plan of Mobil Oil Corporation and the supplemental savings benefit plan of Mobil Oil Corporation in the calendar year before the change in control,</w:t>
      </w:r>
    </w:p>
    <w:p>
      <w:pPr>
        <w:spacing w:after="0" w:line="164" w:lineRule="exact"/>
        <w:rPr>
          <w:sz w:val="20"/>
          <w:szCs w:val="20"/>
          <w:color w:val="auto"/>
        </w:rPr>
      </w:pPr>
    </w:p>
    <w:p>
      <w:pPr>
        <w:ind w:left="960" w:right="3599" w:hanging="349"/>
        <w:spacing w:after="0" w:line="255" w:lineRule="auto"/>
        <w:tabs>
          <w:tab w:leader="none" w:pos="9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multiplied by 3 for Tier 1 employees, 2.5 for Tier 2 employees and 2.0 for Tier 3 employees.</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 Tier 1, Tier 2 or Tier 3 employee who incurs a qualifying termination of employment will also be provided with welfare benefits as if that employee had continued to be employed by Mobil until the earlier to occur of:</w:t>
      </w:r>
    </w:p>
    <w:p>
      <w:pPr>
        <w:spacing w:after="0" w:line="163" w:lineRule="exact"/>
        <w:rPr>
          <w:sz w:val="20"/>
          <w:szCs w:val="20"/>
          <w:color w:val="auto"/>
        </w:rPr>
      </w:pPr>
    </w:p>
    <w:p>
      <w:pPr>
        <w:ind w:left="960" w:right="3519" w:hanging="263"/>
        <w:spacing w:after="0" w:line="255" w:lineRule="auto"/>
        <w:tabs>
          <w:tab w:leader="none" w:pos="9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years from the date of the qualifying termination of employment and</w:t>
      </w:r>
    </w:p>
    <w:p>
      <w:pPr>
        <w:spacing w:after="0" w:line="159"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employee obtaining employment providing substantially similar welfare benefits.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severance plan, Mobil is required, if necessary, to make an additional gross-up payment to any covered employee to offset fully the effect of any excise tax imposed by Section 4999 of the Internal Revenue Code on any excess parachute payment, whether made to that employee under the severance plan or otherwise. In general, Section 4999 imposes an excise tax on the recipient of any excess parachute payment equal to 20% of that payment. A parachute payment is any payment that is contingent on a change in control. Excess parachute payments consist of the excess of parachute payments over an individual's average taxable compensation received by him from the employer during the five taxable years preceding the year in which the change in control occurs. If the individual has been employed for fewer than five taxable years, the individual's entire period of employment will be used to calculate the excess parachute payment.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I-50</w:t>
      </w:r>
    </w:p>
    <w:p>
      <w:pPr>
        <w:sectPr>
          <w:pgSz w:w="11900" w:h="16838" w:orient="portrait"/>
          <w:cols w:equalWidth="0" w:num="1">
            <w:col w:w="10239"/>
          </w:cols>
          <w:pgMar w:left="220" w:top="782" w:right="1440" w:bottom="1440" w:gutter="0" w:footer="0" w:header="0"/>
        </w:sectPr>
      </w:pPr>
    </w:p>
    <w:bookmarkStart w:id="55" w:name="page56"/>
    <w:bookmarkEnd w:id="5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merger will constitute a change in control under the severance plan.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closing had occurred on March 1, 1999 and if each of Messrs. Noto, Renna,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DeLoach, Cramer and Pryor had incurred a qualifying termination of employment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following that date, the approximate amount of the cash severance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payable to each of the named executive officers would have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$7,850,424 to Mr. Noto; $5,213,610 to Mr. Renna; $2,959,290 to Mr. DeLoach;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$2,352,000 to Mr. Cramer; and $2,342,190 to Mr. Pryor and the gross-up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would not be expected to exceed $5,712,767 to Mr. Noto; $3,413,624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Renna; $2,256,999 to Mr. DeLoach; $1,823,450 to Mr. Cramer; and $1,802,655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Mr. Pryor.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and Stock Ownership Plans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effective time, each outstanding option granted by Mobil to purchase shares of Mobil common stock will be assumed by Exxon Mobil and will, after the effective time, constitute an option to acquire, on the same terms and conditions as applied to the Mobil stock option prior to the effective time, the number, rounded down to the nearest whole number, of shares of Exxon Mobil common stock determined by multiplying:</w:t>
      </w:r>
    </w:p>
    <w:p>
      <w:pPr>
        <w:spacing w:after="0" w:line="164" w:lineRule="exact"/>
        <w:rPr>
          <w:sz w:val="20"/>
          <w:szCs w:val="20"/>
          <w:color w:val="auto"/>
        </w:rPr>
      </w:pPr>
    </w:p>
    <w:p>
      <w:pPr>
        <w:ind w:left="960" w:right="3779" w:hanging="263"/>
        <w:spacing w:after="0" w:line="255" w:lineRule="auto"/>
        <w:tabs>
          <w:tab w:leader="none" w:pos="9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Mobil common stock subject to the option immediately before the effective time by</w:t>
      </w:r>
    </w:p>
    <w:p>
      <w:pPr>
        <w:spacing w:after="0" w:line="159"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exercise price of each of these options will be a price per share of Exxon Mobil common stock, rounded up to the nearest cent, equal to:</w:t>
      </w:r>
    </w:p>
    <w:p>
      <w:pPr>
        <w:spacing w:after="0" w:line="160" w:lineRule="exact"/>
        <w:rPr>
          <w:sz w:val="20"/>
          <w:szCs w:val="20"/>
          <w:color w:val="auto"/>
        </w:rPr>
      </w:pPr>
    </w:p>
    <w:p>
      <w:pPr>
        <w:ind w:left="960" w:right="3599" w:hanging="263"/>
        <w:spacing w:after="0" w:line="255" w:lineRule="auto"/>
        <w:tabs>
          <w:tab w:leader="none" w:pos="9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 share exercise price for Mobil common stock that otherwise could have been purchased under the Mobil stock option divided by</w:t>
      </w:r>
    </w:p>
    <w:p>
      <w:pPr>
        <w:spacing w:after="0" w:line="159"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the merger agreement, each other stock-based award granted by Mobil under its employee or director plans or arrangements maintained as of December 1, 1998 will be converted, as of the effective time, into a similar Exxon Mobil stock-based award, adjusted as appropriate to preserve the award's inherent value.</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other terms and conditions of these other stock-based awards, and the plans or agreements under which they were issued, will continue to apply in accordance with their terms and conditions as these terms and conditions have been interpreted and applied by Mobil in accordance with its past practice.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Upon a change in control, with respect to long-term conditional performance shares previously granted to Mobil employees under Mobil's 1995 incentive compensation and stock ownership plan and predecessor and successor plans, Exxon Mobil will assume that all long-term incentive award performance factors have been achieved at a 100% level. With respect to each employee and former employee who has been granted performance shares relating to performance cycles in which the change in control occurs, Exxon Mobil will calculate a prorated</w:t>
      </w:r>
    </w:p>
    <w:p>
      <w:pPr>
        <w:spacing w:after="0" w:line="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number of the performance shares originally granted with respect to each performance cycle. This number will be prorated for the number of months completed in each performance cycle, to the date of the change in control. Exxon Mobil will also calculate all notional dividends accrued to the date of the change in control relating to all performance shares originally granted with respect to each performance cycle. Similarly, Exxon Mobil will calculate any notional dividends which are or may be accrued from the date of the change in control relating to performance shares and notional dividends calculated as provided above. Unless the employee, including a Mobil named executive officer, before the end of the applicable performance cycle, is terminated for cause, engages in willful misconduct, or voluntarily terminates his or her employment to join a competitor, Exxon Mobil will pay the employee a cash amount in respect of the performance shares and notional dividends calculated as provided above in respect of the performance cycle at the same time and in the same manner as would have been the case in the absence of a change in control. The merger will constitute a change in control under the incentive plans.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I-51</w:t>
      </w:r>
    </w:p>
    <w:p>
      <w:pPr>
        <w:sectPr>
          <w:pgSz w:w="11900" w:h="16838" w:orient="portrait"/>
          <w:cols w:equalWidth="0" w:num="1">
            <w:col w:w="10239"/>
          </w:cols>
          <w:pgMar w:left="220" w:top="78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upon a change in control, current and former Mobil employees, including the Mobil named executive officers, who are eligible to receive annual short-term incentive cash awards granted under incentive plans with respect to a year in which a change in control occurs will receive an immediate payment of that award for the year in which the change in control occurs, prorated for the number of months completed in the year before the date of the change in control. The award will be calculated by using the most current year information available with respect to the attainment of applicable performance factors, or where no current year information is available, using information from the full preceding year.</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all long-term incentive award payments under the incentive plans will be made on future dates, and because such payments will be based on the closing prices of Exxon Mobil stock and the number of performance shares and notional dividends in a participant's account on these future dates, it is impossible to calculate what payments, if any, an employee, including a Mobil named executive officer, with one or more outstanding conditional long-term incentive awards may become entitled to receive.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the closing had occurred on March 1, 1999, each Mobil named executive officer would have become entitled to a payment upon the closing of the merger of a short-term incentive cash award for 1998, estimated to equal the following amounts: $256,283 to Mr. Noto; $145,750 to Mr. Renna; $70,417 to Mr. DeLoach; $56,250 to Mr. Cramer; and $56,250 to Mr. Pryor.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Retention Plan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management retention plan provides for conditional retention awards to selected executives of Mobil, including all of the Mobil named executive officers and eight other executive officers. Generally, payment under the management retention plan is only made after normal retirement, an approved early retirement, or the death or disability of a participant, provided that the participant's performance was at a level satisfactory to Mobil over the period the award remained conditional. Before the merger, the MCOC determined that all current management retention plan participants had rendered long-term service to Mobil at a level satisfactory to Mobil. In the merger agreement, Exxon acknowledged that the MCOC had determined that all participants covered by the management retention plan had performed at a level satisfactory to Mobil over the period that the conditional retention awards were outstanding and, accordingly, that all participants would be entitled to full payment under the management retention plan were they to retire or otherwise terminate their employment with Mobil. Exxon agreed to give considerable weight to such determination in administering the management retention plan after the merger, given the significant length of time that has elapsed since the award grants.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the closing had occurred on March 1, 1999, and if the employment of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named executive officer had terminated immediately following that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 payable under the management retention plan in respect of retention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awards, based upon the per share closing price of Mobil stock on March 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$81 would have been $2,185,704 to Mr. Noto; $1,985,553 to Mr. Renna;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$1,385,019 to Mr. DeLoach; $923,238 to Mr. Cramer; and $461,538 to Mr. Pryor.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Rabbi Trust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Mobil maintains an irrevocable "rabbi trust" which secures Mobil's obligations under certain employee benefit and executive compensation programs, including the management retention plan and the obligations under the severance plan relating to employees, including all executive officers, in salary group 20 or higher. As of December 31, 1998, the rabbi trust held assets valued at approximately $692,951,000. The rabbi trust will continue to hold assets following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 of Past Practices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has agreed that the incentive plans, the management retention plan, the supplemental pension annuity program of Mobil Oil Corporation, the executive life insurance program of Mobil Oil Corporation and the severance plan, as well as any award made under any of these executive arrangements, will be administered in accordance with the past practices and interpretations of the Mobil Board and the MCOC with respect to eligibility,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I-52</w:t>
      </w:r>
    </w:p>
    <w:p>
      <w:pPr>
        <w:sectPr>
          <w:pgSz w:w="11900" w:h="16838" w:orient="portrait"/>
          <w:cols w:equalWidth="0" w:num="1">
            <w:col w:w="10239"/>
          </w:cols>
          <w:pgMar w:left="220" w:top="782" w:right="1440" w:bottom="1440" w:gutter="0" w:footer="0" w:header="0"/>
        </w:sectPr>
      </w:pPr>
    </w:p>
    <w:bookmarkStart w:id="57" w:name="page58"/>
    <w:bookmarkEnd w:id="57"/>
    <w:p>
      <w:pPr>
        <w:jc w:val="right"/>
        <w:ind w:right="3519"/>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vesting, term and payment, among other matters.</w:t>
        <w:tab/>
        <w:t>Any question regarding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past practices and interpretations of the Mobil Board and the MCOC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 of these past practices and interpretations to the type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facts and circumstances in a given case will be referred to Mr. Noto or</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his designee for a final decision.</w:t>
        <w:tab/>
        <w:t>This decision shall not be inconsistent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intention of the merger agreement and the merger.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I-53</w:t>
      </w:r>
    </w:p>
    <w:p>
      <w:pPr>
        <w:sectPr>
          <w:pgSz w:w="11900" w:h="16838" w:orient="portrait"/>
          <w:cols w:equalWidth="0" w:num="1">
            <w:col w:w="10239"/>
          </w:cols>
          <w:pgMar w:left="220" w:top="78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Chapter One - The Merger</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summary of the merger agreement is qualified by reference to the complete text of the merger agreement, which is incorporated by reference and attached as Annex 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 of the Merger</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Under the merger agreement, an Exxon subsidiary will merge into Mobil so that Mobil becomes a wholly-owned subsidiary of Exxon Mobil.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Timing of Closing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closing will occur within three business days after the day on which the last of the conditions set forth in the merger agreement has been satisfied or waived, unless Exxon and Mobil agree to a different date. We expect that, immediately upon the closing of the merger, we will file a merger certificate with the Secretary of State of the State of Delaware, at which time the merger will be effective.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agreement provides that each share of Mobil common stock outstanding immediately prior to the effective time will, at the effective time, be converted into the right to receive 1.32015 shares of Exxon Mobil common stock. However, any shares of Mobil common stock held by Mobil as treasury stock or owned by Exxon or any subsidiary of Exxon will be canceled without any payment for those shares. Shares held in Mobil's rabbi trust will not be treated as treasury stock for this purpose.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each outstanding share of Mobil ESOP preferred stock held in the leveraged ESOP portion of the Employees Savings Plan of Mobil Oil Corporation will, at the effective time, be converted into the right to receive one share of a new series of Exxon preferred stock (the "Exxon Mobil ESOP preferred stock") having, to the extent possible, terms identical to those of the Mobil ESOP preferred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Mobil Stock Options; Other Mobil Stock-Based Awards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effective time, each outstanding option granted by Mobil to purchase shares of Mobil common stock will be converted into an option to acquire Exxon Mobil common stock having the same terms and conditions as the Mobil stock option had before the effective time. The number of shares that the new Exxon Mobil option will be exercisable for and the exercise price of the new Exxon Mobil option will reflect the exchange ratio in the merger.</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Each other stock-based award granted by Mobil under its employee or director plans or arrangements maintained as of December 1, 1998 will be converted, as of the effective time, into a similar Exxon Mobil stock-based award, adjusted as appropriate to preserve the award's inherent value. For additional information on Mobil stock-based awards, see "Interests of Certain Persons in the Merger" on page I-49.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will appoint an exchange agent to handle the exchange of Mobil stock certificates in the merger for Exxon Mobil stock and the payment of cash for fractional shares of Mobil stock. Soon after the closing, the exchange agent will send to each holder of Mobil stock a letter of transmittal for use in the exchange and instructions explaining how to surrender Mobil stock certificates to the exchange agent. Holders of Mobil stock that surrender their certificates to the exchange agent, together with a properly completed letter of transmittal, will receive the appropriate merger consideration. Holders of unexchanged shares of Mobil stock will not be entitled to receive any dividends or other distributions payable by Exxon Mobil after the closing until their certificates are surrendered.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I-54</w:t>
      </w:r>
    </w:p>
    <w:p>
      <w:pPr>
        <w:sectPr>
          <w:pgSz w:w="11900" w:h="16838" w:orient="portrait"/>
          <w:cols w:equalWidth="0" w:num="1">
            <w:col w:w="10239"/>
          </w:cols>
          <w:pgMar w:left="220" w:top="782" w:right="1440" w:bottom="1440" w:gutter="0" w:footer="0" w:header="0"/>
        </w:sectPr>
      </w:pPr>
    </w:p>
    <w:bookmarkStart w:id="59" w:name="page60"/>
    <w:bookmarkEnd w:id="59"/>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Exxon Mobil will not issue any fractional shares in the merger. Holders of Mobil common stock will receive a cash payment in the amount of the proceeds from the sale of their fractional shares in the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Mobil Board and Related Matters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Exxon has agreed to take the necessary corporate action so that, as of the closing:</w:t>
      </w:r>
    </w:p>
    <w:p>
      <w:pPr>
        <w:spacing w:after="0" w:line="160" w:lineRule="exact"/>
        <w:rPr>
          <w:sz w:val="20"/>
          <w:szCs w:val="20"/>
          <w:color w:val="auto"/>
        </w:rPr>
      </w:pPr>
    </w:p>
    <w:p>
      <w:pPr>
        <w:ind w:left="960" w:hanging="263"/>
        <w:spacing w:after="0"/>
        <w:tabs>
          <w:tab w:leader="none" w:pos="9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Exxon Mobil Board size will be increased from 13 to 19.</w:t>
      </w:r>
    </w:p>
    <w:p>
      <w:pPr>
        <w:spacing w:after="0" w:line="17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employee directors of Mobil will become directors of Exxon Mobil. They are expected to be Lucio A. Noto and Eugene A. Renna.</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non-employee directors of Mobil will become directors of Exxon Mobil. They are expected to be Donald V. Fites, Charles A. Heimbold, Jr., Helene L. Kaplan and J. Richard Munro.</w:t>
      </w:r>
    </w:p>
    <w:p>
      <w:pPr>
        <w:spacing w:after="0" w:line="16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Noto will become Vice-Chairman of the Exxon Mobil Board.</w:t>
      </w:r>
    </w:p>
    <w:p>
      <w:pPr>
        <w:spacing w:after="0" w:line="172" w:lineRule="exact"/>
        <w:rPr>
          <w:rFonts w:ascii="Courier New" w:cs="Courier New" w:eastAsia="Courier New" w:hAnsi="Courier New"/>
          <w:sz w:val="14"/>
          <w:szCs w:val="14"/>
          <w:color w:val="auto"/>
        </w:rPr>
      </w:pPr>
    </w:p>
    <w:p>
      <w:pPr>
        <w:ind w:left="960" w:right="3339" w:hanging="263"/>
        <w:spacing w:after="0" w:line="255" w:lineRule="auto"/>
        <w:tabs>
          <w:tab w:leader="none" w:pos="9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one Mobil designee will become a member of each of the Exxon Mobil Audit Committee and the Exxon Mobil Compensation Committee.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the closing is within nine months of the next regularly scheduled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of shareholders of Exxon Mobil, Exxon has agreed, in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case as of such next annual meeting, * to nominate the Mobil designees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Exxon Mobil Board, * to elect Mr. Noto as Vice Chairman, and *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at least one Mobil designee on each of the Compensation Committee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 of Exxon Mobil.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Each of Exxon and Mobil has undertaken certain covenants in the merger agreement. The following summarizes the more significant of these covenants.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 Solicitation by Mobil. Mobil has agreed that it and its subsidiaries and their officers, directors, employees and advisers will not take action to solicit or encourage an offer for an alternative acquisition transaction involving Mobil of a nature defined in the merger agreement.</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Restricted actions include engaging in discussions or negotiations with any potential bidder, or disclosing non-public information relating to Mobil or its subsidiaries or affording access to their properties, books or records to a potential bidder. These actions are permitted in response to an</w:t>
      </w:r>
    </w:p>
    <w:p>
      <w:pPr>
        <w:spacing w:after="0" w:line="2"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unsolicited bona fide offer so long as prior to doing so: * the Mobil Board by a majority vote determines in its good faith judgment that it is necessary to do so to comply with its fiduciary duty to shareholders, after receiving the advice of outside legal counsel, and * Mobil receives from such person an executed confidentiality agreement with terms no less favorable to Mobil than those contained in the existing confidentiality agreement between Exxon and Mobil.</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Mobil must keep Exxon informed of the identity of any potential bidder and the terms and status of any offer. If its Board reaches the fiduciary duty determination described in the previous paragraph that it is necessary to do so, Mobil can withhold that information.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Mobil Board's Covenant to Recommend. The Mobil Board has agreed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 the approval and adoption of the merger agreement to Mobil's</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shareholders.</w:t>
        <w:tab/>
        <w:t>However, the Mobil Board is permitted not to make,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 or to modify in a manner adverse to Exxon this recommendation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the Mobil Board by a majority vote determines in its good faith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judgment that it is necessary to do so to comply with its fiduciary duty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under applicable law, after receiving the advice of outside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counsel, and * Mobil and the senior officers and directors of Mobil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substantially complied with their obligations under the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covenant described above under "--No Solicitation by Mobil."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I-55</w:t>
      </w:r>
    </w:p>
    <w:p>
      <w:pPr>
        <w:sectPr>
          <w:pgSz w:w="11900" w:h="16838" w:orient="portrait"/>
          <w:cols w:equalWidth="0" w:num="1">
            <w:col w:w="10239"/>
          </w:cols>
          <w:pgMar w:left="220" w:top="78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Board's Covenant to Recommend. The Exxon Board has agreed to recommend the approval of the Exxon Merger Proposals to Exxon's shareholders. However, the Exxon Board is permitted not to make, to withdraw or to modify in a manner adverse to Mobil this recommendation if the Exxon Board by a majority vote determines in its good faith judgment that it is necessary to do so to comply with its fiduciary duty to shareholders under applicable law, after receiving the advice of outside legal counsel.</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Interim Operations of Exxon and Mobil. Each of Exxon and Mobil has undertaken a separate covenant that places restrictions on it and its subsidiaries until either the effective time or the merger agreement is terminated. In general, Exxon and its subsidiaries and Mobil and its subsidiaries are required to conduct their business in the ordinary course consistent with past practice and to use their reasonable best efforts to preserve intact their business organizations and relationships with third parties. The companies have also agreed to some specific restrictions which are subject to exceptions described in the merger agreement. The following table summarizes the more significant of these restrictions undertaken by each company:</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Restriction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Mobil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ind w:left="100" w:hanging="85"/>
        <w:spacing w:after="0" w:line="292" w:lineRule="auto"/>
        <w:rPr>
          <w:sz w:val="20"/>
          <w:szCs w:val="20"/>
          <w:color w:val="auto"/>
        </w:rPr>
      </w:pPr>
      <w:r>
        <w:rPr>
          <w:rFonts w:ascii="Courier New" w:cs="Courier New" w:eastAsia="Courier New" w:hAnsi="Courier New"/>
          <w:sz w:val="12"/>
          <w:szCs w:val="12"/>
          <w:color w:val="auto"/>
        </w:rPr>
        <w:t>amending its organizational documents ................................................................</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entering into any merger, liquidation or other significant</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transaction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issuing or disposing of equity securities, options or other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securities convertible into or exercisable for equity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securities, except to a limited extent to employees or</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directors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splitting, combining or reclassifying its capital 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declaring dividends, except for regular quarterly cash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dividends as they may periodically be increased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consistent with past practice and required dividends on</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preferred 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redeeming or repurchasing its capital stock, except in</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firstLine="258"/>
        <w:spacing w:after="0" w:line="292" w:lineRule="auto"/>
        <w:rPr>
          <w:sz w:val="20"/>
          <w:szCs w:val="20"/>
          <w:color w:val="auto"/>
        </w:rPr>
      </w:pPr>
      <w:r>
        <w:rPr>
          <w:rFonts w:ascii="Courier New" w:cs="Courier New" w:eastAsia="Courier New" w:hAnsi="Courier New"/>
          <w:sz w:val="12"/>
          <w:szCs w:val="12"/>
          <w:color w:val="auto"/>
        </w:rPr>
        <w:t>limited instances to prevent dilution ................................................................ amending the terms of any outstanding stock options ................................................................</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making capital expenditures, subject to certain ordinary</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course exceptions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increasing employee compensation or benefits except for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normal ordinary course increases consistent with past</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practice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acquiring or disposing of material assets, except for</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disposing of assets pursuant to existing commitments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changing its accounting policies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entering into any material joint venture or partnership</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taking any other action that would make any representation</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100" w:firstLine="172"/>
        <w:spacing w:after="0" w:line="337" w:lineRule="auto"/>
        <w:rPr>
          <w:sz w:val="20"/>
          <w:szCs w:val="20"/>
          <w:color w:val="auto"/>
        </w:rPr>
      </w:pPr>
      <w:r>
        <w:rPr>
          <w:rFonts w:ascii="Courier New" w:cs="Courier New" w:eastAsia="Courier New" w:hAnsi="Courier New"/>
          <w:sz w:val="12"/>
          <w:szCs w:val="12"/>
          <w:color w:val="auto"/>
        </w:rPr>
        <w:t>or warranty by it inaccurate in any material respect ................................................................</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57" w:lineRule="exact"/>
        <w:rPr>
          <w:sz w:val="20"/>
          <w:szCs w:val="20"/>
          <w:color w:val="auto"/>
        </w:rPr>
      </w:pPr>
    </w:p>
    <w:p>
      <w:pPr>
        <w:sectPr>
          <w:pgSz w:w="11900" w:h="16838" w:orient="portrait"/>
          <w:cols w:equalWidth="0" w:num="3">
            <w:col w:w="5600" w:space="180"/>
            <w:col w:w="940" w:space="180"/>
            <w:col w:w="3339"/>
          </w:cols>
          <w:pgMar w:left="220" w:top="782" w:right="1440" w:bottom="1440" w:gutter="0" w:footer="0" w:header="0"/>
          <w:type w:val="continuous"/>
        </w:sectPr>
      </w:pPr>
    </w:p>
    <w:p>
      <w:pPr>
        <w:spacing w:after="0" w:line="8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Best Efforts Covenant. Exxon and Mobil have agreed to cooperate with each other and use their best efforts to take all actions and do all things necessary or advisable under the merger agreement and applicable laws to complete the merger and the other transactions contemplated by the merger agreement. However, neither Exxon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I-56</w:t>
      </w:r>
    </w:p>
    <w:p>
      <w:pPr>
        <w:sectPr>
          <w:pgSz w:w="11900" w:h="16838" w:orient="portrait"/>
          <w:cols w:equalWidth="0" w:num="1">
            <w:col w:w="10239"/>
          </w:cols>
          <w:pgMar w:left="220" w:top="782" w:right="1440" w:bottom="1440" w:gutter="0" w:footer="0" w:header="0"/>
          <w:type w:val="continuous"/>
        </w:sectPr>
      </w:pPr>
    </w:p>
    <w:bookmarkStart w:id="61" w:name="page62"/>
    <w:bookmarkEnd w:id="61"/>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nor Mobil is required to take any action if the result would give Exxon the right to decline to close the merger because such action could reasonably be expected to result in a substantial detriment to Exxon, Mobil and their subsidiaries, taken as a whole.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Employee Benefits Matters. The merger agreement provides that Exxon Mobil will cause Mobil to honor in accordance with their terms all obligations under Mobil's executive benefit arrangements and under all other existing Mobil employee and retiree arrangements and plans to the extent entitlements or rights exist under those arrangements or plans as of the closing.</w:t>
      </w:r>
    </w:p>
    <w:p>
      <w:pPr>
        <w:spacing w:after="0" w:line="165"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Exxon has also agreed, following the closing, to provide Mobil employees who were employed by Mobil or its subsidiaries at the closing and who continue as employees of Exxon Mobil or its subsidiaries, for so long as they remain so employed, employee benefits, other than salary or incentive compensation,</w:t>
      </w:r>
    </w:p>
    <w:p>
      <w:pPr>
        <w:spacing w:after="0" w:line="2" w:lineRule="exact"/>
        <w:rPr>
          <w:sz w:val="20"/>
          <w:szCs w:val="20"/>
          <w:color w:val="auto"/>
        </w:rPr>
      </w:pPr>
    </w:p>
    <w:p>
      <w:pPr>
        <w:ind w:right="3779" w:firstLine="8"/>
        <w:spacing w:after="0" w:line="251" w:lineRule="auto"/>
        <w:tabs>
          <w:tab w:leader="none" w:pos="17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benefit plans and arrangements as provided to those employees immediately prior to the closing, or * pursuant to benefit plans and arrangements maintained by Exxon Mobil providing coverage and benefits which, in the aggregate, are no less favorable than those provided to employees of Exxon Mobil in positions comparable to the positions held by the continuing Mobil employees.</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In addition, Exxon has agreed that, following the closing, Exxon Mobil will continue to provide former employees of Mobil and its subsidiaries (and to Mobil employees whose employment terminates prior to the closing) post retirement benefits, other than pensions, * pursuant to benefit plans and arrangements applicable to those retirees as in effect as of December 1, 1998, or * pursuant to benefit plans or arrangements maintained by Exxon Mobil or its subsidiaries providing post-retirement coverage and benefits, other than pensions, which, in the aggregate, are no less favorable than those provided to former employees of Exxon.</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Please see "Interests of Certain Persons in the Merger," beginning on page I-49, for additional information on employee benefits matters covered in the merger agreement.</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Indemnification and Insurance of Mobil Directors and Officers. Exxon has agreed that:</w:t>
      </w:r>
    </w:p>
    <w:p>
      <w:pPr>
        <w:spacing w:after="0" w:line="160" w:lineRule="exact"/>
        <w:rPr>
          <w:sz w:val="20"/>
          <w:szCs w:val="20"/>
          <w:color w:val="auto"/>
        </w:rPr>
      </w:pPr>
    </w:p>
    <w:p>
      <w:pPr>
        <w:ind w:left="960" w:right="3419" w:hanging="263"/>
        <w:spacing w:after="0" w:line="251" w:lineRule="auto"/>
        <w:tabs>
          <w:tab w:leader="none" w:pos="9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seven years after closing, it will indemnify former Mobil directors, officers and employees for liabilities from their acts or omissions in those capacities occurring prior to closing to the extent provided under Mobil's charter and by-laws as in effect on December 1, 1998.</w:t>
      </w:r>
    </w:p>
    <w:p>
      <w:pPr>
        <w:spacing w:after="0" w:line="164" w:lineRule="exact"/>
        <w:rPr>
          <w:rFonts w:ascii="Courier New" w:cs="Courier New" w:eastAsia="Courier New" w:hAnsi="Courier New"/>
          <w:sz w:val="14"/>
          <w:szCs w:val="14"/>
          <w:color w:val="auto"/>
        </w:rPr>
      </w:pPr>
    </w:p>
    <w:p>
      <w:pPr>
        <w:jc w:val="both"/>
        <w:ind w:left="960" w:right="3419" w:hanging="263"/>
        <w:spacing w:after="0" w:line="252" w:lineRule="auto"/>
        <w:tabs>
          <w:tab w:leader="none" w:pos="9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will cause Mobil to honor all indemnification agreements with its former directors, officers and employees in effect as of December 1, 1998.</w:t>
      </w:r>
    </w:p>
    <w:p>
      <w:pPr>
        <w:spacing w:after="0" w:line="162" w:lineRule="exact"/>
        <w:rPr>
          <w:rFonts w:ascii="Courier New" w:cs="Courier New" w:eastAsia="Courier New" w:hAnsi="Courier New"/>
          <w:sz w:val="14"/>
          <w:szCs w:val="14"/>
          <w:color w:val="auto"/>
        </w:rPr>
      </w:pPr>
    </w:p>
    <w:p>
      <w:pPr>
        <w:ind w:left="960" w:right="3339" w:hanging="263"/>
        <w:spacing w:after="0" w:line="251" w:lineRule="auto"/>
        <w:tabs>
          <w:tab w:leader="none" w:pos="9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seven years after closing, it will provide officers' and directors' liability insurance covering acts or omissions occurring prior to closing by each person currently covered by Mobil's officers' and directors' liability insurance policy. This Exxon Mobil policy must be no less favorable than the Mobil policy in effect on December 1, 1998, except that Exxon Mobil will only be obligated to pay up to 300% of the annual premium paid by Mobil for such insurance as of December 1, 1998. Exxon may provide this coverage through a policy underwritten by a wholly-owned Exxon subsidiary.</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Certain Other Covenants. The merger agreement contains mutual covenants of the parties, the most significant of which are that each party agrees:</w:t>
      </w:r>
    </w:p>
    <w:p>
      <w:pPr>
        <w:spacing w:after="0" w:line="160" w:lineRule="exact"/>
        <w:rPr>
          <w:sz w:val="20"/>
          <w:szCs w:val="20"/>
          <w:color w:val="auto"/>
        </w:rPr>
      </w:pPr>
    </w:p>
    <w:p>
      <w:pPr>
        <w:ind w:left="960" w:right="3679" w:hanging="263"/>
        <w:spacing w:after="0" w:line="255" w:lineRule="auto"/>
        <w:tabs>
          <w:tab w:leader="none" w:pos="9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jeopardize the intended tax or accounting treatment of the merger, and</w:t>
      </w:r>
    </w:p>
    <w:p>
      <w:pPr>
        <w:spacing w:after="0" w:line="159" w:lineRule="exact"/>
        <w:rPr>
          <w:rFonts w:ascii="Courier New" w:cs="Courier New" w:eastAsia="Courier New" w:hAnsi="Courier New"/>
          <w:sz w:val="14"/>
          <w:szCs w:val="14"/>
          <w:color w:val="auto"/>
        </w:rPr>
      </w:pPr>
    </w:p>
    <w:p>
      <w:pPr>
        <w:ind w:left="960" w:right="3419" w:hanging="263"/>
        <w:spacing w:after="0" w:line="255" w:lineRule="auto"/>
        <w:tabs>
          <w:tab w:leader="none" w:pos="9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a transition committee to plan the integration of Exxon and Mobil after the closing.</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I-57</w:t>
      </w:r>
    </w:p>
    <w:p>
      <w:pPr>
        <w:sectPr>
          <w:pgSz w:w="11900" w:h="16838" w:orient="portrait"/>
          <w:cols w:equalWidth="0" w:num="1">
            <w:col w:w="10239"/>
          </w:cols>
          <w:pgMar w:left="220" w:top="78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merger agreement contains substantially reciprocal representations and warranties made by Exxon and Mobil to each other. The most significant of these relate to:</w:t>
      </w:r>
    </w:p>
    <w:p>
      <w:pPr>
        <w:spacing w:after="0" w:line="163" w:lineRule="exact"/>
        <w:rPr>
          <w:sz w:val="20"/>
          <w:szCs w:val="20"/>
          <w:color w:val="auto"/>
        </w:rPr>
      </w:pPr>
    </w:p>
    <w:p>
      <w:pPr>
        <w:ind w:left="620" w:hanging="181"/>
        <w:spacing w:after="0"/>
        <w:tabs>
          <w:tab w:leader="none" w:pos="62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authorization to enter into the contemplated transaction</w:t>
      </w:r>
    </w:p>
    <w:p>
      <w:pPr>
        <w:spacing w:after="0" w:line="7" w:lineRule="exact"/>
        <w:rPr>
          <w:rFonts w:ascii="Courier New" w:cs="Courier New" w:eastAsia="Courier New" w:hAnsi="Courier New"/>
          <w:sz w:val="14"/>
          <w:szCs w:val="14"/>
          <w:color w:val="auto"/>
        </w:rPr>
      </w:pPr>
    </w:p>
    <w:p>
      <w:pPr>
        <w:ind w:left="440" w:right="3939" w:hanging="1"/>
        <w:spacing w:after="0" w:line="250" w:lineRule="auto"/>
        <w:tabs>
          <w:tab w:leader="none" w:pos="61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votes required to approve the contemplated transaction * governmental approvals required in connection with the contemplated transaction * absence of any breach of organizational documents, law or certain material agreements as a result of the contemplated transaction * capitalization * ownership of subsidiaries * filings with the SEC * information provided by it for inclusion in this joint proxy statement/prospectus * financial statements * absence of certain material changes since a specified balance sheet date * absence of undisclosed material liabilities * litigation * tax matters * employee benefits matters *</w:t>
      </w:r>
    </w:p>
    <w:p>
      <w:pPr>
        <w:spacing w:after="0" w:line="4" w:lineRule="exact"/>
        <w:rPr>
          <w:rFonts w:ascii="Courier New" w:cs="Courier New" w:eastAsia="Courier New" w:hAnsi="Courier New"/>
          <w:sz w:val="14"/>
          <w:szCs w:val="14"/>
          <w:color w:val="auto"/>
        </w:rPr>
      </w:pPr>
    </w:p>
    <w:p>
      <w:pPr>
        <w:ind w:left="440" w:right="39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 finders' or advisors' fees * environmental matters * absence of circumstances inconsistent with the intended accounting treatment of the merger and * the receipt of accountant's letters regarding accounting treatment of the merger.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Mobil represents and warrants to Exxon as to certain other matters, including the inapplicability of the Delaware anti-takeover statute and Mobil's shareholder rights plan to the merger and the Mobil stock option. For information about the anti-takeover statute and the rights plan, see "Chapter Three--Certain Legal Information--Comparison of Shareholder Rights--Shareholder Rights Plan" and "Certain Business Combinations" on pages III-4 and III-6.</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representations and warranties in the merger agreement do not survive the closing or termination of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Completion of the Merger</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Mutual Closing Conditions. The obligations of Exxon and Mobil to complete the merger are subject to the satisfaction or, to the extent legally permissible, waiver of the following conditions:</w:t>
      </w:r>
    </w:p>
    <w:p>
      <w:pPr>
        <w:spacing w:after="0" w:line="163" w:lineRule="exact"/>
        <w:rPr>
          <w:sz w:val="20"/>
          <w:szCs w:val="20"/>
          <w:color w:val="auto"/>
        </w:rPr>
      </w:pPr>
    </w:p>
    <w:p>
      <w:pPr>
        <w:ind w:left="960" w:hanging="263"/>
        <w:spacing w:after="0"/>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Exxon and Mobil shareholders</w:t>
      </w:r>
    </w:p>
    <w:p>
      <w:pPr>
        <w:spacing w:after="0" w:line="17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the HSR Act waiting period</w:t>
      </w:r>
    </w:p>
    <w:p>
      <w:pPr>
        <w:spacing w:after="0" w:line="17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European Commission of the contemplated transactions</w:t>
      </w:r>
    </w:p>
    <w:p>
      <w:pPr>
        <w:spacing w:after="0" w:line="17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legal prohibition on completion of the merger</w:t>
      </w:r>
    </w:p>
    <w:p>
      <w:pPr>
        <w:spacing w:after="0" w:line="172"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Exxon's registration statement on Form S-4, which includes this proxy statement/prospectus, being effective and not subject to any stop order by the SEC</w:t>
      </w:r>
    </w:p>
    <w:p>
      <w:pPr>
        <w:spacing w:after="0" w:line="162" w:lineRule="exact"/>
        <w:rPr>
          <w:rFonts w:ascii="Courier New" w:cs="Courier New" w:eastAsia="Courier New" w:hAnsi="Courier New"/>
          <w:sz w:val="14"/>
          <w:szCs w:val="14"/>
          <w:color w:val="auto"/>
        </w:rPr>
      </w:pPr>
    </w:p>
    <w:p>
      <w:pPr>
        <w:ind w:left="960" w:right="3679" w:hanging="263"/>
        <w:spacing w:after="0" w:line="255" w:lineRule="auto"/>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for the listing on the NYSE of the shares of Exxon Mobil common stock to be issued in the merger</w:t>
      </w:r>
    </w:p>
    <w:p>
      <w:pPr>
        <w:spacing w:after="0" w:line="159" w:lineRule="exact"/>
        <w:rPr>
          <w:rFonts w:ascii="Courier New" w:cs="Courier New" w:eastAsia="Courier New" w:hAnsi="Courier New"/>
          <w:sz w:val="14"/>
          <w:szCs w:val="14"/>
          <w:color w:val="auto"/>
        </w:rPr>
      </w:pPr>
    </w:p>
    <w:p>
      <w:pPr>
        <w:ind w:left="960" w:right="3519" w:hanging="263"/>
        <w:spacing w:after="0" w:line="252" w:lineRule="auto"/>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letters from the independent public accountants of Exxon and Mobil reconfirming their concurrence with Exxon's and Mobil's managements, respectively, that "pooling of interests" accounting treatment for the merger is appropriate</w:t>
      </w:r>
    </w:p>
    <w:p>
      <w:pPr>
        <w:spacing w:after="0" w:line="162"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opinions of Exxon's and Mobil's counsel that the merger will qualify as a tax-free reorganization</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 material adverse effect or any reasonable expectation of a material adverse effect on Exxon or Mobil during the period from December 1, 1998 until closing</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I-58</w:t>
      </w:r>
    </w:p>
    <w:p>
      <w:pPr>
        <w:sectPr>
          <w:pgSz w:w="11900" w:h="16838" w:orient="portrait"/>
          <w:cols w:equalWidth="0" w:num="1">
            <w:col w:w="10239"/>
          </w:cols>
          <w:pgMar w:left="220" w:top="782" w:right="1440" w:bottom="1440" w:gutter="0" w:footer="0" w:header="0"/>
        </w:sectPr>
      </w:pPr>
    </w:p>
    <w:bookmarkStart w:id="63" w:name="page64"/>
    <w:bookmarkEnd w:id="63"/>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960" w:right="3419" w:hanging="263"/>
        <w:spacing w:after="0" w:line="255" w:lineRule="auto"/>
        <w:tabs>
          <w:tab w:leader="none" w:pos="9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accuracy as of closing of the representations and warranties made by the other party to the extent specified in the merger agreement</w:t>
      </w:r>
    </w:p>
    <w:p>
      <w:pPr>
        <w:spacing w:after="0" w:line="159" w:lineRule="exact"/>
        <w:rPr>
          <w:rFonts w:ascii="Courier New" w:cs="Courier New" w:eastAsia="Courier New" w:hAnsi="Courier New"/>
          <w:sz w:val="14"/>
          <w:szCs w:val="14"/>
          <w:color w:val="auto"/>
        </w:rPr>
      </w:pPr>
    </w:p>
    <w:p>
      <w:pPr>
        <w:ind w:left="960" w:right="3679" w:hanging="263"/>
        <w:spacing w:after="0" w:line="255" w:lineRule="auto"/>
        <w:tabs>
          <w:tab w:leader="none" w:pos="9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in all material respects by the other party of the obligations required to be performed by it at or prior to closing</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Additional Closing Conditions for Exxon's Benefit. Exxon's obligation to complete the merger is subject to the following additional conditions:</w:t>
      </w:r>
    </w:p>
    <w:p>
      <w:pPr>
        <w:spacing w:after="0" w:line="160" w:lineRule="exact"/>
        <w:rPr>
          <w:sz w:val="20"/>
          <w:szCs w:val="20"/>
          <w:color w:val="auto"/>
        </w:rPr>
      </w:pPr>
    </w:p>
    <w:p>
      <w:pPr>
        <w:ind w:left="960" w:right="3339" w:hanging="263"/>
        <w:spacing w:after="0" w:line="252" w:lineRule="auto"/>
        <w:tabs>
          <w:tab w:leader="none" w:pos="9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being no proceeding seeking to limit Exxon's ownership of Mobil or to compel divestiture of assets, in either case to an extent that could reasonably be expected to result in a substantial detriment to Exxon and Mobil taken as a whole</w:t>
      </w:r>
    </w:p>
    <w:p>
      <w:pPr>
        <w:spacing w:after="0" w:line="162" w:lineRule="exact"/>
        <w:rPr>
          <w:rFonts w:ascii="Courier New" w:cs="Courier New" w:eastAsia="Courier New" w:hAnsi="Courier New"/>
          <w:sz w:val="14"/>
          <w:szCs w:val="14"/>
          <w:color w:val="auto"/>
        </w:rPr>
      </w:pPr>
    </w:p>
    <w:p>
      <w:pPr>
        <w:ind w:left="960" w:right="3419" w:hanging="263"/>
        <w:spacing w:after="0" w:line="255" w:lineRule="auto"/>
        <w:tabs>
          <w:tab w:leader="none" w:pos="9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regulatory approvals for the merger being obtained on terms that are not reasonably likely to result in such a substantial detriment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Right to Terminate. The merger agreement may be terminated at any time prior to the closing in any of the following ways:</w:t>
      </w:r>
    </w:p>
    <w:p>
      <w:pPr>
        <w:spacing w:after="0" w:line="160" w:lineRule="exact"/>
        <w:rPr>
          <w:sz w:val="20"/>
          <w:szCs w:val="20"/>
          <w:color w:val="auto"/>
        </w:rPr>
      </w:pPr>
    </w:p>
    <w:p>
      <w:pPr>
        <w:ind w:left="260" w:right="3599" w:firstLine="265"/>
        <w:spacing w:after="0" w:line="255" w:lineRule="auto"/>
        <w:tabs>
          <w:tab w:leader="none" w:pos="863"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mutual written consent of Exxon and Mobil.</w:t>
      </w:r>
    </w:p>
    <w:p>
      <w:pPr>
        <w:spacing w:after="0" w:line="159"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either Exxon or Mobil if:</w:t>
      </w:r>
    </w:p>
    <w:p>
      <w:pPr>
        <w:spacing w:after="0" w:line="173" w:lineRule="exact"/>
        <w:rPr>
          <w:sz w:val="20"/>
          <w:szCs w:val="20"/>
          <w:color w:val="auto"/>
        </w:rPr>
      </w:pPr>
    </w:p>
    <w:p>
      <w:pPr>
        <w:ind w:left="2160" w:right="3339" w:hanging="429"/>
        <w:spacing w:after="0" w:line="251" w:lineRule="auto"/>
        <w:tabs>
          <w:tab w:leader="none" w:pos="21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December 1, 1999. However, that date becomes June 30, 2000 if the reason for not closing by December 1, 1999 is that the regulatory conditions specified in the merger agreement have not been satisfied by that date,</w:t>
      </w:r>
    </w:p>
    <w:p>
      <w:pPr>
        <w:spacing w:after="0" w:line="164" w:lineRule="exact"/>
        <w:rPr>
          <w:rFonts w:ascii="Courier New" w:cs="Courier New" w:eastAsia="Courier New" w:hAnsi="Courier New"/>
          <w:sz w:val="14"/>
          <w:szCs w:val="14"/>
          <w:color w:val="auto"/>
        </w:rPr>
      </w:pPr>
    </w:p>
    <w:p>
      <w:pPr>
        <w:ind w:left="2160" w:right="3419" w:hanging="429"/>
        <w:spacing w:after="0" w:line="255" w:lineRule="auto"/>
        <w:tabs>
          <w:tab w:leader="none" w:pos="21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or Mobil shareholders fail to give the necessary approval at a duly held meeting, or</w:t>
      </w:r>
    </w:p>
    <w:p>
      <w:pPr>
        <w:spacing w:after="0" w:line="159" w:lineRule="exact"/>
        <w:rPr>
          <w:rFonts w:ascii="Courier New" w:cs="Courier New" w:eastAsia="Courier New" w:hAnsi="Courier New"/>
          <w:sz w:val="14"/>
          <w:szCs w:val="14"/>
          <w:color w:val="auto"/>
        </w:rPr>
      </w:pPr>
    </w:p>
    <w:p>
      <w:pPr>
        <w:ind w:left="2160" w:right="3519" w:hanging="429"/>
        <w:spacing w:after="0" w:line="255" w:lineRule="auto"/>
        <w:tabs>
          <w:tab w:leader="none" w:pos="21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permanent legal prohibition to closing the merger.</w:t>
      </w:r>
    </w:p>
    <w:p>
      <w:pPr>
        <w:spacing w:after="0" w:line="159" w:lineRule="exact"/>
        <w:rPr>
          <w:rFonts w:ascii="Courier New" w:cs="Courier New" w:eastAsia="Courier New" w:hAnsi="Courier New"/>
          <w:sz w:val="14"/>
          <w:szCs w:val="14"/>
          <w:color w:val="auto"/>
        </w:rPr>
      </w:pPr>
    </w:p>
    <w:p>
      <w:pPr>
        <w:ind w:left="260" w:right="3599" w:firstLine="265"/>
        <w:spacing w:after="0" w:line="252" w:lineRule="auto"/>
        <w:tabs>
          <w:tab w:leader="none" w:pos="863"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Exxon if the Mobil Board fails to recommend the merger or withdraws or modifies in a manner adverse to Exxon its approval or recommendation of the merger, breaches its agreement to call the Mobil meeting or recommends a superior offer.</w:t>
      </w:r>
    </w:p>
    <w:p>
      <w:pPr>
        <w:spacing w:after="0" w:line="16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Mobil if:</w:t>
      </w:r>
    </w:p>
    <w:p>
      <w:pPr>
        <w:spacing w:after="0" w:line="172" w:lineRule="exact"/>
        <w:rPr>
          <w:rFonts w:ascii="Courier New" w:cs="Courier New" w:eastAsia="Courier New" w:hAnsi="Courier New"/>
          <w:sz w:val="14"/>
          <w:szCs w:val="14"/>
          <w:color w:val="auto"/>
        </w:rPr>
      </w:pPr>
    </w:p>
    <w:p>
      <w:pPr>
        <w:ind w:left="2160" w:right="3339" w:hanging="429"/>
        <w:spacing w:after="0" w:line="251" w:lineRule="auto"/>
        <w:tabs>
          <w:tab w:leader="none" w:pos="21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Mobil Board authorizes Mobil, subject to complying with the merger agreement, to enter into a binding written agreement concerning an acquisition proposal for at least a majority of the Mobil stock on terms the Mobil Board determines, in good faith after consultation with its financial advisors, are more favorable to Mobil shareholders than the merger, and Mobil notifies Exxon in writing that it intends to enter into such an agreement, attaching the most current version of the agreement or a description of all its material terms and conditions,</w:t>
      </w:r>
    </w:p>
    <w:p>
      <w:pPr>
        <w:spacing w:after="0" w:line="163" w:lineRule="exact"/>
        <w:rPr>
          <w:rFonts w:ascii="Courier New" w:cs="Courier New" w:eastAsia="Courier New" w:hAnsi="Courier New"/>
          <w:sz w:val="14"/>
          <w:szCs w:val="14"/>
          <w:color w:val="auto"/>
        </w:rPr>
      </w:pPr>
    </w:p>
    <w:p>
      <w:pPr>
        <w:ind w:left="2160" w:right="3519" w:hanging="429"/>
        <w:spacing w:after="0" w:line="252" w:lineRule="auto"/>
        <w:tabs>
          <w:tab w:leader="none" w:pos="21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does not make an offer, within three business days after receiving the notice, that the Mobil Board determines, in good faith after consultation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I-59</w:t>
      </w:r>
    </w:p>
    <w:p>
      <w:pPr>
        <w:sectPr>
          <w:pgSz w:w="11900" w:h="16838" w:orient="portrait"/>
          <w:cols w:equalWidth="0" w:num="1">
            <w:col w:w="10239"/>
          </w:cols>
          <w:pgMar w:left="220" w:top="782"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with its financial advisors, is at least as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favorable to the Mobil shareholders as the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superior proposal, and</w:t>
      </w:r>
    </w:p>
    <w:p>
      <w:pPr>
        <w:spacing w:after="0" w:line="173" w:lineRule="exact"/>
        <w:rPr>
          <w:sz w:val="20"/>
          <w:szCs w:val="20"/>
          <w:color w:val="auto"/>
        </w:rPr>
      </w:pPr>
    </w:p>
    <w:p>
      <w:pPr>
        <w:ind w:left="2160" w:right="3339" w:hanging="429"/>
        <w:spacing w:after="0" w:line="255" w:lineRule="auto"/>
        <w:tabs>
          <w:tab w:leader="none" w:pos="216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has paid Exxon the cash termination fee described under "--Termination Fees Payable by Mobil" below.</w:t>
      </w:r>
    </w:p>
    <w:p>
      <w:pPr>
        <w:spacing w:after="0" w:line="159" w:lineRule="exact"/>
        <w:rPr>
          <w:rFonts w:ascii="Courier New" w:cs="Courier New" w:eastAsia="Courier New" w:hAnsi="Courier New"/>
          <w:sz w:val="14"/>
          <w:szCs w:val="14"/>
          <w:color w:val="auto"/>
        </w:rPr>
      </w:pPr>
    </w:p>
    <w:p>
      <w:pPr>
        <w:ind w:left="260" w:right="3599" w:firstLine="265"/>
        <w:spacing w:after="0" w:line="252" w:lineRule="auto"/>
        <w:tabs>
          <w:tab w:leader="none" w:pos="863"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may be terminated by Mobil if the Exxon Board fails to recommend the merger or withdraws or modifies in a manner adverse to Mobil its approval or recommendation of the merger or breaches its agreement to call the Exxon meeting.</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Neither Exxon nor Mobil can terminate the merger agreement for the reasons described in the first bullet under paragraph (b) above if its failure to fulfill in any material respect its obligations under the merger agreement has resulted in the failure to complete the merger.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merger agreement is validly terminated, the agreement will become void without any liability on the part of any party unless such party is in willful breach thereof. However, the provisions of the merger agreement relating to expenses and termination fees, as well as the confidentiality agreement and the stock option agreement entered into between Exxon and Mobil, will continue in effect notwithstanding termination of the merger agreement.</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Termination Fees Payable by Mobil. Mobil has agreed to pay Exxon a cash amount equal to $1.5 billion in any of the following circumstances:</w:t>
      </w:r>
    </w:p>
    <w:p>
      <w:pPr>
        <w:spacing w:after="0" w:line="160" w:lineRule="exact"/>
        <w:rPr>
          <w:sz w:val="20"/>
          <w:szCs w:val="20"/>
          <w:color w:val="auto"/>
        </w:rPr>
      </w:pPr>
    </w:p>
    <w:p>
      <w:pPr>
        <w:ind w:left="960" w:right="3519" w:hanging="263"/>
        <w:spacing w:after="0" w:line="255" w:lineRule="auto"/>
        <w:tabs>
          <w:tab w:leader="none" w:pos="9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terminates the merger agreement as described in paragraph (d) under "--Right to Terminate" above</w:t>
      </w:r>
    </w:p>
    <w:p>
      <w:pPr>
        <w:spacing w:after="0" w:line="159" w:lineRule="exact"/>
        <w:rPr>
          <w:rFonts w:ascii="Courier New" w:cs="Courier New" w:eastAsia="Courier New" w:hAnsi="Courier New"/>
          <w:sz w:val="14"/>
          <w:szCs w:val="14"/>
          <w:color w:val="auto"/>
        </w:rPr>
      </w:pPr>
    </w:p>
    <w:p>
      <w:pPr>
        <w:ind w:left="960" w:right="3339" w:hanging="263"/>
        <w:spacing w:after="0" w:line="252" w:lineRule="auto"/>
        <w:tabs>
          <w:tab w:leader="none" w:pos="9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terminates the merger agreement as described in paragraph (c) under "--Right to Terminate" above, unless at the relevant time Exxon is in material breach in the manner described in the merger agreement</w:t>
      </w:r>
    </w:p>
    <w:p>
      <w:pPr>
        <w:spacing w:after="0" w:line="162" w:lineRule="exact"/>
        <w:rPr>
          <w:rFonts w:ascii="Courier New" w:cs="Courier New" w:eastAsia="Courier New" w:hAnsi="Courier New"/>
          <w:sz w:val="14"/>
          <w:szCs w:val="14"/>
          <w:color w:val="auto"/>
        </w:rPr>
      </w:pPr>
    </w:p>
    <w:p>
      <w:pPr>
        <w:ind w:left="960" w:right="4199" w:hanging="263"/>
        <w:spacing w:after="0" w:line="255" w:lineRule="auto"/>
        <w:tabs>
          <w:tab w:leader="none" w:pos="9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Exxon or Mobil terminates the merger agreement in circumstances where the following three conditions are met:</w:t>
      </w:r>
    </w:p>
    <w:p>
      <w:pPr>
        <w:spacing w:after="0" w:line="159"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Mobil's shareholders do not vote in favor of the merger,</w:t>
      </w:r>
    </w:p>
    <w:p>
      <w:pPr>
        <w:spacing w:after="0" w:line="172" w:lineRule="exact"/>
        <w:rPr>
          <w:rFonts w:ascii="Courier New" w:cs="Courier New" w:eastAsia="Courier New" w:hAnsi="Courier New"/>
          <w:sz w:val="14"/>
          <w:szCs w:val="14"/>
          <w:color w:val="auto"/>
        </w:rPr>
      </w:pPr>
    </w:p>
    <w:p>
      <w:pPr>
        <w:ind w:left="1220" w:right="341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a third party has made a proposal for an alternative transaction, and</w:t>
      </w:r>
    </w:p>
    <w:p>
      <w:pPr>
        <w:spacing w:after="0" w:line="159" w:lineRule="exact"/>
        <w:rPr>
          <w:rFonts w:ascii="Courier New" w:cs="Courier New" w:eastAsia="Courier New" w:hAnsi="Courier New"/>
          <w:sz w:val="14"/>
          <w:szCs w:val="14"/>
          <w:color w:val="auto"/>
        </w:rPr>
      </w:pPr>
    </w:p>
    <w:p>
      <w:pPr>
        <w:jc w:val="both"/>
        <w:ind w:left="1220" w:right="333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within twelve months of the termination of the merger agreement Mobil enters into an agreement for an alternative transaction with that third party, or with another third party at a value per Mobil share higher than $95.96.</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Termination Fees Payable by Exxon. Exxon has agreed to pay Mobil a cash amount equal to $1.5 billion if Mobil terminates the merger agreement as described in paragraph (e) under "--Right to Terminate" above, unless at the relevant time Mobil is in material breach in the manner described in the merger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Except as described above and subject to an exception relating to the payment of transfer taxes, all costs and expenses incurred in connection with the merger agreement and related transactions will be paid by the party incurring such costs or expenses. We estimate that merger-related fees and expenses, consisting primarily of SEC filing fees, fees and expenses of investment bankers, attorneys and accountants, and financial printing and other related charges, will total approximately $90 million assuming the merger is completed.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I-60</w:t>
      </w:r>
    </w:p>
    <w:p>
      <w:pPr>
        <w:sectPr>
          <w:pgSz w:w="11900" w:h="16838" w:orient="portrait"/>
          <w:cols w:equalWidth="0" w:num="1">
            <w:col w:w="10239"/>
          </w:cols>
          <w:pgMar w:left="220" w:top="782" w:right="1440" w:bottom="1440" w:gutter="0" w:footer="0" w:header="0"/>
        </w:sectPr>
      </w:pPr>
    </w:p>
    <w:bookmarkStart w:id="65" w:name="page66"/>
    <w:bookmarkEnd w:id="65"/>
    <w:p>
      <w:pPr>
        <w:ind w:left="4660"/>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Waivers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provision of the merger agreement may be amended or waived prior to closing if the amendment or waiver is in writing and signed, in the case of an amendment, by Mobil, Exxon and the merger subsidiary or, in the case of a waiver, by the party against whom the waiver is to be effective. After the approval of the merger agreement by the shareholders of Mobil, no amendment or waiver that by law requires further approval by shareholders may be made without the further approval of such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Agreement</w:t>
      </w:r>
    </w:p>
    <w:p>
      <w:pPr>
        <w:spacing w:after="0" w:line="173"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The following summary of the stock option agreement is qualified by reference to the complete text of the agreement, which is incorporated by reference and attached as Annex B.</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General. At the same time that Exxon and Mobil entered into the merger agreement, they also entered into a stock option agreement. Under the stock option agreement, Mobil granted Exxon an irrevocable option to purchase up to 136.5 million shares of Mobil common stock at a price per share of $95.96. The option is exercisable in the circumstances described below.</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Exercise of the Stock Option. Exxon can exercise the option in whole or in part at any time after the occurrence of any event, which we call a trigger event in this section, entitling Exxon to receive the cash termination fee payable by Mobil pursuant to the merger agreement (see "--Termination of the Merger Agreement--Termination Fees Payable by Mobil") and prior to termination of the option.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option terminates upon the earliest to occur of</w:t>
      </w:r>
    </w:p>
    <w:p>
      <w:pPr>
        <w:spacing w:after="0" w:line="173" w:lineRule="exact"/>
        <w:rPr>
          <w:sz w:val="20"/>
          <w:szCs w:val="20"/>
          <w:color w:val="auto"/>
        </w:rPr>
      </w:pPr>
    </w:p>
    <w:p>
      <w:pPr>
        <w:ind w:left="960" w:hanging="435"/>
        <w:spacing w:after="0"/>
        <w:tabs>
          <w:tab w:leader="none" w:pos="9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the merger,</w:t>
      </w:r>
    </w:p>
    <w:p>
      <w:pPr>
        <w:spacing w:after="0" w:line="172" w:lineRule="exact"/>
        <w:rPr>
          <w:rFonts w:ascii="Courier New" w:cs="Courier New" w:eastAsia="Courier New" w:hAnsi="Courier New"/>
          <w:sz w:val="14"/>
          <w:szCs w:val="14"/>
          <w:color w:val="auto"/>
        </w:rPr>
      </w:pPr>
    </w:p>
    <w:p>
      <w:pPr>
        <w:ind w:left="960" w:hanging="435"/>
        <w:spacing w:after="0"/>
        <w:tabs>
          <w:tab w:leader="none" w:pos="9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 days after Mobil has paid the cash termination fee in full, or</w:t>
      </w:r>
    </w:p>
    <w:p>
      <w:pPr>
        <w:spacing w:after="0" w:line="172" w:lineRule="exact"/>
        <w:rPr>
          <w:rFonts w:ascii="Courier New" w:cs="Courier New" w:eastAsia="Courier New" w:hAnsi="Courier New"/>
          <w:sz w:val="14"/>
          <w:szCs w:val="14"/>
          <w:color w:val="auto"/>
        </w:rPr>
      </w:pPr>
    </w:p>
    <w:p>
      <w:pPr>
        <w:ind w:left="440" w:right="3419" w:firstLine="85"/>
        <w:spacing w:after="0" w:line="252" w:lineRule="auto"/>
        <w:tabs>
          <w:tab w:leader="none" w:pos="95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day after termination of the merger agreement so long as, in the case of this clause (3), no trigger event has occurred or could still occur.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a third party makes an offer to acquire Mobil at a value per share of Mobil common stock which is lower than the $95.96 exercise price specified above, the exercise price with respect to 1,000 option shares will be adjusted to be 90% of the per share value offered by the third party. The exercise price and number of option shares are also subject to certain anti-dilution and other adjustments specified in the stock option agreement.</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Any purchase of option shares is subject to specified closing conditions, including receipt of applicable regulatory approvals. The closing of any purchase of option shares may be postponed for up to nine months beyond the termination of the option pending satisfaction of the conditions to purchase.</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Cash Election. The stock option agreement further provides that, so long as the option is exercisable, Exxon may, instead of exercising the option, elect to require Mobil to pay to Exxon in exchange for the cancellation of the relevant portion of the option an amount in cash equal to the "spread" (as defined below) multiplied by the number of option shares as to which this cash election is made.</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"Spread" means the excess, if any, over the exercise price of the higher of</w:t>
      </w:r>
    </w:p>
    <w:p>
      <w:pPr>
        <w:spacing w:after="0" w:line="7" w:lineRule="exact"/>
        <w:rPr>
          <w:sz w:val="20"/>
          <w:szCs w:val="20"/>
          <w:color w:val="auto"/>
        </w:rPr>
      </w:pPr>
    </w:p>
    <w:p>
      <w:pPr>
        <w:ind w:right="3419" w:firstLine="8"/>
        <w:spacing w:after="0" w:line="251" w:lineRule="auto"/>
        <w:tabs>
          <w:tab w:leader="none" w:pos="34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price per share of Mobil common stock paid or proposed to be paid by any third party pursuant to an alternative acquisition proposal and (2) the average of the closing price of the Mobil common stock on the NYSE at the end of its regular session, as reported on the Consolidated Tape, for the five consecutive trading days ending on and including the date immediately preceding the date on which Exxon notifies Mobil of this cash election.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I-61</w:t>
      </w:r>
    </w:p>
    <w:p>
      <w:pPr>
        <w:sectPr>
          <w:pgSz w:w="11900" w:h="16838" w:orient="portrait"/>
          <w:cols w:equalWidth="0" w:num="1">
            <w:col w:w="10239"/>
          </w:cols>
          <w:pgMar w:left="220" w:top="78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Chapter One - The Merger</w:t>
      </w:r>
    </w:p>
    <w:p>
      <w:pPr>
        <w:spacing w:after="0" w:line="33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Listing and Registration Rights. Mobil has agreed to list the option shares on the NYSE and to grant Exxon customary rights to require registration by Mobil of option shares for sale by Exxon under the securities laws.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Limitation on Total Profit. The stock option agreement provides that, notwithstanding any other provision of that agreement or the merger agreement, Exxon's Total Profit (as defined below) will not exceed $2 billion in the aggregate. If Exxon's Total Profit otherwise would exceed such amount, Exxon, at its sole election, may (a) pay cash to Mobil, (b) deliver to Mobil for cancellation Option Shares previously acquired by Exxon or (c) any combination thereof, so that Exxon's actually realized Total Profit does not exceed $2 billion after taking into account the foregoing actions.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purposes of the stock option agreement, "Total Profit" means the aggregate amount, before taxes, of the following: (1) (x) the cash amount actually received by Exxon in payment by Mobil of the termination fee under the merger agreement, less (y) any repayment by Exxon as described in the preceding paragraph; (2) the net cash amounts received by Exxon pursuant to the sale of option shares (or of any other securities into or for which such option shares are converted or exchanged), less Exxon's purchase price for such option shares (or other securities), plus (3) the aggregate amount received by Exxon pursuant to exercise of the cash election described under "--Cash Election" above.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stock option agreement also provides that, notwithstanding any other provision of the agreement, the option may not be exercised for a number of option shares that would, as of the date of exercise, result in a Notional Total Profit (as described below) exceeding $2 billion. For purposes of the stock option agreement, the "Notional Total Profit" with respect to the option shares for which Exxon may propose to exercise the option means the Total Profit determined as of the date Exxon notifies Mobil of its intent to exercise the option and assuming that the applicable option shares, together with all other option shares previously acquired upon exercise of the option and held by Exxon or its affiliates as of such date, were sold for cash at the NYSE closing price on the preceding trading day.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 of Option. The option is intended to make it more likely that the merger will be completed on the agreed terms and to compensate Exxon for its efforts and costs in case the merger is not completed under circumstances generally involving a third party proposal for a business combination with Mobil. Among other effects, the option could prevent an alternative business combination with Mobil from being accounted for as a "pooling of interests". The option may therefore discourage proposals for alternative business combinations with Mobil, even if a third party were prepared to offer Mobil shareholders consideration with a higher market value than the value of the Exxon Mobil stock to be exchanged for Mobil stock in the merger.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I-62</w:t>
      </w:r>
    </w:p>
    <w:p>
      <w:pPr>
        <w:sectPr>
          <w:pgSz w:w="11900" w:h="16838" w:orient="portrait"/>
          <w:cols w:equalWidth="0" w:num="1">
            <w:col w:w="10239"/>
          </w:cols>
          <w:pgMar w:left="220" w:top="782" w:right="1440" w:bottom="1440" w:gutter="0" w:footer="0" w:header="0"/>
        </w:sectPr>
      </w:pPr>
    </w:p>
    <w:bookmarkStart w:id="67" w:name="page68"/>
    <w:bookmarkEnd w:id="67"/>
    <w:p>
      <w:pPr>
        <w:jc w:val="center"/>
        <w:ind w:right="3259"/>
        <w:spacing w:after="0"/>
        <w:rPr>
          <w:sz w:val="20"/>
          <w:szCs w:val="20"/>
          <w:color w:val="auto"/>
        </w:rPr>
      </w:pPr>
      <w:r>
        <w:rPr>
          <w:rFonts w:ascii="Courier New" w:cs="Courier New" w:eastAsia="Courier New" w:hAnsi="Courier New"/>
          <w:sz w:val="14"/>
          <w:szCs w:val="14"/>
          <w:color w:val="auto"/>
        </w:rPr>
        <w:t>CHAPTER TWO</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INFORMATION ABOUT THE MEETINGS AND VOTING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Exxon's Board is using this joint proxy statement/prospectus to solicit proxies from the holders of Exxon common stock and Exxon Class A preferred stock for use at the Exxon meeting. Mobil's Board is also using this document to solicit proxies from the holders of Mobil common stock and Mobil ESOP preferred stock for use at the Mobil meeting. We are first mailing this joint proxy statement/prospectus and accompanying form of proxy to Exxon and Mobil shareholders on or about April 9,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Relating to the Meetings</w:t>
      </w:r>
    </w:p>
    <w:p>
      <w:pPr>
        <w:spacing w:after="0" w:line="338" w:lineRule="exact"/>
        <w:rPr>
          <w:sz w:val="20"/>
          <w:szCs w:val="20"/>
          <w:color w:val="auto"/>
        </w:rPr>
      </w:pPr>
    </w:p>
    <w:p>
      <w:pPr>
        <w:jc w:val="right"/>
        <w:ind w:right="1699"/>
        <w:spacing w:after="0"/>
        <w:tabs>
          <w:tab w:leader="none" w:pos="1100" w:val="left"/>
        </w:tabs>
        <w:rPr>
          <w:sz w:val="20"/>
          <w:szCs w:val="20"/>
          <w:color w:val="auto"/>
        </w:rPr>
      </w:pPr>
      <w:r>
        <w:rPr>
          <w:rFonts w:ascii="Courier New" w:cs="Courier New" w:eastAsia="Courier New" w:hAnsi="Courier New"/>
          <w:sz w:val="14"/>
          <w:szCs w:val="14"/>
          <w:color w:val="auto"/>
        </w:rPr>
        <w:t>Exxon Meeting</w:t>
      </w:r>
      <w:r>
        <w:rPr>
          <w:sz w:val="20"/>
          <w:szCs w:val="20"/>
          <w:color w:val="auto"/>
        </w:rPr>
        <w:tab/>
      </w:r>
      <w:r>
        <w:rPr>
          <w:rFonts w:ascii="Courier New" w:cs="Courier New" w:eastAsia="Courier New" w:hAnsi="Courier New"/>
          <w:sz w:val="14"/>
          <w:szCs w:val="14"/>
          <w:color w:val="auto"/>
        </w:rPr>
        <w:t>Mobil Meeting</w:t>
      </w:r>
    </w:p>
    <w:p>
      <w:pPr>
        <w:spacing w:after="0" w:line="7" w:lineRule="exact"/>
        <w:rPr>
          <w:sz w:val="20"/>
          <w:szCs w:val="20"/>
          <w:color w:val="auto"/>
        </w:rPr>
      </w:pPr>
    </w:p>
    <w:p>
      <w:pPr>
        <w:ind w:left="3280"/>
        <w:spacing w:after="0"/>
        <w:tabs>
          <w:tab w:leader="none" w:pos="7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Time and Place:</w:t>
            </w: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May 27, 1999</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10:00 a.m., Central Time</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Trinity Conference Center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Wyndham Anatole Hotel</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2201 Stemmons Freeway</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Dallas, Texas</w:t>
            </w:r>
          </w:p>
        </w:tc>
      </w:tr>
      <w:tr>
        <w:trPr>
          <w:trHeight w:val="331"/>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Purpose of</w:t>
            </w: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1.  the merger, including the related</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Meeting is to Vote</w:t>
            </w: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issuance of Exxon Mobil common stock,</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on the Following</w:t>
            </w: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described under "The Merger</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Items</w:t>
            </w: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Transaction--General" on page I-14;*</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2.  the amendments to the Exxon charter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described under "Chapter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Three--Description of Exxon Capital</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Stock--Amendment of Exxon Charter"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beginning on page III-10;*</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3.  the election of directors to the Exxon</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Board, as described under "Chapter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Four--Other Exxon Annual Meeting</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Proposals" beginning on page IV-1;</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4.  the ratification of the appointment of</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Exxon's independent accountants, as</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described under "Chapter Four--Other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Exxon Annual Meeting Proposals"</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beginning on page IV-19;</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5.  four Exxon shareholder proposals, as</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described under "Chapter Four--Other</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Exxon Annual Meeting Proposals"</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beginning on page IV-19; and</w:t>
            </w:r>
          </w:p>
        </w:tc>
      </w:tr>
      <w:tr>
        <w:trPr>
          <w:trHeight w:val="331"/>
        </w:trPr>
        <w:tc>
          <w:tcPr>
            <w:tcW w:w="160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Courier New" w:cs="Courier New" w:eastAsia="Courier New" w:hAnsi="Courier New"/>
                <w:sz w:val="14"/>
                <w:szCs w:val="14"/>
                <w:color w:val="auto"/>
              </w:rPr>
              <w:t>6.  such other matters as may properly come</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before the Exxon meeting, including the</w:t>
            </w:r>
          </w:p>
        </w:tc>
      </w:tr>
      <w:tr>
        <w:trPr>
          <w:trHeight w:val="166"/>
        </w:trPr>
        <w:tc>
          <w:tcPr>
            <w:tcW w:w="160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approval of any adjournment of the meeting.</w:t>
            </w:r>
          </w:p>
        </w:tc>
      </w:tr>
      <w:tr>
        <w:trPr>
          <w:trHeight w:val="331"/>
        </w:trPr>
        <w:tc>
          <w:tcPr>
            <w:tcW w:w="1600" w:type="dxa"/>
            <w:vAlign w:val="bottom"/>
          </w:tcPr>
          <w:p>
            <w:pPr>
              <w:spacing w:after="0"/>
              <w:rPr>
                <w:sz w:val="24"/>
                <w:szCs w:val="24"/>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May 27, 1999</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10:00 a.m., Central Time</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Regency Ballroom</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Fairmont Hotel</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1717 North Akard Street</w:t>
      </w:r>
    </w:p>
    <w:p>
      <w:pPr>
        <w:spacing w:after="0" w:line="7"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Dallas, Texas</w:t>
      </w:r>
    </w:p>
    <w:p>
      <w:pPr>
        <w:spacing w:after="0" w:line="173" w:lineRule="exact"/>
        <w:rPr>
          <w:sz w:val="20"/>
          <w:szCs w:val="20"/>
          <w:color w:val="auto"/>
        </w:rPr>
      </w:pPr>
    </w:p>
    <w:p>
      <w:pPr>
        <w:ind w:left="350" w:right="579" w:hanging="350"/>
        <w:spacing w:after="0" w:line="252" w:lineRule="auto"/>
        <w:tabs>
          <w:tab w:leader="none" w:pos="3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and the merger, as described under "The Merger Transaction--General" on page I-14;</w:t>
      </w:r>
    </w:p>
    <w:p>
      <w:pPr>
        <w:spacing w:after="0" w:line="162" w:lineRule="exact"/>
        <w:rPr>
          <w:rFonts w:ascii="Courier New" w:cs="Courier New" w:eastAsia="Courier New" w:hAnsi="Courier New"/>
          <w:sz w:val="14"/>
          <w:szCs w:val="14"/>
          <w:color w:val="auto"/>
        </w:rPr>
      </w:pPr>
    </w:p>
    <w:p>
      <w:pPr>
        <w:ind w:left="350" w:right="419" w:hanging="350"/>
        <w:spacing w:after="0" w:line="252" w:lineRule="auto"/>
        <w:tabs>
          <w:tab w:leader="none" w:pos="3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directors to the Mobil Board, as described under "Chapter Five--Other Mobil Annual Meeting Proposals" beginning on page V-1;</w:t>
      </w:r>
    </w:p>
    <w:p>
      <w:pPr>
        <w:spacing w:after="0" w:line="162" w:lineRule="exact"/>
        <w:rPr>
          <w:rFonts w:ascii="Courier New" w:cs="Courier New" w:eastAsia="Courier New" w:hAnsi="Courier New"/>
          <w:sz w:val="14"/>
          <w:szCs w:val="14"/>
          <w:color w:val="auto"/>
        </w:rPr>
      </w:pPr>
    </w:p>
    <w:p>
      <w:pPr>
        <w:ind w:left="350" w:right="419" w:hanging="350"/>
        <w:spacing w:after="0" w:line="251" w:lineRule="auto"/>
        <w:tabs>
          <w:tab w:leader="none" w:pos="3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of the appointment of Mobil's independent auditors, as described under "Chapter Five--Other Mobil Annual Meeting Proposals" on page V-4;</w:t>
      </w:r>
    </w:p>
    <w:p>
      <w:pPr>
        <w:spacing w:after="0" w:line="164" w:lineRule="exact"/>
        <w:rPr>
          <w:rFonts w:ascii="Courier New" w:cs="Courier New" w:eastAsia="Courier New" w:hAnsi="Courier New"/>
          <w:sz w:val="14"/>
          <w:szCs w:val="14"/>
          <w:color w:val="auto"/>
        </w:rPr>
      </w:pPr>
    </w:p>
    <w:p>
      <w:pPr>
        <w:ind w:left="350" w:right="579" w:hanging="350"/>
        <w:spacing w:after="0" w:line="252" w:lineRule="auto"/>
        <w:tabs>
          <w:tab w:leader="none" w:pos="3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Mobil shareholder proposals, as described under "Chapter Five--Other Mobil Annual Meeting Proposals" beginning on page V-5; and</w:t>
      </w:r>
    </w:p>
    <w:p>
      <w:pPr>
        <w:spacing w:after="0" w:line="162" w:lineRule="exact"/>
        <w:rPr>
          <w:rFonts w:ascii="Courier New" w:cs="Courier New" w:eastAsia="Courier New" w:hAnsi="Courier New"/>
          <w:sz w:val="14"/>
          <w:szCs w:val="14"/>
          <w:color w:val="auto"/>
        </w:rPr>
      </w:pPr>
    </w:p>
    <w:p>
      <w:pPr>
        <w:ind w:left="350" w:right="759" w:hanging="350"/>
        <w:spacing w:after="0" w:line="252" w:lineRule="auto"/>
        <w:tabs>
          <w:tab w:leader="none" w:pos="3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matters as may properly come before the Mobil meeting, including the approval of any adjournment of the meeting.</w:t>
      </w:r>
    </w:p>
    <w:p>
      <w:pPr>
        <w:spacing w:after="0" w:line="1487" w:lineRule="exact"/>
        <w:rPr>
          <w:sz w:val="20"/>
          <w:szCs w:val="20"/>
          <w:color w:val="auto"/>
        </w:rPr>
      </w:pPr>
    </w:p>
    <w:p>
      <w:pPr>
        <w:sectPr>
          <w:pgSz w:w="11900" w:h="16838" w:orient="portrait"/>
          <w:cols w:equalWidth="0" w:num="2">
            <w:col w:w="6040" w:space="170"/>
            <w:col w:w="4029"/>
          </w:cols>
          <w:pgMar w:left="220" w:top="616" w:right="1440" w:bottom="1440" w:gutter="0" w:footer="0" w:header="0"/>
          <w:type w:val="continuous"/>
        </w:sectPr>
      </w:pPr>
    </w:p>
    <w:p>
      <w:pPr>
        <w:jc w:val="both"/>
        <w:ind w:left="2340" w:right="3939" w:hanging="523"/>
        <w:spacing w:after="0" w:line="252" w:lineRule="auto"/>
        <w:tabs>
          <w:tab w:leader="none" w:pos="23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not be completed and the Exxon charter amendments will not be effected unless each is approved by Exxon shareholders.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type w:val="continuous"/>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338" w:lineRule="exact"/>
        <w:rPr>
          <w:sz w:val="20"/>
          <w:szCs w:val="20"/>
          <w:color w:val="auto"/>
        </w:rPr>
      </w:pPr>
    </w:p>
    <w:p>
      <w:pPr>
        <w:jc w:val="right"/>
        <w:ind w:right="1699"/>
        <w:spacing w:after="0"/>
        <w:tabs>
          <w:tab w:leader="none" w:pos="1100" w:val="left"/>
        </w:tabs>
        <w:rPr>
          <w:sz w:val="20"/>
          <w:szCs w:val="20"/>
          <w:color w:val="auto"/>
        </w:rPr>
      </w:pPr>
      <w:r>
        <w:rPr>
          <w:rFonts w:ascii="Courier New" w:cs="Courier New" w:eastAsia="Courier New" w:hAnsi="Courier New"/>
          <w:sz w:val="14"/>
          <w:szCs w:val="14"/>
          <w:color w:val="auto"/>
        </w:rPr>
        <w:t>Exxon Meeting</w:t>
      </w:r>
      <w:r>
        <w:rPr>
          <w:sz w:val="20"/>
          <w:szCs w:val="20"/>
          <w:color w:val="auto"/>
        </w:rPr>
        <w:tab/>
      </w:r>
      <w:r>
        <w:rPr>
          <w:rFonts w:ascii="Courier New" w:cs="Courier New" w:eastAsia="Courier New" w:hAnsi="Courier New"/>
          <w:sz w:val="14"/>
          <w:szCs w:val="14"/>
          <w:color w:val="auto"/>
        </w:rPr>
        <w:t>Mobil Meeting</w:t>
      </w:r>
    </w:p>
    <w:p>
      <w:pPr>
        <w:spacing w:after="0" w:line="7" w:lineRule="exact"/>
        <w:rPr>
          <w:sz w:val="20"/>
          <w:szCs w:val="20"/>
          <w:color w:val="auto"/>
        </w:rPr>
      </w:pPr>
    </w:p>
    <w:p>
      <w:pPr>
        <w:ind w:left="3280"/>
        <w:spacing w:after="0"/>
        <w:tabs>
          <w:tab w:leader="none" w:pos="7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Record Date:</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 record date for shares entitled to vote is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March 29, 1999.</w:t>
            </w:r>
          </w:p>
        </w:tc>
      </w:tr>
      <w:tr>
        <w:trPr>
          <w:trHeight w:val="331"/>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Outstanding</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As of March 1, 1999, there were</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Held on</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2,427,925,038 shares of Exxon common stock</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Record Date:</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and 1,593,644 shares of Exxon Class A</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preferred stock outstanding.  All Exxon Class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 preferred stock is held of record by the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trustee under Exxon's Thrift Plan (the "Exxon</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ESOP").</w:t>
            </w:r>
          </w:p>
        </w:tc>
      </w:tr>
      <w:tr>
        <w:trPr>
          <w:trHeight w:val="497"/>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Entitled to</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Shares entitled to vote are Exxon common</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Vote:</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stock and Exxon Class A preferred stock held</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at the close of business on the record date,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March 29, 1999.</w:t>
            </w:r>
          </w:p>
        </w:tc>
      </w:tr>
      <w:tr>
        <w:trPr>
          <w:trHeight w:val="331"/>
        </w:trPr>
        <w:tc>
          <w:tcPr>
            <w:tcW w:w="1680" w:type="dxa"/>
            <w:vAlign w:val="bottom"/>
          </w:tcPr>
          <w:p>
            <w:pPr>
              <w:spacing w:after="0"/>
              <w:rPr>
                <w:sz w:val="24"/>
                <w:szCs w:val="2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Each share of Exxon common stock that you</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own entitles you to one vote. The Exxon Class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 preferred stock is entitled to vote on all</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matters submitted to a vote of holders of</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common stock, voting with the common stock</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as a single class.</w:t>
            </w:r>
          </w:p>
        </w:tc>
      </w:tr>
      <w:tr>
        <w:trPr>
          <w:trHeight w:val="331"/>
        </w:trPr>
        <w:tc>
          <w:tcPr>
            <w:tcW w:w="1680" w:type="dxa"/>
            <w:vAlign w:val="bottom"/>
          </w:tcPr>
          <w:p>
            <w:pPr>
              <w:spacing w:after="0"/>
              <w:rPr>
                <w:sz w:val="24"/>
                <w:szCs w:val="2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Each share of Exxon Class A preferred stock is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entitled to the number of votes equal to the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number of shares of common stock into which</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 share of Class A preferred stock could be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converted on the record date.  Each share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currently has two votes, subject to adjustment</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if certain dilutive events occur before the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record date.</w:t>
            </w:r>
          </w:p>
        </w:tc>
      </w:tr>
      <w:tr>
        <w:trPr>
          <w:trHeight w:val="331"/>
        </w:trPr>
        <w:tc>
          <w:tcPr>
            <w:tcW w:w="1680" w:type="dxa"/>
            <w:vAlign w:val="bottom"/>
          </w:tcPr>
          <w:p>
            <w:pPr>
              <w:spacing w:after="0"/>
              <w:rPr>
                <w:sz w:val="24"/>
                <w:szCs w:val="2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Each participant in the Exxon ESOP instructs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 trustee of the ESOP how to vote his or</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shares. As to unallocated shares and shares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with respect to which the trustee receives no</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timely voting instructions, the trustee,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pursuant to the ESOP Trust Agreement, votes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these shares in the same proportion as it votes</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all the shares as to which it has received</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timely voting instructions.</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right="59"/>
        <w:spacing w:after="0" w:line="255" w:lineRule="auto"/>
        <w:rPr>
          <w:sz w:val="20"/>
          <w:szCs w:val="20"/>
          <w:color w:val="auto"/>
        </w:rPr>
      </w:pPr>
      <w:r>
        <w:rPr>
          <w:rFonts w:ascii="Courier New" w:cs="Courier New" w:eastAsia="Courier New" w:hAnsi="Courier New"/>
          <w:sz w:val="14"/>
          <w:szCs w:val="14"/>
          <w:color w:val="auto"/>
        </w:rPr>
        <w:t>The record date for shares entitled to vote is March 29, 1999.</w:t>
      </w:r>
    </w:p>
    <w:p>
      <w:pPr>
        <w:spacing w:after="0" w:line="160" w:lineRule="exact"/>
        <w:rPr>
          <w:sz w:val="20"/>
          <w:szCs w:val="20"/>
          <w:color w:val="auto"/>
        </w:rPr>
      </w:pPr>
    </w:p>
    <w:p>
      <w:pPr>
        <w:ind w:right="499"/>
        <w:spacing w:after="0" w:line="251" w:lineRule="auto"/>
        <w:rPr>
          <w:sz w:val="20"/>
          <w:szCs w:val="20"/>
          <w:color w:val="auto"/>
        </w:rPr>
      </w:pPr>
      <w:r>
        <w:rPr>
          <w:rFonts w:ascii="Courier New" w:cs="Courier New" w:eastAsia="Courier New" w:hAnsi="Courier New"/>
          <w:sz w:val="14"/>
          <w:szCs w:val="14"/>
          <w:color w:val="auto"/>
        </w:rPr>
        <w:t>As of March 1, 1999, there were 781,227,938 shares of Mobil common stock and 163,383 shares of Mobil ESOP preferred stock outstanding. All Mobil ESOP preferred stock is held of record by the trustee under Appendix A to the Employees Savings Plan of Mobil Oil Corporation (the "Mobil ESOP").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entitled to vote are Mobil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and Mobil ESOP preferred stock held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close of business on the record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173" w:lineRule="exact"/>
        <w:rPr>
          <w:sz w:val="20"/>
          <w:szCs w:val="20"/>
          <w:color w:val="auto"/>
        </w:rPr>
      </w:pPr>
    </w:p>
    <w:p>
      <w:pPr>
        <w:ind w:right="159"/>
        <w:spacing w:after="0" w:line="251" w:lineRule="auto"/>
        <w:rPr>
          <w:sz w:val="20"/>
          <w:szCs w:val="20"/>
          <w:color w:val="auto"/>
        </w:rPr>
      </w:pPr>
      <w:r>
        <w:rPr>
          <w:rFonts w:ascii="Courier New" w:cs="Courier New" w:eastAsia="Courier New" w:hAnsi="Courier New"/>
          <w:sz w:val="14"/>
          <w:szCs w:val="14"/>
          <w:color w:val="auto"/>
        </w:rPr>
        <w:t>Each share of Mobil common stock that you own entitles you to one vote. The Mobil ESOP preferred stock is entitled to vote on all matters submitted to a vote of holders of common stock, voting with the common stock as a single class.</w:t>
      </w:r>
    </w:p>
    <w:p>
      <w:pPr>
        <w:spacing w:after="0" w:line="164" w:lineRule="exact"/>
        <w:rPr>
          <w:sz w:val="20"/>
          <w:szCs w:val="20"/>
          <w:color w:val="auto"/>
        </w:rPr>
      </w:pPr>
    </w:p>
    <w:p>
      <w:pPr>
        <w:ind w:right="239"/>
        <w:spacing w:after="0" w:line="251" w:lineRule="auto"/>
        <w:rPr>
          <w:sz w:val="20"/>
          <w:szCs w:val="20"/>
          <w:color w:val="auto"/>
        </w:rPr>
      </w:pPr>
      <w:r>
        <w:rPr>
          <w:rFonts w:ascii="Courier New" w:cs="Courier New" w:eastAsia="Courier New" w:hAnsi="Courier New"/>
          <w:sz w:val="14"/>
          <w:szCs w:val="14"/>
          <w:color w:val="auto"/>
        </w:rPr>
        <w:t>Each share of Mobil ESOP preferred stock is entitled to the number of votes equal to the number of shares of common stock into which the share of ESOP preferred stock could be converted on the record date. Each share currently has 100 votes, subject to adjustment if certain dilutive events occur before the record date.</w:t>
      </w:r>
    </w:p>
    <w:p>
      <w:pPr>
        <w:spacing w:after="0" w:line="164" w:lineRule="exact"/>
        <w:rPr>
          <w:sz w:val="20"/>
          <w:szCs w:val="20"/>
          <w:color w:val="auto"/>
        </w:rPr>
      </w:pPr>
    </w:p>
    <w:p>
      <w:pPr>
        <w:ind w:right="319"/>
        <w:spacing w:after="0" w:line="251" w:lineRule="auto"/>
        <w:rPr>
          <w:sz w:val="20"/>
          <w:szCs w:val="20"/>
          <w:color w:val="auto"/>
        </w:rPr>
      </w:pPr>
      <w:r>
        <w:rPr>
          <w:rFonts w:ascii="Courier New" w:cs="Courier New" w:eastAsia="Courier New" w:hAnsi="Courier New"/>
          <w:sz w:val="14"/>
          <w:szCs w:val="14"/>
          <w:color w:val="auto"/>
        </w:rPr>
        <w:t>Each participant in the Mobil ESOP instructs the trustee of the ESOP how to vote his or her shares. As to unallocated shares and shares with respect to which the trustee receives no timely voting instructions, the trustee, pursuant to the ESOP Trust Agreement, votes these shares in the same proportion as it votes all the shares allocated to the accounts of regular Mobil employees as to which it has received timely voting instructions.</w:t>
      </w:r>
    </w:p>
    <w:p>
      <w:pPr>
        <w:spacing w:after="0" w:line="163" w:lineRule="exact"/>
        <w:rPr>
          <w:sz w:val="20"/>
          <w:szCs w:val="20"/>
          <w:color w:val="auto"/>
        </w:rPr>
      </w:pPr>
    </w:p>
    <w:p>
      <w:pPr>
        <w:sectPr>
          <w:pgSz w:w="11900" w:h="16838" w:orient="portrait"/>
          <w:cols w:equalWidth="0" w:num="2">
            <w:col w:w="6040" w:space="180"/>
            <w:col w:w="4019"/>
          </w:cols>
          <w:pgMar w:left="220" w:top="616" w:right="1440" w:bottom="1440" w:gutter="0" w:footer="0" w:header="0"/>
          <w:type w:val="continuous"/>
        </w:sectPr>
      </w:pPr>
    </w:p>
    <w:p>
      <w:pPr>
        <w:ind w:left="1980"/>
        <w:spacing w:after="0" w:line="255" w:lineRule="auto"/>
        <w:rPr>
          <w:sz w:val="20"/>
          <w:szCs w:val="20"/>
          <w:color w:val="auto"/>
        </w:rPr>
      </w:pPr>
      <w:r>
        <w:rPr>
          <w:rFonts w:ascii="Courier New" w:cs="Courier New" w:eastAsia="Courier New" w:hAnsi="Courier New"/>
          <w:sz w:val="14"/>
          <w:szCs w:val="14"/>
          <w:color w:val="auto"/>
        </w:rPr>
        <w:t>Shares held by Exxon in its treasury are not voted.</w:t>
      </w:r>
    </w:p>
    <w:p>
      <w:pPr>
        <w:spacing w:after="0" w:line="20" w:lineRule="exact"/>
        <w:rPr>
          <w:sz w:val="20"/>
          <w:szCs w:val="20"/>
          <w:color w:val="auto"/>
        </w:rPr>
      </w:pPr>
      <w:r>
        <w:rPr>
          <w:sz w:val="20"/>
          <w:szCs w:val="20"/>
          <w:color w:val="auto"/>
        </w:rPr>
        <w:br w:type="column"/>
      </w:r>
    </w:p>
    <w:p>
      <w:pPr>
        <w:ind w:right="59"/>
        <w:spacing w:after="0" w:line="251" w:lineRule="auto"/>
        <w:rPr>
          <w:sz w:val="20"/>
          <w:szCs w:val="20"/>
          <w:color w:val="auto"/>
        </w:rPr>
      </w:pPr>
      <w:r>
        <w:rPr>
          <w:rFonts w:ascii="Courier New" w:cs="Courier New" w:eastAsia="Courier New" w:hAnsi="Courier New"/>
          <w:sz w:val="14"/>
          <w:szCs w:val="14"/>
          <w:color w:val="auto"/>
        </w:rPr>
        <w:t>Shares held by Mobil in its treasury are not voted. This does not include shares held in its rabbi trust, which are treated in a manner similar to treasury shares for accounting purposes only.</w:t>
      </w:r>
    </w:p>
    <w:p>
      <w:pPr>
        <w:spacing w:after="0" w:line="200" w:lineRule="exact"/>
        <w:rPr>
          <w:sz w:val="20"/>
          <w:szCs w:val="20"/>
          <w:color w:val="auto"/>
        </w:rPr>
      </w:pPr>
    </w:p>
    <w:p>
      <w:pPr>
        <w:sectPr>
          <w:pgSz w:w="11900" w:h="16838" w:orient="portrait"/>
          <w:cols w:equalWidth="0" w:num="2">
            <w:col w:w="5780" w:space="440"/>
            <w:col w:w="4019"/>
          </w:cols>
          <w:pgMar w:left="220" w:top="616" w:right="1440" w:bottom="1440" w:gutter="0" w:footer="0" w:header="0"/>
          <w:type w:val="continuous"/>
        </w:sectPr>
      </w:pPr>
    </w:p>
    <w:p>
      <w:pPr>
        <w:spacing w:after="0" w:line="1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6" w:right="1440" w:bottom="1440" w:gutter="0" w:footer="0" w:header="0"/>
          <w:type w:val="continuous"/>
        </w:sectPr>
      </w:pPr>
    </w:p>
    <w:bookmarkStart w:id="69" w:name="page70"/>
    <w:bookmarkEnd w:id="69"/>
    <w:p>
      <w:pPr>
        <w:ind w:left="1800"/>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ectPr>
          <w:pgSz w:w="11900" w:h="16838" w:orient="portrait"/>
          <w:cols w:equalWidth="0" w:num="1">
            <w:col w:w="10059"/>
          </w:cols>
          <w:pgMar w:left="40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Exxon Meeting</w:t>
      </w:r>
    </w:p>
    <w:p>
      <w:pPr>
        <w:spacing w:after="0" w:line="338" w:lineRule="exact"/>
        <w:rPr>
          <w:sz w:val="20"/>
          <w:szCs w:val="20"/>
          <w:color w:val="auto"/>
        </w:rPr>
      </w:pPr>
    </w:p>
    <w:p>
      <w:pPr>
        <w:ind w:left="940"/>
        <w:spacing w:after="0"/>
        <w:tabs>
          <w:tab w:leader="none" w:pos="1780" w:val="left"/>
        </w:tabs>
        <w:rPr>
          <w:sz w:val="20"/>
          <w:szCs w:val="20"/>
          <w:color w:val="auto"/>
        </w:rPr>
      </w:pPr>
      <w:r>
        <w:rPr>
          <w:rFonts w:ascii="Courier New" w:cs="Courier New" w:eastAsia="Courier New" w:hAnsi="Courier New"/>
          <w:sz w:val="14"/>
          <w:szCs w:val="14"/>
          <w:color w:val="auto"/>
        </w:rPr>
        <w:t>Quorum</w:t>
      </w:r>
      <w:r>
        <w:rPr>
          <w:sz w:val="20"/>
          <w:szCs w:val="20"/>
          <w:color w:val="auto"/>
        </w:rPr>
        <w:tab/>
      </w:r>
      <w:r>
        <w:rPr>
          <w:rFonts w:ascii="Courier New" w:cs="Courier New" w:eastAsia="Courier New" w:hAnsi="Courier New"/>
          <w:sz w:val="14"/>
          <w:szCs w:val="14"/>
          <w:color w:val="auto"/>
        </w:rPr>
        <w:t>A quorum of shareholders is necessary to hold</w:t>
      </w:r>
    </w:p>
    <w:p>
      <w:pPr>
        <w:spacing w:after="0" w:line="7" w:lineRule="exact"/>
        <w:rPr>
          <w:sz w:val="20"/>
          <w:szCs w:val="20"/>
          <w:color w:val="auto"/>
        </w:rPr>
      </w:pPr>
    </w:p>
    <w:p>
      <w:pPr>
        <w:ind w:left="520"/>
        <w:spacing w:after="0"/>
        <w:tabs>
          <w:tab w:leader="none" w:pos="1780" w:val="left"/>
        </w:tabs>
        <w:rPr>
          <w:sz w:val="20"/>
          <w:szCs w:val="20"/>
          <w:color w:val="auto"/>
        </w:rPr>
      </w:pPr>
      <w:r>
        <w:rPr>
          <w:rFonts w:ascii="Courier New" w:cs="Courier New" w:eastAsia="Courier New" w:hAnsi="Courier New"/>
          <w:sz w:val="14"/>
          <w:szCs w:val="14"/>
          <w:color w:val="auto"/>
        </w:rPr>
        <w:t>Requirement:</w:t>
        <w:tab/>
        <w:t>a valid meeting.</w:t>
      </w:r>
    </w:p>
    <w:p>
      <w:pPr>
        <w:spacing w:after="0" w:line="173" w:lineRule="exact"/>
        <w:rPr>
          <w:sz w:val="20"/>
          <w:szCs w:val="20"/>
          <w:color w:val="auto"/>
        </w:rPr>
      </w:pPr>
    </w:p>
    <w:p>
      <w:pPr>
        <w:ind w:left="1800"/>
        <w:spacing w:after="0" w:line="251" w:lineRule="auto"/>
        <w:rPr>
          <w:sz w:val="20"/>
          <w:szCs w:val="20"/>
          <w:color w:val="auto"/>
        </w:rPr>
      </w:pPr>
      <w:r>
        <w:rPr>
          <w:rFonts w:ascii="Courier New" w:cs="Courier New" w:eastAsia="Courier New" w:hAnsi="Courier New"/>
          <w:sz w:val="14"/>
          <w:szCs w:val="14"/>
          <w:color w:val="auto"/>
        </w:rPr>
        <w:t>The presence in person or by proxy at the meeting of holders of shares representing a majority of the votes of the Exxon common stock and Class A preferred stock entitled to vote at the Meeting is a quorum. Abstentions and broker "non-votes" count as present for establishing a quorum. Shares held by Exxon in its treasury do not count toward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Mobil Meeting</w:t>
      </w:r>
    </w:p>
    <w:p>
      <w:pPr>
        <w:spacing w:after="0" w:line="338" w:lineRule="exact"/>
        <w:rPr>
          <w:sz w:val="20"/>
          <w:szCs w:val="20"/>
          <w:color w:val="auto"/>
        </w:rPr>
      </w:pPr>
    </w:p>
    <w:p>
      <w:pPr>
        <w:ind w:right="579"/>
        <w:spacing w:after="0" w:line="255" w:lineRule="auto"/>
        <w:rPr>
          <w:sz w:val="20"/>
          <w:szCs w:val="20"/>
          <w:color w:val="auto"/>
        </w:rPr>
      </w:pPr>
      <w:r>
        <w:rPr>
          <w:rFonts w:ascii="Courier New" w:cs="Courier New" w:eastAsia="Courier New" w:hAnsi="Courier New"/>
          <w:sz w:val="14"/>
          <w:szCs w:val="14"/>
          <w:color w:val="auto"/>
        </w:rPr>
        <w:t>A quorum of shareholders is necessary to hold a valid meeting.</w:t>
      </w:r>
    </w:p>
    <w:p>
      <w:pPr>
        <w:spacing w:after="0" w:line="160" w:lineRule="exact"/>
        <w:rPr>
          <w:sz w:val="20"/>
          <w:szCs w:val="20"/>
          <w:color w:val="auto"/>
        </w:rPr>
      </w:pPr>
    </w:p>
    <w:p>
      <w:pPr>
        <w:ind w:right="59"/>
        <w:spacing w:after="0" w:line="251" w:lineRule="auto"/>
        <w:rPr>
          <w:sz w:val="20"/>
          <w:szCs w:val="20"/>
          <w:color w:val="auto"/>
        </w:rPr>
      </w:pPr>
      <w:r>
        <w:rPr>
          <w:rFonts w:ascii="Courier New" w:cs="Courier New" w:eastAsia="Courier New" w:hAnsi="Courier New"/>
          <w:sz w:val="14"/>
          <w:szCs w:val="14"/>
          <w:color w:val="auto"/>
        </w:rPr>
        <w:t>The presence in person or by proxy at the meeting of holders of shares representing at least one-third of the votes of the Mobil common stock and ESOP preferred stock entitled to vote at the meeting is a quorum. Abstentions and broker "non-votes" count as present for establishing a quorum. Shares held by Mobil in its treasury do not count toward a quorum, except for shares held in its rabbi trust, which are treated in a manner similar to treasury shares for accounting purposes only.</w:t>
      </w:r>
    </w:p>
    <w:p>
      <w:pPr>
        <w:spacing w:after="0" w:line="200" w:lineRule="exact"/>
        <w:rPr>
          <w:sz w:val="20"/>
          <w:szCs w:val="20"/>
          <w:color w:val="auto"/>
        </w:rPr>
      </w:pPr>
    </w:p>
    <w:p>
      <w:pPr>
        <w:sectPr>
          <w:pgSz w:w="11900" w:h="16838" w:orient="portrait"/>
          <w:cols w:equalWidth="0" w:num="2">
            <w:col w:w="5680" w:space="360"/>
            <w:col w:w="4019"/>
          </w:cols>
          <w:pgMar w:left="400" w:top="616" w:right="1440"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 broker non-vote occurs on an item when a</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broker is not permitted to vote on that item</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without instruction from the beneficial owner</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of the shares and no instruction is given.</w:t>
            </w:r>
          </w:p>
        </w:tc>
      </w:tr>
      <w:tr>
        <w:trPr>
          <w:trHeight w:val="497"/>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10,547,225 shares of Exxon common stock,</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Beneficially</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including exercisable options.  These shares</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Owned by Exxon</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represent in total approximately 0.43% of the</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and Mobil</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voting power of Exxon's voting securities,</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Directors and</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voting together as a single class.</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Executive Officers</w:t>
            </w:r>
          </w:p>
        </w:tc>
        <w:tc>
          <w:tcPr>
            <w:tcW w:w="4180" w:type="dxa"/>
            <w:vAlign w:val="bottom"/>
          </w:tcPr>
          <w:p>
            <w:pPr>
              <w:spacing w:after="0"/>
              <w:rPr>
                <w:sz w:val="14"/>
                <w:szCs w:val="14"/>
                <w:color w:val="auto"/>
              </w:rPr>
            </w:pP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 of</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These individuals have indicated that they will</w:t>
            </w:r>
          </w:p>
        </w:tc>
      </w:tr>
      <w:tr>
        <w:trPr>
          <w:trHeight w:val="166"/>
        </w:trPr>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1, 1999:</w:t>
            </w: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vote in favor of the merger and the other</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proposals recommended by the Exxon Board,</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and against the shareholder proposals to be</w:t>
            </w:r>
          </w:p>
        </w:tc>
      </w:tr>
      <w:tr>
        <w:trPr>
          <w:trHeight w:val="166"/>
        </w:trPr>
        <w:tc>
          <w:tcPr>
            <w:tcW w:w="168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presented at the Exxon meeting.</w:t>
            </w: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39"/>
        <w:spacing w:after="0" w:line="251" w:lineRule="auto"/>
        <w:rPr>
          <w:sz w:val="20"/>
          <w:szCs w:val="20"/>
          <w:color w:val="auto"/>
        </w:rPr>
      </w:pPr>
      <w:r>
        <w:rPr>
          <w:rFonts w:ascii="Courier New" w:cs="Courier New" w:eastAsia="Courier New" w:hAnsi="Courier New"/>
          <w:sz w:val="14"/>
          <w:szCs w:val="14"/>
          <w:color w:val="auto"/>
        </w:rPr>
        <w:t>A broker non-vote occurs on an item when a broker is not permitted to vote on that item without instruction from the beneficial owner of the shares and no instruction is given.</w:t>
      </w:r>
    </w:p>
    <w:p>
      <w:pPr>
        <w:spacing w:after="0" w:line="165" w:lineRule="exact"/>
        <w:rPr>
          <w:sz w:val="20"/>
          <w:szCs w:val="20"/>
          <w:color w:val="auto"/>
        </w:rPr>
      </w:pPr>
    </w:p>
    <w:p>
      <w:pPr>
        <w:ind w:right="159"/>
        <w:spacing w:after="0" w:line="251" w:lineRule="auto"/>
        <w:rPr>
          <w:sz w:val="20"/>
          <w:szCs w:val="20"/>
          <w:color w:val="auto"/>
        </w:rPr>
      </w:pPr>
      <w:r>
        <w:rPr>
          <w:rFonts w:ascii="Courier New" w:cs="Courier New" w:eastAsia="Courier New" w:hAnsi="Courier New"/>
          <w:sz w:val="14"/>
          <w:szCs w:val="14"/>
          <w:color w:val="auto"/>
        </w:rPr>
        <w:t>722,979 shares of Mobil common stock, including exercisable options and 74.49 shares of Mobil ESOP preferred stock. These shares represent in total approximately .09% of the voting power of Mobil's voting securities, voting together as a single class.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individuals have indicated that they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vote in favor of the merger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proposals recommended by the Mobil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against the shareholder proposals,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one director as to the merger.</w:t>
      </w:r>
    </w:p>
    <w:p>
      <w:pPr>
        <w:spacing w:after="0" w:line="200" w:lineRule="exact"/>
        <w:rPr>
          <w:sz w:val="20"/>
          <w:szCs w:val="20"/>
          <w:color w:val="auto"/>
        </w:rPr>
      </w:pPr>
    </w:p>
    <w:p>
      <w:pPr>
        <w:sectPr>
          <w:pgSz w:w="11900" w:h="16838" w:orient="portrait"/>
          <w:cols w:equalWidth="0" w:num="2">
            <w:col w:w="5860" w:space="180"/>
            <w:col w:w="4019"/>
          </w:cols>
          <w:pgMar w:left="400" w:top="616" w:right="1440" w:bottom="1440" w:gutter="0" w:footer="0" w:header="0"/>
          <w:type w:val="continuous"/>
        </w:sectPr>
      </w:pPr>
    </w:p>
    <w:p>
      <w:pPr>
        <w:spacing w:after="0" w:line="1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059"/>
          </w:cols>
          <w:pgMar w:left="400" w:top="616" w:right="1440" w:bottom="1440" w:gutter="0" w:footer="0" w:header="0"/>
          <w:type w:val="continuous"/>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Necessary to Approve Exxon and Mobil Proposals</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2360" w:type="dxa"/>
            <w:vAlign w:val="bottom"/>
          </w:tcPr>
          <w:p>
            <w:pPr>
              <w:ind w:left="680"/>
              <w:spacing w:after="0"/>
              <w:rPr>
                <w:sz w:val="20"/>
                <w:szCs w:val="20"/>
                <w:color w:val="auto"/>
              </w:rPr>
            </w:pPr>
            <w:r>
              <w:rPr>
                <w:rFonts w:ascii="Courier New" w:cs="Courier New" w:eastAsia="Courier New" w:hAnsi="Courier New"/>
                <w:sz w:val="14"/>
                <w:szCs w:val="14"/>
                <w:color w:val="auto"/>
              </w:rPr>
              <w:t>Item</w:t>
            </w:r>
          </w:p>
        </w:tc>
        <w:tc>
          <w:tcPr>
            <w:tcW w:w="1080" w:type="dxa"/>
            <w:vAlign w:val="bottom"/>
          </w:tcPr>
          <w:p>
            <w:pPr>
              <w:spacing w:after="0"/>
              <w:rPr>
                <w:sz w:val="14"/>
                <w:szCs w:val="14"/>
                <w:color w:val="auto"/>
              </w:rPr>
            </w:pPr>
          </w:p>
        </w:tc>
        <w:tc>
          <w:tcPr>
            <w:tcW w:w="2020" w:type="dxa"/>
            <w:vAlign w:val="bottom"/>
          </w:tcPr>
          <w:p>
            <w:pPr>
              <w:ind w:left="600"/>
              <w:spacing w:after="0"/>
              <w:rPr>
                <w:sz w:val="20"/>
                <w:szCs w:val="20"/>
                <w:color w:val="auto"/>
              </w:rPr>
            </w:pPr>
            <w:r>
              <w:rPr>
                <w:rFonts w:ascii="Courier New" w:cs="Courier New" w:eastAsia="Courier New" w:hAnsi="Courier New"/>
                <w:sz w:val="14"/>
                <w:szCs w:val="14"/>
                <w:color w:val="auto"/>
              </w:rPr>
              <w:t>Vote Necessary*</w:t>
            </w:r>
          </w:p>
        </w:tc>
        <w:tc>
          <w:tcPr>
            <w:tcW w:w="1000" w:type="dxa"/>
            <w:vAlign w:val="bottom"/>
          </w:tcPr>
          <w:p>
            <w:pPr>
              <w:spacing w:after="0"/>
              <w:rPr>
                <w:sz w:val="14"/>
                <w:szCs w:val="14"/>
                <w:color w:val="auto"/>
              </w:rPr>
            </w:pPr>
          </w:p>
        </w:tc>
      </w:tr>
      <w:tr>
        <w:trPr>
          <w:trHeight w:val="497"/>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w:t>
            </w:r>
          </w:p>
        </w:tc>
        <w:tc>
          <w:tcPr>
            <w:tcW w:w="2360" w:type="dxa"/>
            <w:vAlign w:val="bottom"/>
          </w:tcPr>
          <w:p>
            <w:pPr>
              <w:ind w:left="80"/>
              <w:spacing w:after="0"/>
              <w:rPr>
                <w:sz w:val="20"/>
                <w:szCs w:val="20"/>
                <w:color w:val="auto"/>
              </w:rPr>
            </w:pPr>
            <w:r>
              <w:rPr>
                <w:rFonts w:ascii="Courier New" w:cs="Courier New" w:eastAsia="Courier New" w:hAnsi="Courier New"/>
                <w:sz w:val="14"/>
                <w:szCs w:val="14"/>
                <w:color w:val="auto"/>
              </w:rPr>
              <w:t>Merger Proposals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Exxon:</w:t>
            </w: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Approval of the merger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and related</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matters described on page I-14</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requires a majority of</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the votes</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cast by holders of the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Exxon</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common stock and Exxon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Class A</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preferred stock, voting as a</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single class. Abstentions have</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no effect on the vote.</w:t>
            </w:r>
          </w:p>
        </w:tc>
        <w:tc>
          <w:tcPr>
            <w:tcW w:w="1000" w:type="dxa"/>
            <w:vAlign w:val="bottom"/>
          </w:tcPr>
          <w:p>
            <w:pPr>
              <w:spacing w:after="0"/>
              <w:rPr>
                <w:sz w:val="14"/>
                <w:szCs w:val="14"/>
                <w:color w:val="auto"/>
              </w:rPr>
            </w:pPr>
          </w:p>
        </w:tc>
      </w:tr>
      <w:tr>
        <w:trPr>
          <w:trHeight w:val="331"/>
        </w:trPr>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Mobil:</w:t>
            </w: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Approval of the merger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and the</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merger agreement requires the</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affirmative vote of a majority</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of the votes of the outstanding</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shares of Mobil common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stock and</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Mobil ESOP preferred stock,</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voting as a single class.</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Withheld votes and abstentions</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have the same effect as a vote</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against.</w:t>
            </w:r>
          </w:p>
        </w:tc>
        <w:tc>
          <w:tcPr>
            <w:tcW w:w="100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II.</w:t>
            </w:r>
          </w:p>
        </w:tc>
        <w:tc>
          <w:tcPr>
            <w:tcW w:w="2360" w:type="dxa"/>
            <w:vAlign w:val="bottom"/>
          </w:tcPr>
          <w:p>
            <w:pPr>
              <w:ind w:left="80"/>
              <w:spacing w:after="0"/>
              <w:rPr>
                <w:sz w:val="20"/>
                <w:szCs w:val="20"/>
                <w:color w:val="auto"/>
              </w:rPr>
            </w:pPr>
            <w:r>
              <w:rPr>
                <w:rFonts w:ascii="Courier New" w:cs="Courier New" w:eastAsia="Courier New" w:hAnsi="Courier New"/>
                <w:sz w:val="14"/>
                <w:szCs w:val="14"/>
                <w:color w:val="auto"/>
              </w:rPr>
              <w:t>Election of Directors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Exxon:</w:t>
            </w: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Directors are elected by a</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plurality of the votes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represented</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by the shares of Exxon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and Exxon Class A preferred</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present at the meeting in</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person or by proxy, voting as a</w:t>
            </w:r>
          </w:p>
        </w:tc>
      </w:tr>
      <w:tr>
        <w:trPr>
          <w:trHeight w:val="166"/>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Courier New" w:cs="Courier New" w:eastAsia="Courier New" w:hAnsi="Courier New"/>
                <w:sz w:val="14"/>
                <w:szCs w:val="14"/>
                <w:color w:val="auto"/>
              </w:rPr>
              <w:t>single class.</w:t>
            </w:r>
          </w:p>
        </w:tc>
        <w:tc>
          <w:tcPr>
            <w:tcW w:w="1000" w:type="dxa"/>
            <w:vAlign w:val="bottom"/>
          </w:tcPr>
          <w:p>
            <w:pPr>
              <w:spacing w:after="0"/>
              <w:rPr>
                <w:sz w:val="14"/>
                <w:szCs w:val="14"/>
                <w:color w:val="auto"/>
              </w:rPr>
            </w:pPr>
          </w:p>
        </w:tc>
      </w:tr>
    </w:tbl>
    <w:p>
      <w:pPr>
        <w:spacing w:after="0" w:line="170"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This means that the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nominees with the most affirmative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votes are elected to fill the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available seats. Only the number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of votes "FOR" affect the outcome.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Withheld votes and abstentions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have no effect on the vote.</w:t>
      </w:r>
    </w:p>
    <w:p>
      <w:pPr>
        <w:spacing w:after="0" w:line="173" w:lineRule="exact"/>
        <w:rPr>
          <w:sz w:val="20"/>
          <w:szCs w:val="20"/>
          <w:color w:val="auto"/>
        </w:rPr>
      </w:pPr>
    </w:p>
    <w:p>
      <w:pPr>
        <w:ind w:left="3280"/>
        <w:spacing w:after="0"/>
        <w:tabs>
          <w:tab w:leader="none" w:pos="3960" w:val="left"/>
        </w:tabs>
        <w:rPr>
          <w:sz w:val="20"/>
          <w:szCs w:val="20"/>
          <w:color w:val="auto"/>
        </w:rPr>
      </w:pPr>
      <w:r>
        <w:rPr>
          <w:rFonts w:ascii="Courier New" w:cs="Courier New" w:eastAsia="Courier New" w:hAnsi="Courier New"/>
          <w:sz w:val="14"/>
          <w:szCs w:val="14"/>
          <w:color w:val="auto"/>
        </w:rPr>
        <w:t>Mobil:</w:t>
        <w:tab/>
        <w:t>Election of the director nominees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requires the affirmative vote of a</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majority of the votes of the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shares of Mobil common stock and</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Mobil ESOP preferred stock, voting</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as a single class, present 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represented at the meeting.</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Withheld votes and abstentions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have the same effect as a vote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against.</w:t>
      </w:r>
    </w:p>
    <w:p>
      <w:pPr>
        <w:spacing w:after="0" w:line="173" w:lineRule="exact"/>
        <w:rPr>
          <w:sz w:val="20"/>
          <w:szCs w:val="20"/>
          <w:color w:val="auto"/>
        </w:rPr>
      </w:pPr>
    </w:p>
    <w:p>
      <w:pPr>
        <w:ind w:left="520" w:right="3259" w:hanging="512"/>
        <w:spacing w:after="0" w:line="250" w:lineRule="auto"/>
        <w:tabs>
          <w:tab w:leader="none" w:pos="5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of Appointment of Exxon: Same as for Exxon Merger Proposals. Independent</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700" w:type="dxa"/>
            <w:vAlign w:val="bottom"/>
          </w:tcPr>
          <w:p>
            <w:pPr>
              <w:ind w:left="420"/>
              <w:spacing w:after="0"/>
              <w:rPr>
                <w:sz w:val="20"/>
                <w:szCs w:val="20"/>
                <w:color w:val="auto"/>
              </w:rPr>
            </w:pPr>
            <w:r>
              <w:rPr>
                <w:rFonts w:ascii="Courier New" w:cs="Courier New" w:eastAsia="Courier New" w:hAnsi="Courier New"/>
                <w:sz w:val="14"/>
                <w:szCs w:val="14"/>
                <w:color w:val="auto"/>
              </w:rPr>
              <w:t>Accountants/Auditors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Mobil:</w:t>
            </w:r>
          </w:p>
        </w:tc>
        <w:tc>
          <w:tcPr>
            <w:tcW w:w="3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Same as for election of Mobil directors.</w:t>
            </w:r>
          </w:p>
        </w:tc>
      </w:tr>
      <w:tr>
        <w:trPr>
          <w:trHeight w:val="331"/>
        </w:trPr>
        <w:tc>
          <w:tcPr>
            <w:tcW w:w="2700" w:type="dxa"/>
            <w:vAlign w:val="bottom"/>
          </w:tcPr>
          <w:p>
            <w:pPr>
              <w:spacing w:after="0"/>
              <w:rPr>
                <w:sz w:val="20"/>
                <w:szCs w:val="20"/>
                <w:color w:val="auto"/>
              </w:rPr>
            </w:pPr>
            <w:r>
              <w:rPr>
                <w:rFonts w:ascii="Courier New" w:cs="Courier New" w:eastAsia="Courier New" w:hAnsi="Courier New"/>
                <w:sz w:val="14"/>
                <w:szCs w:val="14"/>
                <w:color w:val="auto"/>
              </w:rPr>
              <w:t>IV.  Shareholder Proposals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Exxon:</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Same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for Exxon Merger Proposals.</w:t>
            </w:r>
          </w:p>
        </w:tc>
      </w:tr>
      <w:tr>
        <w:trPr>
          <w:trHeight w:val="331"/>
        </w:trPr>
        <w:tc>
          <w:tcPr>
            <w:tcW w:w="2700" w:type="dxa"/>
            <w:vAlign w:val="bottom"/>
          </w:tcPr>
          <w:p>
            <w:pPr>
              <w:spacing w:after="0"/>
              <w:rPr>
                <w:sz w:val="24"/>
                <w:szCs w:val="2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Mobil:</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Same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for election of Mobil directors.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339" w:hanging="432"/>
        <w:spacing w:after="0" w:line="251" w:lineRule="auto"/>
        <w:tabs>
          <w:tab w:leader="none" w:pos="4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New York Stock Exchange rules, if your broker holds your shares in its name, your broker is permitted to vote your shares on Items II and III even if it does not receive voting instructions from you. Your broker may not vote your shares on Items I or IV absent instructions from you. Without your voting instructions, a broker non-vote will occur on Items I and IV and will as to Items I and IV (1) have no effect on the vote in the case of Exxon and (2) have the effect of a vote against in the case of Mobil.</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6" w:right="1440" w:bottom="1440" w:gutter="0" w:footer="0" w:header="0"/>
        </w:sectPr>
      </w:pPr>
    </w:p>
    <w:bookmarkStart w:id="71" w:name="page72"/>
    <w:bookmarkEnd w:id="71"/>
    <w:p>
      <w:pPr>
        <w:ind w:left="1980"/>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Proxies</w:t>
      </w:r>
    </w:p>
    <w:p>
      <w:pPr>
        <w:spacing w:after="0" w:line="173"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Voting Your Proxy.</w:t>
        <w:tab/>
        <w:t>You may vote in person at your meeting or by proxy.</w:t>
      </w:r>
    </w:p>
    <w:p>
      <w:pPr>
        <w:spacing w:after="0" w:line="7" w:lineRule="exact"/>
        <w:rPr>
          <w:sz w:val="20"/>
          <w:szCs w:val="20"/>
          <w:color w:val="auto"/>
        </w:rPr>
      </w:pPr>
    </w:p>
    <w:p>
      <w:pPr>
        <w:ind w:left="100" w:right="3339" w:hanging="85"/>
        <w:spacing w:after="0" w:line="247" w:lineRule="auto"/>
        <w:rPr>
          <w:sz w:val="20"/>
          <w:szCs w:val="20"/>
          <w:color w:val="auto"/>
        </w:rPr>
      </w:pPr>
      <w:r>
        <w:rPr>
          <w:rFonts w:ascii="Courier New" w:cs="Courier New" w:eastAsia="Courier New" w:hAnsi="Courier New"/>
          <w:sz w:val="14"/>
          <w:szCs w:val="14"/>
          <w:color w:val="auto"/>
        </w:rPr>
        <w:t>We recommend you vote by proxy even if you plan to attend your meeting.</w:t>
      </w:r>
      <w:r>
        <w:rPr>
          <w:sz w:val="20"/>
          <w:szCs w:val="20"/>
          <w:color w:val="auto"/>
        </w:rPr>
        <w:t xml:space="preserve"> </w:t>
      </w:r>
      <w:r>
        <w:rPr>
          <w:rFonts w:ascii="Courier New" w:cs="Courier New" w:eastAsia="Courier New" w:hAnsi="Courier New"/>
          <w:sz w:val="14"/>
          <w:szCs w:val="14"/>
          <w:color w:val="auto"/>
        </w:rPr>
        <w:t>You can always change your vote at the meeting.</w:t>
      </w:r>
    </w:p>
    <w:p>
      <w:pPr>
        <w:spacing w:after="0" w:line="33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Voting instructions are included on your proxy card. If you properly give your proxy and submit it to us in time to vote, one of the individuals named as your proxy will vote your shares as you have directed. You may vote for all, some or none of your company's director candidates. You may also vote for or against the other proposals or abstain from voting.</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How to Vote by Proxy</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Exxon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560" w:hanging="1291"/>
        <w:spacing w:after="0" w:line="252" w:lineRule="auto"/>
        <w:rPr>
          <w:sz w:val="20"/>
          <w:szCs w:val="20"/>
          <w:color w:val="auto"/>
        </w:rPr>
      </w:pPr>
      <w:r>
        <w:rPr>
          <w:rFonts w:ascii="Courier New" w:cs="Courier New" w:eastAsia="Courier New" w:hAnsi="Courier New"/>
          <w:sz w:val="14"/>
          <w:szCs w:val="14"/>
          <w:color w:val="auto"/>
        </w:rPr>
        <w:t>By Telephone*: Call toll-free 1-877-779-8683 and follow the instructions. You will need to give the personal identification number contained on your proxy card.</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By Internet*: Go to www.eproxyvote.com/xon and</w:t>
      </w:r>
    </w:p>
    <w:p>
      <w:pPr>
        <w:spacing w:after="0" w:line="7" w:lineRule="exact"/>
        <w:rPr>
          <w:sz w:val="20"/>
          <w:szCs w:val="20"/>
          <w:color w:val="auto"/>
        </w:rPr>
      </w:pPr>
    </w:p>
    <w:p>
      <w:pPr>
        <w:ind w:left="1560" w:right="80"/>
        <w:spacing w:after="0" w:line="252" w:lineRule="auto"/>
        <w:rPr>
          <w:sz w:val="20"/>
          <w:szCs w:val="20"/>
          <w:color w:val="auto"/>
        </w:rPr>
      </w:pPr>
      <w:r>
        <w:rPr>
          <w:rFonts w:ascii="Courier New" w:cs="Courier New" w:eastAsia="Courier New" w:hAnsi="Courier New"/>
          <w:sz w:val="14"/>
          <w:szCs w:val="14"/>
          <w:color w:val="auto"/>
        </w:rPr>
        <w:t>follow the instructions. You will need to give the personal identification number contained on your proxy card.</w:t>
      </w:r>
    </w:p>
    <w:p>
      <w:pPr>
        <w:spacing w:after="0" w:line="163" w:lineRule="exact"/>
        <w:rPr>
          <w:sz w:val="20"/>
          <w:szCs w:val="20"/>
          <w:color w:val="auto"/>
        </w:rPr>
      </w:pPr>
    </w:p>
    <w:p>
      <w:pPr>
        <w:jc w:val="right"/>
        <w:ind w:left="520" w:right="600"/>
        <w:spacing w:after="0" w:line="255" w:lineRule="auto"/>
        <w:rPr>
          <w:sz w:val="20"/>
          <w:szCs w:val="20"/>
          <w:color w:val="auto"/>
        </w:rPr>
      </w:pPr>
      <w:r>
        <w:rPr>
          <w:rFonts w:ascii="Courier New" w:cs="Courier New" w:eastAsia="Courier New" w:hAnsi="Courier New"/>
          <w:sz w:val="14"/>
          <w:szCs w:val="14"/>
          <w:color w:val="auto"/>
        </w:rPr>
        <w:t>In Writing: Complete, sign, date and return your proxy card in the enclosed envelope.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Mobil</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839"/>
        <w:spacing w:after="0" w:line="252" w:lineRule="auto"/>
        <w:rPr>
          <w:sz w:val="20"/>
          <w:szCs w:val="20"/>
          <w:color w:val="auto"/>
        </w:rPr>
      </w:pPr>
      <w:r>
        <w:rPr>
          <w:rFonts w:ascii="Courier New" w:cs="Courier New" w:eastAsia="Courier New" w:hAnsi="Courier New"/>
          <w:sz w:val="14"/>
          <w:szCs w:val="14"/>
          <w:color w:val="auto"/>
        </w:rPr>
        <w:t>Call toll-free 1-800-840-1208 and follow the instructions. You will need to give the personal identification number contained on your proxy card.</w:t>
      </w:r>
    </w:p>
    <w:p>
      <w:pPr>
        <w:spacing w:after="0" w:line="162" w:lineRule="exact"/>
        <w:rPr>
          <w:sz w:val="20"/>
          <w:szCs w:val="20"/>
          <w:color w:val="auto"/>
        </w:rPr>
      </w:pPr>
    </w:p>
    <w:p>
      <w:pPr>
        <w:ind w:right="1179"/>
        <w:spacing w:after="0" w:line="252" w:lineRule="auto"/>
        <w:rPr>
          <w:sz w:val="20"/>
          <w:szCs w:val="20"/>
          <w:color w:val="auto"/>
        </w:rPr>
      </w:pPr>
      <w:r>
        <w:rPr>
          <w:rFonts w:ascii="Courier New" w:cs="Courier New" w:eastAsia="Courier New" w:hAnsi="Courier New"/>
          <w:sz w:val="14"/>
          <w:szCs w:val="14"/>
          <w:color w:val="auto"/>
        </w:rPr>
        <w:t>Go to www.mobil.com and follow the instructions. You will need to give the personal identification number contained on your proxy card.</w:t>
      </w:r>
    </w:p>
    <w:p>
      <w:pPr>
        <w:spacing w:after="0" w:line="162" w:lineRule="exact"/>
        <w:rPr>
          <w:sz w:val="20"/>
          <w:szCs w:val="20"/>
          <w:color w:val="auto"/>
        </w:rPr>
      </w:pPr>
    </w:p>
    <w:p>
      <w:pPr>
        <w:jc w:val="both"/>
        <w:ind w:right="1539"/>
        <w:spacing w:after="0" w:line="255" w:lineRule="auto"/>
        <w:rPr>
          <w:sz w:val="20"/>
          <w:szCs w:val="20"/>
          <w:color w:val="auto"/>
        </w:rPr>
      </w:pPr>
      <w:r>
        <w:rPr>
          <w:rFonts w:ascii="Courier New" w:cs="Courier New" w:eastAsia="Courier New" w:hAnsi="Courier New"/>
          <w:sz w:val="14"/>
          <w:szCs w:val="14"/>
          <w:color w:val="auto"/>
        </w:rPr>
        <w:t>Complete, sign, date and return your proxy card in the enclosed envelope.</w:t>
      </w:r>
    </w:p>
    <w:p>
      <w:pPr>
        <w:spacing w:after="0" w:line="200" w:lineRule="exact"/>
        <w:rPr>
          <w:sz w:val="20"/>
          <w:szCs w:val="20"/>
          <w:color w:val="auto"/>
        </w:rPr>
      </w:pPr>
    </w:p>
    <w:p>
      <w:pPr>
        <w:sectPr>
          <w:pgSz w:w="11900" w:h="16838" w:orient="portrait"/>
          <w:cols w:equalWidth="0" w:num="2">
            <w:col w:w="5260" w:space="340"/>
            <w:col w:w="4639"/>
          </w:cols>
          <w:pgMar w:left="220" w:top="616"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599" w:hanging="432"/>
        <w:spacing w:after="0" w:line="252" w:lineRule="auto"/>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hold shares through a broker or other custodian, please check the voting form used by that firm to see if it offers telephone or internet voting.</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Proxies for Participants in Exxon Plans. You may receive more than one proxy or voting card depending on how you hold your shares. Shares registered in your name and shares held in your Shareholder Investment Program (SIP) account are covered by one card. Exxon employees receive a separate card for any shares they hold in Exxon's Thrift Plan.</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Proxies for Participants in Mobil Plans. If you are a participant in Mobil's Stock Purchase and Dividend Reinvestment Plan, Employees Savings Plan and/or Employee Stock Ownership Plan, you will receive a single proxy card which covers shares credited to your plan accounts plus shares held of record in the same name. If your account in any such plan is not carried in the same name as the shares, if any, you hold of record, you will receive separate proxy cards for your individual and plan holdings. If you are a participant in Mobil's Employees Savings Plan and you do not vote the shares credited to your plan account, such shares will be voted by the plan's trustee FOR approval and adoption of the merger agreement, FOR the election of the nominees for director, FOR the ratification of the appointment of Mobil's independent auditors and AGAINST the three proposals submitted by shareholders of Mobil. If you are a participant in Mobil's Employee Stock Ownership Plan and you do not vote the shares credited to your plan account, such shares will be voted by the plan's trustee in the same proportion that the trustee votes all the shares allocated to the accounts of regular Mobil employees as to which it has received timely voting instructions.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616" w:right="1440" w:bottom="1440" w:gutter="0" w:footer="0" w:header="0"/>
          <w:type w:val="continuous"/>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If you submit your proxy but do not make specific choices, your proxy will follow the Board's recommendations and vote your shares:</w:t>
      </w:r>
    </w:p>
    <w:p>
      <w:pPr>
        <w:spacing w:after="0" w:line="326" w:lineRule="exact"/>
        <w:rPr>
          <w:sz w:val="20"/>
          <w:szCs w:val="20"/>
          <w:color w:val="auto"/>
        </w:rPr>
      </w:pPr>
    </w:p>
    <w:p>
      <w:pPr>
        <w:ind w:left="1900"/>
        <w:spacing w:after="0"/>
        <w:tabs>
          <w:tab w:leader="none" w:pos="6100" w:val="left"/>
        </w:tabs>
        <w:rPr>
          <w:sz w:val="20"/>
          <w:szCs w:val="20"/>
          <w:color w:val="auto"/>
        </w:rPr>
      </w:pPr>
      <w:r>
        <w:rPr>
          <w:rFonts w:ascii="Courier New" w:cs="Courier New" w:eastAsia="Courier New" w:hAnsi="Courier New"/>
          <w:sz w:val="14"/>
          <w:szCs w:val="14"/>
          <w:color w:val="auto"/>
        </w:rPr>
        <w:t>Exxon</w:t>
      </w:r>
      <w:r>
        <w:rPr>
          <w:sz w:val="20"/>
          <w:szCs w:val="20"/>
          <w:color w:val="auto"/>
        </w:rPr>
        <w:tab/>
      </w:r>
      <w:r>
        <w:rPr>
          <w:rFonts w:ascii="Courier New" w:cs="Courier New" w:eastAsia="Courier New" w:hAnsi="Courier New"/>
          <w:sz w:val="14"/>
          <w:szCs w:val="14"/>
          <w:color w:val="auto"/>
        </w:rPr>
        <w:t>Mobil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440" w:hanging="432"/>
        <w:spacing w:after="0"/>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Exxon Merger Proposals</w:t>
      </w:r>
    </w:p>
    <w:p>
      <w:pPr>
        <w:spacing w:after="0" w:line="172" w:lineRule="exact"/>
        <w:rPr>
          <w:rFonts w:ascii="Courier New" w:cs="Courier New" w:eastAsia="Courier New" w:hAnsi="Courier New"/>
          <w:sz w:val="14"/>
          <w:szCs w:val="14"/>
          <w:color w:val="auto"/>
        </w:rPr>
      </w:pPr>
    </w:p>
    <w:p>
      <w:pPr>
        <w:ind w:left="440" w:right="80" w:hanging="432"/>
        <w:spacing w:after="0" w:line="252"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election of all 13 nominees for director (as described beginning on page IV-1)</w:t>
      </w:r>
    </w:p>
    <w:p>
      <w:pPr>
        <w:spacing w:after="0" w:line="328" w:lineRule="exact"/>
        <w:rPr>
          <w:rFonts w:ascii="Courier New" w:cs="Courier New" w:eastAsia="Courier New" w:hAnsi="Courier New"/>
          <w:sz w:val="14"/>
          <w:szCs w:val="14"/>
          <w:color w:val="auto"/>
        </w:rPr>
      </w:pPr>
    </w:p>
    <w:p>
      <w:pPr>
        <w:ind w:left="440" w:right="80" w:hanging="432"/>
        <w:spacing w:after="0" w:line="252"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ratification of the appointment of PricewaterhouseCoopers LLP as Exxon's independent accountants for 1999 (as described on page IV-19)</w:t>
      </w:r>
    </w:p>
    <w:p>
      <w:pPr>
        <w:spacing w:after="0" w:line="162" w:lineRule="exact"/>
        <w:rPr>
          <w:rFonts w:ascii="Courier New" w:cs="Courier New" w:eastAsia="Courier New" w:hAnsi="Courier New"/>
          <w:sz w:val="14"/>
          <w:szCs w:val="14"/>
          <w:color w:val="auto"/>
        </w:rPr>
      </w:pPr>
    </w:p>
    <w:p>
      <w:pPr>
        <w:ind w:left="440" w:right="260" w:hanging="432"/>
        <w:spacing w:after="0" w:line="252"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four shareholder proposals to be presented (as described beginning on page IV-19)</w:t>
      </w:r>
    </w:p>
    <w:p>
      <w:pPr>
        <w:spacing w:after="0" w:line="162" w:lineRule="exact"/>
        <w:rPr>
          <w:rFonts w:ascii="Courier New" w:cs="Courier New" w:eastAsia="Courier New" w:hAnsi="Courier New"/>
          <w:sz w:val="14"/>
          <w:szCs w:val="14"/>
          <w:color w:val="auto"/>
        </w:rPr>
      </w:pPr>
    </w:p>
    <w:p>
      <w:pPr>
        <w:ind w:left="440" w:right="440" w:hanging="432"/>
        <w:spacing w:after="0" w:line="255"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proposal by the Exxon Board to adjourn the Exxon meeting</w:t>
      </w:r>
    </w:p>
    <w:p>
      <w:pPr>
        <w:spacing w:after="0" w:line="159" w:lineRule="exact"/>
        <w:rPr>
          <w:rFonts w:ascii="Courier New" w:cs="Courier New" w:eastAsia="Courier New" w:hAnsi="Courier New"/>
          <w:sz w:val="14"/>
          <w:szCs w:val="14"/>
          <w:color w:val="auto"/>
        </w:rPr>
      </w:pPr>
    </w:p>
    <w:p>
      <w:pPr>
        <w:ind w:left="440" w:hanging="432"/>
        <w:spacing w:after="0" w:line="252"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as to any other business as may properly come before the Exxon meeting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45" w:hanging="345"/>
        <w:spacing w:after="0"/>
        <w:tabs>
          <w:tab w:leader="none" w:pos="34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Mobil merger proposal</w:t>
      </w:r>
    </w:p>
    <w:p>
      <w:pPr>
        <w:spacing w:after="0" w:line="172" w:lineRule="exact"/>
        <w:rPr>
          <w:rFonts w:ascii="Courier New" w:cs="Courier New" w:eastAsia="Courier New" w:hAnsi="Courier New"/>
          <w:sz w:val="14"/>
          <w:szCs w:val="14"/>
          <w:color w:val="auto"/>
        </w:rPr>
      </w:pPr>
    </w:p>
    <w:p>
      <w:pPr>
        <w:ind w:left="345" w:right="2039" w:hanging="345"/>
        <w:spacing w:after="0" w:line="252" w:lineRule="auto"/>
        <w:tabs>
          <w:tab w:leader="none" w:pos="34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election of all four nominees for director, such persons to serve until the 2002 annual meeting of shareholders (as described beginning on page V-1)*</w:t>
      </w:r>
    </w:p>
    <w:p>
      <w:pPr>
        <w:spacing w:after="0" w:line="162" w:lineRule="exact"/>
        <w:rPr>
          <w:rFonts w:ascii="Courier New" w:cs="Courier New" w:eastAsia="Courier New" w:hAnsi="Courier New"/>
          <w:sz w:val="14"/>
          <w:szCs w:val="14"/>
          <w:color w:val="auto"/>
        </w:rPr>
      </w:pPr>
    </w:p>
    <w:p>
      <w:pPr>
        <w:ind w:left="345" w:right="2399" w:hanging="345"/>
        <w:spacing w:after="0" w:line="252" w:lineRule="auto"/>
        <w:tabs>
          <w:tab w:leader="none" w:pos="34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ratification of the appointment of Ernst &amp; Young LLP as Mobil's independent auditors for 1999 (as described on page V-4)*</w:t>
      </w:r>
    </w:p>
    <w:p>
      <w:pPr>
        <w:spacing w:after="0" w:line="162" w:lineRule="exact"/>
        <w:rPr>
          <w:rFonts w:ascii="Courier New" w:cs="Courier New" w:eastAsia="Courier New" w:hAnsi="Courier New"/>
          <w:sz w:val="14"/>
          <w:szCs w:val="14"/>
          <w:color w:val="auto"/>
        </w:rPr>
      </w:pPr>
    </w:p>
    <w:p>
      <w:pPr>
        <w:ind w:left="345" w:hanging="345"/>
        <w:spacing w:after="0"/>
        <w:tabs>
          <w:tab w:leader="none" w:pos="34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two shareholder</w:t>
      </w:r>
    </w:p>
    <w:p>
      <w:pPr>
        <w:spacing w:after="0" w:line="7" w:lineRule="exact"/>
        <w:rPr>
          <w:rFonts w:ascii="Courier New" w:cs="Courier New" w:eastAsia="Courier New" w:hAnsi="Courier New"/>
          <w:sz w:val="14"/>
          <w:szCs w:val="14"/>
          <w:color w:val="auto"/>
        </w:rPr>
      </w:pPr>
    </w:p>
    <w:p>
      <w:pPr>
        <w:ind w:left="345" w:right="22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proposals to be presented (as described beginning on page V-5)*</w:t>
      </w:r>
    </w:p>
    <w:p>
      <w:pPr>
        <w:spacing w:after="0" w:line="159" w:lineRule="exact"/>
        <w:rPr>
          <w:rFonts w:ascii="Courier New" w:cs="Courier New" w:eastAsia="Courier New" w:hAnsi="Courier New"/>
          <w:sz w:val="14"/>
          <w:szCs w:val="14"/>
          <w:color w:val="auto"/>
        </w:rPr>
      </w:pPr>
    </w:p>
    <w:p>
      <w:pPr>
        <w:ind w:left="345" w:right="2399" w:hanging="345"/>
        <w:spacing w:after="0" w:line="255" w:lineRule="auto"/>
        <w:tabs>
          <w:tab w:leader="none" w:pos="34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proposal by the Mobil Board to adjourn the Mobil meeting</w:t>
      </w:r>
    </w:p>
    <w:p>
      <w:pPr>
        <w:spacing w:after="0" w:line="159" w:lineRule="exact"/>
        <w:rPr>
          <w:rFonts w:ascii="Courier New" w:cs="Courier New" w:eastAsia="Courier New" w:hAnsi="Courier New"/>
          <w:sz w:val="14"/>
          <w:szCs w:val="14"/>
          <w:color w:val="auto"/>
        </w:rPr>
      </w:pPr>
    </w:p>
    <w:p>
      <w:pPr>
        <w:ind w:left="345" w:hanging="345"/>
        <w:spacing w:after="0"/>
        <w:tabs>
          <w:tab w:leader="none" w:pos="34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as to any other business</w:t>
      </w:r>
    </w:p>
    <w:p>
      <w:pPr>
        <w:spacing w:after="0" w:line="7" w:lineRule="exact"/>
        <w:rPr>
          <w:rFonts w:ascii="Courier New" w:cs="Courier New" w:eastAsia="Courier New" w:hAnsi="Courier New"/>
          <w:sz w:val="14"/>
          <w:szCs w:val="14"/>
          <w:color w:val="auto"/>
        </w:rPr>
      </w:pPr>
    </w:p>
    <w:p>
      <w:pPr>
        <w:ind w:left="34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may properly come before the Mobil meeting</w:t>
      </w: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5" w:right="3079" w:hanging="265"/>
        <w:spacing w:after="0" w:line="252" w:lineRule="auto"/>
        <w:tabs>
          <w:tab w:leader="none" w:pos="26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indicated proposals, if approved, will be superseded upon completion of the merger.</w:t>
      </w:r>
    </w:p>
    <w:p>
      <w:pPr>
        <w:spacing w:after="0" w:line="200" w:lineRule="exact"/>
        <w:rPr>
          <w:sz w:val="20"/>
          <w:szCs w:val="20"/>
          <w:color w:val="auto"/>
        </w:rPr>
      </w:pPr>
    </w:p>
    <w:p>
      <w:pPr>
        <w:sectPr>
          <w:pgSz w:w="11900" w:h="16838" w:orient="portrait"/>
          <w:cols w:equalWidth="0" w:num="2">
            <w:col w:w="4060" w:space="255"/>
            <w:col w:w="5924"/>
          </w:cols>
          <w:pgMar w:left="220" w:top="616" w:right="1440" w:bottom="1440" w:gutter="0" w:footer="0" w:header="0"/>
          <w:type w:val="continuous"/>
        </w:sectPr>
      </w:pPr>
    </w:p>
    <w:p>
      <w:pPr>
        <w:spacing w:after="0" w:line="129" w:lineRule="exact"/>
        <w:rPr>
          <w:sz w:val="20"/>
          <w:szCs w:val="20"/>
          <w:color w:val="auto"/>
        </w:rPr>
      </w:pPr>
    </w:p>
    <w:p>
      <w:pPr>
        <w:ind w:left="440"/>
        <w:spacing w:after="0"/>
        <w:tabs>
          <w:tab w:leader="none" w:pos="2320" w:val="left"/>
        </w:tabs>
        <w:rPr>
          <w:sz w:val="20"/>
          <w:szCs w:val="20"/>
          <w:color w:val="auto"/>
        </w:rPr>
      </w:pPr>
      <w:r>
        <w:rPr>
          <w:rFonts w:ascii="Courier New" w:cs="Courier New" w:eastAsia="Courier New" w:hAnsi="Courier New"/>
          <w:sz w:val="14"/>
          <w:szCs w:val="14"/>
          <w:color w:val="auto"/>
        </w:rPr>
        <w:t>Revoking Your Proxy.</w:t>
        <w:tab/>
        <w:t>You may revoke your proxy before it is voted by:</w:t>
      </w:r>
    </w:p>
    <w:p>
      <w:pPr>
        <w:spacing w:after="0" w:line="173" w:lineRule="exact"/>
        <w:rPr>
          <w:sz w:val="20"/>
          <w:szCs w:val="20"/>
          <w:color w:val="auto"/>
        </w:rPr>
      </w:pPr>
    </w:p>
    <w:p>
      <w:pPr>
        <w:ind w:left="1040" w:right="3339" w:hanging="343"/>
        <w:spacing w:after="0" w:line="255" w:lineRule="auto"/>
        <w:tabs>
          <w:tab w:leader="none" w:pos="10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submitting a new proxy with a later date, including a proxy given by telephone or internet,</w:t>
      </w:r>
    </w:p>
    <w:p>
      <w:pPr>
        <w:spacing w:after="0" w:line="159" w:lineRule="exact"/>
        <w:rPr>
          <w:rFonts w:ascii="Courier New" w:cs="Courier New" w:eastAsia="Courier New" w:hAnsi="Courier New"/>
          <w:sz w:val="14"/>
          <w:szCs w:val="14"/>
          <w:color w:val="auto"/>
        </w:rPr>
      </w:pPr>
    </w:p>
    <w:p>
      <w:pPr>
        <w:ind w:left="1040" w:right="3679" w:hanging="343"/>
        <w:spacing w:after="0" w:line="255" w:lineRule="auto"/>
        <w:tabs>
          <w:tab w:leader="none" w:pos="10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notifying your company's Secretary in writing before the meeting that you have revoked your proxy, or</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in person at the meeting.</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Voting in person. If you plan to attend a meeting and wish to vote in person, we will give you a ballot at the meeting. However, if your shares are held in the name of your broker, bank or other nominee, you must bring an account statement or letter from the nominee indicating that you are the beneficial owner of the shares on March 29, 1999, the record date for voting.</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People with disabilities. We can provide reasonable assistance to help you participate in the meeting if you tell us about your disability and your plan to attend. Please call or write the Secretary of your company at least two weeks before your meeting at the number or address under "The Companies" on page I-2.</w:t>
      </w:r>
    </w:p>
    <w:p>
      <w:pPr>
        <w:spacing w:after="0" w:line="162"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Confidential voting. Independent inspectors count the votes. Your individual vote is kept confidential from us unless special circumstances exist. For example, a copy of your proxy card will be sent to us if you write comments on the card.</w:t>
      </w:r>
    </w:p>
    <w:p>
      <w:pPr>
        <w:spacing w:after="0" w:line="327" w:lineRule="exact"/>
        <w:rPr>
          <w:sz w:val="20"/>
          <w:szCs w:val="20"/>
          <w:color w:val="auto"/>
        </w:rPr>
      </w:pPr>
    </w:p>
    <w:p>
      <w:pPr>
        <w:ind w:left="440"/>
        <w:spacing w:after="0"/>
        <w:tabs>
          <w:tab w:leader="none" w:pos="2220" w:val="left"/>
        </w:tabs>
        <w:rPr>
          <w:sz w:val="20"/>
          <w:szCs w:val="20"/>
          <w:color w:val="auto"/>
        </w:rPr>
      </w:pPr>
      <w:r>
        <w:rPr>
          <w:rFonts w:ascii="Courier New" w:cs="Courier New" w:eastAsia="Courier New" w:hAnsi="Courier New"/>
          <w:sz w:val="14"/>
          <w:szCs w:val="14"/>
          <w:color w:val="auto"/>
        </w:rPr>
        <w:t>Proxy solicitation.</w:t>
        <w:tab/>
        <w:t>We will pay our own costs of soliciting proxies.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addition to this mailing, Exxon and Mobil employees may solicit proxies personally, electronically or by telephone. Exxon is paying D. F. King &amp; Co. a fee of $25,000 plus expenses to help with the solicitation. Mobil is paying Morrow &amp; Co., Inc. a fee of $25,000 plus expenses to help with the solicitation.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616" w:right="1440" w:bottom="1440" w:gutter="0" w:footer="0" w:header="0"/>
          <w:type w:val="continuous"/>
        </w:sectPr>
      </w:pPr>
    </w:p>
    <w:bookmarkStart w:id="73" w:name="page74"/>
    <w:bookmarkEnd w:id="73"/>
    <w:p>
      <w:pPr>
        <w:ind w:left="1980"/>
        <w:spacing w:after="0"/>
        <w:rPr>
          <w:sz w:val="20"/>
          <w:szCs w:val="20"/>
          <w:color w:val="auto"/>
        </w:rPr>
      </w:pPr>
      <w:r>
        <w:rPr>
          <w:rFonts w:ascii="Courier New" w:cs="Courier New" w:eastAsia="Courier New" w:hAnsi="Courier New"/>
          <w:sz w:val="14"/>
          <w:szCs w:val="14"/>
          <w:color w:val="auto"/>
        </w:rPr>
        <w:t>Chapter Two - Information about the Meetings and Voting</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extent to which these proxy soliciting efforts will be necessary depends entirely upon how promptly proxies are submitted. You should send in your proxy by mail, telephone or internet without delay. We also reimburse brokers and other nominees for their expenses in sending these materials to you and getting your voting instructions.</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Do not send in any stock certificates with your proxy cards. The exchange agent will mail transmittal forms with instructions for the surrender of stock certificates for Mobil common stock and Mobil ESOP preferred stock to former Mobil shareholders as soon as practicable after the completion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Business; Adjournments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not currently aware of any other business to be acted upon at either meeting. Under the laws of New Jersey, where Exxon is incorporated, no business other than procedural matters may be raised at the Exxon meeting unless proper notice to the shareholders has been given. If, however, other matters are properly brought before either meeting, or any adjourned meeting, your proxies will have discretion to vote or act on those matters according to their best judgment, including to adjourn the meeting.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Adjournments may be made for the purpose of, among other things, soliciting additional proxies. Any adjournment may be made from time to time by approval of the holders of shares representing a majority of the votes present in person or by proxy at the meeting, whether or not a quorum exists, without further notice other than by an announcement made at the meeting. Neither of us currently intends to seek an adjournment of our meeting.</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616" w:right="1440" w:bottom="1440" w:gutter="0" w:footer="0" w:header="0"/>
        </w:sectPr>
      </w:pPr>
    </w:p>
    <w:bookmarkStart w:id="74" w:name="page75"/>
    <w:bookmarkEnd w:id="74"/>
    <w:p>
      <w:pPr>
        <w:jc w:val="center"/>
        <w:ind w:right="4220"/>
        <w:spacing w:after="0"/>
        <w:rPr>
          <w:sz w:val="20"/>
          <w:szCs w:val="20"/>
          <w:color w:val="auto"/>
        </w:rPr>
      </w:pPr>
      <w:r>
        <w:rPr>
          <w:rFonts w:ascii="Courier New" w:cs="Courier New" w:eastAsia="Courier New" w:hAnsi="Courier New"/>
          <w:sz w:val="14"/>
          <w:szCs w:val="14"/>
          <w:color w:val="auto"/>
        </w:rPr>
        <w:t>CHAPTER THREE</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CERTAIN LEGAL INFORMATION</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COMPARISON OF SHAREHOLDER RIGHTS</w:t>
      </w:r>
    </w:p>
    <w:p>
      <w:pPr>
        <w:spacing w:after="0" w:line="173" w:lineRule="exact"/>
        <w:rPr>
          <w:sz w:val="20"/>
          <w:szCs w:val="20"/>
          <w:color w:val="auto"/>
        </w:rPr>
      </w:pPr>
    </w:p>
    <w:p>
      <w:pPr>
        <w:ind w:right="3960" w:firstLine="1292"/>
        <w:spacing w:after="0" w:line="251" w:lineRule="auto"/>
        <w:rPr>
          <w:sz w:val="20"/>
          <w:szCs w:val="20"/>
          <w:color w:val="auto"/>
        </w:rPr>
      </w:pPr>
      <w:r>
        <w:rPr>
          <w:rFonts w:ascii="Courier New" w:cs="Courier New" w:eastAsia="Courier New" w:hAnsi="Courier New"/>
          <w:sz w:val="14"/>
          <w:szCs w:val="14"/>
          <w:color w:val="auto"/>
        </w:rPr>
        <w:t>The rights of Mobil shareholders under Delaware law, the Mobil charter and the Mobil by-laws prior to the merger are substantially the same as the rights Exxon Mobil shareholders will have following the merger under New Jersey law, the Exxon Mobil charter and the Exxon Mobil by-laws, with certain principal exceptions summarized in the chart below. Copies of the Mobil charter, the Mobil by-laws, the Exxon charter and the Exxon by-laws are incorporated by reference and will be sent to holders of shares of Mobil common stock and Mobil ESOP preferred stock upon request. See "Where You Can Find More Information" on page VI-1. The summary contained in the following chart is not intended to be complete and is qualified by reference to Delaware law, New Jersey law, the Mobil charter, the Mobil by-laws, the Exxon charter and the Exxon by-laws.</w:t>
      </w:r>
    </w:p>
    <w:p>
      <w:pPr>
        <w:spacing w:after="0" w:line="163" w:lineRule="exact"/>
        <w:rPr>
          <w:sz w:val="20"/>
          <w:szCs w:val="20"/>
          <w:color w:val="auto"/>
        </w:rPr>
      </w:pPr>
    </w:p>
    <w:p>
      <w:pPr>
        <w:ind w:left="260" w:right="4120" w:hanging="257"/>
        <w:spacing w:after="0" w:line="252" w:lineRule="auto"/>
        <w:rPr>
          <w:sz w:val="20"/>
          <w:szCs w:val="20"/>
          <w:color w:val="auto"/>
        </w:rPr>
      </w:pPr>
      <w:r>
        <w:rPr>
          <w:rFonts w:ascii="Courier New" w:cs="Courier New" w:eastAsia="Courier New" w:hAnsi="Courier New"/>
          <w:sz w:val="14"/>
          <w:szCs w:val="14"/>
          <w:color w:val="auto"/>
        </w:rPr>
        <w:t>Summary of Material Differences Between Current Rights of Mobil Shareholders and Rights Those Shareholders Will Have as Exxon Mobil Shareholders Following the Merger</w:t>
      </w:r>
    </w:p>
    <w:p>
      <w:pPr>
        <w:sectPr>
          <w:pgSz w:w="11900" w:h="16838" w:orient="portrait"/>
          <w:cols w:equalWidth="0" w:num="1">
            <w:col w:w="10680"/>
          </w:cols>
          <w:pgMar w:left="220" w:top="45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Mobil Shareholder Rights</w:t>
            </w:r>
          </w:p>
        </w:tc>
      </w:tr>
      <w:tr>
        <w:trPr>
          <w:trHeight w:val="331"/>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Corporate</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The rights of Mobil shareholders are</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Governance:</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currently governed by Delaware law and the</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charter and by-laws of Mobil.</w:t>
            </w:r>
          </w:p>
        </w:tc>
      </w:tr>
      <w:tr>
        <w:trPr>
          <w:trHeight w:val="331"/>
        </w:trPr>
        <w:tc>
          <w:tcPr>
            <w:tcW w:w="1360" w:type="dxa"/>
            <w:vAlign w:val="bottom"/>
          </w:tcPr>
          <w:p>
            <w:pPr>
              <w:spacing w:after="0"/>
              <w:rPr>
                <w:sz w:val="24"/>
                <w:szCs w:val="2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Upon completion of the merger, the rights of</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 shareholders who become Exxon</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 shareholders in the merger will be</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governed by New Jersey law, the Exxon</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 charter and the Exxon Mobil by-laws.</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The charter and by-laws of Exxon Mobil will</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be identical in all respects to those of Exxon</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after giving effect to the Exxon charter</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amendments adopted at the Exxon meeting</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and the changes contemplated by the merger</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agreement.</w:t>
            </w:r>
          </w:p>
        </w:tc>
      </w:tr>
      <w:tr>
        <w:trPr>
          <w:trHeight w:val="331"/>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Authorized</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The authorized capital stock of Mobil</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 Stock:</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consists of 1.2 billion shares of common</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stock and 30 million shares of preferred</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r>
      <w:tr>
        <w:trPr>
          <w:trHeight w:val="331"/>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Mobil's by-laws provide that the number of</w:t>
            </w:r>
          </w:p>
        </w:tc>
      </w:tr>
      <w:tr>
        <w:trPr>
          <w:trHeight w:val="166"/>
        </w:trPr>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w:t>
            </w: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directors will be as determined by the Mobil</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Board but shall not be less than three.  The</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Mobil Board currently consists of 13</w:t>
            </w:r>
          </w:p>
        </w:tc>
      </w:tr>
      <w:tr>
        <w:trPr>
          <w:trHeight w:val="166"/>
        </w:trPr>
        <w:tc>
          <w:tcPr>
            <w:tcW w:w="1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420"/>
        <w:spacing w:after="0" w:line="252" w:lineRule="auto"/>
        <w:rPr>
          <w:sz w:val="20"/>
          <w:szCs w:val="20"/>
          <w:color w:val="auto"/>
        </w:rPr>
      </w:pPr>
      <w:r>
        <w:rPr>
          <w:rFonts w:ascii="Courier New" w:cs="Courier New" w:eastAsia="Courier New" w:hAnsi="Courier New"/>
          <w:sz w:val="14"/>
          <w:szCs w:val="14"/>
          <w:color w:val="auto"/>
        </w:rPr>
        <w:t>The rights of Exxon shareholders are currently governed by New Jersey law and the charter and by-laws of Exxon.</w:t>
      </w:r>
    </w:p>
    <w:p>
      <w:pPr>
        <w:spacing w:after="0" w:line="163" w:lineRule="exact"/>
        <w:rPr>
          <w:sz w:val="20"/>
          <w:szCs w:val="20"/>
          <w:color w:val="auto"/>
        </w:rPr>
      </w:pPr>
    </w:p>
    <w:p>
      <w:pPr>
        <w:ind w:right="240"/>
        <w:spacing w:after="0" w:line="251" w:lineRule="auto"/>
        <w:rPr>
          <w:sz w:val="20"/>
          <w:szCs w:val="20"/>
          <w:color w:val="auto"/>
        </w:rPr>
      </w:pPr>
      <w:r>
        <w:rPr>
          <w:rFonts w:ascii="Courier New" w:cs="Courier New" w:eastAsia="Courier New" w:hAnsi="Courier New"/>
          <w:sz w:val="14"/>
          <w:szCs w:val="14"/>
          <w:color w:val="auto"/>
        </w:rPr>
        <w:t>Upon completion of the merger, the rights of Exxon Mobil shareholders will be governed by New Jersey law, the Exxon Mobil charter and the Exxon Mobil by-laws. The charter and by-laws of Exxon Mobil will be identical in all respects to those of Exxon after giving effect to the Exxon charter amendments adopted at the Exxon meeting and the changes contemplated by the merger agreement.</w:t>
      </w:r>
    </w:p>
    <w:p>
      <w:pPr>
        <w:spacing w:after="0" w:line="329" w:lineRule="exact"/>
        <w:rPr>
          <w:sz w:val="20"/>
          <w:szCs w:val="20"/>
          <w:color w:val="auto"/>
        </w:rPr>
      </w:pPr>
    </w:p>
    <w:p>
      <w:pPr>
        <w:ind w:right="420"/>
        <w:spacing w:after="0" w:line="252" w:lineRule="auto"/>
        <w:rPr>
          <w:sz w:val="20"/>
          <w:szCs w:val="20"/>
          <w:color w:val="auto"/>
        </w:rPr>
      </w:pPr>
      <w:r>
        <w:rPr>
          <w:rFonts w:ascii="Courier New" w:cs="Courier New" w:eastAsia="Courier New" w:hAnsi="Courier New"/>
          <w:sz w:val="14"/>
          <w:szCs w:val="14"/>
          <w:color w:val="auto"/>
        </w:rPr>
        <w:t>The authorized capital stock of Exxon is set forth under "Description of Exxon Capital Stock--Authorized Capital Stock"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Exxon's charter provides that the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directors may be determined by the</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Exxon Board.</w:t>
        <w:tab/>
        <w:t>Exxon's by-laws provide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Exxon's Board consist of not less than</w:t>
      </w:r>
    </w:p>
    <w:p>
      <w:pPr>
        <w:spacing w:after="0" w:line="7" w:lineRule="exact"/>
        <w:rPr>
          <w:sz w:val="20"/>
          <w:szCs w:val="20"/>
          <w:color w:val="auto"/>
        </w:rPr>
      </w:pPr>
    </w:p>
    <w:p>
      <w:pPr>
        <w:ind w:right="600"/>
        <w:spacing w:after="0" w:line="252" w:lineRule="auto"/>
        <w:rPr>
          <w:sz w:val="20"/>
          <w:szCs w:val="20"/>
          <w:color w:val="auto"/>
        </w:rPr>
      </w:pPr>
      <w:r>
        <w:rPr>
          <w:rFonts w:ascii="Courier New" w:cs="Courier New" w:eastAsia="Courier New" w:hAnsi="Courier New"/>
          <w:sz w:val="14"/>
          <w:szCs w:val="14"/>
          <w:color w:val="auto"/>
        </w:rPr>
        <w:t>10 and not more than 15 directors. Exxon's Board currently consists of 13 directors.</w:t>
      </w:r>
    </w:p>
    <w:p>
      <w:pPr>
        <w:spacing w:after="0" w:line="16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If the merger is completed, the Exxon Mobil by-laws will be amended to provide that the number of directors will be not less than 10 nor more than 19, as determined by</w:t>
      </w:r>
    </w:p>
    <w:p>
      <w:pPr>
        <w:sectPr>
          <w:pgSz w:w="11900" w:h="16838" w:orient="portrait"/>
          <w:cols w:equalWidth="0" w:num="2">
            <w:col w:w="6120" w:space="700"/>
            <w:col w:w="3860"/>
          </w:cols>
          <w:pgMar w:left="220" w:top="450" w:right="999" w:bottom="1440" w:gutter="0" w:footer="0" w:header="0"/>
          <w:type w:val="continuous"/>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Mobil Shareholder Rights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w:t>
            </w:r>
          </w:p>
        </w:tc>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(continued):</w:t>
            </w:r>
          </w:p>
        </w:tc>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331"/>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Classification of</w:t>
            </w: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Mobil's Board is divided into three classes as</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Board of</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nearly equal in</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number as possible, with each</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class serving a</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staggered three-year term.</w:t>
            </w:r>
          </w:p>
        </w:tc>
      </w:tr>
      <w:tr>
        <w:trPr>
          <w:trHeight w:val="497"/>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Removal of</w:t>
            </w: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Delaware law provides that a company with a</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w:t>
            </w: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classified board may remove a director only</w:t>
            </w:r>
          </w:p>
        </w:tc>
      </w:tr>
      <w:tr>
        <w:trPr>
          <w:trHeight w:val="166"/>
        </w:trPr>
        <w:tc>
          <w:tcPr>
            <w:tcW w:w="1620" w:type="dxa"/>
            <w:vAlign w:val="bottom"/>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 cause, unless its charter provides</w:t>
            </w:r>
          </w:p>
        </w:tc>
      </w:tr>
      <w:tr>
        <w:trPr>
          <w:trHeight w:val="166"/>
        </w:trPr>
        <w:tc>
          <w:tcPr>
            <w:tcW w:w="162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otherwise.  The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Mobil charter and the Mobil</w:t>
            </w:r>
          </w:p>
        </w:tc>
      </w:tr>
      <w:tr>
        <w:trPr>
          <w:trHeight w:val="166"/>
        </w:trPr>
        <w:tc>
          <w:tcPr>
            <w:tcW w:w="162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by-laws provide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that Mobil directors may be</w:t>
            </w:r>
          </w:p>
        </w:tc>
      </w:tr>
      <w:tr>
        <w:trPr>
          <w:trHeight w:val="166"/>
        </w:trPr>
        <w:tc>
          <w:tcPr>
            <w:tcW w:w="1620" w:type="dxa"/>
            <w:vAlign w:val="bottom"/>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removed from office without cause only by</w:t>
            </w:r>
          </w:p>
        </w:tc>
      </w:tr>
      <w:tr>
        <w:trPr>
          <w:trHeight w:val="166"/>
        </w:trPr>
        <w:tc>
          <w:tcPr>
            <w:tcW w:w="162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the affirmative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vote of the holders of 80% of</w:t>
            </w:r>
          </w:p>
        </w:tc>
      </w:tr>
      <w:tr>
        <w:trPr>
          <w:trHeight w:val="166"/>
        </w:trPr>
        <w:tc>
          <w:tcPr>
            <w:tcW w:w="1620" w:type="dxa"/>
            <w:vAlign w:val="bottom"/>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voting power of the then outstanding</w:t>
            </w:r>
          </w:p>
        </w:tc>
      </w:tr>
      <w:tr>
        <w:trPr>
          <w:trHeight w:val="166"/>
        </w:trPr>
        <w:tc>
          <w:tcPr>
            <w:tcW w:w="162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shares entitled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to vote generally in the</w:t>
            </w:r>
          </w:p>
        </w:tc>
      </w:tr>
    </w:tbl>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election of directors, voting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Quorum:</w:t>
            </w:r>
          </w:p>
        </w:tc>
        <w:tc>
          <w:tcPr>
            <w:tcW w:w="2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Mobil by-laws provide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that the presence</w:t>
            </w:r>
          </w:p>
        </w:tc>
      </w:tr>
      <w:tr>
        <w:trPr>
          <w:trHeight w:val="166"/>
        </w:trPr>
        <w:tc>
          <w:tcPr>
            <w:tcW w:w="1720" w:type="dxa"/>
            <w:vAlign w:val="bottom"/>
          </w:tcPr>
          <w:p>
            <w:pPr>
              <w:spacing w:after="0"/>
              <w:rPr>
                <w:sz w:val="14"/>
                <w:szCs w:val="14"/>
                <w:color w:val="auto"/>
              </w:rPr>
            </w:pP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in person or by proxy</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a meeting of the</w:t>
            </w:r>
          </w:p>
        </w:tc>
      </w:tr>
      <w:tr>
        <w:trPr>
          <w:trHeight w:val="166"/>
        </w:trPr>
        <w:tc>
          <w:tcPr>
            <w:tcW w:w="1720" w:type="dxa"/>
            <w:vAlign w:val="bottom"/>
          </w:tcPr>
          <w:p>
            <w:pPr>
              <w:spacing w:after="0"/>
              <w:rPr>
                <w:sz w:val="14"/>
                <w:szCs w:val="14"/>
                <w:color w:val="auto"/>
              </w:rPr>
            </w:pPr>
          </w:p>
        </w:tc>
        <w:tc>
          <w:tcPr>
            <w:tcW w:w="4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holders of shares representing at least one-</w:t>
            </w:r>
          </w:p>
        </w:tc>
      </w:tr>
      <w:tr>
        <w:trPr>
          <w:trHeight w:val="166"/>
        </w:trPr>
        <w:tc>
          <w:tcPr>
            <w:tcW w:w="1720" w:type="dxa"/>
            <w:vAlign w:val="bottom"/>
          </w:tcPr>
          <w:p>
            <w:pPr>
              <w:spacing w:after="0"/>
              <w:rPr>
                <w:sz w:val="14"/>
                <w:szCs w:val="14"/>
                <w:color w:val="auto"/>
              </w:rPr>
            </w:pP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third of the votes 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Mobil common stock</w:t>
            </w:r>
          </w:p>
        </w:tc>
      </w:tr>
      <w:tr>
        <w:trPr>
          <w:trHeight w:val="166"/>
        </w:trPr>
        <w:tc>
          <w:tcPr>
            <w:tcW w:w="1720" w:type="dxa"/>
            <w:vAlign w:val="bottom"/>
          </w:tcPr>
          <w:p>
            <w:pPr>
              <w:spacing w:after="0"/>
              <w:rPr>
                <w:sz w:val="14"/>
                <w:szCs w:val="14"/>
                <w:color w:val="auto"/>
              </w:rPr>
            </w:pPr>
          </w:p>
        </w:tc>
        <w:tc>
          <w:tcPr>
            <w:tcW w:w="4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and ESOP preferred stock entitled to vote at</w:t>
            </w:r>
          </w:p>
        </w:tc>
      </w:tr>
      <w:tr>
        <w:trPr>
          <w:trHeight w:val="166"/>
        </w:trPr>
        <w:tc>
          <w:tcPr>
            <w:tcW w:w="1720" w:type="dxa"/>
            <w:vAlign w:val="bottom"/>
          </w:tcPr>
          <w:p>
            <w:pPr>
              <w:spacing w:after="0"/>
              <w:rPr>
                <w:sz w:val="14"/>
                <w:szCs w:val="14"/>
                <w:color w:val="auto"/>
              </w:rPr>
            </w:pPr>
          </w:p>
        </w:tc>
        <w:tc>
          <w:tcPr>
            <w:tcW w:w="2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meeting is a quorum.</w:t>
            </w:r>
          </w:p>
        </w:tc>
        <w:tc>
          <w:tcPr>
            <w:tcW w:w="1680" w:type="dxa"/>
            <w:vAlign w:val="bottom"/>
          </w:tcPr>
          <w:p>
            <w:pPr>
              <w:spacing w:after="0"/>
              <w:rPr>
                <w:sz w:val="14"/>
                <w:szCs w:val="14"/>
                <w:color w:val="auto"/>
              </w:rPr>
            </w:pPr>
          </w:p>
        </w:tc>
      </w:tr>
      <w:tr>
        <w:trPr>
          <w:trHeight w:val="331"/>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Vote Required for</w:t>
            </w:r>
          </w:p>
        </w:tc>
        <w:tc>
          <w:tcPr>
            <w:tcW w:w="2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Mobil by-laws provide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that, unless</w:t>
            </w:r>
          </w:p>
        </w:tc>
      </w:tr>
      <w:tr>
        <w:trPr>
          <w:trHeight w:val="166"/>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Certain</w:t>
            </w: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otherwise required by</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law, the Mobil charter</w:t>
            </w:r>
          </w:p>
        </w:tc>
      </w:tr>
      <w:tr>
        <w:trPr>
          <w:trHeight w:val="166"/>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Shareholder</w:t>
            </w: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or the Mobil by-laws,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affirmative vote of</w:t>
            </w:r>
          </w:p>
        </w:tc>
      </w:tr>
      <w:tr>
        <w:trPr>
          <w:trHeight w:val="166"/>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Actions; Effect of</w:t>
            </w:r>
          </w:p>
        </w:tc>
        <w:tc>
          <w:tcPr>
            <w:tcW w:w="4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 majority of the votes of the shares present</w:t>
            </w:r>
          </w:p>
        </w:tc>
      </w:tr>
      <w:tr>
        <w:trPr>
          <w:trHeight w:val="166"/>
        </w:trPr>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Abstentions:</w:t>
            </w: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or represented at the</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meeting and entitled to</w:t>
            </w:r>
          </w:p>
        </w:tc>
      </w:tr>
      <w:tr>
        <w:trPr>
          <w:trHeight w:val="166"/>
        </w:trPr>
        <w:tc>
          <w:tcPr>
            <w:tcW w:w="1720" w:type="dxa"/>
            <w:vAlign w:val="bottom"/>
          </w:tcPr>
          <w:p>
            <w:pPr>
              <w:spacing w:after="0"/>
              <w:rPr>
                <w:sz w:val="14"/>
                <w:szCs w:val="14"/>
                <w:color w:val="auto"/>
              </w:rPr>
            </w:pPr>
          </w:p>
        </w:tc>
        <w:tc>
          <w:tcPr>
            <w:tcW w:w="2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vote on such matter shall</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be deemed the act</w:t>
            </w:r>
          </w:p>
        </w:tc>
      </w:tr>
      <w:tr>
        <w:trPr>
          <w:trHeight w:val="166"/>
        </w:trPr>
        <w:tc>
          <w:tcPr>
            <w:tcW w:w="1720" w:type="dxa"/>
            <w:vAlign w:val="bottom"/>
          </w:tcPr>
          <w:p>
            <w:pPr>
              <w:spacing w:after="0"/>
              <w:rPr>
                <w:sz w:val="14"/>
                <w:szCs w:val="14"/>
                <w:color w:val="auto"/>
              </w:rPr>
            </w:pPr>
          </w:p>
        </w:tc>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of the shareholders.</w:t>
            </w: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70" w:lineRule="exact"/>
        <w:rPr>
          <w:sz w:val="20"/>
          <w:szCs w:val="20"/>
          <w:color w:val="auto"/>
        </w:rPr>
      </w:pPr>
    </w:p>
    <w:p>
      <w:pPr>
        <w:ind w:left="2160" w:right="180"/>
        <w:spacing w:after="0" w:line="251" w:lineRule="auto"/>
        <w:rPr>
          <w:sz w:val="20"/>
          <w:szCs w:val="20"/>
          <w:color w:val="auto"/>
        </w:rPr>
      </w:pPr>
      <w:r>
        <w:rPr>
          <w:rFonts w:ascii="Courier New" w:cs="Courier New" w:eastAsia="Courier New" w:hAnsi="Courier New"/>
          <w:sz w:val="14"/>
          <w:szCs w:val="14"/>
          <w:color w:val="auto"/>
        </w:rPr>
        <w:t>Under Delaware law, the approval of any merger or consolidation or a sale of all or substantially all of a corporation's assets requires the affirmative vote of a majority of the total votes represented by the outstanding stock of the corporation entitled to vote on such matter.</w:t>
      </w:r>
    </w:p>
    <w:p>
      <w:pPr>
        <w:spacing w:after="0" w:line="16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Abstentions have the effect of a vote against.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340"/>
        <w:spacing w:after="0" w:line="252" w:lineRule="auto"/>
        <w:rPr>
          <w:sz w:val="20"/>
          <w:szCs w:val="20"/>
          <w:color w:val="auto"/>
        </w:rPr>
      </w:pPr>
      <w:r>
        <w:rPr>
          <w:rFonts w:ascii="Courier New" w:cs="Courier New" w:eastAsia="Courier New" w:hAnsi="Courier New"/>
          <w:sz w:val="14"/>
          <w:szCs w:val="14"/>
          <w:color w:val="auto"/>
        </w:rPr>
        <w:t>the Exxon Mobil Board, and the size of the Exxon Mobil Board will be increased from 13 to 19.</w:t>
      </w:r>
    </w:p>
    <w:p>
      <w:pPr>
        <w:spacing w:after="0" w:line="163" w:lineRule="exact"/>
        <w:rPr>
          <w:sz w:val="20"/>
          <w:szCs w:val="20"/>
          <w:color w:val="auto"/>
        </w:rPr>
      </w:pPr>
    </w:p>
    <w:p>
      <w:pPr>
        <w:ind w:right="260"/>
        <w:spacing w:after="0" w:line="252" w:lineRule="auto"/>
        <w:rPr>
          <w:sz w:val="20"/>
          <w:szCs w:val="20"/>
          <w:color w:val="auto"/>
        </w:rPr>
      </w:pPr>
      <w:r>
        <w:rPr>
          <w:rFonts w:ascii="Courier New" w:cs="Courier New" w:eastAsia="Courier New" w:hAnsi="Courier New"/>
          <w:sz w:val="14"/>
          <w:szCs w:val="14"/>
          <w:color w:val="auto"/>
        </w:rPr>
        <w:t>Exxon does not have a classified board. The Exxon by-laws require that all directors be elected at each annual meeting of shareholders for a term of one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Jersey law allows removal for 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unless otherwise provided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charter, without cause by the affirmative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of the majority of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vote in the election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the Exxon charter allows the</w:t>
      </w:r>
    </w:p>
    <w:p>
      <w:pPr>
        <w:spacing w:after="0" w:line="7" w:lineRule="exact"/>
        <w:rPr>
          <w:sz w:val="20"/>
          <w:szCs w:val="20"/>
          <w:color w:val="auto"/>
        </w:rPr>
      </w:pPr>
    </w:p>
    <w:p>
      <w:pPr>
        <w:ind w:right="260"/>
        <w:spacing w:after="0" w:line="251" w:lineRule="auto"/>
        <w:rPr>
          <w:sz w:val="20"/>
          <w:szCs w:val="20"/>
          <w:color w:val="auto"/>
        </w:rPr>
      </w:pPr>
      <w:r>
        <w:rPr>
          <w:rFonts w:ascii="Courier New" w:cs="Courier New" w:eastAsia="Courier New" w:hAnsi="Courier New"/>
          <w:sz w:val="14"/>
          <w:szCs w:val="14"/>
          <w:color w:val="auto"/>
        </w:rPr>
        <w:t>removal of an Exxon director for cause by a majority of the Exxon directors in office if, in the judgment of such majority, the director's continuation in office would be harmful to the corporation. The Exxon Board may suspend a director pending a final determination that cause for removal exists.</w:t>
      </w:r>
    </w:p>
    <w:p>
      <w:pPr>
        <w:spacing w:after="0" w:line="330" w:lineRule="exact"/>
        <w:rPr>
          <w:sz w:val="20"/>
          <w:szCs w:val="20"/>
          <w:color w:val="auto"/>
        </w:rPr>
      </w:pPr>
    </w:p>
    <w:p>
      <w:pPr>
        <w:ind w:right="260"/>
        <w:spacing w:after="0" w:line="251" w:lineRule="auto"/>
        <w:rPr>
          <w:sz w:val="20"/>
          <w:szCs w:val="20"/>
          <w:color w:val="auto"/>
        </w:rPr>
      </w:pPr>
      <w:r>
        <w:rPr>
          <w:rFonts w:ascii="Courier New" w:cs="Courier New" w:eastAsia="Courier New" w:hAnsi="Courier New"/>
          <w:sz w:val="14"/>
          <w:szCs w:val="14"/>
          <w:color w:val="auto"/>
        </w:rPr>
        <w:t>The Exxon by-laws provide that the presence in person or by proxy at a meeting of the holders of shares representing a majority of the votes of the Exxon common stock and ESOP preferred stock entitled to vote at the meeting is a quorum.</w:t>
      </w:r>
    </w:p>
    <w:p>
      <w:pPr>
        <w:spacing w:after="0" w:line="164"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4"/>
          <w:szCs w:val="14"/>
          <w:color w:val="auto"/>
        </w:rPr>
        <w:t>New Jersey law requires that shareholder action, including for approval of a merger or consolidation but not for the election of directors, be taken by the affirmative vote of a majority of the votes cast by shareholders entitled to vote thereon, unless the charter provides for a greater approval requirement. Exxon's charter does not provide otherwise. Abstentions have no effect on the vote.</w:t>
      </w:r>
    </w:p>
    <w:p>
      <w:pPr>
        <w:sectPr>
          <w:pgSz w:w="11900" w:h="16838" w:orient="portrait"/>
          <w:cols w:equalWidth="0" w:num="2">
            <w:col w:w="6300" w:space="520"/>
            <w:col w:w="3960"/>
          </w:cols>
          <w:pgMar w:left="220" w:top="616" w:right="899" w:bottom="1440" w:gutter="0" w:footer="0" w:header="0"/>
        </w:sectPr>
      </w:pPr>
    </w:p>
    <w:bookmarkStart w:id="76" w:name="page77"/>
    <w:bookmarkEnd w:id="76"/>
    <w:p>
      <w:pPr>
        <w:ind w:left="2840"/>
        <w:spacing w:after="0"/>
        <w:rPr>
          <w:sz w:val="20"/>
          <w:szCs w:val="20"/>
          <w:color w:val="auto"/>
        </w:rPr>
      </w:pPr>
      <w:r>
        <w:rPr>
          <w:rFonts w:ascii="Courier New" w:cs="Courier New" w:eastAsia="Courier New" w:hAnsi="Courier New"/>
          <w:sz w:val="14"/>
          <w:szCs w:val="14"/>
          <w:color w:val="auto"/>
        </w:rPr>
        <w:t>Chapter Three - Certain Legal Information</w:t>
      </w:r>
    </w:p>
    <w:p>
      <w:pPr>
        <w:sectPr>
          <w:pgSz w:w="11900" w:h="16838" w:orient="portrait"/>
          <w:cols w:equalWidth="0" w:num="1">
            <w:col w:w="10320"/>
          </w:cols>
          <w:pgMar w:left="580" w:top="616" w:right="999" w:bottom="1440" w:gutter="0" w:footer="0" w:header="0"/>
        </w:sect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4"/>
                <w:szCs w:val="14"/>
                <w:color w:val="auto"/>
              </w:rPr>
              <w:t>Mobil Shareholder Rights</w:t>
            </w:r>
          </w:p>
        </w:tc>
      </w:tr>
      <w:tr>
        <w:trPr>
          <w:trHeight w:val="331"/>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Shareholder</w:t>
            </w: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Under Delaware law, unless otherwise</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Action by Written</w:t>
            </w: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provided in a corporation's charter,</w:t>
            </w:r>
          </w:p>
        </w:tc>
      </w:tr>
      <w:tr>
        <w:trPr>
          <w:trHeight w:val="166"/>
        </w:trPr>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Consent:</w:t>
            </w: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shareholders may act by written consent.</w:t>
            </w:r>
          </w:p>
        </w:tc>
      </w:tr>
      <w:tr>
        <w:trPr>
          <w:trHeight w:val="166"/>
        </w:trPr>
        <w:tc>
          <w:tcPr>
            <w:tcW w:w="1620" w:type="dxa"/>
            <w:vAlign w:val="bottom"/>
          </w:tcPr>
          <w:p>
            <w:pPr>
              <w:spacing w:after="0"/>
              <w:rPr>
                <w:sz w:val="14"/>
                <w:szCs w:val="14"/>
                <w:color w:val="auto"/>
              </w:rPr>
            </w:pP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However, the Mobil charter and the Mobil</w:t>
            </w:r>
          </w:p>
        </w:tc>
      </w:tr>
      <w:tr>
        <w:trPr>
          <w:trHeight w:val="166"/>
        </w:trPr>
        <w:tc>
          <w:tcPr>
            <w:tcW w:w="16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by-laws</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provide that any action required or</w:t>
            </w:r>
          </w:p>
        </w:tc>
      </w:tr>
      <w:tr>
        <w:trPr>
          <w:trHeight w:val="166"/>
        </w:trPr>
        <w:tc>
          <w:tcPr>
            <w:tcW w:w="1620" w:type="dxa"/>
            <w:vAlign w:val="bottom"/>
          </w:tcPr>
          <w:p>
            <w:pPr>
              <w:spacing w:after="0"/>
              <w:rPr>
                <w:sz w:val="14"/>
                <w:szCs w:val="14"/>
                <w:color w:val="auto"/>
              </w:rPr>
            </w:pPr>
          </w:p>
        </w:tc>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permitted to be taken by the shareholders</w:t>
            </w:r>
          </w:p>
        </w:tc>
      </w:tr>
      <w:tr>
        <w:trPr>
          <w:trHeight w:val="166"/>
        </w:trPr>
        <w:tc>
          <w:tcPr>
            <w:tcW w:w="16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must be</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effected at a duly called annual or</w:t>
            </w:r>
          </w:p>
        </w:tc>
      </w:tr>
      <w:tr>
        <w:trPr>
          <w:trHeight w:val="166"/>
        </w:trPr>
        <w:tc>
          <w:tcPr>
            <w:tcW w:w="16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special</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meeting of shareholders and not by</w:t>
            </w:r>
          </w:p>
        </w:tc>
      </w:tr>
      <w:tr>
        <w:trPr>
          <w:trHeight w:val="166"/>
        </w:trPr>
        <w:tc>
          <w:tcPr>
            <w:tcW w:w="162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written</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consent.</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80"/>
        <w:spacing w:after="0" w:line="251" w:lineRule="auto"/>
        <w:rPr>
          <w:sz w:val="20"/>
          <w:szCs w:val="20"/>
          <w:color w:val="auto"/>
        </w:rPr>
      </w:pPr>
      <w:r>
        <w:rPr>
          <w:rFonts w:ascii="Courier New" w:cs="Courier New" w:eastAsia="Courier New" w:hAnsi="Courier New"/>
          <w:sz w:val="14"/>
          <w:szCs w:val="14"/>
          <w:color w:val="auto"/>
        </w:rPr>
        <w:t>Except as otherwise provided by a corporation's charter, New Jersey law permits shareholder approval to be obtained by written consent without a meeting except for the annual election of directors which may be by written consent only if unanimous. The required written consent is that of shareholders representing a majority of the voting power of the outstanding common stock and ESOP preferred stock, voting as a single class. Exxon's charter does not otherwise provide.</w:t>
      </w:r>
    </w:p>
    <w:p>
      <w:pPr>
        <w:spacing w:after="0" w:line="200" w:lineRule="exact"/>
        <w:rPr>
          <w:sz w:val="20"/>
          <w:szCs w:val="20"/>
          <w:color w:val="auto"/>
        </w:rPr>
      </w:pPr>
    </w:p>
    <w:p>
      <w:pPr>
        <w:sectPr>
          <w:pgSz w:w="11900" w:h="16838" w:orient="portrait"/>
          <w:cols w:equalWidth="0" w:num="2">
            <w:col w:w="5740" w:space="720"/>
            <w:col w:w="3860"/>
          </w:cols>
          <w:pgMar w:left="580" w:top="616" w:right="999" w:bottom="1440" w:gutter="0" w:footer="0" w:header="0"/>
          <w:type w:val="continuous"/>
        </w:sectPr>
      </w:pP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Amendment of</w:t>
            </w: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Generally, the Mobil by-laws may be</w:t>
            </w:r>
          </w:p>
        </w:tc>
      </w:tr>
      <w:tr>
        <w:trPr>
          <w:trHeight w:val="166"/>
        </w:trPr>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Charter and</w:t>
            </w: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amended by shares representing a majority of</w:t>
            </w:r>
          </w:p>
        </w:tc>
      </w:tr>
      <w:tr>
        <w:trPr>
          <w:trHeight w:val="166"/>
        </w:trPr>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By-laws:</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votes present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in person or by proxy and</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entitled to vote at the meeting.  A majority of</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Mobil Board may also amend the by-laws</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or enact new by-laws.</w:t>
            </w:r>
          </w:p>
        </w:tc>
      </w:tr>
      <w:tr>
        <w:trPr>
          <w:trHeight w:val="331"/>
        </w:trPr>
        <w:tc>
          <w:tcPr>
            <w:tcW w:w="1280" w:type="dxa"/>
            <w:vAlign w:val="bottom"/>
          </w:tcPr>
          <w:p>
            <w:pPr>
              <w:spacing w:after="0"/>
              <w:rPr>
                <w:sz w:val="24"/>
                <w:szCs w:val="2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However, the Mobil charter provides that the</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amendment of certain specified by-laws (and</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provisions of</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its charter) requires the</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affirmative vote of at least 80% of the voting</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power of Mobil's outstanding voting stock.</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These include</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by-law and charter provisions</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relating to *</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shareholder action, * business</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combinations,</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 by-law and charter</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amendments, *</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 number and election of</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directors and</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 procedures for annual meeting</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proposals.</w:t>
            </w:r>
          </w:p>
        </w:tc>
        <w:tc>
          <w:tcPr>
            <w:tcW w:w="2900" w:type="dxa"/>
            <w:vAlign w:val="bottom"/>
          </w:tcPr>
          <w:p>
            <w:pPr>
              <w:spacing w:after="0"/>
              <w:rPr>
                <w:sz w:val="14"/>
                <w:szCs w:val="14"/>
                <w:color w:val="auto"/>
              </w:rPr>
            </w:pPr>
          </w:p>
        </w:tc>
      </w:tr>
      <w:tr>
        <w:trPr>
          <w:trHeight w:val="331"/>
        </w:trPr>
        <w:tc>
          <w:tcPr>
            <w:tcW w:w="1280" w:type="dxa"/>
            <w:vAlign w:val="bottom"/>
          </w:tcPr>
          <w:p>
            <w:pPr>
              <w:spacing w:after="0"/>
              <w:rPr>
                <w:sz w:val="24"/>
                <w:szCs w:val="2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Under Delaware law, the Mobil charter may</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be amended by</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 affirmative vote of a</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majority of the outstanding stock entitled to</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vote thereon at the shareholders meeting and</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a majority of</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 outstanding stock of each</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entitled to vote thereon as a class.</w:t>
            </w:r>
          </w:p>
        </w:tc>
      </w:tr>
      <w:tr>
        <w:trPr>
          <w:trHeight w:val="331"/>
        </w:trPr>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Voting Stock:</w:t>
            </w: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outstanding voting securities of Mobil</w:t>
            </w:r>
          </w:p>
        </w:tc>
      </w:tr>
      <w:tr>
        <w:trPr>
          <w:trHeight w:val="166"/>
        </w:trPr>
        <w:tc>
          <w:tcPr>
            <w:tcW w:w="1280" w:type="dxa"/>
            <w:vAlign w:val="bottom"/>
          </w:tcPr>
          <w:p>
            <w:pPr>
              <w:spacing w:after="0"/>
              <w:rPr>
                <w:sz w:val="14"/>
                <w:szCs w:val="14"/>
                <w:color w:val="auto"/>
              </w:rPr>
            </w:pPr>
          </w:p>
        </w:tc>
        <w:tc>
          <w:tcPr>
            <w:tcW w:w="4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are the shares of Mobil common stock and</w:t>
            </w:r>
          </w:p>
        </w:tc>
      </w:tr>
      <w:tr>
        <w:trPr>
          <w:trHeight w:val="166"/>
        </w:trPr>
        <w:tc>
          <w:tcPr>
            <w:tcW w:w="1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the shares of</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Mobil ESOP preferred stock.</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III-3</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Exxon's charter may be amended by the affirmative vote of the majority of the votes cast by the holders of Exxon shares entitled to vote thereon.</w:t>
      </w:r>
    </w:p>
    <w:p>
      <w:pPr>
        <w:spacing w:after="0" w:line="162" w:lineRule="exact"/>
        <w:rPr>
          <w:sz w:val="20"/>
          <w:szCs w:val="20"/>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The affirmative vote of a majority of Exxon's Board is necessary to make or amend Exxon's by-laws and the affirmative vote of a majority of the votes cast by Exxon's shareholders entitled to vote thereon is necessary to alter or repeal by-laws made by the Exxon Board or to enact new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40"/>
        <w:spacing w:after="0" w:line="251" w:lineRule="auto"/>
        <w:rPr>
          <w:sz w:val="20"/>
          <w:szCs w:val="20"/>
          <w:color w:val="auto"/>
        </w:rPr>
      </w:pPr>
      <w:r>
        <w:rPr>
          <w:rFonts w:ascii="Courier New" w:cs="Courier New" w:eastAsia="Courier New" w:hAnsi="Courier New"/>
          <w:sz w:val="14"/>
          <w:szCs w:val="14"/>
          <w:color w:val="auto"/>
        </w:rPr>
        <w:t>The outstanding voting securities of Exxon are the shares of Exxon common stock and the shares of Exxon Class A preferred stock. After completion of the merger, Exxon Mobil ESOP preferred stock will also be voting securities of Exxon Mobil.</w:t>
      </w:r>
    </w:p>
    <w:p>
      <w:pPr>
        <w:sectPr>
          <w:pgSz w:w="11900" w:h="16838" w:orient="portrait"/>
          <w:cols w:equalWidth="0" w:num="2">
            <w:col w:w="5860" w:space="600"/>
            <w:col w:w="3860"/>
          </w:cols>
          <w:pgMar w:left="580" w:top="616" w:right="99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62"/>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Chapter Three - Certain Legal Information</w:t>
            </w:r>
          </w:p>
        </w:tc>
        <w:tc>
          <w:tcPr>
            <w:tcW w:w="2720" w:type="dxa"/>
            <w:vAlign w:val="bottom"/>
          </w:tcPr>
          <w:p>
            <w:pPr>
              <w:spacing w:after="0"/>
              <w:rPr>
                <w:sz w:val="14"/>
                <w:szCs w:val="14"/>
                <w:color w:val="auto"/>
              </w:rPr>
            </w:pPr>
          </w:p>
        </w:tc>
      </w:tr>
      <w:tr>
        <w:trPr>
          <w:trHeight w:val="66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Mobil Shareholder Rights</w:t>
            </w:r>
          </w:p>
        </w:tc>
      </w:tr>
      <w:tr>
        <w:trPr>
          <w:trHeight w:val="331"/>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Repurchase of</w:t>
            </w: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Under Delaware law, a corporation may</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w:t>
            </w: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generally redeem</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or repurchase shares of its</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unless the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capital of the corporation is</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impaired or such</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redemption or repurchase</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would impair the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capital of the corporation.</w:t>
            </w:r>
          </w:p>
        </w:tc>
      </w:tr>
      <w:tr>
        <w:trPr>
          <w:trHeight w:val="331"/>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Exculpation of</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The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Mobil charter provides that no director</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Directors and</w:t>
            </w: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shall be personally liable to the corporation or</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Officers:</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any</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its shareholders for monetary damages</w:t>
            </w:r>
          </w:p>
        </w:tc>
      </w:tr>
      <w:tr>
        <w:trPr>
          <w:trHeight w:val="166"/>
        </w:trPr>
        <w:tc>
          <w:tcPr>
            <w:tcW w:w="19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for</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breaches of fiduciary duty except as</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follows.</w:t>
            </w:r>
          </w:p>
        </w:tc>
        <w:tc>
          <w:tcPr>
            <w:tcW w:w="272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 director would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be liable under Section 174</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of the Delaware General Corporation Law,</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which creates liability for unlawful payment</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dividends and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unlawful stock purchases or</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redemptions.</w:t>
            </w:r>
          </w:p>
        </w:tc>
        <w:tc>
          <w:tcPr>
            <w:tcW w:w="272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 director would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also be liable under any</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applicable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provision of law by reason</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that such director</w:t>
            </w:r>
          </w:p>
        </w:tc>
      </w:tr>
      <w:tr>
        <w:trPr>
          <w:trHeight w:val="331"/>
        </w:trPr>
        <w:tc>
          <w:tcPr>
            <w:tcW w:w="19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o</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breached the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director's duty of loyalty</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the corporation or its shareholders,</w:t>
            </w:r>
          </w:p>
        </w:tc>
      </w:tr>
      <w:tr>
        <w:trPr>
          <w:trHeight w:val="331"/>
        </w:trPr>
        <w:tc>
          <w:tcPr>
            <w:tcW w:w="19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o</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acted in bad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faith, failed to act in good</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faith or acted in a manner that involved</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intentional misconduct or a knowing</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violation of</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law, or</w:t>
            </w:r>
          </w:p>
        </w:tc>
      </w:tr>
      <w:tr>
        <w:trPr>
          <w:trHeight w:val="331"/>
        </w:trPr>
        <w:tc>
          <w:tcPr>
            <w:tcW w:w="198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Courier New" w:cs="Courier New" w:eastAsia="Courier New" w:hAnsi="Courier New"/>
                <w:sz w:val="14"/>
                <w:szCs w:val="14"/>
                <w:color w:val="auto"/>
              </w:rPr>
              <w:t>o</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derived an improper personal benefit.</w:t>
            </w:r>
          </w:p>
        </w:tc>
      </w:tr>
      <w:tr>
        <w:trPr>
          <w:trHeight w:val="331"/>
        </w:trPr>
        <w:tc>
          <w:tcPr>
            <w:tcW w:w="198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The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Mobil charter does not contain</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provisions limiting the liability of officers in</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this manner.</w:t>
            </w:r>
          </w:p>
        </w:tc>
        <w:tc>
          <w:tcPr>
            <w:tcW w:w="2720" w:type="dxa"/>
            <w:vAlign w:val="bottom"/>
          </w:tcPr>
          <w:p>
            <w:pPr>
              <w:spacing w:after="0"/>
              <w:rPr>
                <w:sz w:val="14"/>
                <w:szCs w:val="14"/>
                <w:color w:val="auto"/>
              </w:rPr>
            </w:pPr>
          </w:p>
        </w:tc>
      </w:tr>
      <w:tr>
        <w:trPr>
          <w:trHeight w:val="331"/>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Shareholder</w:t>
            </w: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Mobil has entered into a Rights Agreement,</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Rights Plan:</w:t>
            </w: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dated as of December 15, 1995, between</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Mobil and Mellon</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Bank, N.A., as Rights</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Agent, as amended, pursuant to which Mobil</w:t>
            </w:r>
          </w:p>
        </w:tc>
      </w:tr>
      <w:tr>
        <w:trPr>
          <w:trHeight w:val="166"/>
        </w:trPr>
        <w:tc>
          <w:tcPr>
            <w:tcW w:w="19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has</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issued rights to purchase its Series A</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Junior Participating Preferred Stock.  Mobil</w:t>
            </w:r>
          </w:p>
        </w:tc>
      </w:tr>
      <w:tr>
        <w:trPr>
          <w:trHeight w:val="166"/>
        </w:trPr>
        <w:tc>
          <w:tcPr>
            <w:tcW w:w="19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has</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taken all action necessary to render the</w:t>
            </w:r>
          </w:p>
        </w:tc>
      </w:tr>
      <w:tr>
        <w:trPr>
          <w:trHeight w:val="166"/>
        </w:trPr>
        <w:tc>
          <w:tcPr>
            <w:tcW w:w="1980" w:type="dxa"/>
            <w:vAlign w:val="bottom"/>
          </w:tcPr>
          <w:p>
            <w:pPr>
              <w:spacing w:after="0"/>
              <w:rPr>
                <w:sz w:val="14"/>
                <w:szCs w:val="14"/>
                <w:color w:val="auto"/>
              </w:rPr>
            </w:pPr>
          </w:p>
        </w:tc>
        <w:tc>
          <w:tcPr>
            <w:tcW w:w="4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rights issued pursuant to the terms of the</w:t>
            </w:r>
          </w:p>
        </w:tc>
      </w:tr>
      <w:tr>
        <w:trPr>
          <w:trHeight w:val="166"/>
        </w:trPr>
        <w:tc>
          <w:tcPr>
            <w:tcW w:w="19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Rights Agreement</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inapplicable to the merger</w:t>
            </w:r>
          </w:p>
        </w:tc>
      </w:tr>
      <w:tr>
        <w:trPr>
          <w:trHeight w:val="166"/>
        </w:trPr>
        <w:tc>
          <w:tcPr>
            <w:tcW w:w="198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related agreements and transactions.</w:t>
            </w:r>
          </w:p>
        </w:tc>
      </w:tr>
    </w:tbl>
    <w:p>
      <w:pPr>
        <w:spacing w:after="0" w:line="1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Under New Jersey law, a corporation may generally acquire its own shares subject to restrictions imposed by its charter. The Exxon charter does not impose any such restrictions.</w:t>
      </w:r>
    </w:p>
    <w:p>
      <w:pPr>
        <w:spacing w:after="0" w:line="16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The Exxon charter limits the liability of the directors and officers of Exxon to the fullest extent permitted by law. New Jersey law prohibits exculpation</w:t>
      </w:r>
    </w:p>
    <w:p>
      <w:pPr>
        <w:spacing w:after="0" w:line="162" w:lineRule="exact"/>
        <w:rPr>
          <w:sz w:val="20"/>
          <w:szCs w:val="20"/>
          <w:color w:val="auto"/>
        </w:rPr>
      </w:pPr>
    </w:p>
    <w:p>
      <w:pPr>
        <w:ind w:left="420" w:right="24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for a breach of such person's duty of loyalty to the corporation or its shareholders,</w:t>
      </w:r>
    </w:p>
    <w:p>
      <w:pPr>
        <w:spacing w:after="0" w:line="163" w:lineRule="exact"/>
        <w:rPr>
          <w:sz w:val="20"/>
          <w:szCs w:val="20"/>
          <w:color w:val="auto"/>
        </w:rPr>
      </w:pPr>
    </w:p>
    <w:p>
      <w:pPr>
        <w:ind w:left="420" w:right="34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for acts or omissions not in good faith or that involve intentional misconduct or a knowing violation of law, or</w:t>
      </w:r>
    </w:p>
    <w:p>
      <w:pPr>
        <w:spacing w:after="0" w:line="16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o for any act or omission from which</w:t>
      </w:r>
    </w:p>
    <w:p>
      <w:pPr>
        <w:spacing w:after="0" w:line="7" w:lineRule="exact"/>
        <w:rPr>
          <w:sz w:val="20"/>
          <w:szCs w:val="20"/>
          <w:color w:val="auto"/>
        </w:rPr>
      </w:pPr>
    </w:p>
    <w:p>
      <w:pPr>
        <w:ind w:left="420" w:right="680"/>
        <w:spacing w:after="0" w:line="255" w:lineRule="auto"/>
        <w:rPr>
          <w:sz w:val="20"/>
          <w:szCs w:val="20"/>
          <w:color w:val="auto"/>
        </w:rPr>
      </w:pPr>
      <w:r>
        <w:rPr>
          <w:rFonts w:ascii="Courier New" w:cs="Courier New" w:eastAsia="Courier New" w:hAnsi="Courier New"/>
          <w:sz w:val="14"/>
          <w:szCs w:val="14"/>
          <w:color w:val="auto"/>
        </w:rPr>
        <w:t>the director derived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does not have a shareholder rights</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plan.</w:t>
        <w:tab/>
        <w:t>While Exxon has no present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 to adopt a shareholder rights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Exxon Board, pursuant to its authority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issue preferred stock, could do 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shareholder approval at any future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time.</w:t>
        <w:tab/>
        <w:t>See "Description of Exxon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Stock--Exxon Preferred Stock--Blank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 Preferred Stock" on page III-8.</w:t>
      </w:r>
    </w:p>
    <w:p>
      <w:pPr>
        <w:sectPr>
          <w:pgSz w:w="11900" w:h="16838" w:orient="portrait"/>
          <w:cols w:equalWidth="0" w:num="2">
            <w:col w:w="6300" w:space="520"/>
            <w:col w:w="3860"/>
          </w:cols>
          <w:pgMar w:left="220" w:top="616" w:right="999" w:bottom="1440" w:gutter="0" w:footer="0" w:header="0"/>
        </w:sectPr>
      </w:pPr>
    </w:p>
    <w:bookmarkStart w:id="78" w:name="page79"/>
    <w:bookmarkEnd w:id="78"/>
    <w:p>
      <w:pPr>
        <w:ind w:left="1980"/>
        <w:spacing w:after="0"/>
        <w:rPr>
          <w:sz w:val="20"/>
          <w:szCs w:val="20"/>
          <w:color w:val="auto"/>
        </w:rPr>
      </w:pPr>
      <w:r>
        <w:rPr>
          <w:rFonts w:ascii="Courier New" w:cs="Courier New" w:eastAsia="Courier New" w:hAnsi="Courier New"/>
          <w:sz w:val="14"/>
          <w:szCs w:val="14"/>
          <w:color w:val="auto"/>
        </w:rPr>
        <w:t>Chapter Three - Certain Legal Information</w:t>
      </w:r>
    </w:p>
    <w:p>
      <w:pPr>
        <w:sectPr>
          <w:pgSz w:w="11900" w:h="16838" w:orient="portrait"/>
          <w:cols w:equalWidth="0" w:num="1">
            <w:col w:w="9460"/>
          </w:cols>
          <w:pgMar w:left="1440" w:top="616" w:right="9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Mobil Shareholder Rights</w:t>
      </w:r>
    </w:p>
    <w:p>
      <w:pPr>
        <w:spacing w:after="0" w:line="173" w:lineRule="exact"/>
        <w:rPr>
          <w:sz w:val="20"/>
          <w:szCs w:val="20"/>
          <w:color w:val="auto"/>
        </w:rPr>
      </w:pPr>
    </w:p>
    <w:p>
      <w:pPr>
        <w:ind w:left="940" w:hanging="1808"/>
        <w:spacing w:after="0" w:line="250" w:lineRule="auto"/>
        <w:tabs>
          <w:tab w:leader="none" w:pos="920" w:val="left"/>
        </w:tabs>
        <w:rPr>
          <w:sz w:val="20"/>
          <w:szCs w:val="20"/>
          <w:color w:val="auto"/>
        </w:rPr>
      </w:pPr>
      <w:r>
        <w:rPr>
          <w:rFonts w:ascii="Courier New" w:cs="Courier New" w:eastAsia="Courier New" w:hAnsi="Courier New"/>
          <w:sz w:val="14"/>
          <w:szCs w:val="14"/>
          <w:color w:val="auto"/>
        </w:rPr>
        <w:t>Appraisal Rights:</w:t>
      </w:r>
      <w:r>
        <w:rPr>
          <w:sz w:val="20"/>
          <w:szCs w:val="20"/>
          <w:color w:val="auto"/>
        </w:rPr>
        <w:tab/>
      </w:r>
      <w:r>
        <w:rPr>
          <w:rFonts w:ascii="Courier New" w:cs="Courier New" w:eastAsia="Courier New" w:hAnsi="Courier New"/>
          <w:sz w:val="14"/>
          <w:szCs w:val="14"/>
          <w:color w:val="auto"/>
        </w:rPr>
        <w:t>Under Delaware law, the rights of dissenting shareholders to obtain the fair value for their shares (so-called "appraisal rights") may be available in connection with a statutory merger or consolidation in certain specific situations. Appraisal rights are not available to a corporation's shareholders under Delaware law when the corporation is to be</w:t>
      </w:r>
    </w:p>
    <w:p>
      <w:pPr>
        <w:spacing w:after="0" w:line="3" w:lineRule="exact"/>
        <w:rPr>
          <w:sz w:val="20"/>
          <w:szCs w:val="20"/>
          <w:color w:val="auto"/>
        </w:rPr>
      </w:pPr>
    </w:p>
    <w:p>
      <w:pPr>
        <w:ind w:left="940" w:right="260"/>
        <w:spacing w:after="0" w:line="252" w:lineRule="auto"/>
        <w:rPr>
          <w:sz w:val="20"/>
          <w:szCs w:val="20"/>
          <w:color w:val="auto"/>
        </w:rPr>
      </w:pPr>
      <w:r>
        <w:rPr>
          <w:rFonts w:ascii="Courier New" w:cs="Courier New" w:eastAsia="Courier New" w:hAnsi="Courier New"/>
          <w:sz w:val="14"/>
          <w:szCs w:val="14"/>
          <w:color w:val="auto"/>
        </w:rPr>
        <w:t>the surviving corporation and no vote of its shareholders is required to approve the merger.</w:t>
      </w:r>
    </w:p>
    <w:p>
      <w:pPr>
        <w:spacing w:after="0" w:line="16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In addition, unless otherwise provided in the</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charter, no appraisal rights are available</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under Delaware law to holders of shares of</w:t>
      </w:r>
    </w:p>
    <w:p>
      <w:pPr>
        <w:spacing w:after="0" w:line="7" w:lineRule="exact"/>
        <w:rPr>
          <w:sz w:val="20"/>
          <w:szCs w:val="20"/>
          <w:color w:val="auto"/>
        </w:rPr>
      </w:pPr>
    </w:p>
    <w:p>
      <w:pPr>
        <w:ind w:left="940"/>
        <w:spacing w:after="0" w:line="250" w:lineRule="auto"/>
        <w:rPr>
          <w:sz w:val="20"/>
          <w:szCs w:val="20"/>
          <w:color w:val="auto"/>
        </w:rPr>
      </w:pPr>
      <w:r>
        <w:rPr>
          <w:rFonts w:ascii="Courier New" w:cs="Courier New" w:eastAsia="Courier New" w:hAnsi="Courier New"/>
          <w:sz w:val="14"/>
          <w:szCs w:val="14"/>
          <w:color w:val="auto"/>
        </w:rPr>
        <w:t>any class of stock which is either * listed on a national securities exchange or designated as a national market system security on an interdealer quotation system by the NASD or</w:t>
      </w:r>
    </w:p>
    <w:p>
      <w:pPr>
        <w:spacing w:after="0" w:line="2" w:lineRule="exact"/>
        <w:rPr>
          <w:sz w:val="20"/>
          <w:szCs w:val="20"/>
          <w:color w:val="auto"/>
        </w:rPr>
      </w:pPr>
    </w:p>
    <w:p>
      <w:pPr>
        <w:ind w:left="940" w:right="180" w:firstLine="2"/>
        <w:spacing w:after="0" w:line="252" w:lineRule="auto"/>
        <w:tabs>
          <w:tab w:leader="none" w:pos="111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of record by more than 2,000 shareholders, unless such shareholders are required by the terms of the merger to accept anything other than:</w:t>
      </w:r>
    </w:p>
    <w:p>
      <w:pPr>
        <w:spacing w:after="0" w:line="16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 shares of stock of the surviving</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p>
      <w:pPr>
        <w:ind w:left="1280" w:right="260" w:hanging="159"/>
        <w:spacing w:after="0" w:line="252" w:lineRule="auto"/>
        <w:tabs>
          <w:tab w:leader="none" w:pos="1260" w:val="left"/>
        </w:tabs>
        <w:rPr>
          <w:sz w:val="20"/>
          <w:szCs w:val="20"/>
          <w:color w:val="auto"/>
        </w:rPr>
      </w:pPr>
      <w:r>
        <w:rPr>
          <w:rFonts w:ascii="Courier New" w:cs="Courier New" w:eastAsia="Courier New" w:hAnsi="Courier New"/>
          <w:sz w:val="14"/>
          <w:szCs w:val="14"/>
          <w:color w:val="auto"/>
        </w:rPr>
        <w:t>o</w:t>
        <w:tab/>
        <w:t>shares of stock of another corporation which, as of the effective date of the merger or consolidation, are of the kind described in the two *s above;</w:t>
      </w:r>
    </w:p>
    <w:p>
      <w:pPr>
        <w:spacing w:after="0" w:line="162" w:lineRule="exact"/>
        <w:rPr>
          <w:sz w:val="20"/>
          <w:szCs w:val="20"/>
          <w:color w:val="auto"/>
        </w:rPr>
      </w:pPr>
    </w:p>
    <w:p>
      <w:pPr>
        <w:ind w:left="1280" w:right="180" w:hanging="159"/>
        <w:spacing w:after="0" w:line="255" w:lineRule="auto"/>
        <w:tabs>
          <w:tab w:leader="none" w:pos="1260" w:val="left"/>
        </w:tabs>
        <w:rPr>
          <w:sz w:val="20"/>
          <w:szCs w:val="20"/>
          <w:color w:val="auto"/>
        </w:rPr>
      </w:pPr>
      <w:r>
        <w:rPr>
          <w:rFonts w:ascii="Courier New" w:cs="Courier New" w:eastAsia="Courier New" w:hAnsi="Courier New"/>
          <w:sz w:val="14"/>
          <w:szCs w:val="14"/>
          <w:color w:val="auto"/>
        </w:rPr>
        <w:t>o</w:t>
        <w:tab/>
        <w:t>cash instead of fractional shares of such stock; or</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 any combination of the above three</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bullets.</w:t>
      </w:r>
    </w:p>
    <w:p>
      <w:pPr>
        <w:spacing w:after="0" w:line="173" w:lineRule="exact"/>
        <w:rPr>
          <w:sz w:val="20"/>
          <w:szCs w:val="20"/>
          <w:color w:val="auto"/>
        </w:rPr>
      </w:pPr>
    </w:p>
    <w:p>
      <w:pPr>
        <w:ind w:left="940"/>
        <w:spacing w:after="0" w:line="251" w:lineRule="auto"/>
        <w:rPr>
          <w:sz w:val="20"/>
          <w:szCs w:val="20"/>
          <w:color w:val="auto"/>
        </w:rPr>
      </w:pPr>
      <w:r>
        <w:rPr>
          <w:rFonts w:ascii="Courier New" w:cs="Courier New" w:eastAsia="Courier New" w:hAnsi="Courier New"/>
          <w:sz w:val="14"/>
          <w:szCs w:val="14"/>
          <w:color w:val="auto"/>
        </w:rPr>
        <w:t>Appraisal rights are not available under Delaware law in the event of the sale of all or substantially all of a corporation's assets or the adoption of an amendment to its charter, unless such rights are granted in the corporation's charter. The Mobil charter does not grant such rights.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Under New Jersey law, appraisal rights are available in connection with a merger or consolidation or any sale, lease or exchange or other disposition of all or substantially all of a corporation's assets other than in the usual and regular course of business, unless an exception applies or the corporation's charter provides otherwise. Exxon's charter does not provide otherwise.</w:t>
      </w:r>
    </w:p>
    <w:p>
      <w:pPr>
        <w:spacing w:after="0" w:line="329" w:lineRule="exact"/>
        <w:rPr>
          <w:sz w:val="20"/>
          <w:szCs w:val="20"/>
          <w:color w:val="auto"/>
        </w:rPr>
      </w:pPr>
    </w:p>
    <w:p>
      <w:pPr>
        <w:ind w:right="420"/>
        <w:spacing w:after="0" w:line="251" w:lineRule="auto"/>
        <w:rPr>
          <w:sz w:val="20"/>
          <w:szCs w:val="20"/>
          <w:color w:val="auto"/>
        </w:rPr>
      </w:pPr>
      <w:r>
        <w:rPr>
          <w:rFonts w:ascii="Courier New" w:cs="Courier New" w:eastAsia="Courier New" w:hAnsi="Courier New"/>
          <w:sz w:val="14"/>
          <w:szCs w:val="14"/>
          <w:color w:val="auto"/>
        </w:rPr>
        <w:t>Appraisal rights are not available under New Jersey law to shareholders of a surviving corporation with respect to a merger if the merger did not require shareholder approval.</w:t>
      </w:r>
    </w:p>
    <w:p>
      <w:pPr>
        <w:spacing w:after="0" w:line="165" w:lineRule="exact"/>
        <w:rPr>
          <w:sz w:val="20"/>
          <w:szCs w:val="20"/>
          <w:color w:val="auto"/>
        </w:rPr>
      </w:pPr>
    </w:p>
    <w:p>
      <w:pPr>
        <w:ind w:right="240"/>
        <w:spacing w:after="0" w:line="252" w:lineRule="auto"/>
        <w:rPr>
          <w:sz w:val="20"/>
          <w:szCs w:val="20"/>
          <w:color w:val="auto"/>
        </w:rPr>
      </w:pPr>
      <w:r>
        <w:rPr>
          <w:rFonts w:ascii="Courier New" w:cs="Courier New" w:eastAsia="Courier New" w:hAnsi="Courier New"/>
          <w:sz w:val="14"/>
          <w:szCs w:val="14"/>
          <w:color w:val="auto"/>
        </w:rPr>
        <w:t>In addition, unless provided for in the corporation's charter, no appraisal rights are available in a merger or consolidation with respect to shares</w:t>
      </w:r>
    </w:p>
    <w:p>
      <w:pPr>
        <w:spacing w:after="0" w:line="162" w:lineRule="exact"/>
        <w:rPr>
          <w:sz w:val="20"/>
          <w:szCs w:val="20"/>
          <w:color w:val="auto"/>
        </w:rPr>
      </w:pPr>
    </w:p>
    <w:p>
      <w:pPr>
        <w:ind w:left="420" w:right="42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which are listed on a national securities exchange or are held of record by at least 1,000 holders or</w:t>
      </w:r>
    </w:p>
    <w:p>
      <w:pPr>
        <w:spacing w:after="0" w:line="163" w:lineRule="exact"/>
        <w:rPr>
          <w:sz w:val="20"/>
          <w:szCs w:val="20"/>
          <w:color w:val="auto"/>
        </w:rPr>
      </w:pPr>
    </w:p>
    <w:p>
      <w:pPr>
        <w:ind w:left="420" w:right="240" w:hanging="159"/>
        <w:spacing w:after="0" w:line="251" w:lineRule="auto"/>
        <w:tabs>
          <w:tab w:leader="none" w:pos="400" w:val="left"/>
        </w:tabs>
        <w:rPr>
          <w:sz w:val="20"/>
          <w:szCs w:val="20"/>
          <w:color w:val="auto"/>
        </w:rPr>
      </w:pPr>
      <w:r>
        <w:rPr>
          <w:rFonts w:ascii="Courier New" w:cs="Courier New" w:eastAsia="Courier New" w:hAnsi="Courier New"/>
          <w:sz w:val="14"/>
          <w:szCs w:val="14"/>
          <w:color w:val="auto"/>
        </w:rPr>
        <w:t>o</w:t>
        <w:tab/>
        <w:t>for which, pursuant to the merger or consolidation, the shareholder will receive * cash, * shares, obligations or other securities of the kind described in the previous bullet or * cash and such securities.</w:t>
      </w:r>
    </w:p>
    <w:p>
      <w:pPr>
        <w:spacing w:after="0" w:line="164"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Furthermore, unless provided in the corporation's charter, no appraisal rights are available in a sale, lease, exchange or other disposition of all or substantially all of a corporation's assets</w:t>
      </w:r>
    </w:p>
    <w:p>
      <w:pPr>
        <w:spacing w:after="0" w:line="165" w:lineRule="exact"/>
        <w:rPr>
          <w:sz w:val="20"/>
          <w:szCs w:val="20"/>
          <w:color w:val="auto"/>
        </w:rPr>
      </w:pPr>
    </w:p>
    <w:p>
      <w:pPr>
        <w:ind w:left="420" w:right="34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with respect to shares which are listed on a national securities exchange or are held of record by at least 1,000 holders, or</w:t>
      </w:r>
    </w:p>
    <w:p>
      <w:pPr>
        <w:spacing w:after="0" w:line="162" w:lineRule="exact"/>
        <w:rPr>
          <w:sz w:val="20"/>
          <w:szCs w:val="20"/>
          <w:color w:val="auto"/>
        </w:rPr>
      </w:pPr>
    </w:p>
    <w:p>
      <w:pPr>
        <w:ind w:left="420" w:right="80" w:hanging="159"/>
        <w:spacing w:after="0" w:line="251" w:lineRule="auto"/>
        <w:tabs>
          <w:tab w:leader="none" w:pos="400" w:val="left"/>
        </w:tabs>
        <w:rPr>
          <w:sz w:val="20"/>
          <w:szCs w:val="20"/>
          <w:color w:val="auto"/>
        </w:rPr>
      </w:pPr>
      <w:r>
        <w:rPr>
          <w:rFonts w:ascii="Courier New" w:cs="Courier New" w:eastAsia="Courier New" w:hAnsi="Courier New"/>
          <w:sz w:val="14"/>
          <w:szCs w:val="14"/>
          <w:color w:val="auto"/>
        </w:rPr>
        <w:t>o</w:t>
        <w:tab/>
        <w:t>from a dissolution transaction in which substantially all of a corporation's net assets are to be distributed to its shareholders within one year after the date of the transaction, so long as the transaction</w:t>
      </w:r>
    </w:p>
    <w:p>
      <w:pPr>
        <w:spacing w:after="0" w:line="164" w:lineRule="exact"/>
        <w:rPr>
          <w:sz w:val="20"/>
          <w:szCs w:val="20"/>
          <w:color w:val="auto"/>
        </w:rPr>
      </w:pPr>
    </w:p>
    <w:p>
      <w:pPr>
        <w:sectPr>
          <w:pgSz w:w="11900" w:h="16838" w:orient="portrait"/>
          <w:cols w:equalWidth="0" w:num="2">
            <w:col w:w="5000" w:space="600"/>
            <w:col w:w="3860"/>
          </w:cols>
          <w:pgMar w:left="1440" w:top="616" w:right="999" w:bottom="1440" w:gutter="0" w:footer="0" w:header="0"/>
          <w:type w:val="continuous"/>
        </w:sectPr>
      </w:pPr>
    </w:p>
    <w:p>
      <w:pPr>
        <w:ind w:left="1800"/>
        <w:spacing w:after="0"/>
        <w:rPr>
          <w:sz w:val="20"/>
          <w:szCs w:val="20"/>
          <w:color w:val="auto"/>
        </w:rPr>
      </w:pPr>
      <w:r>
        <w:rPr>
          <w:rFonts w:ascii="Courier New" w:cs="Courier New" w:eastAsia="Courier New" w:hAnsi="Courier New"/>
          <w:sz w:val="14"/>
          <w:szCs w:val="14"/>
          <w:color w:val="auto"/>
        </w:rPr>
        <w:t>III-5</w:t>
      </w:r>
    </w:p>
    <w:p>
      <w:pPr>
        <w:sectPr>
          <w:pgSz w:w="11900" w:h="16838" w:orient="portrait"/>
          <w:cols w:equalWidth="0" w:num="1">
            <w:col w:w="9460"/>
          </w:cols>
          <w:pgMar w:left="1440" w:top="616" w:right="999" w:bottom="144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Mobil Shareholder Rights</w:t>
      </w:r>
    </w:p>
    <w:p>
      <w:pPr>
        <w:spacing w:after="0" w:line="173" w:lineRule="exact"/>
        <w:rPr>
          <w:sz w:val="20"/>
          <w:szCs w:val="20"/>
          <w:color w:val="auto"/>
        </w:rPr>
      </w:pPr>
    </w:p>
    <w:p>
      <w:pPr>
        <w:jc w:val="right"/>
        <w:ind w:right="4400"/>
        <w:spacing w:after="0"/>
        <w:rPr>
          <w:sz w:val="20"/>
          <w:szCs w:val="20"/>
          <w:color w:val="auto"/>
        </w:rPr>
      </w:pPr>
      <w:r>
        <w:rPr>
          <w:rFonts w:ascii="Courier New" w:cs="Courier New" w:eastAsia="Courier New" w:hAnsi="Courier New"/>
          <w:sz w:val="14"/>
          <w:szCs w:val="14"/>
          <w:color w:val="auto"/>
        </w:rPr>
        <w:t>Appraisal Rights</w:t>
      </w:r>
    </w:p>
    <w:p>
      <w:pPr>
        <w:spacing w:after="0" w:line="7" w:lineRule="exact"/>
        <w:rPr>
          <w:sz w:val="20"/>
          <w:szCs w:val="20"/>
          <w:color w:val="auto"/>
        </w:rPr>
      </w:pPr>
    </w:p>
    <w:p>
      <w:pPr>
        <w:jc w:val="right"/>
        <w:ind w:right="440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Certain Business</w:t>
      </w:r>
      <w:r>
        <w:rPr>
          <w:sz w:val="20"/>
          <w:szCs w:val="20"/>
          <w:color w:val="auto"/>
        </w:rPr>
        <w:tab/>
      </w:r>
      <w:r>
        <w:rPr>
          <w:rFonts w:ascii="Courier New" w:cs="Courier New" w:eastAsia="Courier New" w:hAnsi="Courier New"/>
          <w:sz w:val="14"/>
          <w:szCs w:val="14"/>
          <w:color w:val="auto"/>
        </w:rPr>
        <w:t>Section 203 of the Delaware General</w:t>
      </w:r>
    </w:p>
    <w:p>
      <w:pPr>
        <w:spacing w:after="0" w:line="7" w:lineRule="exact"/>
        <w:rPr>
          <w:sz w:val="20"/>
          <w:szCs w:val="20"/>
          <w:color w:val="auto"/>
        </w:rPr>
      </w:pPr>
    </w:p>
    <w:p>
      <w:pPr>
        <w:ind w:left="700"/>
        <w:spacing w:after="0"/>
        <w:tabs>
          <w:tab w:leader="none" w:pos="2140" w:val="left"/>
        </w:tabs>
        <w:rPr>
          <w:sz w:val="20"/>
          <w:szCs w:val="20"/>
          <w:color w:val="auto"/>
        </w:rPr>
      </w:pPr>
      <w:r>
        <w:rPr>
          <w:rFonts w:ascii="Courier New" w:cs="Courier New" w:eastAsia="Courier New" w:hAnsi="Courier New"/>
          <w:sz w:val="14"/>
          <w:szCs w:val="14"/>
          <w:color w:val="auto"/>
        </w:rPr>
        <w:t>Combinations:</w:t>
      </w:r>
      <w:r>
        <w:rPr>
          <w:sz w:val="20"/>
          <w:szCs w:val="20"/>
          <w:color w:val="auto"/>
        </w:rPr>
        <w:tab/>
      </w:r>
      <w:r>
        <w:rPr>
          <w:rFonts w:ascii="Courier New" w:cs="Courier New" w:eastAsia="Courier New" w:hAnsi="Courier New"/>
          <w:sz w:val="14"/>
          <w:szCs w:val="14"/>
          <w:color w:val="auto"/>
        </w:rPr>
        <w:t>Corporation Law provides that, if a person</w:t>
      </w:r>
    </w:p>
    <w:p>
      <w:pPr>
        <w:spacing w:after="0" w:line="7" w:lineRule="exact"/>
        <w:rPr>
          <w:sz w:val="20"/>
          <w:szCs w:val="20"/>
          <w:color w:val="auto"/>
        </w:rPr>
      </w:pPr>
    </w:p>
    <w:p>
      <w:pPr>
        <w:ind w:left="2160"/>
        <w:spacing w:after="0" w:line="251" w:lineRule="auto"/>
        <w:rPr>
          <w:sz w:val="20"/>
          <w:szCs w:val="20"/>
          <w:color w:val="auto"/>
        </w:rPr>
      </w:pPr>
      <w:r>
        <w:rPr>
          <w:rFonts w:ascii="Courier New" w:cs="Courier New" w:eastAsia="Courier New" w:hAnsi="Courier New"/>
          <w:sz w:val="14"/>
          <w:szCs w:val="14"/>
          <w:color w:val="auto"/>
        </w:rPr>
        <w:t>acquires 15% or more of the stock of a Delaware corporation without the approval of the board of directors of that corporation, thereby becoming an "interested shareholder", that person may not engage in certain transactions with the corporation for a period of three years unless one of the following three exceptions applies:</w:t>
      </w:r>
    </w:p>
    <w:p>
      <w:pPr>
        <w:spacing w:after="0" w:line="33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o the board of directors approved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acquisition of stock or the transaction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prior to the time that the person became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 interested shareholder,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o the person became an interested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shareholder and 85% owner of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voting stock of the corporation in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transaction, excluding voting stock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owned by directors who are also</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officers and certain employee stock</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plans, or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o the transaction is approved by the board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directors and by the affirmative vote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 two-thirds of the outstanding voting</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stock which is not owned by the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interested shareholder.</w:t>
      </w:r>
    </w:p>
    <w:p>
      <w:pPr>
        <w:spacing w:after="0" w:line="173" w:lineRule="exact"/>
        <w:rPr>
          <w:sz w:val="20"/>
          <w:szCs w:val="20"/>
          <w:color w:val="auto"/>
        </w:rPr>
      </w:pPr>
    </w:p>
    <w:p>
      <w:pPr>
        <w:ind w:left="2160" w:right="440"/>
        <w:spacing w:after="0" w:line="251" w:lineRule="auto"/>
        <w:rPr>
          <w:sz w:val="20"/>
          <w:szCs w:val="20"/>
          <w:color w:val="auto"/>
        </w:rPr>
      </w:pPr>
      <w:r>
        <w:rPr>
          <w:rFonts w:ascii="Courier New" w:cs="Courier New" w:eastAsia="Courier New" w:hAnsi="Courier New"/>
          <w:sz w:val="14"/>
          <w:szCs w:val="14"/>
          <w:color w:val="auto"/>
        </w:rPr>
        <w:t>A Delaware corporation may elect not to be governed by Section 203. Mobil has not so elected and the Mobil Board has taken the necessary action to make Section 203 inapplicable to the merger and the related transactions (including the option).</w:t>
      </w:r>
    </w:p>
    <w:p>
      <w:pPr>
        <w:spacing w:after="0" w:line="164" w:lineRule="exact"/>
        <w:rPr>
          <w:sz w:val="20"/>
          <w:szCs w:val="20"/>
          <w:color w:val="auto"/>
        </w:rPr>
      </w:pPr>
    </w:p>
    <w:p>
      <w:pPr>
        <w:ind w:left="2160" w:right="260"/>
        <w:spacing w:after="0" w:line="251" w:lineRule="auto"/>
        <w:rPr>
          <w:sz w:val="20"/>
          <w:szCs w:val="20"/>
          <w:color w:val="auto"/>
        </w:rPr>
      </w:pPr>
      <w:r>
        <w:rPr>
          <w:rFonts w:ascii="Courier New" w:cs="Courier New" w:eastAsia="Courier New" w:hAnsi="Courier New"/>
          <w:sz w:val="14"/>
          <w:szCs w:val="14"/>
          <w:color w:val="auto"/>
        </w:rPr>
        <w:t>The Mobil charter provides that any Business Combination with an interested shareholder of Mobil requires, in addition to any vote required by law, the affirmative approval of at least 80% of the voting power of the</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left="420" w:right="180"/>
        <w:spacing w:after="0" w:line="251" w:lineRule="auto"/>
        <w:rPr>
          <w:sz w:val="20"/>
          <w:szCs w:val="20"/>
          <w:color w:val="auto"/>
        </w:rPr>
      </w:pPr>
      <w:r>
        <w:rPr>
          <w:rFonts w:ascii="Courier New" w:cs="Courier New" w:eastAsia="Courier New" w:hAnsi="Courier New"/>
          <w:sz w:val="14"/>
          <w:szCs w:val="14"/>
          <w:color w:val="auto"/>
        </w:rPr>
        <w:t>is wholly for * cash, * shares, obligations or other securities which will be listed on a national securities exchange or held of record by not less than 1,000 holders or * cash and such securities.</w:t>
      </w:r>
    </w:p>
    <w:p>
      <w:pPr>
        <w:spacing w:after="0" w:line="164" w:lineRule="exact"/>
        <w:rPr>
          <w:sz w:val="20"/>
          <w:szCs w:val="20"/>
          <w:color w:val="auto"/>
        </w:rPr>
      </w:pPr>
    </w:p>
    <w:p>
      <w:pPr>
        <w:ind w:right="260"/>
        <w:spacing w:after="0" w:line="252" w:lineRule="auto"/>
        <w:rPr>
          <w:sz w:val="20"/>
          <w:szCs w:val="20"/>
          <w:color w:val="auto"/>
        </w:rPr>
      </w:pPr>
      <w:r>
        <w:rPr>
          <w:rFonts w:ascii="Courier New" w:cs="Courier New" w:eastAsia="Courier New" w:hAnsi="Courier New"/>
          <w:sz w:val="14"/>
          <w:szCs w:val="14"/>
          <w:color w:val="auto"/>
        </w:rPr>
        <w:t>New Jersey law restricts the ability of certain persons to acquire control of a New Jersey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general, a New Jersey corporation with</w:t>
      </w:r>
    </w:p>
    <w:p>
      <w:pPr>
        <w:spacing w:after="0" w:line="7"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its principal executive offices or significant operations in New Jersey may not engage</w:t>
      </w:r>
    </w:p>
    <w:p>
      <w:pPr>
        <w:spacing w:after="0" w:line="1" w:lineRule="exact"/>
        <w:rPr>
          <w:sz w:val="20"/>
          <w:szCs w:val="20"/>
          <w:color w:val="auto"/>
        </w:rPr>
      </w:pPr>
    </w:p>
    <w:p>
      <w:pPr>
        <w:ind w:right="260"/>
        <w:spacing w:after="0" w:line="251" w:lineRule="auto"/>
        <w:rPr>
          <w:sz w:val="20"/>
          <w:szCs w:val="20"/>
          <w:color w:val="auto"/>
        </w:rPr>
      </w:pPr>
      <w:r>
        <w:rPr>
          <w:rFonts w:ascii="Courier New" w:cs="Courier New" w:eastAsia="Courier New" w:hAnsi="Courier New"/>
          <w:sz w:val="14"/>
          <w:szCs w:val="14"/>
          <w:color w:val="auto"/>
        </w:rPr>
        <w:t>in a "business combination" with an "interested shareholder" for a period of five years following the interested shareholder's becoming such. The business combination is permitted where it is approved by the Board of Directors prior to the stock acquisition.</w:t>
      </w:r>
    </w:p>
    <w:p>
      <w:pPr>
        <w:spacing w:after="0" w:line="164"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4"/>
          <w:szCs w:val="14"/>
          <w:color w:val="auto"/>
        </w:rPr>
        <w:t>Covered business combinations include, certain mergers, dispositions of assets or shares and recapitalizations. An interested shareholder is generally a shareholder owning at least 10% of the voting power of a corporation's outstanding shares.</w:t>
      </w:r>
    </w:p>
    <w:p>
      <w:pPr>
        <w:spacing w:after="0" w:line="164" w:lineRule="exact"/>
        <w:rPr>
          <w:sz w:val="20"/>
          <w:szCs w:val="20"/>
          <w:color w:val="auto"/>
        </w:rPr>
      </w:pPr>
    </w:p>
    <w:p>
      <w:pPr>
        <w:ind w:right="520"/>
        <w:spacing w:after="0" w:line="252" w:lineRule="auto"/>
        <w:rPr>
          <w:sz w:val="20"/>
          <w:szCs w:val="20"/>
          <w:color w:val="auto"/>
        </w:rPr>
      </w:pPr>
      <w:r>
        <w:rPr>
          <w:rFonts w:ascii="Courier New" w:cs="Courier New" w:eastAsia="Courier New" w:hAnsi="Courier New"/>
          <w:sz w:val="14"/>
          <w:szCs w:val="14"/>
          <w:color w:val="auto"/>
        </w:rPr>
        <w:t>In addition, New Jersey corporations may not engage at any time in a business combination with any interested shareholder other than:</w:t>
      </w:r>
    </w:p>
    <w:p>
      <w:pPr>
        <w:spacing w:after="0" w:line="162" w:lineRule="exact"/>
        <w:rPr>
          <w:sz w:val="20"/>
          <w:szCs w:val="20"/>
          <w:color w:val="auto"/>
        </w:rPr>
      </w:pPr>
    </w:p>
    <w:p>
      <w:pPr>
        <w:ind w:left="420" w:right="60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a business combination approved by the Board of Directors of such corporation prior to the stock acquisition,</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 a business combination approved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the affirmative vote of the holders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two-thirds of the voting stock not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beneficially owned by such interested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shareholder at a meeting for such</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purpose, or</w:t>
      </w:r>
    </w:p>
    <w:p>
      <w:pPr>
        <w:spacing w:after="0" w:line="173" w:lineRule="exact"/>
        <w:rPr>
          <w:sz w:val="20"/>
          <w:szCs w:val="20"/>
          <w:color w:val="auto"/>
        </w:rPr>
      </w:pPr>
    </w:p>
    <w:p>
      <w:pPr>
        <w:ind w:left="420" w:right="180" w:hanging="159"/>
        <w:spacing w:after="0" w:line="252" w:lineRule="auto"/>
        <w:tabs>
          <w:tab w:leader="none" w:pos="400" w:val="left"/>
        </w:tabs>
        <w:rPr>
          <w:sz w:val="20"/>
          <w:szCs w:val="20"/>
          <w:color w:val="auto"/>
        </w:rPr>
      </w:pPr>
      <w:r>
        <w:rPr>
          <w:rFonts w:ascii="Courier New" w:cs="Courier New" w:eastAsia="Courier New" w:hAnsi="Courier New"/>
          <w:sz w:val="14"/>
          <w:szCs w:val="14"/>
          <w:color w:val="auto"/>
        </w:rPr>
        <w:t>o</w:t>
        <w:tab/>
        <w:t>a business combination in which the interested shareholder pays a formula price designed to ensure that all other</w:t>
      </w:r>
    </w:p>
    <w:p>
      <w:pPr>
        <w:sectPr>
          <w:pgSz w:w="11900" w:h="16838" w:orient="portrait"/>
          <w:cols w:equalWidth="0" w:num="2">
            <w:col w:w="6220" w:space="600"/>
            <w:col w:w="3960"/>
          </w:cols>
          <w:pgMar w:left="220" w:top="616" w:right="899" w:bottom="1440" w:gutter="0" w:footer="0" w:header="0"/>
        </w:sectPr>
      </w:pPr>
    </w:p>
    <w:bookmarkStart w:id="80" w:name="page81"/>
    <w:bookmarkEnd w:id="80"/>
    <w:p>
      <w:pPr>
        <w:ind w:left="2760"/>
        <w:spacing w:after="0"/>
        <w:rPr>
          <w:sz w:val="20"/>
          <w:szCs w:val="20"/>
          <w:color w:val="auto"/>
        </w:rPr>
      </w:pPr>
      <w:r>
        <w:rPr>
          <w:rFonts w:ascii="Courier New" w:cs="Courier New" w:eastAsia="Courier New" w:hAnsi="Courier New"/>
          <w:sz w:val="14"/>
          <w:szCs w:val="14"/>
          <w:color w:val="auto"/>
        </w:rPr>
        <w:t>Chapter Three - Certain Legal Information</w:t>
      </w:r>
    </w:p>
    <w:p>
      <w:pPr>
        <w:sectPr>
          <w:pgSz w:w="11900" w:h="16838" w:orient="portrait"/>
          <w:cols w:equalWidth="0" w:num="1">
            <w:col w:w="10000"/>
          </w:cols>
          <w:pgMar w:left="660" w:top="616" w:right="1239" w:bottom="1440" w:gutter="0" w:footer="0" w:header="0"/>
        </w:sect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4320" w:type="dxa"/>
            <w:vAlign w:val="bottom"/>
          </w:tcPr>
          <w:p>
            <w:pPr>
              <w:ind w:left="960"/>
              <w:spacing w:after="0"/>
              <w:rPr>
                <w:sz w:val="20"/>
                <w:szCs w:val="20"/>
                <w:color w:val="auto"/>
              </w:rPr>
            </w:pPr>
            <w:r>
              <w:rPr>
                <w:rFonts w:ascii="Courier New" w:cs="Courier New" w:eastAsia="Courier New" w:hAnsi="Courier New"/>
                <w:sz w:val="14"/>
                <w:szCs w:val="14"/>
                <w:color w:val="auto"/>
              </w:rPr>
              <w:t>Mobil Shareholder Rights</w:t>
            </w:r>
          </w:p>
        </w:tc>
      </w:tr>
      <w:tr>
        <w:trPr>
          <w:trHeight w:val="331"/>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Certain Business</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outstanding shares of voting stock, voting</w:t>
            </w:r>
          </w:p>
        </w:tc>
      </w:tr>
      <w:tr>
        <w:trPr>
          <w:trHeight w:val="166"/>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Combinations</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together as a single class, unless either (i) a</w:t>
            </w:r>
          </w:p>
        </w:tc>
      </w:tr>
      <w:tr>
        <w:trPr>
          <w:trHeight w:val="166"/>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(continued):</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majority of disinterested directors, as defined</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 Mobil's charter, have expressly approved</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Business Combination or (ii) certain fair</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price criteria and disclosure obligations are</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satisfied.</w:t>
            </w:r>
          </w:p>
        </w:tc>
      </w:tr>
      <w:tr>
        <w:trPr>
          <w:trHeight w:val="331"/>
        </w:trPr>
        <w:tc>
          <w:tcPr>
            <w:tcW w:w="1540" w:type="dxa"/>
            <w:vAlign w:val="bottom"/>
          </w:tcPr>
          <w:p>
            <w:pPr>
              <w:spacing w:after="0"/>
              <w:rPr>
                <w:sz w:val="24"/>
                <w:szCs w:val="2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"Business Combination" is defined in</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Mobil's charter, and generally includes a</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merger, significant asset sales, significant</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stock issuances, and certain other significant</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transactions.  "Interested shareholder" is also</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defined in the Mobil charter and generally</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means a 5% shareholder of Mobil.</w:t>
            </w:r>
          </w:p>
        </w:tc>
      </w:tr>
      <w:tr>
        <w:trPr>
          <w:trHeight w:val="331"/>
        </w:trPr>
        <w:tc>
          <w:tcPr>
            <w:tcW w:w="1540" w:type="dxa"/>
            <w:vAlign w:val="bottom"/>
          </w:tcPr>
          <w:p>
            <w:pPr>
              <w:spacing w:after="0"/>
              <w:rPr>
                <w:sz w:val="24"/>
                <w:szCs w:val="2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Mobil Board has taken the necessary</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action to make the foregoing provisions of the</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Mobil charter inapplicable to the merger and</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related transactions (including the option).</w:t>
            </w:r>
          </w:p>
        </w:tc>
      </w:tr>
      <w:tr>
        <w:trPr>
          <w:trHeight w:val="331"/>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Annual Meeting</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Delaware law requires that the written notice</w:t>
            </w:r>
          </w:p>
        </w:tc>
      </w:tr>
      <w:tr>
        <w:trPr>
          <w:trHeight w:val="166"/>
        </w:trPr>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Proposals:</w:t>
            </w: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of an annual meeting of shareholders specify</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place, date and hour of the meeting.</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Notices of special meetings must also state</w:t>
            </w:r>
          </w:p>
        </w:tc>
      </w:tr>
      <w:tr>
        <w:trPr>
          <w:trHeight w:val="166"/>
        </w:trPr>
        <w:tc>
          <w:tcPr>
            <w:tcW w:w="1540" w:type="dxa"/>
            <w:vAlign w:val="bottom"/>
          </w:tcPr>
          <w:p>
            <w:pPr>
              <w:spacing w:after="0"/>
              <w:rPr>
                <w:sz w:val="14"/>
                <w:szCs w:val="14"/>
                <w:color w:val="auto"/>
              </w:rPr>
            </w:pPr>
          </w:p>
        </w:tc>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the purpose or purposes of the meeting.</w:t>
            </w:r>
          </w:p>
        </w:tc>
      </w:tr>
      <w:tr>
        <w:trPr>
          <w:trHeight w:val="663"/>
        </w:trPr>
        <w:tc>
          <w:tcPr>
            <w:tcW w:w="1540" w:type="dxa"/>
            <w:vAlign w:val="bottom"/>
          </w:tcPr>
          <w:p>
            <w:pPr>
              <w:spacing w:after="0"/>
              <w:rPr>
                <w:sz w:val="24"/>
                <w:szCs w:val="24"/>
                <w:color w:val="auto"/>
              </w:rPr>
            </w:pPr>
          </w:p>
        </w:tc>
        <w:tc>
          <w:tcPr>
            <w:tcW w:w="4320" w:type="dxa"/>
            <w:vAlign w:val="bottom"/>
          </w:tcPr>
          <w:p>
            <w:pPr>
              <w:ind w:left="1040"/>
              <w:spacing w:after="0"/>
              <w:rPr>
                <w:sz w:val="20"/>
                <w:szCs w:val="20"/>
                <w:color w:val="auto"/>
              </w:rPr>
            </w:pPr>
            <w:r>
              <w:rPr>
                <w:rFonts w:ascii="Courier New" w:cs="Courier New" w:eastAsia="Courier New" w:hAnsi="Courier New"/>
                <w:sz w:val="14"/>
                <w:szCs w:val="14"/>
                <w:color w:val="auto"/>
              </w:rPr>
              <w:t>III-7</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Exxon Mobil</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Shareholder Rights</w:t>
      </w:r>
    </w:p>
    <w:p>
      <w:pPr>
        <w:spacing w:after="0" w:line="173" w:lineRule="exact"/>
        <w:rPr>
          <w:sz w:val="20"/>
          <w:szCs w:val="20"/>
          <w:color w:val="auto"/>
        </w:rPr>
      </w:pPr>
    </w:p>
    <w:p>
      <w:pPr>
        <w:ind w:left="420" w:right="100"/>
        <w:spacing w:after="0" w:line="252" w:lineRule="auto"/>
        <w:rPr>
          <w:sz w:val="20"/>
          <w:szCs w:val="20"/>
          <w:color w:val="auto"/>
        </w:rPr>
      </w:pPr>
      <w:r>
        <w:rPr>
          <w:rFonts w:ascii="Courier New" w:cs="Courier New" w:eastAsia="Courier New" w:hAnsi="Courier New"/>
          <w:sz w:val="14"/>
          <w:szCs w:val="14"/>
          <w:color w:val="auto"/>
        </w:rPr>
        <w:t>shareholders receive at least the highest price per share paid by such interested shareholder.</w:t>
      </w:r>
    </w:p>
    <w:p>
      <w:pPr>
        <w:spacing w:after="0" w:line="163" w:lineRule="exact"/>
        <w:rPr>
          <w:sz w:val="20"/>
          <w:szCs w:val="20"/>
          <w:color w:val="auto"/>
        </w:rPr>
      </w:pPr>
    </w:p>
    <w:p>
      <w:pPr>
        <w:ind w:right="180"/>
        <w:spacing w:after="0" w:line="255" w:lineRule="auto"/>
        <w:rPr>
          <w:sz w:val="20"/>
          <w:szCs w:val="20"/>
          <w:color w:val="auto"/>
        </w:rPr>
      </w:pPr>
      <w:r>
        <w:rPr>
          <w:rFonts w:ascii="Courier New" w:cs="Courier New" w:eastAsia="Courier New" w:hAnsi="Courier New"/>
          <w:sz w:val="14"/>
          <w:szCs w:val="14"/>
          <w:color w:val="auto"/>
        </w:rPr>
        <w:t>A New Jersey corporation may not opt out of the foregoing provisions.</w:t>
      </w:r>
    </w:p>
    <w:p>
      <w:pPr>
        <w:spacing w:after="0" w:line="160" w:lineRule="exact"/>
        <w:rPr>
          <w:sz w:val="20"/>
          <w:szCs w:val="20"/>
          <w:color w:val="auto"/>
        </w:rPr>
      </w:pPr>
    </w:p>
    <w:p>
      <w:pPr>
        <w:jc w:val="both"/>
        <w:ind w:right="260"/>
        <w:spacing w:after="0" w:line="252" w:lineRule="auto"/>
        <w:rPr>
          <w:sz w:val="20"/>
          <w:szCs w:val="20"/>
          <w:color w:val="auto"/>
        </w:rPr>
      </w:pPr>
      <w:r>
        <w:rPr>
          <w:rFonts w:ascii="Courier New" w:cs="Courier New" w:eastAsia="Courier New" w:hAnsi="Courier New"/>
          <w:sz w:val="14"/>
          <w:szCs w:val="14"/>
          <w:color w:val="auto"/>
        </w:rPr>
        <w:t>There is no super-majority voting, fair price or similar provision in the Exxon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New Jersey law requires that the written notice of any shareholder meeting specify the time, place and purpose or purposes of the meeting. Therefore, business conducted at shareholder meetings is limited to the business specified in the meeting notice.</w:t>
      </w:r>
    </w:p>
    <w:p>
      <w:pPr>
        <w:sectPr>
          <w:pgSz w:w="11900" w:h="16838" w:orient="portrait"/>
          <w:cols w:equalWidth="0" w:num="2">
            <w:col w:w="5860" w:space="520"/>
            <w:col w:w="3620"/>
          </w:cols>
          <w:pgMar w:left="660" w:top="616" w:right="1239" w:bottom="1440" w:gutter="0" w:footer="0" w:header="0"/>
          <w:type w:val="continuous"/>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DESCRIPTION OF EXXON CAPITAL STOCK</w:t>
      </w:r>
    </w:p>
    <w:p>
      <w:pPr>
        <w:spacing w:after="0" w:line="17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The following summary of the current terms of the capital stock of Exxon and the terms of the capital stock of Exxon Mobil to be in effect after completion of the merger is not meant to be complete and is qualified by reference to the Exxon charter and Exxon by-laws. Copies of the Exxon charter and Exxon by-laws are incorporated by reference and will be sent to holders of shares of Exxon common stock, Exxon Class A preferred stock, Mobil common stock and Mobil ESOP preferred stock upon request. See "Where You Can Find More Information" on page VI-1.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Capital Stock</w:t>
      </w:r>
    </w:p>
    <w:p>
      <w:pPr>
        <w:spacing w:after="0" w:line="173"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Prior to Completion of the Merger. Under the Exxon charter, Exxon's authorized capital stock consists of three billion shares of Exxon common stock, without par value, and 200 million shares of preferred stock, without par value, of which 16.5 million shares are designated as Exxon Class A preferred stock and 100 million are designated as Exxon Class B preferred stock, each without par value.</w:t>
      </w:r>
    </w:p>
    <w:p>
      <w:pPr>
        <w:spacing w:after="0" w:line="164"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Following Completion of the Merger. If the merger is completed, the Exxon Mobil charter will be amended to increase the authorized number of shares of Exxon Mobil common stock to 4.5 billion and to eliminate the Exxon Class B preferred stock, none of which is outstanding. See "Amendment of Exxon Charter" beginning on page III-10. In connection with the merger, the Exxon Board has agreed to create the Exxon Mobil ESOP preferred stock. The Exxon Mobil ESOP preferred stock will have, to the extent possible, terms that are identical to those of the Mobil ESOP preferred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Common Stock</w:t>
      </w:r>
    </w:p>
    <w:p>
      <w:pPr>
        <w:spacing w:after="0" w:line="17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Exxon Common Stock Outstanding. The outstanding shares of Exxon common stock are, and the shares of Exxon Mobil common stock issued pursuant to the merger will be, duly authorized, validly issued, fully paid and nonassessable.</w:t>
      </w:r>
    </w:p>
    <w:p>
      <w:pPr>
        <w:spacing w:after="0" w:line="162" w:lineRule="exact"/>
        <w:rPr>
          <w:sz w:val="20"/>
          <w:szCs w:val="20"/>
          <w:color w:val="auto"/>
        </w:rPr>
      </w:pPr>
    </w:p>
    <w:p>
      <w:pPr>
        <w:ind w:right="3679" w:firstLine="1292"/>
        <w:spacing w:after="0" w:line="252" w:lineRule="auto"/>
        <w:rPr>
          <w:sz w:val="20"/>
          <w:szCs w:val="20"/>
          <w:color w:val="auto"/>
        </w:rPr>
      </w:pPr>
      <w:r>
        <w:rPr>
          <w:rFonts w:ascii="Courier New" w:cs="Courier New" w:eastAsia="Courier New" w:hAnsi="Courier New"/>
          <w:sz w:val="14"/>
          <w:szCs w:val="14"/>
          <w:color w:val="auto"/>
        </w:rPr>
        <w:t>Voting Rights. Each holder of Exxon common stock is entitled to one vote for each share of Exxon common stock held of record on the applicable record date on all matters submitted to a vote of shareholders. See page II-2 for additional information on Exxon voting rights.</w:t>
      </w:r>
    </w:p>
    <w:p>
      <w:pPr>
        <w:spacing w:after="0" w:line="162"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Dividend Rights; Rights upon Liquidation. The holders of Exxon common stock are entitled to receive, from funds legally available for the payment thereof, dividends when and as declared by resolution of the Exxon Board, subject to any preferential dividend rights granted to the holders of any outstanding Exxon preferred stock. In the event of liquidation, each share of Exxon common stock is entitled to share pro rata in any distribution of Exxon's assets after payment or providing for the payment of liabilities and the liquidation preference of any outstanding Exxon preferred stock.</w:t>
      </w:r>
    </w:p>
    <w:p>
      <w:pPr>
        <w:spacing w:after="0" w:line="164"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Preemptive Rights. Holders of Exxon common stock have no preemptive rights to purchase, subscribe for or otherwise acquire any unissued or treasury shares or other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Preferred Stock</w:t>
      </w:r>
    </w:p>
    <w:p>
      <w:pPr>
        <w:spacing w:after="0" w:line="17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Exxon Preferred Stock Outstanding. As of March 1, 1999, (1) 1,593,644 shares of Exxon Class A preferred stock were issued and outstanding and (2) no other shares of preferred stock were issued or outstanding.</w:t>
      </w:r>
    </w:p>
    <w:p>
      <w:pPr>
        <w:spacing w:after="0" w:line="163" w:lineRule="exact"/>
        <w:rPr>
          <w:sz w:val="20"/>
          <w:szCs w:val="20"/>
          <w:color w:val="auto"/>
        </w:rPr>
      </w:pPr>
    </w:p>
    <w:p>
      <w:pPr>
        <w:ind w:right="3519" w:firstLine="1292"/>
        <w:spacing w:after="0" w:line="255" w:lineRule="auto"/>
        <w:rPr>
          <w:sz w:val="20"/>
          <w:szCs w:val="20"/>
          <w:color w:val="auto"/>
        </w:rPr>
      </w:pPr>
      <w:r>
        <w:rPr>
          <w:rFonts w:ascii="Courier New" w:cs="Courier New" w:eastAsia="Courier New" w:hAnsi="Courier New"/>
          <w:sz w:val="14"/>
          <w:szCs w:val="14"/>
          <w:color w:val="auto"/>
        </w:rPr>
        <w:t>As of March 1, 1999, approximately 163,383 shares of Mobil ESOP preferred stock were issued and outstanding.</w:t>
      </w:r>
    </w:p>
    <w:p>
      <w:pPr>
        <w:spacing w:after="0" w:line="160"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Blank Check Preferred Stock. Under the Exxon charter, the Exxon Board has the authority, without shareholder approval, to create one or more classes or series within a class of preferred stock, to issue shares of</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III-8</w:t>
      </w:r>
    </w:p>
    <w:p>
      <w:pPr>
        <w:sectPr>
          <w:pgSz w:w="11900" w:h="16838" w:orient="portrait"/>
          <w:cols w:equalWidth="0" w:num="1">
            <w:col w:w="10239"/>
          </w:cols>
          <w:pgMar w:left="220" w:top="616" w:right="1440" w:bottom="1440" w:gutter="0" w:footer="0" w:header="0"/>
        </w:sectPr>
      </w:pPr>
    </w:p>
    <w:bookmarkStart w:id="82" w:name="page83"/>
    <w:bookmarkEnd w:id="82"/>
    <w:p>
      <w:pPr>
        <w:ind w:left="3200"/>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preferred stock in such class or series up to the maximum number of shares of the relevant class or series of preferred stock authorized, and to determine the preferences, rights, privileges and restrictions of any such class or series, including the dividend rights, voting rights, the rights and terms of redemption, the rights and terms of conversion, liquidation preferences, the number of shares constituting any such class or series and the designation of such class or series. Acting under this authority, the Exxon Board could create and issue a class or series of preferred stock with rights, privileges or restrictions, and adopt a shareholder rights plan, having the effect of discriminating against an existing or prospective holder of securities as a result of such shareholder beneficially owning or commencing a tender offer for a substantial amount of Exxon common stock. One of the effects of authorized but unissued and unreserved shares of capital stock may be to render more difficult or discourage an attempt by a potential acquiror to obtain control of Exxon by means of a merger, tender offer, proxy contest or otherwise, and thereby protect the continuity of Exxon's management. The issuance of such shares of capital stock may have the effect of delaying, deferring or preventing a change in control of Exxon without any further action by the shareholders of Exxon. Exxon has no present intention to adopt a shareholder rights plan, but could do so without shareholder approval at any future time.</w:t>
      </w:r>
    </w:p>
    <w:p>
      <w:pPr>
        <w:spacing w:after="0" w:line="340"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Voting Rights of Exxon Class A Preferred Stock and Exxon Mobil ESOP Preferred Stock. Each holder of Exxon Class A preferred stock is entitled to vote on all matters submitted to a vote of Exxon common stock, voting together with the Exxon common stock as a single class. Each share of Exxon Class A preferred stock is entitled to the number of votes equal to the number of shares of Exxon common stock into which such share of Exxon Class A preferred stock could be converted on the record date for the applicable meeting, subject to adjustment in the case of certain dilutive events.</w:t>
      </w:r>
    </w:p>
    <w:p>
      <w:pPr>
        <w:spacing w:after="0" w:line="164"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Upon completion of the merger, holders of Exxon Mobil ESOP preferred stock will be entitled to vote on all matters submitted to a vote of holders of Exxon Mobil common stock, voting together with the Exxon Mobil common stock and the Exxon Class A preferred stock, as a single class. Each share of Exxon Mobil ESOP preferred stock will be entitled to the number of votes equal to the number of shares of Exxon Mobil common stock into which such share of Exxon Mobil ESOP preferred stock could be converted on the record date for the applicable meeting, subject to adjustment in the case of certain dilutive events.</w:t>
      </w:r>
    </w:p>
    <w:p>
      <w:pPr>
        <w:spacing w:after="0" w:line="164"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Dividend Rights and Rights Upon Liquidation of Exxon Class A Preferred Stock and Exxon Mobil ESOP Preferred Stock. The holders of Exxon Class A preferred stock are entitled to receive, from funds legally available for the payment thereof, dividends when and as declared by resolution of the Exxon Board at a per share rate of $4.68 per annum, subject to adjustment in the case of certain dilutive events. In the event of liquidation or dissolution, after payment or providing for the payment of liabilities and the liquidation preference of any class of stock ranking senior to the Exxon Class A preferred stock, each share of Exxon Class A preferred stock will be entitled to receive $61.50 per share of Exxon Class A preferred stock, subject to adjustment, plus accrued and unpaid dividends.</w:t>
      </w:r>
    </w:p>
    <w:p>
      <w:pPr>
        <w:spacing w:after="0" w:line="163"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Upon completion of the merger, holders of Exxon Mobil ESOP preferred stock will be entitled to dividends and liquidation preference on terms that, to the extent possible, are identical to the terms of the Mobil ESOP preferred stock. Holders of Mobil ESOP preferred stock are entitled to receive, from funds legally available for the payment thereof, dividends when and as declared by resolution of the Mobil Board at a per share rate of $300 per annum, subject to adjustment in the case of certain dilutive events. In the event of liquidation or dissolution, after payment or providing for the payment of liabilities and the liquidation preference of any class of stock ranking senior to the Mobil ESOP preferred stock, each share of Mobil ESOP preferred stock is entitled to receive $3,887.50 per share of Mobil ESOP preferred stock, subject to adjustment, plus accrued and unpaid dividends.</w:t>
      </w:r>
    </w:p>
    <w:p>
      <w:pPr>
        <w:spacing w:after="0" w:line="16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Redemption Rights. Shares of Exxon Class A preferred stock are redeemable at the option of Exxon at any time for $61.50 plus accrued and unpaid dividends. Shares of Exxon Mobil ESOP preferred stock will be redeemable at the option of Exxon Mobil at any time after November 22, 1999 at the liquidation price plus accrued and unpaid dividends. These shares are redeemable before November 22, 1999 for 100.775% of the liquidation price plus accrued and unpaid dividends.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III-9</w:t>
      </w:r>
    </w:p>
    <w:p>
      <w:pPr>
        <w:sectPr>
          <w:pgSz w:w="11900" w:h="16838" w:orient="portrait"/>
          <w:cols w:equalWidth="0" w:num="1">
            <w:col w:w="10239"/>
          </w:cols>
          <w:pgMar w:left="220" w:top="616"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17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Preemptive Rights. Holders of Exxon Class A preferred stock have no preemptive rights to purchase, subscribe for or otherwise acquire any unissued or treasury shares or other securities.</w:t>
      </w:r>
    </w:p>
    <w:p>
      <w:pPr>
        <w:spacing w:after="0" w:line="16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Upon completion of the merger, the holders of Exxon Mobil ESOP preferred stock will have no preemptive rights to purchase, subscribe for or otherwise acquire any unissued or treasury shares or other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Exxon Charter (Item 2 on Exxon's proxy card)</w:t>
      </w:r>
    </w:p>
    <w:p>
      <w:pPr>
        <w:spacing w:after="0" w:line="17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At the Exxon meeting, holders of Exxon stock will be asked to approve the amendment of Exxon's Restated Certificate of Incorporation. The amendment will increase the number of authorized shares of Exxon common stock to 4.5 billion, change Exxon's name to "Exxon Mobil Corporation" and eliminate Exxon's Class B preferred stock, none of which is outstanding. Approval by Exxon shareholders of the merger, including the related issuance of Exxon Mobil common stock, as described under "The Merger Transaction--General" on page I-14, is a condition to effecting the Exxon charter amendment, and approval of the Exxon charter amendment is a condition to completing the merger.</w:t>
      </w:r>
    </w:p>
    <w:p>
      <w:pPr>
        <w:spacing w:after="0" w:line="329"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Increase of Authorized Common Stock. Exxon's charter currently authorizes three billion shares of common stock and 200 million shares of preferred stock. On March 1, 1999, 2,427,925,038 shares of Exxon common stock were issued and outstanding, not counting shares held in Exxon's treasury.</w:t>
      </w:r>
    </w:p>
    <w:p>
      <w:pPr>
        <w:spacing w:after="0" w:line="162" w:lineRule="exact"/>
        <w:rPr>
          <w:sz w:val="20"/>
          <w:szCs w:val="20"/>
          <w:color w:val="auto"/>
        </w:rPr>
      </w:pPr>
    </w:p>
    <w:p>
      <w:pPr>
        <w:jc w:val="both"/>
        <w:ind w:right="3679" w:firstLine="1292"/>
        <w:spacing w:after="0" w:line="251" w:lineRule="auto"/>
        <w:rPr>
          <w:sz w:val="20"/>
          <w:szCs w:val="20"/>
          <w:color w:val="auto"/>
        </w:rPr>
      </w:pPr>
      <w:r>
        <w:rPr>
          <w:rFonts w:ascii="Courier New" w:cs="Courier New" w:eastAsia="Courier New" w:hAnsi="Courier New"/>
          <w:sz w:val="14"/>
          <w:szCs w:val="14"/>
          <w:color w:val="auto"/>
        </w:rPr>
        <w:t>To complete the merger, Exxon expects that approximately 1.03 billion Exxon Mobil shares will be required to be issued to holders of Mobil common stock and that approximately 67.5 million Exxon Mobil shares will be required to be reserved for issuance under Mobil employee stock options and other stock-based awards and for similar purposes.</w:t>
      </w:r>
    </w:p>
    <w:p>
      <w:pPr>
        <w:spacing w:after="0" w:line="165"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As these numbers show, the three billion shares of common stock currently authorized under Exxon's charter will not be sufficient to complete the merger. We therefore ask Exxon shareholders to approve the amendment, which will change Article FOURTH of Exxon's charter to increase the number of authorized shares of Exxon common stock from 3 billion to 4.5 billion.</w:t>
      </w:r>
    </w:p>
    <w:p>
      <w:pPr>
        <w:spacing w:after="0" w:line="165"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The increased number of authorized shares will give Exxon sufficient shares to complete the merger. At present, Exxon has no plans to issue shares for any other purpose. However, we believe it is desirable to have additional shares available for other corporate purposes that might arise in the future. For example, although Exxon currently meets its obligations to deliver shares under employee stock options and similar arrangements with treasury shares (meaning previously issued shares that have been reacquired by Exxon), it may become desirable in the future to use newly issued shares for this purpose. Shares could also be used for acquisitions or to raise capital. Under some circumstances, it is also possible for a company to use unissued shares for antitakeover purposes, but Exxon has no present intention to take any such action.</w:t>
      </w:r>
    </w:p>
    <w:p>
      <w:pPr>
        <w:spacing w:after="0" w:line="16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Whether or not any future issuance of shares unrelated to the merger would be submitted for shareholder vote depends upon the nature of the issuance, legal and stock exchange requirements, and the judgment of Exxon's Board at the time.</w:t>
      </w:r>
    </w:p>
    <w:p>
      <w:pPr>
        <w:spacing w:after="0" w:line="162"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Name change. The merger agreement provides that, when the merger takes effect, Exxon's name will be changed from "Exxon Corporation" to "Exxon Mobil Corporation". The proposed amendment implements this change to Article FIRST of Exxon's charter.</w:t>
      </w:r>
    </w:p>
    <w:p>
      <w:pPr>
        <w:spacing w:after="0" w:line="162" w:lineRule="exact"/>
        <w:rPr>
          <w:sz w:val="20"/>
          <w:szCs w:val="20"/>
          <w:color w:val="auto"/>
        </w:rPr>
      </w:pPr>
    </w:p>
    <w:p>
      <w:pPr>
        <w:ind w:right="3679" w:firstLine="1292"/>
        <w:spacing w:after="0" w:line="251" w:lineRule="auto"/>
        <w:rPr>
          <w:sz w:val="20"/>
          <w:szCs w:val="20"/>
          <w:color w:val="auto"/>
        </w:rPr>
      </w:pPr>
      <w:r>
        <w:rPr>
          <w:rFonts w:ascii="Courier New" w:cs="Courier New" w:eastAsia="Courier New" w:hAnsi="Courier New"/>
          <w:sz w:val="14"/>
          <w:szCs w:val="14"/>
          <w:color w:val="auto"/>
        </w:rPr>
        <w:t>Elimination of Class B Preferred Stock. Exxon's charter currently authorizes the issuance of 100 million shares of Class B preferred stock. This class of stock was created in connection with Exxon's ESOP but has never been issued and is no longer useful. The proposed amendment of Exxon's charter will eliminate the Class B preferred stock.</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III-10</w:t>
      </w:r>
    </w:p>
    <w:p>
      <w:pPr>
        <w:sectPr>
          <w:pgSz w:w="11900" w:h="16838" w:orient="portrait"/>
          <w:cols w:equalWidth="0" w:num="1">
            <w:col w:w="10239"/>
          </w:cols>
          <w:pgMar w:left="220" w:top="616" w:right="1440" w:bottom="1440" w:gutter="0" w:footer="0" w:header="0"/>
        </w:sectPr>
      </w:pPr>
    </w:p>
    <w:bookmarkStart w:id="84" w:name="page85"/>
    <w:bookmarkEnd w:id="84"/>
    <w:p>
      <w:pPr>
        <w:jc w:val="center"/>
        <w:ind w:right="319"/>
        <w:spacing w:after="0"/>
        <w:rPr>
          <w:sz w:val="20"/>
          <w:szCs w:val="20"/>
          <w:color w:val="auto"/>
        </w:rPr>
      </w:pPr>
      <w:r>
        <w:rPr>
          <w:rFonts w:ascii="Courier New" w:cs="Courier New" w:eastAsia="Courier New" w:hAnsi="Courier New"/>
          <w:sz w:val="14"/>
          <w:szCs w:val="14"/>
          <w:color w:val="auto"/>
        </w:rPr>
        <w:t>Chapter Three - Certain Legal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3" w:lineRule="exact"/>
        <w:rPr>
          <w:sz w:val="20"/>
          <w:szCs w:val="20"/>
          <w:color w:val="auto"/>
        </w:rPr>
      </w:pPr>
    </w:p>
    <w:p>
      <w:pPr>
        <w:ind w:right="3779" w:firstLine="1292"/>
        <w:spacing w:after="0" w:line="255" w:lineRule="auto"/>
        <w:rPr>
          <w:sz w:val="20"/>
          <w:szCs w:val="20"/>
          <w:color w:val="auto"/>
        </w:rPr>
      </w:pPr>
      <w:r>
        <w:rPr>
          <w:rFonts w:ascii="Courier New" w:cs="Courier New" w:eastAsia="Courier New" w:hAnsi="Courier New"/>
          <w:sz w:val="14"/>
          <w:szCs w:val="14"/>
          <w:color w:val="auto"/>
        </w:rPr>
        <w:t>BankBoston, N.A. is the transfer agent and registrar for the Exxon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 Delisting and Deregistration of Mobil Common Stock</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It is a condition to the merger that the shares of Exxon Mobil common stock issuable in the merger be approved for listing on the NYSE at or prior to the closing, subject to official notice of issuance. If the merger is completed, Mobil common stock will cease to be listed. The Exxon Mobil ESOP preferred stock will not be listed on any stock exchange.</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519" w:firstLine="1292"/>
        <w:spacing w:after="0" w:line="251" w:lineRule="auto"/>
        <w:rPr>
          <w:sz w:val="20"/>
          <w:szCs w:val="20"/>
          <w:color w:val="auto"/>
        </w:rPr>
      </w:pPr>
      <w:r>
        <w:rPr>
          <w:rFonts w:ascii="Courier New" w:cs="Courier New" w:eastAsia="Courier New" w:hAnsi="Courier New"/>
          <w:sz w:val="14"/>
          <w:szCs w:val="14"/>
          <w:color w:val="auto"/>
        </w:rPr>
        <w:t>The validity of the Exxon Mobil common stock to be issued to Mobil shareholders pursuant to the merger will be passed upon by Charles W. Matthews, Jr., General Counsel of Exxon. It is a condition to the completion of the merger that Exxon and Mobil receive opinions from Davis Polk &amp; Wardwell and Skadden, Arps, Slate, Meagher &amp; Flom LLP, respectively, with respect to the tax treatment of the merger. See "The Merger Agreement--Conditions to the Merger" and "The Merger--Material Federal Income Tax Consequences of the Merger."</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The consolidated financial statements of Exxon incorporated in this joint proxy statement/prospectus by reference to the Form 10-K for Exxon for the year ended December 31, 1998 have been so incorporated in reliance on the report of PricewaterhouseCoopers LLP, independent accountants, given on the authority of said firm as experts in auditing and accounting.</w:t>
      </w:r>
    </w:p>
    <w:p>
      <w:pPr>
        <w:spacing w:after="0" w:line="165"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Ernst &amp; Young LLP, independent auditors, have audited Mobil's consolidated financial statements included in Mobil's Annual Report on Form 10-K for the year ended December 31, 1998 as set forth in their report, which is incorporated in this joint proxy statement/prospectus by reference. Mobil's consolidated financial statements are incorporated by reference in reliance on their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III-11</w:t>
      </w:r>
    </w:p>
    <w:p>
      <w:pPr>
        <w:sectPr>
          <w:pgSz w:w="11900" w:h="16838" w:orient="portrait"/>
          <w:cols w:equalWidth="0" w:num="1">
            <w:col w:w="10239"/>
          </w:cols>
          <w:pgMar w:left="220" w:top="616" w:right="1440" w:bottom="1440" w:gutter="0" w:footer="0" w:header="0"/>
        </w:sectPr>
      </w:pPr>
    </w:p>
    <w:bookmarkStart w:id="85" w:name="page86"/>
    <w:bookmarkEnd w:id="85"/>
    <w:p>
      <w:pPr>
        <w:jc w:val="center"/>
        <w:ind w:right="3859"/>
        <w:spacing w:after="0"/>
        <w:rPr>
          <w:sz w:val="20"/>
          <w:szCs w:val="20"/>
          <w:color w:val="auto"/>
        </w:rPr>
      </w:pPr>
      <w:r>
        <w:rPr>
          <w:rFonts w:ascii="Courier New" w:cs="Courier New" w:eastAsia="Courier New" w:hAnsi="Courier New"/>
          <w:sz w:val="14"/>
          <w:szCs w:val="14"/>
          <w:color w:val="auto"/>
        </w:rPr>
        <w:t>CHAPTER FOUR</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OTHER EXXON ANNUAL MEETING PROPOSALS</w:t>
      </w:r>
    </w:p>
    <w:p>
      <w:pPr>
        <w:spacing w:after="0" w:line="338"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BOARD OF DIRECTORS PROPOSAL: ELECTION OF DIRECTORS (Item 3 on Exxon's Proxy Card)</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Exxon Board has nominated the director candidates named below. Personal information on each of our nominees is given below. All of our nominees currently serve as Exxon directors. Each current director was elected by shareholders at the last annual meeting except for Mr. Esrey, who was elected by the Board in July 1998.</w:t>
      </w:r>
    </w:p>
    <w:p>
      <w:pPr>
        <w:spacing w:after="0" w:line="165"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Board of Directors performs a number of services for Exxon and its shareholders including:</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 overseeing the management of the company on your behalf,</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 reviewing Exxon's long-term strategic plans,</w:t>
      </w:r>
    </w:p>
    <w:p>
      <w:pPr>
        <w:spacing w:after="0" w:line="7" w:lineRule="exact"/>
        <w:rPr>
          <w:sz w:val="20"/>
          <w:szCs w:val="20"/>
          <w:color w:val="auto"/>
        </w:rPr>
      </w:pPr>
    </w:p>
    <w:p>
      <w:pPr>
        <w:ind w:left="780" w:right="3859" w:hanging="159"/>
        <w:spacing w:after="0" w:line="250" w:lineRule="auto"/>
        <w:tabs>
          <w:tab w:leader="none" w:pos="760" w:val="left"/>
        </w:tabs>
        <w:rPr>
          <w:sz w:val="20"/>
          <w:szCs w:val="20"/>
          <w:color w:val="auto"/>
        </w:rPr>
      </w:pPr>
      <w:r>
        <w:rPr>
          <w:rFonts w:ascii="Courier New" w:cs="Courier New" w:eastAsia="Courier New" w:hAnsi="Courier New"/>
          <w:sz w:val="14"/>
          <w:szCs w:val="14"/>
          <w:color w:val="auto"/>
        </w:rPr>
        <w:t>o</w:t>
        <w:tab/>
        <w:t>exercising direct decision-making authority in key areas, such as declaring dividends,</w:t>
      </w:r>
    </w:p>
    <w:p>
      <w:pPr>
        <w:spacing w:after="0" w:line="1" w:lineRule="exact"/>
        <w:rPr>
          <w:sz w:val="20"/>
          <w:szCs w:val="20"/>
          <w:color w:val="auto"/>
        </w:rPr>
      </w:pPr>
    </w:p>
    <w:p>
      <w:pPr>
        <w:ind w:left="780" w:right="3779" w:hanging="159"/>
        <w:spacing w:after="0" w:line="250" w:lineRule="auto"/>
        <w:tabs>
          <w:tab w:leader="none" w:pos="760" w:val="left"/>
        </w:tabs>
        <w:rPr>
          <w:sz w:val="20"/>
          <w:szCs w:val="20"/>
          <w:color w:val="auto"/>
        </w:rPr>
      </w:pPr>
      <w:r>
        <w:rPr>
          <w:rFonts w:ascii="Courier New" w:cs="Courier New" w:eastAsia="Courier New" w:hAnsi="Courier New"/>
          <w:sz w:val="14"/>
          <w:szCs w:val="14"/>
          <w:color w:val="auto"/>
        </w:rPr>
        <w:t>o</w:t>
        <w:tab/>
        <w:t>choosing the CEO, setting the scope of his authority to manage the company's business day to day and evaluating his performance, and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 reviewing development and succession plans for Exxon's top executives.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Most Exxon directors -- including nine of our 13 nominees -- are not Exxon employees. Only nonemployee directors serve on Exxon's Audit, Board Compensation, and Board Affairs committees. All Exxon directors are elected for one-year terms. Nonemployee directors may not stand for election after age 70. Employee directors usually leave the Board when they retire from Exxon.</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Board was saddened by the death on July 8, 1998 of Mr. D. Wayne Calloway, who served as a director since 1988. His wise counsel will be missed.</w:t>
      </w:r>
    </w:p>
    <w:p>
      <w:pPr>
        <w:spacing w:after="0" w:line="160"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The Board met 10 times during 1998. All of Exxon's current directors attended 100% of Board and committee meetings during the period they were directors.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If a director nominee becomes unavailable before the election, your proxy authorizes us to vote for a replacement nominee if the Board names one.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recommends you vote FOR each of the following candidates: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Biographies of our Board Nominees</w:t>
      </w:r>
    </w:p>
    <w:p>
      <w:pPr>
        <w:sectPr>
          <w:pgSz w:w="11900" w:h="16838" w:orient="portrait"/>
          <w:cols w:equalWidth="0" w:num="1">
            <w:col w:w="10239"/>
          </w:cols>
          <w:pgMar w:left="220" w:top="45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Boskin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Boskin]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 M. Friedman Professor of Economics,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Fellow, Hoover Institution, Stanford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Holds bachelor's, master's,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Ph.D. degrees in economics. Joined Stanford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in 1970. Adjunct Scholar, American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Institute; Research Associate,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Bureau of Economic Research.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AirTouch Communications, Inc.; First Health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Corporation; Oracle Corporation.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Congressional Advisory Commission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Price Index 1995-96; Council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Advisors, 1989-93. Member, Advisory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of the Joint Committee on Taxation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U.S. Congress; Panel of Advisors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Congressional Budget Office. Dr. Boskin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recipient of numerous professional awards.</w:t>
      </w:r>
    </w:p>
    <w:p>
      <w:pPr>
        <w:spacing w:after="0" w:line="173" w:lineRule="exact"/>
        <w:rPr>
          <w:sz w:val="20"/>
          <w:szCs w:val="20"/>
          <w:color w:val="auto"/>
        </w:rPr>
      </w:pPr>
    </w:p>
    <w:p>
      <w:pPr>
        <w:sectPr>
          <w:pgSz w:w="11900" w:h="16838" w:orient="portrait"/>
          <w:cols w:equalWidth="0" w:num="2">
            <w:col w:w="1960" w:space="720"/>
            <w:col w:w="7559"/>
          </w:cols>
          <w:pgMar w:left="220" w:top="451"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w:t>
      </w:r>
    </w:p>
    <w:p>
      <w:pPr>
        <w:sectPr>
          <w:pgSz w:w="11900" w:h="16838" w:orient="portrait"/>
          <w:cols w:equalWidth="0" w:num="1">
            <w:col w:w="10239"/>
          </w:cols>
          <w:pgMar w:left="220" w:top="451" w:right="1440" w:bottom="1440" w:gutter="0" w:footer="0" w:header="0"/>
          <w:type w:val="continuous"/>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 Dahan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 Dahan]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1998</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Holds a degree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nautical science. Principal responsibilities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 Exxon's worldwide refining, 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transportation activities; middle 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Exxon Chemical Company;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Engineering Company; environment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safety; medicine and occupational health.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joining the Exxon organization in 1963,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Dahan has held a variety of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positions in domestic and foreign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our Benelux affiliate; President,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International. Elected Senior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Exxon in 1995 and Director in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International Advisory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Instituto de Empresa; Board of Directors, Junior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Achievement International.</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T. Esrey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T. Esrey]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 Sprint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Holds bachelor's degree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economics and master of business administration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Joined Sprint Corporation, then known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Telecommunications, Inc., a domestic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long distance and local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telecommunications, product distribution,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directory publishing company, in 1980. Held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variety of management positions. Elected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in 1985 and chairman in 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joining Sprint Corporation, Mr. Esrey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management positions with Dillon, Read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AT&amp;T, New York Telephone Company,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Empire City Subway Co., Ltd. Director, Duke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Corporation; Earthlink; Everen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General Mills, Inc. Member,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Council; The Business Roundtable;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Trilateral Commission.</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Jess Hay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Jess Hay]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Texas Foundation for Higher Education;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HCB Enterprises Inc, a private investment firm.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Holds bachelor of business administration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 degrees. Prior to his retirement in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Mr. Hay served for 29 years as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The Lomas Financial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diversified financial services group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engaged principally in mortgage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banking and real estate lending. Practiced law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Dallas, Texas prior to joining Lomas in 1965.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The Viad Corporation; SBC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Inc.; Trinity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the Board, Greater Dallas Planning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Council; Southwestern Medical Foundation;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League; Zale-Lipshy Hospital of Dallas;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War II Memorial Advisory Board; State Fair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 Member, American, Dallas, and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 Associations.</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w:t>
      </w:r>
    </w:p>
    <w:p>
      <w:pPr>
        <w:sectPr>
          <w:pgSz w:w="11900" w:h="16838" w:orient="portrait"/>
          <w:cols w:equalWidth="0" w:num="1">
            <w:col w:w="10239"/>
          </w:cols>
          <w:pgMar w:left="220" w:top="616" w:right="1440" w:bottom="1440" w:gutter="0" w:footer="0" w:header="0"/>
          <w:type w:val="continuous"/>
        </w:sectPr>
      </w:pPr>
    </w:p>
    <w:bookmarkStart w:id="87" w:name="page88"/>
    <w:bookmarkEnd w:id="87"/>
    <w:p>
      <w:pPr>
        <w:ind w:left="2340"/>
        <w:spacing w:after="0"/>
        <w:rPr>
          <w:sz w:val="20"/>
          <w:szCs w:val="20"/>
          <w:color w:val="auto"/>
        </w:rPr>
      </w:pPr>
      <w:r>
        <w:rPr>
          <w:rFonts w:ascii="Courier New" w:cs="Courier New" w:eastAsia="Courier New" w:hAnsi="Courier New"/>
          <w:sz w:val="14"/>
          <w:szCs w:val="14"/>
          <w:color w:val="auto"/>
        </w:rPr>
        <w:t>Chapter Four - Other Exxon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R. Houghton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R. Houghton]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1994</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Emeritus, Corning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Holds bachelor of arts and master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business administration degrees. Joined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Corning Incorporated, a communications, advanced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and display products company, in 1962.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Elected Chairman of the Board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Corning Incorporated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1983. Retired in 1996. Director, Corning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J.P. Morgan &amp; Co.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Metropolitan Life Insurance Company. Trustee,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Corning Museum of Glass; The Metropolitan Museum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Art; The Pierpont Morgan Library. Member,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Council; Council on Foreign Relations;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Harvard Corporation.</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R. Howell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R. Howell]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Emeritus, J.C. Penney Company,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Holds bachelor of business administration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Joined J.C. Penney Company, Inc.,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store and catalog chain, in 1958.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Elected Chairman of the Board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in 1983. Retired as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Board in 1997. Director, Bankers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Corporation and Bankers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and South West Corporation; Halliburton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Warner-Lambert Company; The Williams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Chairman, Board of Trustees, Southern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Methodist University.</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Reatha Clark 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Reatha Clark 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Executive Director, General Mills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Foundation; Vice President, General Mills,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manufacturer and marketer of consumer food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Holds bachelor of science degree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chemistry and mathematics, master of science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in chemistry, master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 degree in finance and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Ph.D. degree in thermochemistry.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joining the General Mills Foundation in 1988,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King held a variety of scientific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positions, including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Chemist, National Bureau of Standards; Chemistry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Professor, Associate Dean for Division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Natural Science &amp; Mathematics, and Associate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Dean for Academic Affairs, York College, 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New York; President, Metropolitan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University. Director, H.B. Fuller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Minnesota Mutual Companies, Inc.; Wells Fargo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Company. Trustee, H.B. Fuller Foundation;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Chicago. Dr. King is the recipient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numerous awards, including 13 honorary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doctorate degrees.</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IV-3</w:t>
      </w:r>
    </w:p>
    <w:p>
      <w:pPr>
        <w:sectPr>
          <w:pgSz w:w="11900" w:h="16838" w:orient="portrait"/>
          <w:cols w:equalWidth="0" w:num="1">
            <w:col w:w="10239"/>
          </w:cols>
          <w:pgMar w:left="220" w:top="616" w:right="1440" w:bottom="1440" w:gutter="0" w:footer="0" w:header="0"/>
          <w:type w:val="continuous"/>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Lippincott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Lippincott]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Retired Chairman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Paper Company. Holds bachelor of arts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and master of business administration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degree in food distribution. Joined Scott Paper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 company involved in sanitary paper,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printing and publishing papers, and forestry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in 1959. Held a variety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positions. Elected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in 1982 and Chairman in 1983. Retired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Director, Campbell Soup Company.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Board and Director, Fox Chase Cancer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Center. Trustee, The Penn Mutual Life 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Board of Overseers, The Huntsman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Competition and Innovation, The Wharton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School, University of Pennsylvania. Member,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Council.</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J. Longwell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J. Longwell]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Holds bachelor's degree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petroleum engineering.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responsibilities include Exxon's oil, gas, coal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minerals exploration and production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venture operations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of Independent States and China;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Coal and Minerals Company;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Exploration Company; Exxon Production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human resources. Since joining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organization in 1963, Mr. Longwell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a variety of management positions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foreign operations, including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President-Production and President,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U.S.A.; Vice President, Esso Europe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Vice President-Exploration and Production,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President-Exploration, Production,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Gas, and Executive Vice President,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International. Elected Senior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Director of Exxon in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U.S.-China Business Council; Louisiana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University Foundation; National Action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Council or Minorities in Engineering; United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Dallas. Member, Board of Visitors, University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 M.D. Anderson Cancer Center; Advisory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Dallas Area Habitat for Humanity;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Petroleum Institute; Society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Petroleum Engineers.</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Marilyn Carlson Nelson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Marilyn Carlson Nelson]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Chief Executive Officer, President and Chief Operating Officer, Carlson Companies, Inc.; Co-Chair, Carlson Wagonlit Travel. Holds bachelor's degree in international economics. Since joining Carlson Companies, Inc., a travel, hotel, restaurant and marketing services company, in 1989, Mrs. Nelson has held a number of management positions, including Director, Senior Vice President and Vice Chair, Carlson Holdings, Inc. Director, Carlson Companies, Inc.; U.S. West Inc. President-elect, Travel Industry of America. Member, Center for International Leadership; Committee of 200; International Advisory Council; United States National Tourism Organization; World Travel and Tourism Council. Mrs. Nelson is the recipient of numerous awards, including three honorary doctorate degrees.</w:t>
      </w:r>
    </w:p>
    <w:p>
      <w:pPr>
        <w:spacing w:after="0" w:line="338" w:lineRule="exact"/>
        <w:rPr>
          <w:sz w:val="20"/>
          <w:szCs w:val="20"/>
          <w:color w:val="auto"/>
        </w:rPr>
      </w:pPr>
    </w:p>
    <w:p>
      <w:pPr>
        <w:sectPr>
          <w:pgSz w:w="11900" w:h="16838" w:orient="portrait"/>
          <w:cols w:equalWidth="0" w:num="2">
            <w:col w:w="1980" w:space="70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IV-4</w:t>
      </w:r>
    </w:p>
    <w:p>
      <w:pPr>
        <w:sectPr>
          <w:pgSz w:w="11900" w:h="16838" w:orient="portrait"/>
          <w:cols w:equalWidth="0" w:num="1">
            <w:col w:w="10239"/>
          </w:cols>
          <w:pgMar w:left="220" w:top="616" w:right="1440" w:bottom="1440" w:gutter="0" w:footer="0" w:header="0"/>
          <w:type w:val="continuous"/>
        </w:sectPr>
      </w:pPr>
    </w:p>
    <w:bookmarkStart w:id="89" w:name="page90"/>
    <w:bookmarkEnd w:id="89"/>
    <w:p>
      <w:pPr>
        <w:ind w:left="2340"/>
        <w:spacing w:after="0"/>
        <w:rPr>
          <w:sz w:val="20"/>
          <w:szCs w:val="20"/>
          <w:color w:val="auto"/>
        </w:rPr>
      </w:pPr>
      <w:r>
        <w:rPr>
          <w:rFonts w:ascii="Courier New" w:cs="Courier New" w:eastAsia="Courier New" w:hAnsi="Courier New"/>
          <w:sz w:val="14"/>
          <w:szCs w:val="14"/>
          <w:color w:val="auto"/>
        </w:rPr>
        <w:t>Chapter Four - Other Exxon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Lee R. Raymond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Lee R. Raymond]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1984</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Holds bachelor's and Ph.D. degrees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engineering. Since joining the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in 1963, Mr. Raymond held a variety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management positions in domestic and foreign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including Exxon Company, U.S.A.;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Creole Petroleum Corporation;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Company; Exxon Enterprises; Esso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Inter-America Inc. Elected 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 of Exxon in 1984, President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1987, Chairman and Chief Executive Officer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 and added title of President in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J.P. Morgan &amp; Co. Incorporated; Morgan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Guaranty Trust Company of New York; American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Petroleum Institute; United Negro College Fund.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Southern Methodist University;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Wisconsin Alumni Research Foundation. Member,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Business Council; The Business Roundtable;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Council on Foreign Relations; Emergency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for American Trade; National Petroleum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Council; Singapore-U.S. Business Council;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Trilateral Commission; University of Wisconsin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Foundation.</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 V. Shipley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 V. Shipley]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The Chase Manhattan Corporation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Manhattan Bank, a banking and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Holds bachelor of science degree.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Joined Chase Bank in 1956. Held a variety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positions. Director, Bell Atlantic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Champion International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Reserve Bank of New York; Lincoln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Performing Arts, Inc.; New York 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Partnership and Chamber of Commerce; United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Tri-State; United Cerebral Palsy Research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Foundation, Inc.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Goodwill Industries of Greater 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York, Inc. Member, The Bankers Roundtable;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Council; The Business Roundtable;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U.S.-Japan Business Council, Inc.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American Museum of Natural History.</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E. Wilhelm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E. Wilhelm]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Holds bachelor of science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master of business administration degrees.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responsibilities include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U.S.A.; Imperial Oil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and financial control; corporate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planning; public affairs; treasurer's.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joining the Exxon organization in 1963,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Wilhelm has held a variety of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positions in domestic and foreign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Vice President-Petroleum 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Esso Europe Inc.; President, Esso Inter-America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Executive Vice President, Exxon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Elected Senior Vice President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in 1990 and Director in 1992.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Council of the Americas.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Governors, Foreign Policy Association. Member,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Coal Industry Advisory Board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Energy Agency; Council on Foreign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 Massachusetts Institute of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Vice President, Circle 10 Council,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Boy Scouts of America. Trustee, Greenhill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School, Dallas, Texas.</w:t>
      </w:r>
    </w:p>
    <w:p>
      <w:pPr>
        <w:spacing w:after="0" w:line="173" w:lineRule="exact"/>
        <w:rPr>
          <w:sz w:val="20"/>
          <w:szCs w:val="20"/>
          <w:color w:val="auto"/>
        </w:rPr>
      </w:pPr>
    </w:p>
    <w:p>
      <w:pPr>
        <w:sectPr>
          <w:pgSz w:w="11900" w:h="16838" w:orient="portrait"/>
          <w:cols w:equalWidth="0" w:num="2">
            <w:col w:w="1960" w:space="720"/>
            <w:col w:w="755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IV-5</w:t>
      </w:r>
    </w:p>
    <w:p>
      <w:pPr>
        <w:sectPr>
          <w:pgSz w:w="11900" w:h="16838" w:orient="portrait"/>
          <w:cols w:equalWidth="0" w:num="1">
            <w:col w:w="10239"/>
          </w:cols>
          <w:pgMar w:left="220" w:top="616" w:right="1440" w:bottom="1440" w:gutter="0" w:footer="0" w:header="0"/>
          <w:type w:val="continuous"/>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Exxon employees receive no extra pay for serving as directors. Nonemployee directors receive a base fee of $40,000 a year; $1,500 per Board and committee meeting attended; and reimbursement of meeting expenses. Except for the Executive Committee, nonemployee directors also receive $3,000 per committee membership and $5,000 per committee chairmanship. Nonemployee directors may elect to defer all or part of these fees. Deferred fees are payable after the director leaves the Board in one to five annual installments. We credit deferred fees with interest at Citibank's prime rate.</w:t>
      </w:r>
    </w:p>
    <w:p>
      <w:pPr>
        <w:spacing w:after="0" w:line="164" w:lineRule="exact"/>
        <w:rPr>
          <w:sz w:val="20"/>
          <w:szCs w:val="20"/>
          <w:color w:val="auto"/>
        </w:rPr>
      </w:pPr>
    </w:p>
    <w:p>
      <w:pPr>
        <w:ind w:left="260" w:right="3419" w:firstLine="258"/>
        <w:spacing w:after="0" w:line="251" w:lineRule="auto"/>
        <w:rPr>
          <w:sz w:val="20"/>
          <w:szCs w:val="20"/>
          <w:color w:val="auto"/>
        </w:rPr>
      </w:pPr>
      <w:r>
        <w:rPr>
          <w:rFonts w:ascii="Courier New" w:cs="Courier New" w:eastAsia="Courier New" w:hAnsi="Courier New"/>
          <w:sz w:val="14"/>
          <w:szCs w:val="14"/>
          <w:color w:val="auto"/>
        </w:rPr>
        <w:t>We also pay a portion of director compensation in stock. Each nonemployee director receives 4,000 shares of restricted stock when first elected to the Board and, if the director remains in office, an additional 600 restricted shares each following year. While on the Board, the nonemployee director receives the same cash dividends on restricted shares as a holder of regular common stock, but the director is not allowed to sell the shares.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ind w:left="260" w:right="3939" w:firstLine="258"/>
        <w:spacing w:after="0" w:line="252" w:lineRule="auto"/>
        <w:rPr>
          <w:sz w:val="20"/>
          <w:szCs w:val="20"/>
          <w:color w:val="auto"/>
        </w:rPr>
      </w:pPr>
      <w:r>
        <w:rPr>
          <w:rFonts w:ascii="Courier New" w:cs="Courier New" w:eastAsia="Courier New" w:hAnsi="Courier New"/>
          <w:sz w:val="14"/>
          <w:szCs w:val="14"/>
          <w:color w:val="auto"/>
        </w:rPr>
        <w:t>The Board appoints committees to help carry out its duties. In particular, Board committees work on key issues in greater detail than would be possible at full Board meetings. Each committee reviews the results of its meetings with the full Board.</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Audit Committee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Houghton (Chairperson)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Esrey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Howell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Dr. King</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Mrs. Nelson</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Audit Committee met three times during 1998. The committee is responsible for accounting and internal control matters. Subject to shareholder approval, the committee chooses the independent public accountants to audit Exxon's financial statements. The committee consults with the independent accountants and reviews their audit and other work. The committee also consults with Exxon's Controller and General Auditor and reviews Exxon's internal controls and compliance with policies. In addition to its regular activities, the committee is available to meet on call of the independent accountants, Controller, or General Auditor whenever a special situation arises.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Board Advisory Committee on Contributions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Hay (Chairperson)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Esrey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Dr. King</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Lippincott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Mrs. Nelson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Wilhelm</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Board Advisory Committee on Contributions met two times during 1998. The committee reviews the level of Exxon's support for education and other public service programs, including the company's contributions to the Exxon Education Foundation. The Foundation works to improve the quality of education in America at all levels, with special emphasis on math and science.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IV-6</w:t>
      </w:r>
    </w:p>
    <w:p>
      <w:pPr>
        <w:sectPr>
          <w:pgSz w:w="11900" w:h="16838" w:orient="portrait"/>
          <w:cols w:equalWidth="0" w:num="1">
            <w:col w:w="10239"/>
          </w:cols>
          <w:pgMar w:left="220" w:top="616" w:right="1440" w:bottom="1440" w:gutter="0" w:footer="0" w:header="0"/>
        </w:sectPr>
      </w:pPr>
    </w:p>
    <w:bookmarkStart w:id="91" w:name="page92"/>
    <w:bookmarkEnd w:id="91"/>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Affairs Committee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Mrs. Nelson (Chairperson)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Hay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Howell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Lippincott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Shipley</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Board Affairs Committee met two times during 1998. The committee recommends director candidates; reviews nonemployee director compensation; and reviews other corporate governance practices. The committee will consider your suggestions for possible director candidates if you submit the name and biographical information in writing to Exxon's Secretary at the address under "The Companies" on page I-2. On request, the Secretary will also provide a description of the qualifications we look for in director candidates.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Compensation Committee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Howell (Chairperson)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Dr. Boskin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Hay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Shipley</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Board Compensation Committee, which we also call the BCC, met five times during 1998. The committee oversees compensation for Exxon's senior executives, including salary, bonus, and incentive awards. The committee also reviews succession plans for key executive positions. The committee's report on executive compensation starts on page IV-10.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Committee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Raymond (Chairperson)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Dr. Boskin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Esrey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Houghton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Shipley</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Finance Committee met two times during 1998. The committee reviews Exxon's financial policies and strategies, including our capital structure, and authorizes corporate debt within limits set by the Board.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Issues Committee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Lippincott (Chairperson)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Dr. Boskin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Dahan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Houghton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Dr. King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Mr. Longwell</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Public Issues Committee met two times during 1998. The committee reviews Exxon's policies and practices on relevant public issues, including their effects on the environment, safety, and health. The committee hears reports from operating units on environmental and safety activities. The committee also visits operating sites to observe and comment on current practices, including spill and hazard prevention.</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IV-7</w:t>
      </w:r>
    </w:p>
    <w:p>
      <w:pPr>
        <w:sectPr>
          <w:pgSz w:w="11900" w:h="16838" w:orient="portrait"/>
          <w:cols w:equalWidth="0" w:num="1">
            <w:col w:w="9979"/>
          </w:cols>
          <w:pgMar w:left="480" w:top="616"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Executive Committee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Raymond (Chairperson)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Hay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Howell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Lippincott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Mrs. Nelson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directors serve as alternate members on a rotational basis.</w:t>
      </w:r>
    </w:p>
    <w:p>
      <w:pPr>
        <w:spacing w:after="0" w:line="173"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The Executive Committee did not meet during 1998. The committee has broad power to act on behalf of the Board. In practice, the committee only meets when it is impractical to call a meeting of the full Board.</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IV-8</w:t>
      </w:r>
    </w:p>
    <w:p>
      <w:pPr>
        <w:sectPr>
          <w:pgSz w:w="11900" w:h="16838" w:orient="portrait"/>
          <w:cols w:equalWidth="0" w:num="1">
            <w:col w:w="10239"/>
          </w:cols>
          <w:pgMar w:left="220" w:top="616" w:right="1440" w:bottom="1440" w:gutter="0" w:footer="0" w:header="0"/>
        </w:sectPr>
      </w:pPr>
    </w:p>
    <w:bookmarkStart w:id="93" w:name="page94"/>
    <w:bookmarkEnd w:id="93"/>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and Executive Officer Stock Ownership</w:t>
      </w:r>
    </w:p>
    <w:p>
      <w:pPr>
        <w:spacing w:after="0" w:line="173"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These tables show how much Exxon common stock each executive named in the Summary Compensation Table on page IV-14 and each nonemployee director and nominee owned on March 1, 1999. None of these individuals owns more than 0.14 percent of the outstanding shares.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 Covered by</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Named Executive Officer</w:t>
            </w: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Shares Owned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Exercisable Options</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Lee R. Raymond............</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459,747</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2,848,980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Rene Dahan................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98,311</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710,570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Harry J. Longwell.........</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163,230</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1,063,980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Robert E. Wilhelm.........</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198,878</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1,176,658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Ray B. Nesbitt............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113,105</w:t>
            </w:r>
          </w:p>
        </w:tc>
        <w:tc>
          <w:tcPr>
            <w:tcW w:w="70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435,344</w:t>
            </w: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hanging="341"/>
        <w:spacing w:after="0"/>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1,200 shares held as estate representative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44,014 shares owned jointly with spouse</w:t>
      </w:r>
    </w:p>
    <w:p>
      <w:pPr>
        <w:spacing w:after="0" w:line="7" w:lineRule="exact"/>
        <w:rPr>
          <w:rFonts w:ascii="Courier New" w:cs="Courier New" w:eastAsia="Courier New" w:hAnsi="Courier New"/>
          <w:sz w:val="14"/>
          <w:szCs w:val="14"/>
          <w:color w:val="auto"/>
        </w:rPr>
      </w:pPr>
    </w:p>
    <w:p>
      <w:pPr>
        <w:ind w:left="780" w:right="3779" w:hanging="341"/>
        <w:spacing w:after="0" w:line="250" w:lineRule="auto"/>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48 shares owned by spouse and 19,852 shares owned jointly with spouse</w:t>
      </w:r>
    </w:p>
    <w:p>
      <w:pPr>
        <w:ind w:left="780" w:right="3679" w:hanging="341"/>
        <w:spacing w:after="0" w:line="255" w:lineRule="auto"/>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3,070 shares owned jointly with spouse and 8,567 shares in trust for children.</w:t>
      </w:r>
    </w:p>
    <w:p>
      <w:pPr>
        <w:spacing w:after="0" w:line="32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Nonemployee Director/Nominee</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 Owned*</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Michael J. Boskin..................................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5,800</w:t>
            </w:r>
          </w:p>
        </w:tc>
        <w:tc>
          <w:tcPr>
            <w:tcW w:w="300" w:type="dxa"/>
            <w:vAlign w:val="bottom"/>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W. T. Esrey........................................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Jess Hay...........................................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21,600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James R. Houghton..................................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William R. Howell..................................</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Reatha Clark King..................................</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5,573</w:t>
            </w:r>
          </w:p>
        </w:tc>
        <w:tc>
          <w:tcPr>
            <w:tcW w:w="300" w:type="dxa"/>
            <w:vAlign w:val="bottom"/>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Philip E. Lippincott...............................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10,600</w:t>
            </w:r>
          </w:p>
        </w:tc>
        <w:tc>
          <w:tcPr>
            <w:tcW w:w="300" w:type="dxa"/>
            <w:vAlign w:val="bottom"/>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Marilyn Carlson Nelson.............................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Walter V. Shipley..................................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5,600</w:t>
            </w:r>
          </w:p>
        </w:tc>
        <w:tc>
          <w:tcPr>
            <w:tcW w:w="300" w:type="dxa"/>
            <w:vAlign w:val="bottom"/>
          </w:tcPr>
          <w:p>
            <w:pPr>
              <w:spacing w:after="0"/>
              <w:rPr>
                <w:sz w:val="14"/>
                <w:szCs w:val="14"/>
                <w:color w:val="auto"/>
              </w:rPr>
            </w:pP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hanging="261"/>
        <w:spacing w:after="0"/>
        <w:tabs>
          <w:tab w:leader="none" w:pos="70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nonemployee directors are not granted Exxon stock options.</w:t>
      </w:r>
    </w:p>
    <w:p>
      <w:pPr>
        <w:spacing w:after="0" w:line="173" w:lineRule="exact"/>
        <w:rPr>
          <w:sz w:val="20"/>
          <w:szCs w:val="20"/>
          <w:color w:val="auto"/>
        </w:rPr>
      </w:pPr>
    </w:p>
    <w:p>
      <w:pPr>
        <w:ind w:left="780" w:hanging="341"/>
        <w:spacing w:after="0"/>
        <w:tabs>
          <w:tab w:leader="none" w:pos="7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520 shares owned jointly with spouse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12,400 shares in a defined benefit plan</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1,200 shares owned by spouse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2,700 shares held as constructive trustee for former spouse</w:t>
      </w:r>
    </w:p>
    <w:p>
      <w:pPr>
        <w:spacing w:after="0" w:line="7"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9,000 shares in trust</w:t>
      </w:r>
    </w:p>
    <w:p>
      <w:pPr>
        <w:spacing w:after="0" w:line="338"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On March 1, 1999, Exxon's directors and executive officers (23 people) together owned 1,775,415 shares of Exxon stock and 8,771,810 shares covered by exercisable options, representing about 0.43 percent of the outstanding shares.</w:t>
      </w:r>
    </w:p>
    <w:p>
      <w:pPr>
        <w:spacing w:after="0" w:line="162"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The trustee of Exxon's Thrift Plan holds and votes all the outstanding shares of Exxon's Class A preferred stock. See page II-2 for more details. The trustee is a committee of five Exxon executives, none of whom is a director or nominee.</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IV-9</w:t>
      </w:r>
    </w:p>
    <w:p>
      <w:pPr>
        <w:sectPr>
          <w:pgSz w:w="11900" w:h="16838" w:orient="portrait"/>
          <w:cols w:equalWidth="0" w:num="1">
            <w:col w:w="10239"/>
          </w:cols>
          <w:pgMar w:left="220" w:top="616"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Compensation Committee Report on Executive Compensation</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Exxon's executive compensation program is designed to motivate, reward, and retain the management talent our company needs to achieve its business goals and maintain its leadership. Our program makes a significant portion of senior executives' potential compensation dependent upon increases in shareholder value.</w:t>
      </w:r>
    </w:p>
    <w:p>
      <w:pPr>
        <w:spacing w:after="0" w:line="165" w:lineRule="exact"/>
        <w:rPr>
          <w:sz w:val="20"/>
          <w:szCs w:val="20"/>
          <w:color w:val="auto"/>
        </w:rPr>
      </w:pPr>
    </w:p>
    <w:p>
      <w:pPr>
        <w:jc w:val="both"/>
        <w:ind w:left="260" w:right="3599" w:firstLine="258"/>
        <w:spacing w:after="0" w:line="252" w:lineRule="auto"/>
        <w:rPr>
          <w:sz w:val="20"/>
          <w:szCs w:val="20"/>
          <w:color w:val="auto"/>
        </w:rPr>
      </w:pPr>
      <w:r>
        <w:rPr>
          <w:rFonts w:ascii="Courier New" w:cs="Courier New" w:eastAsia="Courier New" w:hAnsi="Courier New"/>
          <w:sz w:val="14"/>
          <w:szCs w:val="14"/>
          <w:color w:val="auto"/>
        </w:rPr>
        <w:t>Exxon's success depends on retaining and motivating executives who have developed the skills and expertise required to lead a global organization. We do this with:</w:t>
      </w:r>
    </w:p>
    <w:p>
      <w:pPr>
        <w:spacing w:after="0" w:line="163" w:lineRule="exact"/>
        <w:rPr>
          <w:sz w:val="20"/>
          <w:szCs w:val="20"/>
          <w:color w:val="auto"/>
        </w:rPr>
      </w:pPr>
    </w:p>
    <w:p>
      <w:pPr>
        <w:ind w:left="960" w:right="3779" w:hanging="349"/>
        <w:spacing w:after="0" w:line="250" w:lineRule="auto"/>
        <w:tabs>
          <w:tab w:leader="none" w:pos="9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base salaries in keeping with a philosophy of career continuity</w:t>
      </w:r>
    </w:p>
    <w:p>
      <w:pPr>
        <w:ind w:left="960" w:hanging="349"/>
        <w:spacing w:after="0"/>
        <w:tabs>
          <w:tab w:leader="none" w:pos="9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Rewards for exceptional performance and accomplishments</w:t>
      </w:r>
    </w:p>
    <w:p>
      <w:pPr>
        <w:spacing w:after="0" w:line="7"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Incentives to meet short-term and long-term objectives</w:t>
      </w:r>
    </w:p>
    <w:p>
      <w:pPr>
        <w:spacing w:after="0" w:line="173"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The nature of the petroleum business requires long-term and capital-intensive investments. These investments often take years to generate a return to shareholders. Accordingly, we grant incentive awards with a view toward long-term corporate performance. These awards may not fluctuate as much as year-to-year financial results.</w:t>
      </w:r>
    </w:p>
    <w:p>
      <w:pPr>
        <w:spacing w:after="0" w:line="165" w:lineRule="exact"/>
        <w:rPr>
          <w:sz w:val="20"/>
          <w:szCs w:val="20"/>
          <w:color w:val="auto"/>
        </w:rPr>
      </w:pPr>
    </w:p>
    <w:p>
      <w:pPr>
        <w:ind w:left="260" w:right="3679" w:firstLine="258"/>
        <w:spacing w:after="0" w:line="251" w:lineRule="auto"/>
        <w:rPr>
          <w:sz w:val="20"/>
          <w:szCs w:val="20"/>
          <w:color w:val="auto"/>
        </w:rPr>
      </w:pPr>
      <w:r>
        <w:rPr>
          <w:rFonts w:ascii="Courier New" w:cs="Courier New" w:eastAsia="Courier New" w:hAnsi="Courier New"/>
          <w:sz w:val="14"/>
          <w:szCs w:val="14"/>
          <w:color w:val="auto"/>
        </w:rPr>
        <w:t>Exxon pays for performance based on an individual's level of responsibility. For this purpose, performance means both individual and corporate performance. We motivate performance by recognizing the past year's results and by providing incentives for further improvement in the future.</w:t>
      </w:r>
    </w:p>
    <w:p>
      <w:pPr>
        <w:spacing w:after="0" w:line="165" w:lineRule="exact"/>
        <w:rPr>
          <w:sz w:val="20"/>
          <w:szCs w:val="20"/>
          <w:color w:val="auto"/>
        </w:rPr>
      </w:pPr>
    </w:p>
    <w:p>
      <w:pPr>
        <w:ind w:left="260" w:right="3779" w:firstLine="258"/>
        <w:spacing w:after="0" w:line="251" w:lineRule="auto"/>
        <w:rPr>
          <w:sz w:val="20"/>
          <w:szCs w:val="20"/>
          <w:color w:val="auto"/>
        </w:rPr>
      </w:pPr>
      <w:r>
        <w:rPr>
          <w:rFonts w:ascii="Courier New" w:cs="Courier New" w:eastAsia="Courier New" w:hAnsi="Courier New"/>
          <w:sz w:val="14"/>
          <w:szCs w:val="14"/>
          <w:color w:val="auto"/>
        </w:rPr>
        <w:t>Individual performance includes the ability to put Exxon's business plans into effect and to react to unanticipated events. We base compensation decisions for all executives, including the Chief Executive Officer (CEO) and the other executives named in the Summary Compensation Table on page IV-14 on these criteria.</w:t>
      </w:r>
    </w:p>
    <w:p>
      <w:pPr>
        <w:spacing w:after="0" w:line="165" w:lineRule="exact"/>
        <w:rPr>
          <w:sz w:val="20"/>
          <w:szCs w:val="20"/>
          <w:color w:val="auto"/>
        </w:rPr>
      </w:pPr>
    </w:p>
    <w:p>
      <w:pPr>
        <w:ind w:left="260" w:right="3939" w:firstLine="258"/>
        <w:spacing w:after="0" w:line="255" w:lineRule="auto"/>
        <w:rPr>
          <w:sz w:val="20"/>
          <w:szCs w:val="20"/>
          <w:color w:val="auto"/>
        </w:rPr>
      </w:pPr>
      <w:r>
        <w:rPr>
          <w:rFonts w:ascii="Courier New" w:cs="Courier New" w:eastAsia="Courier New" w:hAnsi="Courier New"/>
          <w:sz w:val="14"/>
          <w:szCs w:val="14"/>
          <w:color w:val="auto"/>
        </w:rPr>
        <w:t>The three major components of Exxon's compensation program are base salary, short term incentive awards, and long term incentive awards.</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jc w:val="both"/>
        <w:ind w:left="260" w:right="3859" w:firstLine="258"/>
        <w:spacing w:after="0" w:line="252" w:lineRule="auto"/>
        <w:rPr>
          <w:sz w:val="20"/>
          <w:szCs w:val="20"/>
          <w:color w:val="auto"/>
        </w:rPr>
      </w:pPr>
      <w:r>
        <w:rPr>
          <w:rFonts w:ascii="Courier New" w:cs="Courier New" w:eastAsia="Courier New" w:hAnsi="Courier New"/>
          <w:sz w:val="14"/>
          <w:szCs w:val="14"/>
          <w:color w:val="auto"/>
        </w:rPr>
        <w:t>In keeping with the long-term and highly technical nature of Exxon's business, we take a long-term approach to management development. This career-oriented philosophy requires a competitive base salary.</w:t>
      </w:r>
    </w:p>
    <w:p>
      <w:pPr>
        <w:spacing w:after="0" w:line="16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Each year, we adjust Exxon's salary structure based on competitive positioning (comparing Exxon's salary structure with salaries paid by other companies); Exxon's own business performance; and general economic factors. Specific weights are not given to these factors, but competitive positioning is the most important factor. Business and other economic factors, such as net income and estimates of inflation, are secondary considerations.</w:t>
      </w:r>
    </w:p>
    <w:p>
      <w:pPr>
        <w:spacing w:after="0" w:line="330"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We use a number of surveys to determine Exxon's competitive salary position. Primarily, we compare our salary structure with the U.S.-based oil companies in the industry group used for comparing stock performance on page IV-18. We do not consider salary data from the foreign-based oil companies in that group. Their executive compensation structures are not considered comparable.</w:t>
      </w:r>
    </w:p>
    <w:p>
      <w:pPr>
        <w:spacing w:after="0" w:line="164"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Exxon's business, and the competition for executives, extend beyond the oil industry. Therefore, we also compare our salary structure with other major U.S.-based corporations.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IV-10</w:t>
      </w:r>
    </w:p>
    <w:p>
      <w:pPr>
        <w:sectPr>
          <w:pgSz w:w="11900" w:h="16838" w:orient="portrait"/>
          <w:cols w:equalWidth="0" w:num="1">
            <w:col w:w="10239"/>
          </w:cols>
          <w:pgMar w:left="220" w:top="616" w:right="1440" w:bottom="1440" w:gutter="0" w:footer="0" w:header="0"/>
        </w:sectPr>
      </w:pPr>
    </w:p>
    <w:bookmarkStart w:id="95" w:name="page96"/>
    <w:bookmarkEnd w:id="95"/>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Exxon is larger and more diverse than the other surveyed companies. Therefore, Exxon targets its salary ranges between the median and high end of the survey data. Within these ranges, we determine individual executive salaries based on individual performance, level of responsibility, and experience. The BCC recommends the CEO's salary to the Board of Directors, sets the salaries for Exxon's other elected officers, and reviews the salaries of other senior executives.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 Term Incentive Awards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Short term incentive awards consist of cash bonuses and Earnings Bonus Units (EBUs). See page IV-16 for a description of the terms of EBUs. We grant short term awards to executives to reward their contributions to the business during the past year. We also grant EBUs as incentives for strong, mid-term corporate performance. EBUs help stress that decisions and contributions in any one year affect future years. In 1998, approximately one half of executive bonuses were in the form of EBUs. The cumulative earnings required for maximum payout of each EBU granted this year was the same as that for last year.</w:t>
      </w:r>
    </w:p>
    <w:p>
      <w:pPr>
        <w:spacing w:after="0" w:line="164"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Each year, the BCC establishes a ceiling for cash bonuses and EBUs. The ceiling for 1998 was $60 million. Almost all of that amount was granted in awards to approximately 1,000 employees. The ceiling is based on Exxon's business performance, progress towards long-term goals, and competitive position. No particular formula is used. Some of the measures of performance considered by the BCC include net income, earnings per share, return on capital employed, return on equity, and dividends. The BCC does not give specific weights to these measures. The 1998 ceiling was reduced from the 1997 ceiling. In reaching this decision, no formula was used.</w:t>
      </w:r>
    </w:p>
    <w:p>
      <w:pPr>
        <w:spacing w:after="0" w:line="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BCC considered several factors, including Exxon's financial performance (which, while strong relative to its major competitors in a difficult business environment, was still down relative to last year's record level), its continued strengthening of its worldwide competitive position and its progress towards long-range strategic goals.</w:t>
      </w:r>
    </w:p>
    <w:p>
      <w:pPr>
        <w:spacing w:after="0" w:line="165"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The bonus an executive receives depends on the executive's individual performance and level of responsibility. Each year, we assess relative performance based on factors including initiative, business judgment, technical expertise, and management skills.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 Term Incentive Awards</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Long term incentive awards are intended to develop and retain strong management through share ownership and incentive awards that recognize future performance. Stock options were the primary long term incentive granted to executive officers and over 3,500 other key employees in 1998. The parameters, guidelines, and administration of the 1998 grants were the same as those used for the 1997 grants. The BCC believes that a significant portion of senior executives' compensation should depend on value created for the shareholders. Options are an excellent way to accomplish this because they tie the executives' interests directly to the shareholders' interests. See page IV-15 for a description of the terms of options.</w:t>
      </w:r>
    </w:p>
    <w:p>
      <w:pPr>
        <w:spacing w:after="0" w:line="329"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number of options granted to executive officers is based on individual performance and level of responsibility. For this purpose, the Committee measures performance the same way as described above for short term awards. Option grants must be sufficient in size to provide a strong incentive for executives to work for long-term business interests and become significant owners of the business. The number of options held by an executive is not a factor in determining subsequent grants. Granting options on that basis could create an incentive for executives to exercise options and sell their shares.</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does not have required levels for equity holdings by senior management, but long-term awards are designed to encourage share ownership. The five officers named in the Summary Compensation Table on page IV-14 have, on average, equity holdings of approximately 14 times salary as of year-end 1998. In addition, other elected officers have holdings which exceed typical ownership guidelines used by some companies in industry.</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IV-11</w:t>
      </w:r>
    </w:p>
    <w:p>
      <w:pPr>
        <w:sectPr>
          <w:pgSz w:w="11900" w:h="16838" w:orient="portrait"/>
          <w:cols w:equalWidth="0" w:num="1">
            <w:col w:w="9979"/>
          </w:cols>
          <w:pgMar w:left="480" w:top="616"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jc w:val="both"/>
        <w:ind w:left="260" w:right="3679" w:firstLine="258"/>
        <w:spacing w:after="0" w:line="250" w:lineRule="auto"/>
        <w:rPr>
          <w:sz w:val="20"/>
          <w:szCs w:val="20"/>
          <w:color w:val="auto"/>
        </w:rPr>
      </w:pPr>
      <w:r>
        <w:rPr>
          <w:rFonts w:ascii="Courier New" w:cs="Courier New" w:eastAsia="Courier New" w:hAnsi="Courier New"/>
          <w:sz w:val="14"/>
          <w:szCs w:val="14"/>
          <w:color w:val="auto"/>
        </w:rPr>
        <w:t>Last year, the BCC granted Career Shares to a limited number of senior executives. Career Shares are shares of Exxon common stock that normally may not be sold until after an executive reaches normal retirement age.</w:t>
      </w:r>
    </w:p>
    <w:p>
      <w:pPr>
        <w:spacing w:after="0" w:line="1" w:lineRule="exact"/>
        <w:rPr>
          <w:sz w:val="20"/>
          <w:szCs w:val="20"/>
          <w:color w:val="auto"/>
        </w:rPr>
      </w:pPr>
    </w:p>
    <w:p>
      <w:pPr>
        <w:ind w:left="260" w:right="3519"/>
        <w:spacing w:after="0" w:line="251" w:lineRule="auto"/>
        <w:rPr>
          <w:sz w:val="20"/>
          <w:szCs w:val="20"/>
          <w:color w:val="auto"/>
        </w:rPr>
      </w:pPr>
      <w:r>
        <w:rPr>
          <w:rFonts w:ascii="Courier New" w:cs="Courier New" w:eastAsia="Courier New" w:hAnsi="Courier New"/>
          <w:sz w:val="14"/>
          <w:szCs w:val="14"/>
          <w:color w:val="auto"/>
        </w:rPr>
        <w:t>The shares may be forfeited if an executive leaves before that time. Given the size, complexity, and global scope of Exxon's business, it is essential to retain an experienced senior management team. Career Shares help Exxon retain key strategic and operating executives for the long term. These awards also provide an additional incentive for superior long-term corporate performance. The number of Career Shares granted to senior executives also reflects the increased responsibility and complexity of senior positions.</w:t>
      </w:r>
    </w:p>
    <w:p>
      <w:pPr>
        <w:spacing w:after="0" w:line="330"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The Committee bases individual Career Share grants on the executive's personal contribution and level of responsibility. The number of shares held by an executive is not a factor in determining individual grants since Career Shares are primarily designed to promote long-term retention.</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U.S. Income Tax Limits on Deductibility</w:t>
      </w:r>
    </w:p>
    <w:p>
      <w:pPr>
        <w:spacing w:after="0" w:line="173" w:lineRule="exact"/>
        <w:rPr>
          <w:sz w:val="20"/>
          <w:szCs w:val="20"/>
          <w:color w:val="auto"/>
        </w:rPr>
      </w:pPr>
    </w:p>
    <w:p>
      <w:pPr>
        <w:ind w:left="260" w:right="3519" w:firstLine="258"/>
        <w:spacing w:after="0" w:line="250" w:lineRule="auto"/>
        <w:rPr>
          <w:sz w:val="20"/>
          <w:szCs w:val="20"/>
          <w:color w:val="auto"/>
        </w:rPr>
      </w:pPr>
      <w:r>
        <w:rPr>
          <w:rFonts w:ascii="Courier New" w:cs="Courier New" w:eastAsia="Courier New" w:hAnsi="Courier New"/>
          <w:sz w:val="14"/>
          <w:szCs w:val="14"/>
          <w:color w:val="auto"/>
        </w:rPr>
        <w:t>U.S. income tax law limits the amount Exxon can deduct for compensation paid to the CEO and the other four most highly paid executives. Performance-based compensation that meets IRS requirements is not subject to this limit. The short term awards and stock option grants described above are designed to meet these requirements so that Exxon can continue to deduct the related expenses. Specifically, the shareholders have approved broad performance measures for short term awards to the top executives.</w:t>
      </w:r>
    </w:p>
    <w:p>
      <w:pPr>
        <w:spacing w:after="0" w:line="3" w:lineRule="exact"/>
        <w:rPr>
          <w:sz w:val="20"/>
          <w:szCs w:val="20"/>
          <w:color w:val="auto"/>
        </w:rPr>
      </w:pPr>
    </w:p>
    <w:p>
      <w:pPr>
        <w:ind w:left="260" w:right="3519"/>
        <w:spacing w:after="0" w:line="251" w:lineRule="auto"/>
        <w:rPr>
          <w:sz w:val="20"/>
          <w:szCs w:val="20"/>
          <w:color w:val="auto"/>
        </w:rPr>
      </w:pPr>
      <w:r>
        <w:rPr>
          <w:rFonts w:ascii="Courier New" w:cs="Courier New" w:eastAsia="Courier New" w:hAnsi="Courier New"/>
          <w:sz w:val="14"/>
          <w:szCs w:val="14"/>
          <w:color w:val="auto"/>
        </w:rPr>
        <w:t>The shareholders also set limits on short term awards to these executives (0.2% of operating net income) and on individual option grants (0.2% of outstanding shares at year-end 1996, adjusted for stock splits). These are not targets, only maximums established for deductibility purposes. Actual award levels have been significantly less based on the factors and judgments described in the preceding sections of this report.</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CEO Compensation</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Within the framework described above, the BCC determines the CEO's compensation by judging his individual contributions to Exxon's business, level of responsibility, and career experience. The BCC does not think narrow quantitative measures or formulas are sufficient for determining Mr. Raymond's compensation. The Committee does not give specific weights to the factors considered, but the primary factor is the CEO's individual contributions to the business.</w:t>
      </w:r>
    </w:p>
    <w:p>
      <w:pPr>
        <w:spacing w:after="0" w:line="164" w:lineRule="exact"/>
        <w:rPr>
          <w:sz w:val="20"/>
          <w:szCs w:val="20"/>
          <w:color w:val="auto"/>
        </w:rPr>
      </w:pPr>
    </w:p>
    <w:p>
      <w:pPr>
        <w:ind w:left="260" w:right="3939" w:firstLine="258"/>
        <w:spacing w:after="0" w:line="251" w:lineRule="auto"/>
        <w:rPr>
          <w:sz w:val="20"/>
          <w:szCs w:val="20"/>
          <w:color w:val="auto"/>
        </w:rPr>
      </w:pPr>
      <w:r>
        <w:rPr>
          <w:rFonts w:ascii="Courier New" w:cs="Courier New" w:eastAsia="Courier New" w:hAnsi="Courier New"/>
          <w:sz w:val="14"/>
          <w:szCs w:val="14"/>
          <w:color w:val="auto"/>
        </w:rPr>
        <w:t>The Committee also considers Exxon's size, complexity, and business results as compared to its competitors in the industry and other major U.S.-based corporations outside the industry. The BCC believes the combination of Mr. Raymond's base salary and short-term awards is appropriate compared to CEOs of Exxon's competitors.</w:t>
      </w:r>
    </w:p>
    <w:p>
      <w:pPr>
        <w:spacing w:after="0" w:line="165"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Mr. Raymond's long-term incentive awards reflect his level of responsibility, his leadership, and the BCC's judgment of his overall contribution as CEO. In making this determination, the BCC considered the complex, highly technical, and long-term nature of Exxon's business. The Career Share award granted to Mr. Raymond recognizes his outstanding contributions to Exxon's business performance, continued strengthening of the Corporation's worldwide competitive position, and its progress toward long-range strategic goals. The restrictions on the award are designed to retain his leadership for the remainder of his career.</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IV-12</w:t>
      </w:r>
    </w:p>
    <w:p>
      <w:pPr>
        <w:sectPr>
          <w:pgSz w:w="11900" w:h="16838" w:orient="portrait"/>
          <w:cols w:equalWidth="0" w:num="1">
            <w:col w:w="10239"/>
          </w:cols>
          <w:pgMar w:left="220" w:top="616" w:right="1440" w:bottom="1440" w:gutter="0" w:footer="0" w:header="0"/>
        </w:sectPr>
      </w:pPr>
    </w:p>
    <w:bookmarkStart w:id="97" w:name="page98"/>
    <w:bookmarkEnd w:id="97"/>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The BCC is made up of nonemployee directors who do not participate in any of the compensation plans they administer. The BCC approves or endorses all the programs that involve compensation paid or awarded to senior executives.</w:t>
      </w:r>
    </w:p>
    <w:p>
      <w:pPr>
        <w:spacing w:after="0" w:line="162" w:lineRule="exact"/>
        <w:rPr>
          <w:sz w:val="20"/>
          <w:szCs w:val="20"/>
          <w:color w:val="auto"/>
        </w:rPr>
      </w:pPr>
    </w:p>
    <w:p>
      <w:pPr>
        <w:ind w:right="3939" w:firstLine="258"/>
        <w:spacing w:after="0" w:line="251" w:lineRule="auto"/>
        <w:rPr>
          <w:sz w:val="20"/>
          <w:szCs w:val="20"/>
          <w:color w:val="auto"/>
        </w:rPr>
      </w:pPr>
      <w:r>
        <w:rPr>
          <w:rFonts w:ascii="Courier New" w:cs="Courier New" w:eastAsia="Courier New" w:hAnsi="Courier New"/>
          <w:sz w:val="14"/>
          <w:szCs w:val="14"/>
          <w:color w:val="auto"/>
        </w:rPr>
        <w:t>The BCC is responsible for seeing that Exxon's compensation program serves the best interest of its shareholders. To help meet this responsibility, the BCC is guided by an independent analysis of the competitiveness of Exxon's executive compensation. This analysis is prepared each year by a leading public accounting firm. The BCC also considers the results of the salary surveys described above.</w:t>
      </w:r>
    </w:p>
    <w:p>
      <w:pPr>
        <w:spacing w:after="0" w:line="164" w:lineRule="exact"/>
        <w:rPr>
          <w:sz w:val="20"/>
          <w:szCs w:val="20"/>
          <w:color w:val="auto"/>
        </w:rPr>
      </w:pPr>
    </w:p>
    <w:p>
      <w:pPr>
        <w:ind w:right="3779" w:firstLine="258"/>
        <w:spacing w:after="0" w:line="251" w:lineRule="auto"/>
        <w:rPr>
          <w:sz w:val="20"/>
          <w:szCs w:val="20"/>
          <w:color w:val="auto"/>
        </w:rPr>
      </w:pPr>
      <w:r>
        <w:rPr>
          <w:rFonts w:ascii="Courier New" w:cs="Courier New" w:eastAsia="Courier New" w:hAnsi="Courier New"/>
          <w:sz w:val="14"/>
          <w:szCs w:val="14"/>
          <w:color w:val="auto"/>
        </w:rPr>
        <w:t>In the opinion of the Committee, Exxon has an appropriate and competitive compensation program. The combination of sound base salary, competitive short term bonuses, and emphasis on long term incentives provides a balanced and stable foundation for effective executive leadership.</w:t>
      </w:r>
    </w:p>
    <w:p>
      <w:pPr>
        <w:sectPr>
          <w:pgSz w:w="11900" w:h="16838" w:orient="portrait"/>
          <w:cols w:equalWidth="0" w:num="1">
            <w:col w:w="9979"/>
          </w:cols>
          <w:pgMar w:left="480" w:top="616" w:right="1440" w:bottom="1440" w:gutter="0" w:footer="0" w:header="0"/>
        </w:sectPr>
      </w:pPr>
    </w:p>
    <w:p>
      <w:pPr>
        <w:spacing w:after="0" w:line="165" w:lineRule="exact"/>
        <w:rPr>
          <w:sz w:val="20"/>
          <w:szCs w:val="20"/>
          <w:color w:val="auto"/>
        </w:rPr>
      </w:pPr>
    </w:p>
    <w:p>
      <w:pPr>
        <w:ind w:left="360"/>
        <w:spacing w:after="0" w:line="255" w:lineRule="auto"/>
        <w:rPr>
          <w:sz w:val="20"/>
          <w:szCs w:val="20"/>
          <w:color w:val="auto"/>
        </w:rPr>
      </w:pPr>
      <w:r>
        <w:rPr>
          <w:rFonts w:ascii="Courier New" w:cs="Courier New" w:eastAsia="Courier New" w:hAnsi="Courier New"/>
          <w:sz w:val="14"/>
          <w:szCs w:val="14"/>
          <w:color w:val="auto"/>
        </w:rPr>
        <w:t>William R. Howell, Chairman Michael J. Boskin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Jess Hay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 V. Shipley</w:t>
      </w:r>
    </w:p>
    <w:p>
      <w:pPr>
        <w:spacing w:after="0" w:line="172" w:lineRule="exact"/>
        <w:rPr>
          <w:sz w:val="20"/>
          <w:szCs w:val="20"/>
          <w:color w:val="auto"/>
        </w:rPr>
      </w:pPr>
    </w:p>
    <w:p>
      <w:pPr>
        <w:sectPr>
          <w:pgSz w:w="11900" w:h="16838" w:orient="portrait"/>
          <w:cols w:equalWidth="0" w:num="2">
            <w:col w:w="2680" w:space="680"/>
            <w:col w:w="6619"/>
          </w:cols>
          <w:pgMar w:left="480" w:top="616"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3"/>
          <w:szCs w:val="13"/>
          <w:color w:val="auto"/>
        </w:rPr>
        <w:t>IV-13</w:t>
      </w:r>
    </w:p>
    <w:p>
      <w:pPr>
        <w:sectPr>
          <w:pgSz w:w="11900" w:h="16838" w:orient="portrait"/>
          <w:cols w:equalWidth="0" w:num="1">
            <w:col w:w="9979"/>
          </w:cols>
          <w:pgMar w:left="480" w:top="616" w:right="1440" w:bottom="1440" w:gutter="0" w:footer="0" w:header="0"/>
          <w:type w:val="continuous"/>
        </w:sectPr>
      </w:pPr>
    </w:p>
    <w:bookmarkStart w:id="98" w:name="page99"/>
    <w:bookmarkEnd w:id="98"/>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 Tables</w:t>
      </w:r>
    </w:p>
    <w:p>
      <w:pPr>
        <w:spacing w:after="0" w:line="173" w:lineRule="exact"/>
        <w:rPr>
          <w:sz w:val="20"/>
          <w:szCs w:val="20"/>
          <w:color w:val="auto"/>
        </w:rPr>
      </w:pPr>
    </w:p>
    <w:p>
      <w:pPr>
        <w:ind w:left="260" w:right="5000" w:firstLine="258"/>
        <w:spacing w:after="0" w:line="252" w:lineRule="auto"/>
        <w:rPr>
          <w:sz w:val="20"/>
          <w:szCs w:val="20"/>
          <w:color w:val="auto"/>
        </w:rPr>
      </w:pPr>
      <w:r>
        <w:rPr>
          <w:rFonts w:ascii="Courier New" w:cs="Courier New" w:eastAsia="Courier New" w:hAnsi="Courier New"/>
          <w:sz w:val="14"/>
          <w:szCs w:val="14"/>
          <w:color w:val="auto"/>
        </w:rPr>
        <w:t>These tables show the compensation of Exxon's Chairman and the four other most highly paid executives. See the Board Compensation Committee report beginning on page IV-10 for an explanation of our compensation philosophy.</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gridSpan w:val="3"/>
          </w:tcPr>
          <w:p>
            <w:pPr>
              <w:jc w:val="center"/>
              <w:ind w:right="568"/>
              <w:spacing w:after="0"/>
              <w:rPr>
                <w:sz w:val="20"/>
                <w:szCs w:val="20"/>
                <w:color w:val="auto"/>
              </w:rPr>
            </w:pPr>
            <w:r>
              <w:rPr>
                <w:rFonts w:ascii="Courier New" w:cs="Courier New" w:eastAsia="Courier New" w:hAnsi="Courier New"/>
                <w:sz w:val="14"/>
                <w:szCs w:val="14"/>
                <w:color w:val="auto"/>
              </w:rPr>
              <w:t>Annual Compensation</w:t>
            </w:r>
          </w:p>
        </w:tc>
        <w:tc>
          <w:tcPr>
            <w:tcW w:w="640" w:type="dxa"/>
            <w:vAlign w:val="bottom"/>
          </w:tcPr>
          <w:p>
            <w:pPr>
              <w:spacing w:after="0"/>
              <w:rPr>
                <w:sz w:val="14"/>
                <w:szCs w:val="14"/>
                <w:color w:val="auto"/>
              </w:rPr>
            </w:pPr>
          </w:p>
        </w:tc>
        <w:tc>
          <w:tcPr>
            <w:tcW w:w="400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Long Term Compensation</w:t>
            </w:r>
          </w:p>
        </w:tc>
        <w:tc>
          <w:tcPr>
            <w:tcW w:w="12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40" w:type="dxa"/>
            <w:vAlign w:val="bottom"/>
            <w:gridSpan w:val="5"/>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0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c>
          <w:tcPr>
            <w:tcW w:w="86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Payouts</w:t>
            </w:r>
          </w:p>
        </w:tc>
        <w:tc>
          <w:tcPr>
            <w:tcW w:w="12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Other Annual</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Restricted</w:t>
            </w: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60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Salary</w:t>
            </w:r>
          </w:p>
        </w:tc>
        <w:tc>
          <w:tcPr>
            <w:tcW w:w="38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Bonus</w:t>
            </w:r>
          </w:p>
        </w:tc>
        <w:tc>
          <w:tcPr>
            <w:tcW w:w="15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Compensation</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LTIP</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Award(s)($)(1)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Payouts ($)(2)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L.R. Raymond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1,900,000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55,849</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7,162,500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1,275,000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Chairman and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1,750,000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26,472</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6,087,500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850,000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CEO</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1,550,000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19,977</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943,125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525,000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93,000</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R. Dahan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860,000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244,935</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65,686</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Senior Vice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780,001</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4,488</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60,173</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685,000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3,590</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330,094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53,019</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H.J. Longwell</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860,000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5,660</w:t>
            </w:r>
          </w:p>
        </w:tc>
        <w:tc>
          <w:tcPr>
            <w:tcW w:w="640" w:type="dxa"/>
            <w:vAlign w:val="bottom"/>
          </w:tcPr>
          <w:p>
            <w:pPr>
              <w:spacing w:after="0"/>
              <w:rPr>
                <w:sz w:val="24"/>
                <w:szCs w:val="2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65,686</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Senior Vice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780,001</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5,725</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60,173</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685,000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6,129</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330,094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53,019</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R.E. Wilhelm</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860,000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14,152</w:t>
            </w:r>
          </w:p>
        </w:tc>
        <w:tc>
          <w:tcPr>
            <w:tcW w:w="640" w:type="dxa"/>
            <w:vAlign w:val="bottom"/>
          </w:tcPr>
          <w:p>
            <w:pPr>
              <w:spacing w:after="0"/>
              <w:rPr>
                <w:sz w:val="24"/>
                <w:szCs w:val="2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408,000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65,664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Senior Vice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807,001</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7,192</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348,500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62,174</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745,000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6,461</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330,094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57,497</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R.B. Nesbitt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769,615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9,719</w:t>
            </w:r>
          </w:p>
        </w:tc>
        <w:tc>
          <w:tcPr>
            <w:tcW w:w="640" w:type="dxa"/>
            <w:vAlign w:val="bottom"/>
          </w:tcPr>
          <w:p>
            <w:pPr>
              <w:spacing w:after="0"/>
              <w:rPr>
                <w:sz w:val="24"/>
                <w:szCs w:val="2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263,500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62,134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648,000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8,411</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217,600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55,820</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595,000</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10,170</w:t>
            </w:r>
          </w:p>
        </w:tc>
        <w:tc>
          <w:tcPr>
            <w:tcW w:w="64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235,781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51,366</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Exxon</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Chemical</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Company</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right="5000" w:hanging="339"/>
        <w:spacing w:after="0" w:line="251"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restricted shares times the market price of Exxon stock on the day of grant. As of December 31, 1998, the total number and value of restricted shares held by these executives were: Mr. Raymond: 280,000 shares ($20,475,000); Mr. Dahan: 46,000 shares ($3,363,750); Mr. Longwell: 46,000 shares ($3,363,750); Mr. Wilhelm: 48,000 shares ($3,510,000); and Mr. Nesbitt: 18,000 shares ($1,316,250). The values given do not reflect the fact that the shares are restricted. The executives receive the same cash dividends on restricted shares as holders of regular common stock, but cannot sell the shares during the restricted period. See page IV-12 for more information on these shares, which we call Career Shares.</w:t>
      </w:r>
    </w:p>
    <w:p>
      <w:pPr>
        <w:spacing w:after="0" w:line="328"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Settlements of Earnings Bonus Units. See page IV-16 for more details.</w:t>
      </w:r>
    </w:p>
    <w:p>
      <w:pPr>
        <w:spacing w:after="0" w:line="172" w:lineRule="exact"/>
        <w:rPr>
          <w:rFonts w:ascii="Courier New" w:cs="Courier New" w:eastAsia="Courier New" w:hAnsi="Courier New"/>
          <w:sz w:val="14"/>
          <w:szCs w:val="14"/>
          <w:color w:val="auto"/>
        </w:rPr>
      </w:pPr>
    </w:p>
    <w:p>
      <w:pPr>
        <w:ind w:left="520" w:right="5080" w:hanging="339"/>
        <w:spacing w:after="0" w:line="251"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1998 values represent matching credits under Exxon's thrift plans (Mr. Raymond: $114,000; Mr. Dahan: $52,683; Mr. Longwell: $52,683; Mr. Wilhelm: $52,661; and Mr. Nesbitt: $42,593) and costs of supplemental life insurance (Mr. Dahan: $13,003; Mr. Longwell: $13,003; Mr. Wilhelm: $13,003; and Mr. Nesbitt: $19,541).</w:t>
      </w:r>
    </w:p>
    <w:p>
      <w:pPr>
        <w:spacing w:after="0" w:line="164" w:lineRule="exact"/>
        <w:rPr>
          <w:rFonts w:ascii="Courier New" w:cs="Courier New" w:eastAsia="Courier New" w:hAnsi="Courier New"/>
          <w:sz w:val="14"/>
          <w:szCs w:val="14"/>
          <w:color w:val="auto"/>
        </w:rPr>
      </w:pPr>
    </w:p>
    <w:p>
      <w:pPr>
        <w:ind w:left="520" w:right="5000" w:hanging="339"/>
        <w:spacing w:after="0" w:line="255"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certain perquisites, including membership fees of $20,860 and tax assistance of $20,624.</w:t>
      </w:r>
    </w:p>
    <w:p>
      <w:pPr>
        <w:spacing w:after="0" w:line="159" w:lineRule="exact"/>
        <w:rPr>
          <w:rFonts w:ascii="Courier New" w:cs="Courier New" w:eastAsia="Courier New" w:hAnsi="Courier New"/>
          <w:sz w:val="14"/>
          <w:szCs w:val="14"/>
          <w:color w:val="auto"/>
        </w:rPr>
      </w:pPr>
    </w:p>
    <w:p>
      <w:pPr>
        <w:ind w:left="520" w:right="5340" w:hanging="339"/>
        <w:spacing w:after="0" w:line="255"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certain perquisites, including relocation expenses of $141,502 and tax assistance of $80,597.</w:t>
      </w:r>
    </w:p>
    <w:p>
      <w:pPr>
        <w:spacing w:after="0" w:line="159"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$79,615 representing cash for unused vacation.</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IV-14</w:t>
      </w:r>
    </w:p>
    <w:p>
      <w:pPr>
        <w:sectPr>
          <w:pgSz w:w="11900" w:h="16838" w:orient="portrait"/>
          <w:cols w:equalWidth="0" w:num="1">
            <w:col w:w="11380"/>
          </w:cols>
          <w:pgMar w:left="220" w:top="616" w:right="299" w:bottom="1440" w:gutter="0" w:footer="0" w:header="0"/>
        </w:sectPr>
      </w:pPr>
    </w:p>
    <w:bookmarkStart w:id="99" w:name="page100"/>
    <w:bookmarkEnd w:id="99"/>
    <w:p>
      <w:pPr>
        <w:ind w:left="2080"/>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Potential Realizable Value at</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Assumed Annual Rates of Stock Price</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Individual Grants (1)</w:t>
            </w:r>
          </w:p>
        </w:tc>
        <w:tc>
          <w:tcPr>
            <w:tcW w:w="124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Appreciation for Option Term (2)</w:t>
            </w:r>
          </w:p>
        </w:tc>
      </w:tr>
      <w:tr>
        <w:trPr>
          <w:trHeight w:val="166"/>
        </w:trPr>
        <w:tc>
          <w:tcPr>
            <w:tcW w:w="2200" w:type="dxa"/>
            <w:vAlign w:val="bottom"/>
          </w:tcPr>
          <w:p>
            <w:pPr>
              <w:spacing w:after="0"/>
              <w:rPr>
                <w:sz w:val="14"/>
                <w:szCs w:val="14"/>
                <w:color w:val="auto"/>
              </w:rPr>
            </w:pPr>
          </w:p>
        </w:tc>
        <w:tc>
          <w:tcPr>
            <w:tcW w:w="262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2"/>
              </w:rPr>
              <w:t>-------------------------------------------------------</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If Stock At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If Stock At</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$117.89</w:t>
            </w:r>
          </w:p>
        </w:tc>
        <w:tc>
          <w:tcPr>
            <w:tcW w:w="15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$187.72</w:t>
            </w:r>
          </w:p>
        </w:tc>
      </w:tr>
      <w:tr>
        <w:trPr>
          <w:trHeight w:val="166"/>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 Total</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Underlying</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420" w:type="dxa"/>
            <w:vAlign w:val="bottom"/>
          </w:tcPr>
          <w:p>
            <w:pPr>
              <w:jc w:val="center"/>
              <w:ind w:right="150"/>
              <w:spacing w:after="0"/>
              <w:rPr>
                <w:sz w:val="20"/>
                <w:szCs w:val="20"/>
                <w:color w:val="auto"/>
              </w:rPr>
            </w:pPr>
            <w:r>
              <w:rPr>
                <w:rFonts w:ascii="Courier New" w:cs="Courier New" w:eastAsia="Courier New" w:hAnsi="Courier New"/>
                <w:sz w:val="14"/>
                <w:szCs w:val="14"/>
                <w:color w:val="auto"/>
              </w:rPr>
              <w:t>Options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Granted to</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 or</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420" w:type="dxa"/>
            <w:vAlign w:val="bottom"/>
          </w:tcPr>
          <w:p>
            <w:pPr>
              <w:jc w:val="center"/>
              <w:ind w:right="150"/>
              <w:spacing w:after="0"/>
              <w:rPr>
                <w:sz w:val="20"/>
                <w:szCs w:val="20"/>
                <w:color w:val="auto"/>
              </w:rPr>
            </w:pPr>
            <w:r>
              <w:rPr>
                <w:rFonts w:ascii="Courier New" w:cs="Courier New" w:eastAsia="Courier New" w:hAnsi="Courier New"/>
                <w:sz w:val="14"/>
                <w:szCs w:val="14"/>
                <w:color w:val="auto"/>
              </w:rPr>
              <w:t>Granted</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Employees in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Base Price</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Expiration</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w:t>
            </w:r>
          </w:p>
        </w:tc>
        <w:tc>
          <w:tcPr>
            <w:tcW w:w="15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jc w:val="center"/>
              <w:ind w:right="1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Fiscal Year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Date</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All Shareholders' Stock</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N/A</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110.5 Billion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280.1 Billion</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Appreciation</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L. R. Raymond</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425,000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19,344,406</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49,022,522</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R. Dahan</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9,103,250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23,069,422</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H. J. Longwell</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9,103,250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23,069,422</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R. E. Wilhelm</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9,103,250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23,069,422</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R. B. Nesbitt</w:t>
            </w:r>
          </w:p>
        </w:tc>
        <w:tc>
          <w:tcPr>
            <w:tcW w:w="142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right="4400" w:hanging="335"/>
        <w:spacing w:after="0" w:line="251" w:lineRule="auto"/>
        <w:tabs>
          <w:tab w:leader="none" w:pos="6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options is the market price of Exxon stock on the grant date. Options granted to senior executives become exercisable after one year of continuous employment or on death. The maximum option term is 10 years after grant or five years after death, if earlier. Options may be forfeited in cases of detrimental activity or early termination of employment. We did not grant any stock appreciation rights to senior executives last year.</w:t>
      </w:r>
    </w:p>
    <w:p>
      <w:pPr>
        <w:spacing w:after="0" w:line="329" w:lineRule="exact"/>
        <w:rPr>
          <w:rFonts w:ascii="Courier New" w:cs="Courier New" w:eastAsia="Courier New" w:hAnsi="Courier New"/>
          <w:sz w:val="14"/>
          <w:szCs w:val="14"/>
          <w:color w:val="auto"/>
        </w:rPr>
      </w:pPr>
    </w:p>
    <w:p>
      <w:pPr>
        <w:ind w:left="600" w:right="4660" w:hanging="335"/>
        <w:spacing w:after="0" w:line="252" w:lineRule="auto"/>
        <w:tabs>
          <w:tab w:leader="none" w:pos="6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columns show the gains option holders and all shareholders could realize if Exxon stock appreciates at a 5% or 10% rate. These growth rates are arbitrary assumptions specified by the SEC, not Exxon's predictions.</w:t>
      </w: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IV-15</w:t>
      </w:r>
    </w:p>
    <w:p>
      <w:pPr>
        <w:sectPr>
          <w:pgSz w:w="11900" w:h="16838" w:orient="portrait"/>
          <w:cols w:equalWidth="0" w:num="1">
            <w:col w:w="10780"/>
          </w:cols>
          <w:pgMar w:left="480" w:top="616" w:right="639"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Aggregated Option/SAR Exercises in Last Fiscal Year and FY-End Option/SAR Values</w:t>
      </w:r>
    </w:p>
    <w:p>
      <w:pPr>
        <w:sectPr>
          <w:pgSz w:w="11900" w:h="16838" w:orient="portrait"/>
          <w:cols w:equalWidth="0" w:num="1">
            <w:col w:w="10680"/>
          </w:cols>
          <w:pgMar w:left="220" w:top="616"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Underlying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Options/SARs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Exercised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Realized($)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Number of Securities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Underlying Unexercised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Options/SARs at FY-End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160"/>
        <w:spacing w:after="0"/>
        <w:tabs>
          <w:tab w:leader="none" w:pos="1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Value of Unexercised, In-The-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Money Options/SARs at FY-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End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180"/>
        <w:spacing w:after="0"/>
        <w:tabs>
          <w:tab w:leader="none" w:pos="1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5">
            <w:col w:w="920" w:space="720"/>
            <w:col w:w="1220" w:space="240"/>
            <w:col w:w="1120" w:space="360"/>
            <w:col w:w="2840" w:space="420"/>
            <w:col w:w="28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 R. Raymond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204,232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8,719,565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2,848,980</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425,000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97,119,946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318,750</w:t>
      </w:r>
    </w:p>
    <w:p>
      <w:pPr>
        <w:spacing w:after="0" w:line="173" w:lineRule="exact"/>
        <w:rPr>
          <w:sz w:val="20"/>
          <w:szCs w:val="20"/>
          <w:color w:val="auto"/>
        </w:rPr>
      </w:pPr>
    </w:p>
    <w:p>
      <w:pPr>
        <w:sectPr>
          <w:pgSz w:w="11900" w:h="16838" w:orient="portrait"/>
          <w:cols w:equalWidth="0" w:num="7">
            <w:col w:w="1260" w:space="720"/>
            <w:col w:w="620" w:space="600"/>
            <w:col w:w="820" w:space="720"/>
            <w:col w:w="1000" w:space="720"/>
            <w:col w:w="760" w:space="720"/>
            <w:col w:w="1080" w:space="720"/>
            <w:col w:w="9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Dahan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136,696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4,545,765</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716,854</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200,000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18,966,808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w:t>
      </w:r>
    </w:p>
    <w:p>
      <w:pPr>
        <w:spacing w:after="0" w:line="173" w:lineRule="exact"/>
        <w:rPr>
          <w:sz w:val="20"/>
          <w:szCs w:val="20"/>
          <w:color w:val="auto"/>
        </w:rPr>
      </w:pPr>
    </w:p>
    <w:p>
      <w:pPr>
        <w:sectPr>
          <w:pgSz w:w="11900" w:h="16838" w:orient="portrait"/>
          <w:cols w:equalWidth="0" w:num="7">
            <w:col w:w="1260" w:space="720"/>
            <w:col w:w="620" w:space="600"/>
            <w:col w:w="1000" w:space="720"/>
            <w:col w:w="820" w:space="720"/>
            <w:col w:w="760" w:space="720"/>
            <w:col w:w="1080" w:space="720"/>
            <w:col w:w="9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 J. Longwell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60,252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2,617,312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1,063,980</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200,000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33,990,728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w:t>
      </w:r>
    </w:p>
    <w:p>
      <w:pPr>
        <w:spacing w:after="0" w:line="173" w:lineRule="exact"/>
        <w:rPr>
          <w:sz w:val="20"/>
          <w:szCs w:val="20"/>
          <w:color w:val="auto"/>
        </w:rPr>
      </w:pPr>
    </w:p>
    <w:p>
      <w:pPr>
        <w:sectPr>
          <w:pgSz w:w="11900" w:h="16838" w:orient="portrait"/>
          <w:cols w:equalWidth="0" w:num="7">
            <w:col w:w="1360" w:space="720"/>
            <w:col w:w="520" w:space="600"/>
            <w:col w:w="820" w:space="720"/>
            <w:col w:w="1000" w:space="720"/>
            <w:col w:w="760" w:space="720"/>
            <w:col w:w="1080" w:space="720"/>
            <w:col w:w="9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E. Wilhelm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236,572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8,120,526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1,176,658</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200,000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38,231,813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w:t>
      </w:r>
    </w:p>
    <w:p>
      <w:pPr>
        <w:spacing w:after="0" w:line="173" w:lineRule="exact"/>
        <w:rPr>
          <w:sz w:val="20"/>
          <w:szCs w:val="20"/>
          <w:color w:val="auto"/>
        </w:rPr>
      </w:pPr>
    </w:p>
    <w:p>
      <w:pPr>
        <w:sectPr>
          <w:pgSz w:w="11900" w:h="16838" w:orient="portrait"/>
          <w:cols w:equalWidth="0" w:num="7">
            <w:col w:w="1260" w:space="720"/>
            <w:col w:w="620" w:space="600"/>
            <w:col w:w="820" w:space="720"/>
            <w:col w:w="1000" w:space="720"/>
            <w:col w:w="760" w:space="720"/>
            <w:col w:w="1080" w:space="720"/>
            <w:col w:w="94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B. Nesbitt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174,656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7,298,378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435,344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11,214,113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- 0 -</w:t>
      </w:r>
    </w:p>
    <w:p>
      <w:pPr>
        <w:spacing w:after="0" w:line="211" w:lineRule="exact"/>
        <w:rPr>
          <w:sz w:val="20"/>
          <w:szCs w:val="20"/>
          <w:color w:val="auto"/>
        </w:rPr>
      </w:pPr>
    </w:p>
    <w:p>
      <w:pPr>
        <w:sectPr>
          <w:pgSz w:w="11900" w:h="16838" w:orient="portrait"/>
          <w:cols w:equalWidth="0" w:num="7">
            <w:col w:w="1260" w:space="720"/>
            <w:col w:w="620" w:space="600"/>
            <w:col w:w="1000" w:space="720"/>
            <w:col w:w="1000" w:space="720"/>
            <w:col w:w="580" w:space="720"/>
            <w:col w:w="1260" w:space="720"/>
            <w:col w:w="760"/>
          </w:cols>
          <w:pgMar w:left="220" w:top="616" w:right="99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The difference between the option exercise price and the market price</w:t>
      </w:r>
    </w:p>
    <w:p>
      <w:pPr>
        <w:spacing w:after="0" w:line="7"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4"/>
          <w:szCs w:val="14"/>
          <w:color w:val="auto"/>
        </w:rPr>
        <w:t>of Exxon stock at year-end.</w:t>
        <w:tab/>
        <w:t>The actual gain, if any, an executive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realizes will depend on the market price of Exxon stock at the time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exercise. "In-the-money" means the market price of the stock is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greater than the exercise price of the option on the date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specified.</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Long Term Incentive Plans - Awards in Last Fiscal Year</w:t>
      </w:r>
    </w:p>
    <w:p>
      <w:pPr>
        <w:spacing w:after="0" w:line="200" w:lineRule="exact"/>
        <w:rPr>
          <w:sz w:val="20"/>
          <w:szCs w:val="20"/>
          <w:color w:val="auto"/>
        </w:rPr>
      </w:pPr>
    </w:p>
    <w:p>
      <w:pPr>
        <w:spacing w:after="0" w:line="304"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color w:val="auto"/>
        </w:rPr>
        <w:t>Estimated Future</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Payouts Under Non-</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Stock Price-Based</w:t>
      </w:r>
    </w:p>
    <w:p>
      <w:pPr>
        <w:spacing w:after="0" w:line="7" w:lineRule="exact"/>
        <w:rPr>
          <w:sz w:val="20"/>
          <w:szCs w:val="20"/>
          <w:color w:val="auto"/>
        </w:rPr>
      </w:pPr>
    </w:p>
    <w:p>
      <w:pPr>
        <w:ind w:left="9220"/>
        <w:spacing w:after="0"/>
        <w:rPr>
          <w:sz w:val="20"/>
          <w:szCs w:val="20"/>
          <w:color w:val="auto"/>
        </w:rPr>
      </w:pPr>
      <w:r>
        <w:rPr>
          <w:rFonts w:ascii="Courier New" w:cs="Courier New" w:eastAsia="Courier New" w:hAnsi="Courier New"/>
          <w:sz w:val="14"/>
          <w:szCs w:val="14"/>
          <w:color w:val="auto"/>
        </w:rPr>
        <w:t>Plans</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680"/>
          </w:cols>
          <w:pgMar w:left="220" w:top="616" w:right="9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Number of Shares, Units, or Other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Rights*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Performance or Other Period Until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Maturation or Payout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Maximum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1360" w:space="720"/>
            <w:col w:w="3020" w:space="340"/>
            <w:col w:w="3000" w:space="520"/>
            <w:col w:w="172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 R. Raymond</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301,140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1,355,130</w:t>
      </w:r>
    </w:p>
    <w:p>
      <w:pPr>
        <w:spacing w:after="0" w:line="173" w:lineRule="exact"/>
        <w:rPr>
          <w:sz w:val="20"/>
          <w:szCs w:val="20"/>
          <w:color w:val="auto"/>
        </w:rPr>
      </w:pPr>
    </w:p>
    <w:p>
      <w:pPr>
        <w:sectPr>
          <w:pgSz w:w="11900" w:h="16838" w:orient="portrait"/>
          <w:cols w:equalWidth="0" w:num="4">
            <w:col w:w="2480" w:space="720"/>
            <w:col w:w="2120" w:space="720"/>
            <w:col w:w="2560" w:space="720"/>
            <w:col w:w="136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Dahan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98,560</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443,520</w:t>
      </w:r>
    </w:p>
    <w:p>
      <w:pPr>
        <w:spacing w:after="0" w:line="173" w:lineRule="exact"/>
        <w:rPr>
          <w:sz w:val="20"/>
          <w:szCs w:val="20"/>
          <w:color w:val="auto"/>
        </w:rPr>
      </w:pPr>
    </w:p>
    <w:p>
      <w:pPr>
        <w:sectPr>
          <w:pgSz w:w="11900" w:h="16838" w:orient="portrait"/>
          <w:cols w:equalWidth="0" w:num="4">
            <w:col w:w="2560" w:space="720"/>
            <w:col w:w="2040" w:space="720"/>
            <w:col w:w="2720" w:space="720"/>
            <w:col w:w="120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 J. Longwell</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98,560</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443,520</w:t>
      </w:r>
    </w:p>
    <w:p>
      <w:pPr>
        <w:spacing w:after="0" w:line="173" w:lineRule="exact"/>
        <w:rPr>
          <w:sz w:val="20"/>
          <w:szCs w:val="20"/>
          <w:color w:val="auto"/>
        </w:rPr>
      </w:pPr>
    </w:p>
    <w:p>
      <w:pPr>
        <w:sectPr>
          <w:pgSz w:w="11900" w:h="16838" w:orient="portrait"/>
          <w:cols w:equalWidth="0" w:num="4">
            <w:col w:w="2560" w:space="720"/>
            <w:col w:w="2040" w:space="720"/>
            <w:col w:w="2720" w:space="720"/>
            <w:col w:w="120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E. Wilhelm</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98,560</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443,520</w:t>
      </w:r>
    </w:p>
    <w:p>
      <w:pPr>
        <w:spacing w:after="0" w:line="173" w:lineRule="exact"/>
        <w:rPr>
          <w:sz w:val="20"/>
          <w:szCs w:val="20"/>
          <w:color w:val="auto"/>
        </w:rPr>
      </w:pPr>
    </w:p>
    <w:p>
      <w:pPr>
        <w:sectPr>
          <w:pgSz w:w="11900" w:h="16838" w:orient="portrait"/>
          <w:cols w:equalWidth="0" w:num="4">
            <w:col w:w="2560" w:space="720"/>
            <w:col w:w="2040" w:space="720"/>
            <w:col w:w="2720" w:space="720"/>
            <w:col w:w="1200"/>
          </w:cols>
          <w:pgMar w:left="220" w:top="616"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B. Nesbitt</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62,650</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5 years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281,925</w:t>
      </w:r>
    </w:p>
    <w:p>
      <w:pPr>
        <w:spacing w:after="0" w:line="200" w:lineRule="exact"/>
        <w:rPr>
          <w:sz w:val="20"/>
          <w:szCs w:val="20"/>
          <w:color w:val="auto"/>
        </w:rPr>
      </w:pPr>
    </w:p>
    <w:p>
      <w:pPr>
        <w:sectPr>
          <w:pgSz w:w="11900" w:h="16838" w:orient="portrait"/>
          <w:cols w:equalWidth="0" w:num="4">
            <w:col w:w="2560" w:space="720"/>
            <w:col w:w="2040" w:space="720"/>
            <w:col w:w="2720" w:space="720"/>
            <w:col w:w="1200"/>
          </w:cols>
          <w:pgMar w:left="220" w:top="616" w:right="99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right="4640" w:hanging="252"/>
        <w:spacing w:after="0" w:line="251" w:lineRule="auto"/>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are Earnings Bonus Units or EBUs. Each EBU entitles the executive to receive an amount equal to Exxon's cumulative net income per common share announced each quarter beginning after the grant. Payout occurs on the fifth anniversary of grant or when the maximum settlement value of $4.50 per unit is reached, if earlier. SEC rules classify EBUs as long-term incentives, but because of the nature of Exxon's business we view EBUs as short-term awards. See page IV-11 for more details.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IV-16</w:t>
      </w:r>
    </w:p>
    <w:p>
      <w:pPr>
        <w:sectPr>
          <w:pgSz w:w="11900" w:h="16838" w:orient="portrait"/>
          <w:cols w:equalWidth="0" w:num="1">
            <w:col w:w="10680"/>
          </w:cols>
          <w:pgMar w:left="220" w:top="616" w:right="99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Chapter</w:t>
            </w:r>
          </w:p>
        </w:tc>
        <w:tc>
          <w:tcPr>
            <w:tcW w:w="3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Four - Other Exxon Annual Meeting Proposals</w:t>
            </w:r>
          </w:p>
        </w:tc>
      </w:tr>
      <w:tr>
        <w:trPr>
          <w:trHeight w:val="497"/>
        </w:trPr>
        <w:tc>
          <w:tcPr>
            <w:tcW w:w="29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Pension Plan Table</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1"/>
        </w:trPr>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Years of Service</w:t>
            </w:r>
          </w:p>
        </w:tc>
        <w:tc>
          <w:tcPr>
            <w:tcW w:w="13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524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Remuneration*</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35</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40</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480,000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  560,000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640,000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720,000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2,400,000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3,600,000</w:t>
            </w:r>
          </w:p>
        </w:tc>
      </w:tr>
      <w:tr>
        <w:trPr>
          <w:trHeight w:val="166"/>
        </w:trPr>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5,500,000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3,520,000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3,960,000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right="4199" w:hanging="252"/>
        <w:spacing w:after="0" w:line="252" w:lineRule="auto"/>
        <w:tabs>
          <w:tab w:leader="none" w:pos="2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plan purposes, this means (1) average annual salary over the highest paid 36-month period during the employee's last 10 years of employment, plus (2) the average of the three highest cash bonus and EBU awards during the employee's last five years of employment.</w:t>
      </w:r>
    </w:p>
    <w:p>
      <w:pPr>
        <w:spacing w:after="0" w:line="162"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Employees who meet the age, service, and other requirements of Exxon's annuity plans are eligible for an annuity (or pension) after retirement. The table shows the approximate yearly annuity that would be paid to an Exxon employee in the top compensation (salary and bonus) and period of service categories. The annuity is calculated on a straight life basis with a five year minimum. The actual annuity would be reduced by a portion of the employee's Social Security benefits.</w:t>
      </w:r>
    </w:p>
    <w:p>
      <w:pPr>
        <w:spacing w:after="0" w:line="164"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For annuity purposes, covered compensation for the executives named in the Summary Compensation Table on page IV-14 includes amounts shown in the "Salary" and "Bonus" columns of that table, plus EBU awards shown in the Long Term Incentive Plans table on page IV-16.</w:t>
      </w:r>
    </w:p>
    <w:p>
      <w:pPr>
        <w:spacing w:after="0" w:line="162" w:lineRule="exact"/>
        <w:rPr>
          <w:sz w:val="20"/>
          <w:szCs w:val="20"/>
          <w:color w:val="auto"/>
        </w:rPr>
      </w:pPr>
    </w:p>
    <w:p>
      <w:pPr>
        <w:ind w:left="260" w:right="3859" w:firstLine="258"/>
        <w:spacing w:after="0" w:line="255" w:lineRule="auto"/>
        <w:rPr>
          <w:sz w:val="20"/>
          <w:szCs w:val="20"/>
          <w:color w:val="auto"/>
        </w:rPr>
      </w:pPr>
      <w:r>
        <w:rPr>
          <w:rFonts w:ascii="Courier New" w:cs="Courier New" w:eastAsia="Courier New" w:hAnsi="Courier New"/>
          <w:sz w:val="14"/>
          <w:szCs w:val="14"/>
          <w:color w:val="auto"/>
        </w:rPr>
        <w:t>At January 31, 1999*, the covered compensation and credited years of service for these executives were:</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Covered</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Years of</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Service</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Raymond</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4,495,460</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36</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Dahan</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1,649,090</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Longwell</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1,649,090</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36</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Wilhelm</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1,694,368</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Mr. Nesbitt</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1,216,142</w:t>
            </w:r>
          </w:p>
        </w:tc>
        <w:tc>
          <w:tcPr>
            <w:tcW w:w="9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45</w:t>
            </w:r>
          </w:p>
        </w:tc>
      </w:tr>
    </w:tbl>
    <w:p>
      <w:pPr>
        <w:spacing w:after="0" w:line="335" w:lineRule="exact"/>
        <w:rPr>
          <w:sz w:val="20"/>
          <w:szCs w:val="20"/>
          <w:color w:val="auto"/>
        </w:rPr>
      </w:pPr>
    </w:p>
    <w:p>
      <w:pPr>
        <w:ind w:left="1480" w:right="4379" w:hanging="180"/>
        <w:spacing w:after="0" w:line="255" w:lineRule="auto"/>
        <w:tabs>
          <w:tab w:leader="none" w:pos="14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Figures given at Mr. Nesbitt's retirement effective January 1, 1999.</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IV-17</w:t>
      </w:r>
    </w:p>
    <w:p>
      <w:pPr>
        <w:sectPr>
          <w:pgSz w:w="11900" w:h="16838" w:orient="portrait"/>
          <w:cols w:equalWidth="0" w:num="1">
            <w:col w:w="10239"/>
          </w:cols>
          <w:pgMar w:left="220" w:top="616"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Performance Graphs</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Annual total returns to Exxon shareholders were 22% in 1998, 28% in 1997, and 26% in 1996. Total returns mean share price increase plus dividends paid, with dividends reinvested. The graphs below show the relative investment performance of Exxon common stock, the S&amp;P 500, and an industry peer group over the last five- and 10-year periods. The peer group consists of seven other international integrated oil companies: Amoco, British Petroleum, Chevron, Mobil, Royal Dutch, "Shell" Transport and Trading, and Texaco.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[Five-Year Cumulative Total Returns]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0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Fiscal Years Ended December 31</w:t>
            </w:r>
          </w:p>
        </w:tc>
        <w:tc>
          <w:tcPr>
            <w:tcW w:w="640" w:type="dxa"/>
            <w:vAlign w:val="bottom"/>
          </w:tcPr>
          <w:p>
            <w:pPr>
              <w:spacing w:after="0"/>
              <w:rPr>
                <w:sz w:val="14"/>
                <w:szCs w:val="14"/>
                <w:color w:val="auto"/>
              </w:rPr>
            </w:pPr>
          </w:p>
        </w:tc>
      </w:tr>
      <w:tr>
        <w:trPr>
          <w:trHeight w:val="166"/>
        </w:trPr>
        <w:tc>
          <w:tcPr>
            <w:tcW w:w="1600" w:type="dxa"/>
            <w:vAlign w:val="bottom"/>
          </w:tcPr>
          <w:p>
            <w:pPr>
              <w:spacing w:after="0"/>
              <w:rPr>
                <w:sz w:val="14"/>
                <w:szCs w:val="14"/>
                <w:color w:val="auto"/>
              </w:rPr>
            </w:pPr>
          </w:p>
        </w:tc>
        <w:tc>
          <w:tcPr>
            <w:tcW w:w="4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6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[Ten-Year Cumulative Total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gridSpan w:val="5"/>
          </w:tcPr>
          <w:p>
            <w:pPr>
              <w:ind w:left="420"/>
              <w:spacing w:after="0"/>
              <w:rPr>
                <w:sz w:val="20"/>
                <w:szCs w:val="20"/>
                <w:color w:val="auto"/>
              </w:rPr>
            </w:pPr>
            <w:r>
              <w:rPr>
                <w:rFonts w:ascii="Courier New" w:cs="Courier New" w:eastAsia="Courier New" w:hAnsi="Courier New"/>
                <w:sz w:val="14"/>
                <w:szCs w:val="14"/>
                <w:color w:val="auto"/>
              </w:rPr>
              <w:t>Fiscal Years Ended December 31</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7540" w:type="dxa"/>
            <w:vAlign w:val="bottom"/>
            <w:gridSpan w:val="11"/>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1988</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1989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1990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1991</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1992</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1993</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78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119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130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160</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169</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182</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184</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253</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320</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411</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503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132</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128</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166</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179</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197</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200</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275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338</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451</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580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143</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156</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166</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161</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209</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231</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305</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387</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476</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511</w:t>
            </w:r>
          </w:p>
        </w:tc>
      </w:tr>
      <w:tr>
        <w:trPr>
          <w:trHeight w:val="497"/>
        </w:trPr>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IV-18</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3" w:name="page104"/>
    <w:bookmarkEnd w:id="103"/>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BOARD OF DIRECTORS PROPOSAL: RATIFICATION OF INDEPENDENT ACCOUNTANTS (Item 4 on Exxon's proxy card)</w:t>
      </w:r>
    </w:p>
    <w:p>
      <w:pPr>
        <w:spacing w:after="0" w:line="160"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The Audit Committee of the Board has appointed PricewaterhouseCoopers LLP (PwC) to audit our financial statements for 1999. We are asking you to ratify that appointment.</w:t>
      </w:r>
    </w:p>
    <w:p>
      <w:pPr>
        <w:spacing w:after="0" w:line="163"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PwC (as successor to Price Waterhouse LLP) has been Exxon's independent accounting firm for many years, and we believe they are well qualified for the job. A PwC representative will be at the annual meeting to answer appropriate questions and to make a statement if he desires.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Board recommends you vote FOR this proposal.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PROPOSALS (Items 5 through 8 on Exxon's proxy card)</w:t>
      </w:r>
    </w:p>
    <w:p>
      <w:pPr>
        <w:spacing w:after="0" w:line="17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We expect the following proposals to be presented by shareholders at the annual meeting. Following SEC rules, we are reprinting the proposals and supporting statements as they were submitted to us. We take no responsibility for them. On request to the address under "The Companies" on page I-2, the Secretary will provide information about the shareholdings of the proposal sponsors.</w:t>
      </w:r>
    </w:p>
    <w:p>
      <w:pPr>
        <w:spacing w:after="0" w:line="164" w:lineRule="exact"/>
        <w:rPr>
          <w:sz w:val="20"/>
          <w:szCs w:val="20"/>
          <w:color w:val="auto"/>
        </w:rPr>
      </w:pPr>
    </w:p>
    <w:p>
      <w:pPr>
        <w:ind w:left="260" w:right="351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these proposals for the reasons we give after each one.</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Shareholder Proposal: Term Limit for Nonemployee Directors (Item 5 on Exxon's proxy card)</w:t>
      </w:r>
    </w:p>
    <w:p>
      <w:pPr>
        <w:spacing w:after="0" w:line="160" w:lineRule="exact"/>
        <w:rPr>
          <w:sz w:val="20"/>
          <w:szCs w:val="20"/>
          <w:color w:val="auto"/>
        </w:rPr>
      </w:pPr>
    </w:p>
    <w:p>
      <w:pPr>
        <w:ind w:left="260" w:right="3779" w:firstLine="258"/>
        <w:spacing w:after="0" w:line="255" w:lineRule="auto"/>
        <w:rPr>
          <w:sz w:val="20"/>
          <w:szCs w:val="20"/>
          <w:color w:val="auto"/>
        </w:rPr>
      </w:pPr>
      <w:r>
        <w:rPr>
          <w:rFonts w:ascii="Courier New" w:cs="Courier New" w:eastAsia="Courier New" w:hAnsi="Courier New"/>
          <w:sz w:val="14"/>
          <w:szCs w:val="14"/>
          <w:color w:val="auto"/>
        </w:rPr>
        <w:t>This proposal was submitted by Mrs. Evelyn Y. Davis, Watergate Office Building, 2600 Virginia Avenue, N.W., Suite 215, Washington, DC 20037.</w:t>
      </w:r>
    </w:p>
    <w:p>
      <w:pPr>
        <w:spacing w:after="0" w:line="160"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"RESOLVED, That the stockholders of Exxon recommend that the Board take the necessary steps so that future outside directors shall not serve for more than six years."</w:t>
      </w:r>
    </w:p>
    <w:p>
      <w:pPr>
        <w:spacing w:after="0" w:line="163" w:lineRule="exact"/>
        <w:rPr>
          <w:sz w:val="20"/>
          <w:szCs w:val="20"/>
          <w:color w:val="auto"/>
        </w:rPr>
      </w:pPr>
    </w:p>
    <w:p>
      <w:pPr>
        <w:ind w:left="1380" w:right="3519" w:hanging="859"/>
        <w:spacing w:after="0" w:line="255" w:lineRule="auto"/>
        <w:tabs>
          <w:tab w:leader="none" w:pos="1360" w:val="left"/>
        </w:tabs>
        <w:rPr>
          <w:sz w:val="20"/>
          <w:szCs w:val="20"/>
          <w:color w:val="auto"/>
        </w:rPr>
      </w:pPr>
      <w:r>
        <w:rPr>
          <w:rFonts w:ascii="Courier New" w:cs="Courier New" w:eastAsia="Courier New" w:hAnsi="Courier New"/>
          <w:sz w:val="14"/>
          <w:szCs w:val="14"/>
          <w:color w:val="auto"/>
        </w:rPr>
        <w:t>REASONS:</w:t>
        <w:tab/>
        <w:t>"The President of the U.S.A. has a term limit, so do Governors of many states.</w:t>
      </w:r>
    </w:p>
    <w:p>
      <w:pPr>
        <w:spacing w:after="0" w:line="16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Newer directors may bring in fresh outlooks and different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approaches with benefits to all shareholders.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No director should be able to feel that his or her</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directorship is until retirement.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If you AGREE, please mark your proxy FOR this resolution."</w:t>
      </w:r>
    </w:p>
    <w:p>
      <w:pPr>
        <w:spacing w:after="0" w:line="173" w:lineRule="exact"/>
        <w:rPr>
          <w:sz w:val="20"/>
          <w:szCs w:val="20"/>
          <w:color w:val="auto"/>
        </w:rPr>
      </w:pPr>
    </w:p>
    <w:p>
      <w:pPr>
        <w:ind w:left="260" w:right="377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this proposal for the following reasons:</w:t>
      </w:r>
    </w:p>
    <w:p>
      <w:pPr>
        <w:spacing w:after="0" w:line="160"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The Board believes that its current practices and those of the Board Affairs Committee concerning the nomination and service of directors ensure a balanced Board where individuals with diverse backgrounds, knowledge, and experience function well as a unit.</w:t>
      </w:r>
    </w:p>
    <w:p>
      <w:pPr>
        <w:spacing w:after="0" w:line="162"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Board Affairs Committee, which is comprised only of nonemployee directors, recommends candidates for Board membership to the full Board of Directors. The Committee annually develops a proposed slate of nominees which the Board must approve to be voted on by all shareholders. Shareholders vote every year on each of the directors. Historically, over 99% of the shareholders voting have voted in favor of each of the directors standing for election for any given year. In developing and recommending candidates, the Committee considers the overall needs of the Board, such as continuity and depth of knowledge and experience, as well as an individual's ability to contribute.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IV-19</w:t>
      </w:r>
    </w:p>
    <w:p>
      <w:pPr>
        <w:sectPr>
          <w:pgSz w:w="11900" w:h="16838" w:orient="portrait"/>
          <w:cols w:equalWidth="0" w:num="1">
            <w:col w:w="10239"/>
          </w:cols>
          <w:pgMar w:left="220" w:top="616"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Arbitrarily imposing a maximum of six years service for future nonemployee directors could result in the premature loss of directors who have acquired a great deal of knowledge and perspective about the company's operations and who may be in a position to make their most valuable contributions to Exxon's business.</w:t>
      </w:r>
    </w:p>
    <w:p>
      <w:pPr>
        <w:spacing w:after="0" w:line="165" w:lineRule="exact"/>
        <w:rPr>
          <w:sz w:val="20"/>
          <w:szCs w:val="20"/>
          <w:color w:val="auto"/>
        </w:rPr>
      </w:pPr>
    </w:p>
    <w:p>
      <w:pPr>
        <w:ind w:left="260" w:right="3679" w:firstLine="258"/>
        <w:spacing w:after="0" w:line="255" w:lineRule="auto"/>
        <w:rPr>
          <w:sz w:val="20"/>
          <w:szCs w:val="20"/>
          <w:color w:val="auto"/>
        </w:rPr>
      </w:pPr>
      <w:r>
        <w:rPr>
          <w:rFonts w:ascii="Courier New" w:cs="Courier New" w:eastAsia="Courier New" w:hAnsi="Courier New"/>
          <w:sz w:val="14"/>
          <w:szCs w:val="14"/>
          <w:color w:val="auto"/>
        </w:rPr>
        <w:t>A similar proposal was submitted by this proponent for the 1985 Annual Meeting, and almost 97% of shareholders voting, voted AGAINST it.</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Shareholder Proposal: Limitation on Shareholder Voting (Item 6 on Exxon's proxy card)</w:t>
      </w:r>
    </w:p>
    <w:p>
      <w:pPr>
        <w:spacing w:after="0" w:line="160" w:lineRule="exact"/>
        <w:rPr>
          <w:sz w:val="20"/>
          <w:szCs w:val="20"/>
          <w:color w:val="auto"/>
        </w:rPr>
      </w:pPr>
    </w:p>
    <w:p>
      <w:pPr>
        <w:ind w:left="260" w:right="3679" w:firstLine="258"/>
        <w:spacing w:after="0" w:line="255" w:lineRule="auto"/>
        <w:rPr>
          <w:sz w:val="20"/>
          <w:szCs w:val="20"/>
          <w:color w:val="auto"/>
        </w:rPr>
      </w:pPr>
      <w:r>
        <w:rPr>
          <w:rFonts w:ascii="Courier New" w:cs="Courier New" w:eastAsia="Courier New" w:hAnsi="Courier New"/>
          <w:sz w:val="14"/>
          <w:szCs w:val="14"/>
          <w:color w:val="auto"/>
        </w:rPr>
        <w:t>This proposal was submitted by Mr. J. F. Quilter, 500 Westridge Drive, Portola Valley, CA 94028-7721.</w:t>
      </w:r>
    </w:p>
    <w:p>
      <w:pPr>
        <w:spacing w:after="0" w:line="160"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"WHEREAS it is the usual practice for annual stockholders' meeting announcements to include a statement to the effect that if no direction is made the proxy will be voted for the nominations made or positions held by management.</w:t>
      </w:r>
    </w:p>
    <w:p>
      <w:pPr>
        <w:spacing w:after="0" w:line="162" w:lineRule="exact"/>
        <w:rPr>
          <w:sz w:val="20"/>
          <w:szCs w:val="20"/>
          <w:color w:val="auto"/>
        </w:rPr>
      </w:pPr>
    </w:p>
    <w:p>
      <w:pPr>
        <w:jc w:val="both"/>
        <w:ind w:left="260" w:right="3679" w:firstLine="258"/>
        <w:spacing w:after="0" w:line="252" w:lineRule="auto"/>
        <w:rPr>
          <w:sz w:val="20"/>
          <w:szCs w:val="20"/>
          <w:color w:val="auto"/>
        </w:rPr>
      </w:pPr>
      <w:r>
        <w:rPr>
          <w:rFonts w:ascii="Courier New" w:cs="Courier New" w:eastAsia="Courier New" w:hAnsi="Courier New"/>
          <w:sz w:val="14"/>
          <w:szCs w:val="14"/>
          <w:color w:val="auto"/>
        </w:rPr>
        <w:t>This clouds the voting results as to votes for directors and auditors, does not accurately reflect the desires of voting stockholders and skews the results. In a political election it would be tantamount to counting votes of those who do not vote as being in favor of the incumbent.</w:t>
      </w:r>
    </w:p>
    <w:p>
      <w:pPr>
        <w:spacing w:after="0" w:line="162"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THEREFORE IT IS RESOLVED, That the shareholders recommend that the Board of Directors take the necessary action to cause proxy balloting on nominees and items contained in the notice of the annual meeting to be tabulated for each nominee and proposal as in favor, opposed, abstain and returned unmarked. The decision shall be determined by the number of those voted in favor and opposed.</w:t>
      </w:r>
    </w:p>
    <w:p>
      <w:pPr>
        <w:spacing w:after="0" w:line="164" w:lineRule="exact"/>
        <w:rPr>
          <w:sz w:val="20"/>
          <w:szCs w:val="20"/>
          <w:color w:val="auto"/>
        </w:rPr>
      </w:pPr>
    </w:p>
    <w:p>
      <w:pPr>
        <w:ind w:left="260" w:right="3859" w:firstLine="258"/>
        <w:spacing w:after="0" w:line="255" w:lineRule="auto"/>
        <w:rPr>
          <w:sz w:val="20"/>
          <w:szCs w:val="20"/>
          <w:color w:val="auto"/>
        </w:rPr>
      </w:pPr>
      <w:r>
        <w:rPr>
          <w:rFonts w:ascii="Courier New" w:cs="Courier New" w:eastAsia="Courier New" w:hAnsi="Courier New"/>
          <w:sz w:val="14"/>
          <w:szCs w:val="14"/>
          <w:color w:val="auto"/>
        </w:rPr>
        <w:t>Unmarked ballots shall be considered only for the demonstration of a quorum.</w:t>
      </w:r>
    </w:p>
    <w:p>
      <w:pPr>
        <w:spacing w:after="0" w:line="160" w:lineRule="exact"/>
        <w:rPr>
          <w:sz w:val="20"/>
          <w:szCs w:val="20"/>
          <w:color w:val="auto"/>
        </w:rPr>
      </w:pPr>
    </w:p>
    <w:p>
      <w:pPr>
        <w:ind w:left="260" w:right="3599" w:firstLine="258"/>
        <w:spacing w:after="0" w:line="255" w:lineRule="auto"/>
        <w:rPr>
          <w:sz w:val="20"/>
          <w:szCs w:val="20"/>
          <w:color w:val="auto"/>
        </w:rPr>
      </w:pPr>
      <w:r>
        <w:rPr>
          <w:rFonts w:ascii="Courier New" w:cs="Courier New" w:eastAsia="Courier New" w:hAnsi="Courier New"/>
          <w:sz w:val="14"/>
          <w:szCs w:val="14"/>
          <w:color w:val="auto"/>
        </w:rPr>
        <w:t>For each nominee and proposal, stockholders shall be advised of the official results in the normal course of communication with stockholders."</w:t>
      </w:r>
    </w:p>
    <w:p>
      <w:pPr>
        <w:spacing w:after="0" w:line="160" w:lineRule="exact"/>
        <w:rPr>
          <w:sz w:val="20"/>
          <w:szCs w:val="20"/>
          <w:color w:val="auto"/>
        </w:rPr>
      </w:pPr>
    </w:p>
    <w:p>
      <w:pPr>
        <w:ind w:left="260" w:right="377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this proposal for the following reasons:</w:t>
      </w:r>
    </w:p>
    <w:p>
      <w:pPr>
        <w:spacing w:after="0" w:line="160"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Exxon uses the same proxy voting procedure as the vast majority of other public corporations. For Exxon to use a different procedure could result in unnecessary confusion.</w:t>
      </w:r>
    </w:p>
    <w:p>
      <w:pPr>
        <w:spacing w:after="0" w:line="163" w:lineRule="exact"/>
        <w:rPr>
          <w:sz w:val="20"/>
          <w:szCs w:val="20"/>
          <w:color w:val="auto"/>
        </w:rPr>
      </w:pPr>
    </w:p>
    <w:p>
      <w:pPr>
        <w:ind w:left="260" w:right="3679" w:firstLine="258"/>
        <w:spacing w:after="0" w:line="252" w:lineRule="auto"/>
        <w:rPr>
          <w:sz w:val="20"/>
          <w:szCs w:val="20"/>
          <w:color w:val="auto"/>
        </w:rPr>
      </w:pPr>
      <w:r>
        <w:rPr>
          <w:rFonts w:ascii="Courier New" w:cs="Courier New" w:eastAsia="Courier New" w:hAnsi="Courier New"/>
          <w:sz w:val="14"/>
          <w:szCs w:val="14"/>
          <w:color w:val="auto"/>
        </w:rPr>
        <w:t>The proposal would deprive shareholders of a simple, easily understood way to vote for all of the Board of Directors' recommendations. It is based on the assumption that shareholders do not read or understand the clearly explained voting instructions.</w:t>
      </w:r>
    </w:p>
    <w:p>
      <w:pPr>
        <w:spacing w:after="0" w:line="162"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Exxon's proxy card provides shareholders the option to vote for, against, or to abstain on all items of business except the election of directors. In the case of directors, the shareholders may vote for or against each director. The proponent of this proposal assumes that shareholders who sign and return their proxy cards without marking specific items do not intend to cast their votes. It seems more likely that individuals who wish to be counted for quorum purposes, but do not want to vote on specific items, would simply mark "abstain".</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proxy card states in boldface letters that "If no other indication is made, the proxies shall vote (a) for the election of the director nominees and (b) in accordance with the recommendations of the Board of Directors on the other matters referred to on the reverse side." The Board believes that shareholders read proxy card instructions, understand this long-time practice, and fully intend to cast their votes in accordance with the instructions by simply and conveniently signing and returning the card.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IV-20</w:t>
      </w:r>
    </w:p>
    <w:p>
      <w:pPr>
        <w:sectPr>
          <w:pgSz w:w="11900" w:h="16838" w:orient="portrait"/>
          <w:cols w:equalWidth="0" w:num="1">
            <w:col w:w="10239"/>
          </w:cols>
          <w:pgMar w:left="220" w:top="616" w:right="1440" w:bottom="1440" w:gutter="0" w:footer="0" w:header="0"/>
        </w:sectPr>
      </w:pPr>
    </w:p>
    <w:bookmarkStart w:id="105" w:name="page106"/>
    <w:bookmarkEnd w:id="105"/>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Shareholder Proposal: Additional Report on Climate Change (Item 7 on Exxon's proxy card)</w:t>
      </w:r>
    </w:p>
    <w:p>
      <w:pPr>
        <w:spacing w:after="0" w:line="160" w:lineRule="exact"/>
        <w:rPr>
          <w:sz w:val="20"/>
          <w:szCs w:val="20"/>
          <w:color w:val="auto"/>
        </w:rPr>
      </w:pPr>
    </w:p>
    <w:p>
      <w:pPr>
        <w:ind w:left="260" w:right="3859" w:firstLine="258"/>
        <w:spacing w:after="0" w:line="252" w:lineRule="auto"/>
        <w:rPr>
          <w:sz w:val="20"/>
          <w:szCs w:val="20"/>
          <w:color w:val="auto"/>
        </w:rPr>
      </w:pPr>
      <w:r>
        <w:rPr>
          <w:rFonts w:ascii="Courier New" w:cs="Courier New" w:eastAsia="Courier New" w:hAnsi="Courier New"/>
          <w:sz w:val="14"/>
          <w:szCs w:val="14"/>
          <w:color w:val="auto"/>
        </w:rPr>
        <w:t>This proposal was submitted by The Province of St. Joseph of the Capuchin Order, 1015 North Ninth Street, Milwaukee, WI 53233 and twenty co-proponents.</w:t>
      </w:r>
    </w:p>
    <w:p>
      <w:pPr>
        <w:spacing w:after="0" w:line="163" w:lineRule="exact"/>
        <w:rPr>
          <w:sz w:val="20"/>
          <w:szCs w:val="20"/>
          <w:color w:val="auto"/>
        </w:rPr>
      </w:pPr>
    </w:p>
    <w:p>
      <w:pPr>
        <w:ind w:left="260" w:right="3779" w:firstLine="258"/>
        <w:spacing w:after="0" w:line="252" w:lineRule="auto"/>
        <w:rPr>
          <w:sz w:val="20"/>
          <w:szCs w:val="20"/>
          <w:color w:val="auto"/>
        </w:rPr>
      </w:pPr>
      <w:r>
        <w:rPr>
          <w:rFonts w:ascii="Courier New" w:cs="Courier New" w:eastAsia="Courier New" w:hAnsi="Courier New"/>
          <w:sz w:val="14"/>
          <w:szCs w:val="14"/>
          <w:color w:val="auto"/>
        </w:rPr>
        <w:t>"WHEREAS, this resolution's proponents are convinced overwhelming scientific evidence demonstrates that fossil fuel burning contributes to global warming.</w:t>
      </w:r>
    </w:p>
    <w:p>
      <w:pPr>
        <w:spacing w:after="0" w:line="163" w:lineRule="exact"/>
        <w:rPr>
          <w:sz w:val="20"/>
          <w:szCs w:val="20"/>
          <w:color w:val="auto"/>
        </w:rPr>
      </w:pPr>
    </w:p>
    <w:p>
      <w:pPr>
        <w:ind w:left="1120" w:right="4199" w:hanging="250"/>
        <w:spacing w:after="0" w:line="252" w:lineRule="auto"/>
        <w:tabs>
          <w:tab w:leader="none" w:pos="11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Despite this evidence, Exxon's management has led efforts which, we believe, undermine national and international responses addressing the problem:</w:t>
      </w:r>
    </w:p>
    <w:p>
      <w:pPr>
        <w:spacing w:after="0" w:line="163" w:lineRule="exact"/>
        <w:rPr>
          <w:sz w:val="20"/>
          <w:szCs w:val="20"/>
          <w:color w:val="auto"/>
        </w:rPr>
      </w:pPr>
    </w:p>
    <w:p>
      <w:pPr>
        <w:ind w:left="1120" w:right="3859" w:hanging="250"/>
        <w:spacing w:after="0" w:line="251" w:lineRule="auto"/>
        <w:tabs>
          <w:tab w:leader="none" w:pos="11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last year's annual meeting shareholders had the opportunity to vote on the same resolution contained on these pages. However Lee R. Raymond stated (in regard to climate change): "What is perfectly clear is that 'nothing is clear.' There needs to be continuing public debate." On the one hand, management says it wants a debate; on the other, it has gone to the Securities and Exchange Commission trying to keep shareholders from voting on this resolution.</w:t>
      </w:r>
    </w:p>
    <w:p>
      <w:pPr>
        <w:spacing w:after="0" w:line="163" w:lineRule="exact"/>
        <w:rPr>
          <w:rFonts w:ascii="Courier New" w:cs="Courier New" w:eastAsia="Courier New" w:hAnsi="Courier New"/>
          <w:sz w:val="14"/>
          <w:szCs w:val="14"/>
          <w:color w:val="auto"/>
        </w:rPr>
      </w:pPr>
    </w:p>
    <w:p>
      <w:pPr>
        <w:ind w:left="1120" w:right="3779" w:hanging="250"/>
        <w:spacing w:after="0" w:line="252" w:lineRule="auto"/>
        <w:tabs>
          <w:tab w:leader="none" w:pos="11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proponents of this resolution believe management's position is inaccurate, short-sighted and potentially damaging to the long-term financial interests of this company.</w:t>
      </w:r>
    </w:p>
    <w:p>
      <w:pPr>
        <w:spacing w:after="0" w:line="162" w:lineRule="exact"/>
        <w:rPr>
          <w:rFonts w:ascii="Courier New" w:cs="Courier New" w:eastAsia="Courier New" w:hAnsi="Courier New"/>
          <w:sz w:val="14"/>
          <w:szCs w:val="14"/>
          <w:color w:val="auto"/>
        </w:rPr>
      </w:pPr>
    </w:p>
    <w:p>
      <w:pPr>
        <w:ind w:left="1120" w:right="3859" w:hanging="250"/>
        <w:spacing w:after="0" w:line="251" w:lineRule="auto"/>
        <w:tabs>
          <w:tab w:leader="none" w:pos="11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Last year, management urged shareholders to vote against the resolution, claiming without substantiation that "cuts in fossil fuel use ... would severely damage economies, industry and jobs." Yet 2000 economists have stated "the United States would be able to reduce its emissions to slow global warming without damaging the economy" (WP 2/14/97).</w:t>
      </w:r>
    </w:p>
    <w:p>
      <w:pPr>
        <w:spacing w:after="0" w:line="164" w:lineRule="exact"/>
        <w:rPr>
          <w:rFonts w:ascii="Courier New" w:cs="Courier New" w:eastAsia="Courier New" w:hAnsi="Courier New"/>
          <w:sz w:val="14"/>
          <w:szCs w:val="14"/>
          <w:color w:val="auto"/>
        </w:rPr>
      </w:pPr>
    </w:p>
    <w:p>
      <w:pPr>
        <w:ind w:left="1120" w:right="3779" w:hanging="250"/>
        <w:spacing w:after="0" w:line="252" w:lineRule="auto"/>
        <w:tabs>
          <w:tab w:leader="none" w:pos="11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believe that management is part of a large-scale and highly-funded effort which is attempting to undermine existing public policy attempts to address the issue of human causation of global warming.</w:t>
      </w:r>
    </w:p>
    <w:p>
      <w:pPr>
        <w:spacing w:after="0" w:line="162" w:lineRule="exact"/>
        <w:rPr>
          <w:rFonts w:ascii="Courier New" w:cs="Courier New" w:eastAsia="Courier New" w:hAnsi="Courier New"/>
          <w:sz w:val="14"/>
          <w:szCs w:val="14"/>
          <w:color w:val="auto"/>
        </w:rPr>
      </w:pPr>
    </w:p>
    <w:p>
      <w:pPr>
        <w:ind w:left="1120" w:right="3679" w:hanging="250"/>
        <w:spacing w:after="0" w:line="252" w:lineRule="auto"/>
        <w:tabs>
          <w:tab w:leader="none" w:pos="11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top two U.S. automobile companies have begun to make changes in their products which recognize the need to have less emissions from the burning of fossil fuels.</w:t>
      </w:r>
    </w:p>
    <w:p>
      <w:pPr>
        <w:spacing w:after="0" w:line="162" w:lineRule="exact"/>
        <w:rPr>
          <w:rFonts w:ascii="Courier New" w:cs="Courier New" w:eastAsia="Courier New" w:hAnsi="Courier New"/>
          <w:sz w:val="14"/>
          <w:szCs w:val="14"/>
          <w:color w:val="auto"/>
        </w:rPr>
      </w:pPr>
    </w:p>
    <w:p>
      <w:pPr>
        <w:ind w:left="1120" w:right="3939" w:hanging="250"/>
        <w:spacing w:after="0" w:line="250" w:lineRule="auto"/>
        <w:tabs>
          <w:tab w:leader="none" w:pos="11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of the largest European fossil fuel companies, Royal Dutch Shell and British Petroleum, have already begun making decisions for their long-term growth which factor in the conclusions of the scientific community warning about the effect of fossil fuel combustion on climate change. John Browne, Group Chief Executive of BP America has stated: "The time to consider the policy dimensions of climate change is</w:t>
      </w:r>
    </w:p>
    <w:p>
      <w:pPr>
        <w:spacing w:after="0" w:line="3" w:lineRule="exact"/>
        <w:rPr>
          <w:rFonts w:ascii="Courier New" w:cs="Courier New" w:eastAsia="Courier New" w:hAnsi="Courier New"/>
          <w:sz w:val="14"/>
          <w:szCs w:val="14"/>
          <w:color w:val="auto"/>
        </w:rPr>
      </w:pPr>
    </w:p>
    <w:p>
      <w:pPr>
        <w:ind w:left="1120"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when the possibility cannot be discounted. ... We in BP have reached that point."</w:t>
      </w:r>
    </w:p>
    <w:p>
      <w:pPr>
        <w:spacing w:after="0" w:line="160" w:lineRule="exact"/>
        <w:rPr>
          <w:sz w:val="20"/>
          <w:szCs w:val="20"/>
          <w:color w:val="auto"/>
        </w:rPr>
      </w:pPr>
    </w:p>
    <w:p>
      <w:pPr>
        <w:ind w:left="1120" w:right="3779" w:hanging="250"/>
        <w:spacing w:after="0" w:line="251" w:lineRule="auto"/>
        <w:tabs>
          <w:tab w:leader="none" w:pos="11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an admission from an executive of a major competitor in the fossil fuel industry should have led Exxon's management to seriously re-examine the issue. Despite this, management continues to share with concerned shareholders and others only those opinions of scientists that agree with management's position. Many of these studies and/or scientists have been funded by management. We know of no case where such "evidence" regarding the burning of fossil fuels and climate change being proffered by such scientists has been subject to peer review.</w:t>
      </w:r>
    </w:p>
    <w:p>
      <w:pPr>
        <w:spacing w:after="0" w:line="329"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RESOLVED, Shareholders request the Board to create a committee of outside directors to independently review and issue (at reasonable cost and omitting proprietary information) a full report to shareholders by August, 1999 regarding the impact of climate change on our company's policies and practices. We recommend the following issues to be included: 1) any anticipated liabilities Exxon may incur from its possible contribution to the problem; 2) what Exxon can do to reduce carbon dioxide emissions from our fossil fuels.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you agree, please vote 'yes' for this resolution."</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IV-21</w:t>
      </w:r>
    </w:p>
    <w:p>
      <w:pPr>
        <w:sectPr>
          <w:pgSz w:w="11900" w:h="16838" w:orient="portrait"/>
          <w:cols w:equalWidth="0" w:num="1">
            <w:col w:w="10239"/>
          </w:cols>
          <w:pgMar w:left="220" w:top="616"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right="377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this proposal for the following reasons:</w:t>
      </w:r>
    </w:p>
    <w:p>
      <w:pPr>
        <w:spacing w:after="0" w:line="160"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A similar proposal was presented by this same proponent at Exxon's 1998 annual meeting and was rejected by shareholders owning more than 95 percent of the shares voted.</w:t>
      </w:r>
    </w:p>
    <w:p>
      <w:pPr>
        <w:spacing w:after="0" w:line="16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The proposal calls for a new Board committee to study global climate change. The Board believes such a committee would be an unwarranted duplication of effort since it is already kept well informed about this issue. The proposal also calls for a special report despite extensive, ongoing communications on this subject. Exxon already provides information to shareholders, employees, and the public through publications such as the annual report, The Lamp, Perspectives, special information booklets such as Global Climate Change:</w:t>
      </w:r>
    </w:p>
    <w:p>
      <w:pPr>
        <w:spacing w:after="0" w:line="164" w:lineRule="exact"/>
        <w:rPr>
          <w:sz w:val="20"/>
          <w:szCs w:val="20"/>
          <w:color w:val="auto"/>
        </w:rPr>
      </w:pPr>
    </w:p>
    <w:p>
      <w:pPr>
        <w:ind w:left="260" w:right="3679"/>
        <w:spacing w:after="0" w:line="252" w:lineRule="auto"/>
        <w:rPr>
          <w:sz w:val="20"/>
          <w:szCs w:val="20"/>
          <w:color w:val="auto"/>
        </w:rPr>
      </w:pPr>
      <w:r>
        <w:rPr>
          <w:rFonts w:ascii="Courier New" w:cs="Courier New" w:eastAsia="Courier New" w:hAnsi="Courier New"/>
          <w:sz w:val="14"/>
          <w:szCs w:val="14"/>
          <w:color w:val="auto"/>
        </w:rPr>
        <w:t>Everyone's Debate, and Exxon Initiatives Related to Global Climate, and executive speeches. These and other sources of information are available on Exxon's website (www.exxon.com).</w:t>
      </w:r>
    </w:p>
    <w:p>
      <w:pPr>
        <w:spacing w:after="0" w:line="163"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Regrettably, in attempting to justify this proposal, the proponent has chosen to engage in personal allegations rather than address the major scientific, technical, economic, and social issues involved in the global climate change debate. The fact that Exxon's views are different from the proponent's is not an appropriate basis to characterize Exxon as "undermining public policy."</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Contrary to the proponent's claim, there is a broad range of interested and informed parties such as business, labor, consumer, agriculture, and other groups that, along with Exxon, are participating in legitimate public debate on this issue. This does not undermine public policy. It is an important component of the democratic process. Indeed, the views of most participants are similar to those of the U.S. Senate as expressed in Senate Resolution 98. The Senate passed (by a vote of 95-0) a resolution that the United States should not agree to a treaty that does not include specific mandated commitments by all nations or that would result in serious harm to the economy of the United States.</w:t>
      </w:r>
    </w:p>
    <w:p>
      <w:pPr>
        <w:spacing w:after="0" w:line="163"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Similarly, statements by the proponent that scientific studies cited by Exxon are only those "funded by management" and have not been "subject to peer review" are incorrect. This is particularly disappointing since we have offered the proponent an opportunity to talk with numerous technical and economic experts. Had the proponent done so, it would have found that, contrary to the above assertion, the company has indeed cited numerous peer-reviewed studies in its communications regarding climate change.</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Earth's climate is affected by many complex variables. Throughout history, climate has fluctuated between periods of cooling and periods of warming. Some of those changes lasted hundreds of years, others hundreds of thousands. Over the past century, there has been a slight warming trend of one-half degree Celsius (about one degree Fahrenheit). This recent warming trend falls well within the range of the natural changes in the Earth's temperature over the past 250,000 years. The debate about climate change concerns whether this recent warming is primarily connected with our use of fossil fuels - coal, oil, and natural gas.</w:t>
      </w:r>
    </w:p>
    <w:p>
      <w:pPr>
        <w:spacing w:after="0" w:line="164"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Scientists concerned about global warming point to the greenhouse effect, a proven natural phenomenon. Water vapor and carbon dioxide (CO(2)) and other gases trap some of the sun's energy, creating a warming, or greenhouse effect. Nearly all CO(2) emissions come from natural sources. Only a small amount comes from burning fossil fuels. Does the tiny portion of greenhouse gases caused by burning fossil fuels have a measurable effect on worldwide climate? That is the crux of the debate.</w:t>
      </w:r>
    </w:p>
    <w:p>
      <w:pPr>
        <w:spacing w:after="0" w:line="164" w:lineRule="exact"/>
        <w:rPr>
          <w:sz w:val="20"/>
          <w:szCs w:val="20"/>
          <w:color w:val="auto"/>
        </w:rPr>
      </w:pPr>
    </w:p>
    <w:p>
      <w:pPr>
        <w:ind w:left="260" w:right="3519" w:firstLine="258"/>
        <w:spacing w:after="0" w:line="251" w:lineRule="auto"/>
        <w:rPr>
          <w:sz w:val="20"/>
          <w:szCs w:val="20"/>
          <w:color w:val="auto"/>
        </w:rPr>
      </w:pPr>
      <w:r>
        <w:rPr>
          <w:rFonts w:ascii="Courier New" w:cs="Courier New" w:eastAsia="Courier New" w:hAnsi="Courier New"/>
          <w:sz w:val="14"/>
          <w:szCs w:val="14"/>
          <w:color w:val="auto"/>
        </w:rPr>
        <w:t>In December 1997, representatives from many governments attended meetings in Kyoto, Japan. The outcome of the meetings was a treaty which, if ratified, would commit certain countries to reduce CO(2) and other greenhouse gas emissions. The agreement would commit 38 developed countries, including the United States, to reduce their combined emissions an average of five percent below 1990 levels in the next 10 to 14 years. But the treaty excludes more than 130 developing countries from any commitments. It also left many implementation questions unanswered and little progress has been made since then in resolving these questions or in meeting the standards established by the Senate resolution.</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IV-22</w:t>
      </w:r>
    </w:p>
    <w:p>
      <w:pPr>
        <w:sectPr>
          <w:pgSz w:w="11900" w:h="16838" w:orient="portrait"/>
          <w:cols w:equalWidth="0" w:num="1">
            <w:col w:w="10239"/>
          </w:cols>
          <w:pgMar w:left="220" w:top="616" w:right="1440" w:bottom="1440" w:gutter="0" w:footer="0" w:header="0"/>
        </w:sectPr>
      </w:pPr>
    </w:p>
    <w:bookmarkStart w:id="107" w:name="page108"/>
    <w:bookmarkEnd w:id="107"/>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779" w:firstLine="258"/>
        <w:spacing w:after="0" w:line="251" w:lineRule="auto"/>
        <w:rPr>
          <w:sz w:val="20"/>
          <w:szCs w:val="20"/>
          <w:color w:val="auto"/>
        </w:rPr>
      </w:pPr>
      <w:r>
        <w:rPr>
          <w:rFonts w:ascii="Courier New" w:cs="Courier New" w:eastAsia="Courier New" w:hAnsi="Courier New"/>
          <w:sz w:val="14"/>
          <w:szCs w:val="14"/>
          <w:color w:val="auto"/>
        </w:rPr>
        <w:t>The published, peer-reviewed economic literature shows that the financial and social impact of these substantial, mandated fossil fuel reductions (through taxes, rationing, or other measures) would severely damage economies, industry, and jobs. Independent economists project that the targeted reductions in fossil-fuel would require price increases such as 40 percent for gasoline, 50 percent for home heating oil, 25 percent for electricity, and 50 percent for natural gas. These and other price hikes could cost the average American family of four about $2,700 a year. This work was confirmed by a government analysis (U.S. Department of Energy's Energy Information Administration-October 1998) which projects that meeting this target could increase U.S. energy prices by up to 83 percent and cost the economy over $300 billion annually.</w:t>
      </w:r>
    </w:p>
    <w:p>
      <w:pPr>
        <w:spacing w:after="0" w:line="329" w:lineRule="exact"/>
        <w:rPr>
          <w:sz w:val="20"/>
          <w:szCs w:val="20"/>
          <w:color w:val="auto"/>
        </w:rPr>
      </w:pPr>
    </w:p>
    <w:p>
      <w:pPr>
        <w:ind w:right="3779" w:firstLine="258"/>
        <w:spacing w:after="0" w:line="251" w:lineRule="auto"/>
        <w:rPr>
          <w:sz w:val="20"/>
          <w:szCs w:val="20"/>
          <w:color w:val="auto"/>
        </w:rPr>
      </w:pPr>
      <w:r>
        <w:rPr>
          <w:rFonts w:ascii="Courier New" w:cs="Courier New" w:eastAsia="Courier New" w:hAnsi="Courier New"/>
          <w:sz w:val="14"/>
          <w:szCs w:val="14"/>
          <w:color w:val="auto"/>
        </w:rPr>
        <w:t>Excluding developing nations from such reductions, which renders the Kyoto targets largely ineffective, will not prevent those countries from being hurt. Their exports will suffer as the economic growth of industrialized nations is impaired. In developing nations, reducing economic growth would mean fewer financial resources available for meeting real and immediate social needs, such as reduced poverty, clean drinking water, health care, and education.</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potential for climate change caused by elevated levels of CO(2) in the atmosphere is a legitimate concern, and reducing the scientific uncertainties is important. The public should support additional research on this issue. Industries should continue voluntary market-driven efforts to identify cost-effective ways to reduce energy use and emissions. Exxon and others are already working in areas such as energy efficiency and fuel switching-which means, for example, changing from coal to cleaner-burning natural gas. At Exxon, our refineries and chemical plants are 35 percent more energy-efficient today than they were 25 years ago. In addition, we operate or have an interest in 26 cogeneration plants around the world. Cogeneration makes steam and electricity simultaneously, using 30 percent less energy than making them separately.</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Advanced technology is one of the main tools industry is applying to reduce energy use and, with it, CO(2) emissions. Long-term research should continue to render substantial improvements - 50 percent to 100 percent--in energy efficiency. For example, Exxon is involved in several partnerships to develop advanced technology for greatly improved efficiency in transportation.</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Fortunately, all indications are that climate change is a very long-term phenomenon. The U.S. Congressional Office of Technology Assessment concluded, "Delaying the implementation of emissions controls for 10 to 20 years will have little effect on atmospheric concentrations of greenhouse gas emissions." We can make good use of that time. Researchers will be able to gain a better understanding of climate science. And there is a lot of research going on - about $2 billion worth a year in the U.S. alone. Exxon itself has funded studies by several major research organizations.</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Exxon believes that sound science and sound economics should light the way as society addresses climate change. Patience is important as we allow facts to guide our course of action. With such an approach, the world can resolve global climate change in a way that also keeps economies healthy and growing. But the first step is an open and honest debate on the issue. Creating another Board committee and adding another special report are unnecessary, duplicative, and wasteful since the issue of global climate change is reviewed frequently with the full Board of Directors, the company has already produced extensive communications, and is committed to continue speaking out on this important matter.</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IV-23</w:t>
      </w:r>
    </w:p>
    <w:p>
      <w:pPr>
        <w:sectPr>
          <w:pgSz w:w="11900" w:h="16838" w:orient="portrait"/>
          <w:cols w:equalWidth="0" w:num="1">
            <w:col w:w="9979"/>
          </w:cols>
          <w:pgMar w:left="480" w:top="616"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Shareholder Proposal: Sexual Orientation Principles (Item 8 on Exxon's proxy card)</w:t>
      </w:r>
    </w:p>
    <w:p>
      <w:pPr>
        <w:spacing w:after="0" w:line="160" w:lineRule="exact"/>
        <w:rPr>
          <w:sz w:val="20"/>
          <w:szCs w:val="20"/>
          <w:color w:val="auto"/>
        </w:rPr>
      </w:pPr>
    </w:p>
    <w:p>
      <w:pPr>
        <w:ind w:left="260" w:right="3679" w:firstLine="258"/>
        <w:spacing w:after="0" w:line="255" w:lineRule="auto"/>
        <w:rPr>
          <w:sz w:val="20"/>
          <w:szCs w:val="20"/>
          <w:color w:val="auto"/>
        </w:rPr>
      </w:pPr>
      <w:r>
        <w:rPr>
          <w:rFonts w:ascii="Courier New" w:cs="Courier New" w:eastAsia="Courier New" w:hAnsi="Courier New"/>
          <w:sz w:val="14"/>
          <w:szCs w:val="14"/>
          <w:color w:val="auto"/>
        </w:rPr>
        <w:t>This proposal was submitted by Ms. Marianne Weil, Box 341, Orient, New York 11957 and three co-proponents.</w:t>
      </w:r>
    </w:p>
    <w:p>
      <w:pPr>
        <w:spacing w:after="0" w:line="160" w:lineRule="exact"/>
        <w:rPr>
          <w:sz w:val="20"/>
          <w:szCs w:val="20"/>
          <w:color w:val="auto"/>
        </w:rPr>
      </w:pPr>
    </w:p>
    <w:p>
      <w:pPr>
        <w:ind w:left="260" w:right="4119" w:firstLine="258"/>
        <w:spacing w:after="0" w:line="252" w:lineRule="auto"/>
        <w:rPr>
          <w:sz w:val="20"/>
          <w:szCs w:val="20"/>
          <w:color w:val="auto"/>
        </w:rPr>
      </w:pPr>
      <w:r>
        <w:rPr>
          <w:rFonts w:ascii="Courier New" w:cs="Courier New" w:eastAsia="Courier New" w:hAnsi="Courier New"/>
          <w:sz w:val="14"/>
          <w:szCs w:val="14"/>
          <w:color w:val="auto"/>
        </w:rPr>
        <w:t>"WHEREAS, our Company has pledged its commitment to principles of non-discrimination, but has not in written form explicitly barred discrimination based on sexual orientation;</w:t>
      </w:r>
    </w:p>
    <w:p>
      <w:pPr>
        <w:spacing w:after="0" w:line="16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WHEREAS, employment discrimination and the denial of equal benefits on</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the basis of sexual orientation diminishes employee morale and productivity;</w:t>
      </w:r>
    </w:p>
    <w:p>
      <w:pPr>
        <w:spacing w:after="0" w:line="173" w:lineRule="exact"/>
        <w:rPr>
          <w:sz w:val="20"/>
          <w:szCs w:val="20"/>
          <w:color w:val="auto"/>
        </w:rPr>
      </w:pPr>
    </w:p>
    <w:p>
      <w:pPr>
        <w:ind w:left="260" w:right="3859" w:firstLine="258"/>
        <w:spacing w:after="0" w:line="252" w:lineRule="auto"/>
        <w:rPr>
          <w:sz w:val="20"/>
          <w:szCs w:val="20"/>
          <w:color w:val="auto"/>
        </w:rPr>
      </w:pPr>
      <w:r>
        <w:rPr>
          <w:rFonts w:ascii="Courier New" w:cs="Courier New" w:eastAsia="Courier New" w:hAnsi="Courier New"/>
          <w:sz w:val="14"/>
          <w:szCs w:val="14"/>
          <w:color w:val="auto"/>
        </w:rPr>
        <w:t>WHEREAS, a National Gay and Lesbian Task Force study revealed that between 16% and 44% of gay men and lesbians in twenty cities nationwide have experienced some form of workplace harassment or discrimination related to their sexual orientation;</w:t>
      </w:r>
    </w:p>
    <w:p>
      <w:pPr>
        <w:spacing w:after="0" w:line="162" w:lineRule="exact"/>
        <w:rPr>
          <w:sz w:val="20"/>
          <w:szCs w:val="20"/>
          <w:color w:val="auto"/>
        </w:rPr>
      </w:pPr>
    </w:p>
    <w:p>
      <w:pPr>
        <w:ind w:left="260" w:right="3679" w:firstLine="258"/>
        <w:spacing w:after="0" w:line="252" w:lineRule="auto"/>
        <w:rPr>
          <w:sz w:val="20"/>
          <w:szCs w:val="20"/>
          <w:color w:val="auto"/>
        </w:rPr>
      </w:pPr>
      <w:r>
        <w:rPr>
          <w:rFonts w:ascii="Courier New" w:cs="Courier New" w:eastAsia="Courier New" w:hAnsi="Courier New"/>
          <w:sz w:val="14"/>
          <w:szCs w:val="14"/>
          <w:color w:val="auto"/>
        </w:rPr>
        <w:t>WHEREAS, San Francisco, Atlanta and New York have adopted and other jurisdictions are considering adopting legislation restricting business with companies which do not guarantee equal treatment for lesbian and gay employees;</w:t>
      </w:r>
    </w:p>
    <w:p>
      <w:pPr>
        <w:spacing w:after="0" w:line="162" w:lineRule="exact"/>
        <w:rPr>
          <w:sz w:val="20"/>
          <w:szCs w:val="20"/>
          <w:color w:val="auto"/>
        </w:rPr>
      </w:pPr>
    </w:p>
    <w:p>
      <w:pPr>
        <w:ind w:left="260" w:right="3939" w:firstLine="258"/>
        <w:spacing w:after="0" w:line="252" w:lineRule="auto"/>
        <w:rPr>
          <w:sz w:val="20"/>
          <w:szCs w:val="20"/>
          <w:color w:val="auto"/>
        </w:rPr>
      </w:pPr>
      <w:r>
        <w:rPr>
          <w:rFonts w:ascii="Courier New" w:cs="Courier New" w:eastAsia="Courier New" w:hAnsi="Courier New"/>
          <w:sz w:val="14"/>
          <w:szCs w:val="14"/>
          <w:color w:val="auto"/>
        </w:rPr>
        <w:t>WHEREAS, our company has operations in and makes sales to public institutions in states and cities which prohibit discrimination on the basis of sexual orientation;</w:t>
      </w:r>
    </w:p>
    <w:p>
      <w:pPr>
        <w:spacing w:after="0" w:line="163" w:lineRule="exact"/>
        <w:rPr>
          <w:sz w:val="20"/>
          <w:szCs w:val="20"/>
          <w:color w:val="auto"/>
        </w:rPr>
      </w:pPr>
    </w:p>
    <w:p>
      <w:pPr>
        <w:ind w:left="260" w:right="3779" w:firstLine="258"/>
        <w:spacing w:after="0" w:line="252" w:lineRule="auto"/>
        <w:rPr>
          <w:sz w:val="20"/>
          <w:szCs w:val="20"/>
          <w:color w:val="auto"/>
        </w:rPr>
      </w:pPr>
      <w:r>
        <w:rPr>
          <w:rFonts w:ascii="Courier New" w:cs="Courier New" w:eastAsia="Courier New" w:hAnsi="Courier New"/>
          <w:sz w:val="14"/>
          <w:szCs w:val="14"/>
          <w:color w:val="auto"/>
        </w:rPr>
        <w:t>WHEREAS, stakeholders in our company have an interest in preventing discrimination and resolving complaints internally to avoid costly litigation or damage to our reputation as an equal opportunity employer;</w:t>
      </w:r>
    </w:p>
    <w:p>
      <w:pPr>
        <w:spacing w:after="0" w:line="163" w:lineRule="exact"/>
        <w:rPr>
          <w:sz w:val="20"/>
          <w:szCs w:val="20"/>
          <w:color w:val="auto"/>
        </w:rPr>
      </w:pPr>
    </w:p>
    <w:p>
      <w:pPr>
        <w:ind w:left="260" w:right="3519" w:firstLine="258"/>
        <w:spacing w:after="0" w:line="255" w:lineRule="auto"/>
        <w:rPr>
          <w:sz w:val="20"/>
          <w:szCs w:val="20"/>
          <w:color w:val="auto"/>
        </w:rPr>
      </w:pPr>
      <w:r>
        <w:rPr>
          <w:rFonts w:ascii="Courier New" w:cs="Courier New" w:eastAsia="Courier New" w:hAnsi="Courier New"/>
          <w:sz w:val="14"/>
          <w:szCs w:val="14"/>
          <w:color w:val="auto"/>
        </w:rPr>
        <w:t>WHEREAS, numerous major companies in the petroleum and energy industries have written policy barring sexual orientation discrimination;</w:t>
      </w:r>
    </w:p>
    <w:p>
      <w:pPr>
        <w:spacing w:after="0" w:line="160"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WHEREAS, the hundreds of corporations that have adopted sexual orientation non-discrimination policies - including over 100 publicly-traded companies also providing spousal benefits to same-sex partners of employees - place themselves in a more competitive position to recruit and retain employees from the widest available pool of talent;</w:t>
      </w:r>
    </w:p>
    <w:p>
      <w:pPr>
        <w:spacing w:after="0" w:line="165" w:lineRule="exact"/>
        <w:rPr>
          <w:sz w:val="20"/>
          <w:szCs w:val="20"/>
          <w:color w:val="auto"/>
        </w:rPr>
      </w:pPr>
    </w:p>
    <w:p>
      <w:pPr>
        <w:ind w:left="260" w:right="3519" w:firstLine="258"/>
        <w:spacing w:after="0" w:line="252" w:lineRule="auto"/>
        <w:rPr>
          <w:sz w:val="20"/>
          <w:szCs w:val="20"/>
          <w:color w:val="auto"/>
        </w:rPr>
      </w:pPr>
      <w:r>
        <w:rPr>
          <w:rFonts w:ascii="Courier New" w:cs="Courier New" w:eastAsia="Courier New" w:hAnsi="Courier New"/>
          <w:sz w:val="14"/>
          <w:szCs w:val="14"/>
          <w:color w:val="auto"/>
        </w:rPr>
        <w:t>WHEREAS, national polls have consistently found more than three-quarters of Americans support equal rights in the workplace for gay men, lesbians and bisexuals;</w:t>
      </w:r>
    </w:p>
    <w:p>
      <w:pPr>
        <w:spacing w:after="0" w:line="163" w:lineRule="exact"/>
        <w:rPr>
          <w:sz w:val="20"/>
          <w:szCs w:val="20"/>
          <w:color w:val="auto"/>
        </w:rPr>
      </w:pPr>
    </w:p>
    <w:p>
      <w:pPr>
        <w:ind w:left="260" w:right="3599" w:firstLine="258"/>
        <w:spacing w:after="0" w:line="252" w:lineRule="auto"/>
        <w:rPr>
          <w:sz w:val="20"/>
          <w:szCs w:val="20"/>
          <w:color w:val="auto"/>
        </w:rPr>
      </w:pPr>
      <w:r>
        <w:rPr>
          <w:rFonts w:ascii="Courier New" w:cs="Courier New" w:eastAsia="Courier New" w:hAnsi="Courier New"/>
          <w:sz w:val="14"/>
          <w:szCs w:val="14"/>
          <w:color w:val="auto"/>
        </w:rPr>
        <w:t>WHEREAS, prominent gay and lesbian political and community leaders have proposed "The Equality Principles on Sexual Orientation" to serve as guidelines for corporate policies:</w:t>
      </w:r>
    </w:p>
    <w:p>
      <w:pPr>
        <w:spacing w:after="0" w:line="163" w:lineRule="exact"/>
        <w:rPr>
          <w:sz w:val="20"/>
          <w:szCs w:val="20"/>
          <w:color w:val="auto"/>
        </w:rPr>
      </w:pPr>
    </w:p>
    <w:p>
      <w:pPr>
        <w:ind w:left="520" w:right="3599" w:hanging="253"/>
        <w:spacing w:after="0" w:line="257" w:lineRule="auto"/>
        <w:tabs>
          <w:tab w:leader="none" w:pos="5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Explicit prohibitions against discrimination based on sexual orientation will be included in the company's written employment policy statement.</w:t>
      </w:r>
    </w:p>
    <w:p>
      <w:pPr>
        <w:spacing w:after="0" w:line="322" w:lineRule="exact"/>
        <w:rPr>
          <w:rFonts w:ascii="Courier New" w:cs="Courier New" w:eastAsia="Courier New" w:hAnsi="Courier New"/>
          <w:sz w:val="14"/>
          <w:szCs w:val="14"/>
          <w:color w:val="auto"/>
        </w:rPr>
      </w:pPr>
    </w:p>
    <w:p>
      <w:pPr>
        <w:ind w:left="520" w:right="4199" w:hanging="253"/>
        <w:spacing w:after="0" w:line="255" w:lineRule="auto"/>
        <w:tabs>
          <w:tab w:leader="none" w:pos="5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Discrimination against HIV-positive employees or those with AIDS will be strictly prohibited.</w:t>
      </w:r>
    </w:p>
    <w:p>
      <w:pPr>
        <w:spacing w:after="0" w:line="159" w:lineRule="exact"/>
        <w:rPr>
          <w:rFonts w:ascii="Courier New" w:cs="Courier New" w:eastAsia="Courier New" w:hAnsi="Courier New"/>
          <w:sz w:val="14"/>
          <w:szCs w:val="14"/>
          <w:color w:val="auto"/>
        </w:rPr>
      </w:pPr>
    </w:p>
    <w:p>
      <w:pPr>
        <w:ind w:left="520" w:right="4199" w:hanging="253"/>
        <w:spacing w:after="0" w:line="255" w:lineRule="auto"/>
        <w:tabs>
          <w:tab w:leader="none" w:pos="5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groups, regardless of sexual orientation, will be given equal standing with other employee associations.</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Diversity training will include sexual orientation issues.</w:t>
      </w:r>
    </w:p>
    <w:p>
      <w:pPr>
        <w:spacing w:after="0" w:line="172" w:lineRule="exact"/>
        <w:rPr>
          <w:rFonts w:ascii="Courier New" w:cs="Courier New" w:eastAsia="Courier New" w:hAnsi="Courier New"/>
          <w:sz w:val="14"/>
          <w:szCs w:val="14"/>
          <w:color w:val="auto"/>
        </w:rPr>
      </w:pPr>
    </w:p>
    <w:p>
      <w:pPr>
        <w:ind w:left="520" w:right="3939" w:hanging="253"/>
        <w:spacing w:after="0" w:line="252" w:lineRule="auto"/>
        <w:tabs>
          <w:tab w:leader="none" w:pos="5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Spousal benefits will be offered to domestic partners of employees, regardless of sexual orientation, on an equal basis with those granted to married employees.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IV-24</w:t>
      </w:r>
    </w:p>
    <w:p>
      <w:pPr>
        <w:sectPr>
          <w:pgSz w:w="11900" w:h="16838" w:orient="portrait"/>
          <w:cols w:equalWidth="0" w:num="1">
            <w:col w:w="10239"/>
          </w:cols>
          <w:pgMar w:left="220" w:top="616" w:right="1440" w:bottom="1440" w:gutter="0" w:footer="0" w:header="0"/>
        </w:sectPr>
      </w:pPr>
    </w:p>
    <w:bookmarkStart w:id="109" w:name="page110"/>
    <w:bookmarkEnd w:id="109"/>
    <w:p>
      <w:pPr>
        <w:jc w:val="right"/>
        <w:ind w:right="3519"/>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right="4279" w:hanging="253"/>
        <w:spacing w:after="0" w:line="252" w:lineRule="auto"/>
        <w:tabs>
          <w:tab w:leader="none" w:pos="2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advertising policy will bar negative sexual orientation stereotypes and will not discriminate against advertising in publications on the basis of sexual orientation.</w:t>
      </w:r>
    </w:p>
    <w:p>
      <w:pPr>
        <w:spacing w:after="0" w:line="162" w:lineRule="exact"/>
        <w:rPr>
          <w:rFonts w:ascii="Courier New" w:cs="Courier New" w:eastAsia="Courier New" w:hAnsi="Courier New"/>
          <w:sz w:val="14"/>
          <w:szCs w:val="14"/>
          <w:color w:val="auto"/>
        </w:rPr>
      </w:pPr>
    </w:p>
    <w:p>
      <w:pPr>
        <w:ind w:left="260" w:right="4019" w:hanging="253"/>
        <w:spacing w:after="0" w:line="255" w:lineRule="auto"/>
        <w:tabs>
          <w:tab w:leader="none" w:pos="2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discriminate in the sale of goods or services on the basis of sexual orientation.</w:t>
      </w:r>
    </w:p>
    <w:p>
      <w:pPr>
        <w:spacing w:after="0" w:line="159" w:lineRule="exact"/>
        <w:rPr>
          <w:rFonts w:ascii="Courier New" w:cs="Courier New" w:eastAsia="Courier New" w:hAnsi="Courier New"/>
          <w:sz w:val="14"/>
          <w:szCs w:val="14"/>
          <w:color w:val="auto"/>
        </w:rPr>
      </w:pPr>
    </w:p>
    <w:p>
      <w:pPr>
        <w:ind w:left="260" w:right="3859" w:hanging="253"/>
        <w:spacing w:after="0" w:line="252" w:lineRule="auto"/>
        <w:tabs>
          <w:tab w:leader="none" w:pos="2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non-discrimination policies on sexual orientation must be disseminated throughout the company. A senior company official will be appointed to monitor compliance corporate wide.</w:t>
      </w:r>
    </w:p>
    <w:p>
      <w:pPr>
        <w:spacing w:after="0" w:line="163" w:lineRule="exact"/>
        <w:rPr>
          <w:sz w:val="20"/>
          <w:szCs w:val="20"/>
          <w:color w:val="auto"/>
        </w:rPr>
      </w:pPr>
    </w:p>
    <w:p>
      <w:pPr>
        <w:ind w:right="3939" w:firstLine="258"/>
        <w:spacing w:after="0" w:line="255" w:lineRule="auto"/>
        <w:rPr>
          <w:sz w:val="20"/>
          <w:szCs w:val="20"/>
          <w:color w:val="auto"/>
        </w:rPr>
      </w:pPr>
      <w:r>
        <w:rPr>
          <w:rFonts w:ascii="Courier New" w:cs="Courier New" w:eastAsia="Courier New" w:hAnsi="Courier New"/>
          <w:sz w:val="14"/>
          <w:szCs w:val="14"/>
          <w:color w:val="auto"/>
        </w:rPr>
        <w:t>RESOLVED, The Shareholders request the Board of Directors adopt and implement a written policy barring sexual orientation discrimination.</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SUPPORTING STATEMENT: Sexual orientation discrimination is a morally wrong and self-defeating business practice. By implementing an equitable policy, our Company will ensure a respectful and supportive atmosphere for all employees and enhance its competitive edge by joining the growing ranks of energy companies guaranteeing equal opportunity for all employees.</w:t>
      </w:r>
    </w:p>
    <w:p>
      <w:pPr>
        <w:spacing w:after="0" w:line="165" w:lineRule="exact"/>
        <w:rPr>
          <w:sz w:val="20"/>
          <w:szCs w:val="20"/>
          <w:color w:val="auto"/>
        </w:rPr>
      </w:pPr>
    </w:p>
    <w:p>
      <w:pPr>
        <w:ind w:right="3779" w:firstLine="258"/>
        <w:spacing w:after="0" w:line="255" w:lineRule="auto"/>
        <w:rPr>
          <w:sz w:val="20"/>
          <w:szCs w:val="20"/>
          <w:color w:val="auto"/>
        </w:rPr>
      </w:pPr>
      <w:r>
        <w:rPr>
          <w:rFonts w:ascii="Courier New" w:cs="Courier New" w:eastAsia="Courier New" w:hAnsi="Courier New"/>
          <w:sz w:val="14"/>
          <w:szCs w:val="14"/>
          <w:color w:val="auto"/>
        </w:rPr>
        <w:t>The Board recommends you vote AGAINST this proposal for the following reasons:</w:t>
      </w:r>
    </w:p>
    <w:p>
      <w:pPr>
        <w:spacing w:after="0" w:line="160"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Exxon believes that its current policies on "Equal Employment Opportunity" and "Harassment in the Workplace" already meet the proponent's stated objective that the Corporation adopt a written policy barring discrimination based on the grounds of sexual orientation.</w:t>
      </w:r>
    </w:p>
    <w:p>
      <w:pPr>
        <w:spacing w:after="0" w:line="162"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When this issue was raised at last year's Annual Meeting of Shareholders, Mr. Lee Raymond, Chairman and Chief Executive Officer of the Corporation, stated that ". . . we have a policy to not discriminate against anybody for any reason, period."</w:t>
      </w:r>
    </w:p>
    <w:p>
      <w:pPr>
        <w:spacing w:after="0" w:line="162"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It has been Exxon's long-standing policy and practice to not tolerate discrimination or harassment of any kind in the workplace. Earlier this year, an updated "Harassment in the Workplace Policy" was issued to confirm and strengthen those underlying objectives. It provides in part:</w:t>
      </w:r>
    </w:p>
    <w:p>
      <w:pPr>
        <w:spacing w:after="0" w:line="162" w:lineRule="exact"/>
        <w:rPr>
          <w:sz w:val="20"/>
          <w:szCs w:val="20"/>
          <w:color w:val="auto"/>
        </w:rPr>
      </w:pPr>
    </w:p>
    <w:p>
      <w:pPr>
        <w:ind w:left="520" w:right="3599"/>
        <w:spacing w:after="0" w:line="251" w:lineRule="auto"/>
        <w:rPr>
          <w:sz w:val="20"/>
          <w:szCs w:val="20"/>
          <w:color w:val="auto"/>
        </w:rPr>
      </w:pPr>
      <w:r>
        <w:rPr>
          <w:rFonts w:ascii="Courier New" w:cs="Courier New" w:eastAsia="Courier New" w:hAnsi="Courier New"/>
          <w:sz w:val="14"/>
          <w:szCs w:val="14"/>
          <w:color w:val="auto"/>
        </w:rPr>
        <w:t>"It is the policy of Exxon Corporation to prohibit any form of unlawful harassment based on race, color, sex, religion, national origin, citizenship status, age, physical or mental disability or veteran status. In addition, the Corporation's harassment policy prohibits any other form of harassment. Such conduct, while perhaps not unlawful is considered unacceptable in Exxon's workplace."</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It is Exxon's practice to list as forms of harassment in its policies only those which are specifically prohibited by federal law. To name all possible examples of harassment could provide a long list which would only divert attention from the basic need for a harassment-free workplace. The revised language in the Harassment Policy makes it clear that "any other form of harassment" is prohibited. The Harassment Policy goes on to broadly define harassment as follows: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"Harassment is any inappropriate conduct which has the purpose or effect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600" w:hanging="335"/>
        <w:spacing w:after="0"/>
        <w:tabs>
          <w:tab w:leader="none" w:pos="6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Creating an intimidating, hostile, or offensive work environment;</w:t>
      </w:r>
    </w:p>
    <w:p>
      <w:pPr>
        <w:spacing w:after="0" w:line="7" w:lineRule="exact"/>
        <w:rPr>
          <w:rFonts w:ascii="Courier New" w:cs="Courier New" w:eastAsia="Courier New" w:hAnsi="Courier New"/>
          <w:sz w:val="14"/>
          <w:szCs w:val="14"/>
          <w:color w:val="auto"/>
        </w:rPr>
      </w:pPr>
    </w:p>
    <w:p>
      <w:pPr>
        <w:ind w:left="600" w:hanging="335"/>
        <w:spacing w:after="0"/>
        <w:tabs>
          <w:tab w:leader="none" w:pos="6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Unreasonably interfering with an individual's work performance; or</w:t>
      </w:r>
    </w:p>
    <w:p>
      <w:pPr>
        <w:spacing w:after="0" w:line="7" w:lineRule="exact"/>
        <w:rPr>
          <w:rFonts w:ascii="Courier New" w:cs="Courier New" w:eastAsia="Courier New" w:hAnsi="Courier New"/>
          <w:sz w:val="14"/>
          <w:szCs w:val="14"/>
          <w:color w:val="auto"/>
        </w:rPr>
      </w:pPr>
    </w:p>
    <w:p>
      <w:pPr>
        <w:ind w:left="600" w:hanging="335"/>
        <w:spacing w:after="0"/>
        <w:tabs>
          <w:tab w:leader="none" w:pos="6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Affecting an individual's employment opportunity."</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This definition of "harassment" and the language prohibiting harassment of any kind provide for a broad anti-discrimination policy that clearly encompasses discrimination on the basis of sexual orientation in the workplace. The Harassment Policy also sets forth the procedures for individuals to follow in the event they believe that they have been subjected to harassment. The Harassment Policy thus comprises a comprehensive</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IV-25</w:t>
      </w:r>
    </w:p>
    <w:p>
      <w:pPr>
        <w:sectPr>
          <w:pgSz w:w="11900" w:h="16838" w:orient="portrait"/>
          <w:cols w:equalWidth="0" w:num="1">
            <w:col w:w="9979"/>
          </w:cols>
          <w:pgMar w:left="480" w:top="616"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Chapter Four - Other Exxon Annual Meeting Proposals</w:t>
      </w:r>
    </w:p>
    <w:p>
      <w:pPr>
        <w:spacing w:after="0" w:line="338" w:lineRule="exact"/>
        <w:rPr>
          <w:sz w:val="20"/>
          <w:szCs w:val="20"/>
          <w:color w:val="auto"/>
        </w:rPr>
      </w:pPr>
    </w:p>
    <w:p>
      <w:pPr>
        <w:ind w:left="260" w:right="3939"/>
        <w:spacing w:after="0" w:line="252" w:lineRule="auto"/>
        <w:rPr>
          <w:sz w:val="20"/>
          <w:szCs w:val="20"/>
          <w:color w:val="auto"/>
        </w:rPr>
      </w:pPr>
      <w:r>
        <w:rPr>
          <w:rFonts w:ascii="Courier New" w:cs="Courier New" w:eastAsia="Courier New" w:hAnsi="Courier New"/>
          <w:sz w:val="14"/>
          <w:szCs w:val="14"/>
          <w:color w:val="auto"/>
        </w:rPr>
        <w:t>anti-harassment policy that is applicable to individuals who have been subjected to harassment or discrimination on the basis of sexual orientation.</w:t>
      </w:r>
    </w:p>
    <w:p>
      <w:pPr>
        <w:spacing w:after="0" w:line="163" w:lineRule="exact"/>
        <w:rPr>
          <w:sz w:val="20"/>
          <w:szCs w:val="20"/>
          <w:color w:val="auto"/>
        </w:rPr>
      </w:pPr>
    </w:p>
    <w:p>
      <w:pPr>
        <w:ind w:left="260" w:right="3679" w:firstLine="258"/>
        <w:spacing w:after="0" w:line="251" w:lineRule="auto"/>
        <w:rPr>
          <w:sz w:val="20"/>
          <w:szCs w:val="20"/>
          <w:color w:val="auto"/>
        </w:rPr>
      </w:pPr>
      <w:r>
        <w:rPr>
          <w:rFonts w:ascii="Courier New" w:cs="Courier New" w:eastAsia="Courier New" w:hAnsi="Courier New"/>
          <w:sz w:val="14"/>
          <w:szCs w:val="14"/>
          <w:color w:val="auto"/>
        </w:rPr>
        <w:t>In summary, the revised Harassment Policy makes it unequivocally clear that Exxon does not tolerate discrimination on any grounds, including sexual orientation. Thus, the Corporation has already implemented a written policy barring sexual orientation discrimination, and there is no need to make the changes recommended by the proponent.</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left="260" w:right="3599" w:firstLine="258"/>
        <w:spacing w:after="0" w:line="251" w:lineRule="auto"/>
        <w:rPr>
          <w:sz w:val="20"/>
          <w:szCs w:val="20"/>
          <w:color w:val="auto"/>
        </w:rPr>
      </w:pPr>
      <w:r>
        <w:rPr>
          <w:rFonts w:ascii="Courier New" w:cs="Courier New" w:eastAsia="Courier New" w:hAnsi="Courier New"/>
          <w:sz w:val="14"/>
          <w:szCs w:val="14"/>
          <w:color w:val="auto"/>
        </w:rPr>
        <w:t>Section 16(a) of the Securities and Exchange Act of 1934 requires that our executive officers and directors file reports of their ownership and changes in ownership of Exxon stock on Forms 3, 4 and 5 with the SEC and the NYSE. In 1998, Mr. Esrey's initial filing on Form 3 inadvertently failed to report ownership of 380 shares of Exxon common stock. The error was corrected in a subsequent filing.</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IV-26</w:t>
      </w:r>
    </w:p>
    <w:p>
      <w:pPr>
        <w:sectPr>
          <w:pgSz w:w="11900" w:h="16838" w:orient="portrait"/>
          <w:cols w:equalWidth="0" w:num="1">
            <w:col w:w="10239"/>
          </w:cols>
          <w:pgMar w:left="220" w:top="616" w:right="1440" w:bottom="1440" w:gutter="0" w:footer="0" w:header="0"/>
        </w:sectPr>
      </w:pPr>
    </w:p>
    <w:bookmarkStart w:id="111" w:name="page112"/>
    <w:bookmarkEnd w:id="111"/>
    <w:p>
      <w:pPr>
        <w:jc w:val="center"/>
        <w:ind w:right="3339"/>
        <w:spacing w:after="0"/>
        <w:rPr>
          <w:sz w:val="20"/>
          <w:szCs w:val="20"/>
          <w:color w:val="auto"/>
        </w:rPr>
      </w:pPr>
      <w:r>
        <w:rPr>
          <w:rFonts w:ascii="Courier New" w:cs="Courier New" w:eastAsia="Courier New" w:hAnsi="Courier New"/>
          <w:sz w:val="14"/>
          <w:szCs w:val="14"/>
          <w:color w:val="auto"/>
        </w:rPr>
        <w:t>CHAPTER FIVE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OTHER MOBIL ANNUAL MEETING PROPOSALS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PROPOSAL: ELECTION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on Mobil's proxy card)</w:t>
      </w:r>
    </w:p>
    <w:p>
      <w:pPr>
        <w:spacing w:after="0" w:line="173" w:lineRule="exact"/>
        <w:rPr>
          <w:sz w:val="20"/>
          <w:szCs w:val="20"/>
          <w:color w:val="auto"/>
        </w:rPr>
      </w:pPr>
    </w:p>
    <w:p>
      <w:pPr>
        <w:ind w:right="3859" w:firstLine="517"/>
        <w:spacing w:after="0" w:line="251" w:lineRule="auto"/>
        <w:rPr>
          <w:sz w:val="20"/>
          <w:szCs w:val="20"/>
          <w:color w:val="auto"/>
        </w:rPr>
      </w:pPr>
      <w:r>
        <w:rPr>
          <w:rFonts w:ascii="Courier New" w:cs="Courier New" w:eastAsia="Courier New" w:hAnsi="Courier New"/>
          <w:sz w:val="14"/>
          <w:szCs w:val="14"/>
          <w:color w:val="auto"/>
        </w:rPr>
        <w:t>The Mobil Board is classified into three classes, as nearly equal in number as possible. The members of the Board serve for three years. The terms of office of the members of one class of directors expire each year in rotation so that the members of one class are elected at each annual meeting for full three-year terms. The terms of office of four of the present directors will expire at this annual meeting.</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We wish to advise you that Robert O. Swanson, a director since 1991 and an Executive Vice President, retired on August 1, 1998, after more than 39 years of service to Mobil. We also wish to advise you that Lewis M. Branscomb, a director since 1978, and Allen F. Jacobson, a director since 1988, will each resign effective May 1, 1999, in accordance with our retirement policies. We deeply appreciate Messrs. Swanson's, Brancomb's and Jacobson's contributions to Mobil.</w:t>
      </w:r>
    </w:p>
    <w:p>
      <w:pPr>
        <w:spacing w:after="0" w:line="164" w:lineRule="exact"/>
        <w:rPr>
          <w:sz w:val="20"/>
          <w:szCs w:val="20"/>
          <w:color w:val="auto"/>
        </w:rPr>
      </w:pPr>
    </w:p>
    <w:p>
      <w:pPr>
        <w:jc w:val="both"/>
        <w:ind w:right="3939" w:firstLine="517"/>
        <w:spacing w:after="0" w:line="252" w:lineRule="auto"/>
        <w:rPr>
          <w:sz w:val="20"/>
          <w:szCs w:val="20"/>
          <w:color w:val="auto"/>
        </w:rPr>
      </w:pPr>
      <w:r>
        <w:rPr>
          <w:rFonts w:ascii="Courier New" w:cs="Courier New" w:eastAsia="Courier New" w:hAnsi="Courier New"/>
          <w:sz w:val="14"/>
          <w:szCs w:val="14"/>
          <w:color w:val="auto"/>
        </w:rPr>
        <w:t>Four directors have been nominated for election to three-year terms expiring at the annual meeting in 2002 or until completion of the merger, if earlier. The terms of the other directors will continue as indicated below.</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ages of directors are as of March 1, 1999.</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Mobil Board recommends you vote FOR each of the nominees listed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TERMS EXPIRING IN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UNTIL COMPLETION OF THE MERGER, IF EARLIER)</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Charles A. Heimbold, Jr.</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Since 1995, Mr. Heimbold has been chairman and</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chief executive officer of Bristol-Myers Squibb</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Company, a manufacturer of consumer products</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and pharmaceuticals.</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He served as president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of Bristol-Myers Squibb Company from 1992 to</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Charles A. Heimbold, Jr.]</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1994 and president and chief executive</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officer from 1994 to 1995.  Mr. Heimbold is</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 member of Mobil's Audit Committee,</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Age 65</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Committee on Directors and Board Affairs and</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Director since 1995</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Finance Committee.</w:t>
            </w: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1"/>
        </w:trPr>
        <w:tc>
          <w:tcPr>
            <w:tcW w:w="6640" w:type="dxa"/>
            <w:vAlign w:val="bottom"/>
            <w:gridSpan w:val="4"/>
          </w:tcPr>
          <w:p>
            <w:pPr>
              <w:ind w:left="1740"/>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Samuel C. Johnson</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Mr. Johnson is chairman of the board of S. C.</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Johnson &amp; Son, Inc., a manufacturer of chemical</w:t>
            </w:r>
          </w:p>
        </w:tc>
      </w:tr>
      <w:tr>
        <w:trPr>
          <w:trHeight w:val="166"/>
        </w:trPr>
        <w:tc>
          <w:tcPr>
            <w:tcW w:w="238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specialty products.  He is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also a director of</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Deere and Company, H.</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J.</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Heinz Company, a</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Director and chairman of Johnson International</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Samuel C. Johnson]</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Inc., and a director and chairman of Johnson</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Worldwide Associates, Inc.  Mr. Johnson is</w:t>
            </w:r>
          </w:p>
        </w:tc>
      </w:tr>
      <w:tr>
        <w:trPr>
          <w:trHeight w:val="166"/>
        </w:trPr>
        <w:tc>
          <w:tcPr>
            <w:tcW w:w="2380" w:type="dxa"/>
            <w:vAlign w:val="bottom"/>
          </w:tcPr>
          <w:p>
            <w:pPr>
              <w:spacing w:after="0"/>
              <w:rPr>
                <w:sz w:val="14"/>
                <w:szCs w:val="14"/>
                <w:color w:val="auto"/>
              </w:rPr>
            </w:pP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chairman of Mobil's Public Issues Committee</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Age 70</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and a member of Mobil's Management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Director since 1981</w:t>
            </w:r>
          </w:p>
        </w:tc>
        <w:tc>
          <w:tcPr>
            <w:tcW w:w="4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Compensation and Organization Committee.</w:t>
            </w:r>
          </w:p>
        </w:tc>
      </w:tr>
    </w:tbl>
    <w:p>
      <w:pPr>
        <w:spacing w:after="0" w:line="17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w:t>
      </w:r>
    </w:p>
    <w:p>
      <w:pPr>
        <w:sectPr>
          <w:pgSz w:w="11900" w:h="16838" w:orient="portrait"/>
          <w:cols w:equalWidth="0" w:num="1">
            <w:col w:w="10239"/>
          </w:cols>
          <w:pgMar w:left="220" w:top="450"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Helene L. Kaplan</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Mrs. Kaplan is Of Counsel to Skadden, Arps,</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Slate, Meagher &amp; Flom LLP, a law firm which</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Mobil and/or affiliates of Mobil retained during</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1998 and 1999.</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Mrs.  Kaplan is also a</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director of Bell Atlantic Corporation, Chase</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Helene L. Kaplan]</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Manhattan Corporation, the May Department</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Stores Company and Metropolitan Life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Insurance Company.  Mrs.  Kaplan is a member</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of Mobil's Audit Committee, Committee on</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Age 65</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Directors and Board Affairs and Finance</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Director since 1989</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Committee.</w:t>
            </w:r>
          </w:p>
        </w:tc>
        <w:tc>
          <w:tcPr>
            <w:tcW w:w="2800" w:type="dxa"/>
            <w:vAlign w:val="bottom"/>
          </w:tcPr>
          <w:p>
            <w:pPr>
              <w:spacing w:after="0"/>
              <w:rPr>
                <w:sz w:val="14"/>
                <w:szCs w:val="14"/>
                <w:color w:val="auto"/>
              </w:rPr>
            </w:pPr>
          </w:p>
        </w:tc>
      </w:tr>
      <w:tr>
        <w:trPr>
          <w:trHeight w:val="331"/>
        </w:trPr>
        <w:tc>
          <w:tcPr>
            <w:tcW w:w="1680" w:type="dxa"/>
            <w:vAlign w:val="bottom"/>
          </w:tcPr>
          <w:p>
            <w:pPr>
              <w:spacing w:after="0"/>
              <w:rPr>
                <w:sz w:val="24"/>
                <w:szCs w:val="24"/>
                <w:color w:val="auto"/>
              </w:rPr>
            </w:pPr>
          </w:p>
        </w:tc>
        <w:tc>
          <w:tcPr>
            <w:tcW w:w="5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Aulana L. Peters</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Mrs. Peters is a partner in Gibson, Dunn &amp;</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Crutcher, a law firm which Mobil and/or</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affiliates of Mobil retained during 1998 and may</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2240" w:type="dxa"/>
            <w:vAlign w:val="bottom"/>
          </w:tcPr>
          <w:p>
            <w:pPr>
              <w:ind w:left="920"/>
              <w:spacing w:after="0"/>
              <w:rPr>
                <w:sz w:val="20"/>
                <w:szCs w:val="20"/>
                <w:color w:val="auto"/>
              </w:rPr>
            </w:pPr>
            <w:r>
              <w:rPr>
                <w:rFonts w:ascii="Courier New" w:cs="Courier New" w:eastAsia="Courier New" w:hAnsi="Courier New"/>
                <w:sz w:val="14"/>
                <w:szCs w:val="14"/>
                <w:color w:val="auto"/>
              </w:rPr>
              <w:t>retain in 1999.</w:t>
            </w:r>
          </w:p>
        </w:tc>
        <w:tc>
          <w:tcPr>
            <w:tcW w:w="2800" w:type="dxa"/>
            <w:vAlign w:val="bottom"/>
          </w:tcPr>
          <w:p>
            <w:pPr>
              <w:ind w:left="140"/>
              <w:spacing w:after="0"/>
              <w:rPr>
                <w:sz w:val="20"/>
                <w:szCs w:val="20"/>
                <w:color w:val="auto"/>
              </w:rPr>
            </w:pPr>
            <w:r>
              <w:rPr>
                <w:rFonts w:ascii="Courier New" w:cs="Courier New" w:eastAsia="Courier New" w:hAnsi="Courier New"/>
                <w:sz w:val="14"/>
                <w:szCs w:val="14"/>
                <w:color w:val="auto"/>
              </w:rPr>
              <w:t>She is also a director of</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the Minnesota Mining and Manufacturing</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Aulana L. Peters]</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Company, Callaway Golf Company, Merrill Lynch</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&amp; Co. and Northrop Grumman Corporation.  Mrs.</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Peters is a member of Mobil's Audit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Age 57</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Committee, Finance Committee and Public</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Director since 1992</w:t>
            </w:r>
          </w:p>
        </w:tc>
        <w:tc>
          <w:tcPr>
            <w:tcW w:w="50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Issues Committee.</w:t>
            </w:r>
          </w:p>
        </w:tc>
      </w:tr>
    </w:tbl>
    <w:p>
      <w:pPr>
        <w:spacing w:after="0" w:line="17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WHOSE TERMS EXPIRE IN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UPON COMPLETION OF THE MERGER, IF EARLIER)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Mr. Renna</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joined Mobil in 1968 and has been</w:t>
            </w:r>
          </w:p>
        </w:tc>
      </w:tr>
      <w:tr>
        <w:trPr>
          <w:trHeight w:val="166"/>
        </w:trPr>
        <w:tc>
          <w:tcPr>
            <w:tcW w:w="212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President</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and Chief Operating Officer since</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March 1, 1998.  From 1996 until March 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[Graphic Omitted]</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1998, Mr. Renna was an executive vice</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[Photograph of</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president with responsibility for the North</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America Marketing and Refining, Europe/Former</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Soviet Union, South America and Supply,</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Trading and Transportation business groups</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and, from September 1, 1997, with</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responsibility also for the North America</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Exploration and Producing business group.</w:t>
            </w:r>
          </w:p>
        </w:tc>
      </w:tr>
      <w:tr>
        <w:trPr>
          <w:trHeight w:val="166"/>
        </w:trPr>
        <w:tc>
          <w:tcPr>
            <w:tcW w:w="212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From 1986</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to 1996, he was an executive vice</w:t>
            </w:r>
          </w:p>
        </w:tc>
      </w:tr>
      <w:tr>
        <w:trPr>
          <w:trHeight w:val="166"/>
        </w:trPr>
        <w:tc>
          <w:tcPr>
            <w:tcW w:w="212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president</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Mobil Oil Corporation and</w:t>
            </w:r>
          </w:p>
        </w:tc>
      </w:tr>
      <w:tr>
        <w:trPr>
          <w:trHeight w:val="166"/>
        </w:trPr>
        <w:tc>
          <w:tcPr>
            <w:tcW w:w="212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president</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its Marketing and Refining</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Division.  He has been a director of</w:t>
            </w:r>
          </w:p>
        </w:tc>
      </w:tr>
      <w:tr>
        <w:trPr>
          <w:trHeight w:val="166"/>
        </w:trPr>
        <w:tc>
          <w:tcPr>
            <w:tcW w:w="2120" w:type="dxa"/>
            <w:vAlign w:val="bottom"/>
          </w:tcPr>
          <w:p>
            <w:pPr>
              <w:spacing w:after="0"/>
              <w:rPr>
                <w:sz w:val="14"/>
                <w:szCs w:val="14"/>
                <w:color w:val="auto"/>
              </w:rPr>
            </w:pP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Mobil Oil Corporation since 1985.  Mr. Renna</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Age 54</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is a director of Brands, Inc. and is a</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Director since 1986</w:t>
            </w:r>
          </w:p>
        </w:tc>
        <w:tc>
          <w:tcPr>
            <w:tcW w:w="4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member of Mobil's Executive Committee.</w:t>
            </w:r>
          </w:p>
        </w:tc>
      </w:tr>
    </w:tbl>
    <w:p>
      <w:pPr>
        <w:spacing w:after="0" w:line="17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V-2</w:t>
      </w:r>
    </w:p>
    <w:p>
      <w:pPr>
        <w:sectPr>
          <w:pgSz w:w="11900" w:h="16838" w:orient="portrait"/>
          <w:cols w:equalWidth="0" w:num="1">
            <w:col w:w="10239"/>
          </w:cols>
          <w:pgMar w:left="220" w:top="616" w:right="1440" w:bottom="1440" w:gutter="0" w:footer="0" w:header="0"/>
        </w:sectPr>
      </w:pPr>
    </w:p>
    <w:bookmarkStart w:id="113" w:name="page114"/>
    <w:bookmarkEnd w:id="113"/>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V. Fites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V. Fites]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Fites is the former chairman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Caterpillar Inc., a</w:t>
      </w:r>
    </w:p>
    <w:p>
      <w:pPr>
        <w:spacing w:after="0" w:line="7"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4"/>
          <w:szCs w:val="14"/>
          <w:color w:val="auto"/>
        </w:rPr>
        <w:t>manufacturer of heavy machinery.</w:t>
        <w:tab/>
        <w:t>He is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director of Caterpillar Inc., AT&amp;T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Georgia-Pacific Corporation and Wolverine</w:t>
      </w:r>
    </w:p>
    <w:p>
      <w:pPr>
        <w:spacing w:after="0" w:line="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World Wide, Inc.</w:t>
        <w:tab/>
        <w:t>Mr. Fites is a member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Mobil's Committee on Directors and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Affairs, Finance Committee and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and Organization Committee.</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S. Sanford,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S. Sanford,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Sanford is the retired chairman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of Bankers Trust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its principal subsidiary, Bankers Trust</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He is also a director of J. C. Penney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Inc. Mr. Sanford is chairman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Mobil's Finance Committee and a member of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on Directors and Board Affairs.</w:t>
      </w:r>
    </w:p>
    <w:p>
      <w:pPr>
        <w:spacing w:after="0" w:line="173" w:lineRule="exact"/>
        <w:rPr>
          <w:sz w:val="20"/>
          <w:szCs w:val="20"/>
          <w:color w:val="auto"/>
        </w:rPr>
      </w:pPr>
    </w:p>
    <w:p>
      <w:pPr>
        <w:sectPr>
          <w:pgSz w:w="11900" w:h="16838" w:orient="portrait"/>
          <w:cols w:equalWidth="0" w:num="2">
            <w:col w:w="1980" w:space="6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G. Schwartz</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G. Schwartz]</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Schwartz is the former chairman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president and chief executive officer of</w:t>
      </w:r>
    </w:p>
    <w:p>
      <w:pPr>
        <w:spacing w:after="0" w:line="7"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4"/>
          <w:szCs w:val="14"/>
          <w:color w:val="auto"/>
        </w:rPr>
        <w:t>Metropolitan Life Insurance Company.</w:t>
        <w:tab/>
        <w:t>He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Metropolitan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COMSAT Corporation, Lone Star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Lowe's Companies, Inc. and Potlatch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is a member of the board of trustees of</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Consolidated Edison Company of New York.</w:t>
      </w:r>
      <w:r>
        <w:rPr>
          <w:sz w:val="20"/>
          <w:szCs w:val="20"/>
          <w:color w:val="auto"/>
        </w:rPr>
        <w:tab/>
      </w:r>
      <w:r>
        <w:rPr>
          <w:rFonts w:ascii="Courier New" w:cs="Courier New" w:eastAsia="Courier New" w:hAnsi="Courier New"/>
          <w:sz w:val="13"/>
          <w:szCs w:val="13"/>
          <w:color w:val="auto"/>
        </w:rPr>
        <w:t>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Schwartz is Chairman of Mobil's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and Organization Committee and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its Public Issues Committee.</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Iain D. T. Vallance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Iain D. T. Vallance]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Vallance is chairman of British</w:t>
      </w:r>
    </w:p>
    <w:p>
      <w:pPr>
        <w:spacing w:after="0" w:line="7"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4"/>
          <w:szCs w:val="14"/>
          <w:color w:val="auto"/>
        </w:rPr>
        <w:t>Telecommunications plc.</w:t>
        <w:tab/>
        <w:t>He also serves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vice-chairman of The Royal Bank of Scotland.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Vallance is a member of Mobil's Audit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Finance Committee and Public Issues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V-3</w:t>
      </w:r>
    </w:p>
    <w:p>
      <w:pPr>
        <w:sectPr>
          <w:pgSz w:w="11900" w:h="16838" w:orient="portrait"/>
          <w:cols w:equalWidth="0" w:num="1">
            <w:col w:w="10239"/>
          </w:cols>
          <w:pgMar w:left="220" w:top="616" w:right="1440" w:bottom="1440" w:gutter="0" w:footer="0" w:header="0"/>
          <w:type w:val="continuous"/>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WHOSE TERMS EXPIRE IN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UPON COMPLETION OF THE MERGER, IF EARLIER)</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Richard Munro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Richard Munro]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1997, Mr. Munro has been chairman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Genentech, Inc., a manufacturer of</w:t>
      </w:r>
    </w:p>
    <w:p>
      <w:pPr>
        <w:spacing w:after="0" w:line="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pharmaceuticals.</w:t>
        <w:tab/>
        <w:t>He is the former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executive committee of the board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co-chairman of the board and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Time-Warner Inc.,</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a publishing and communications company.</w:t>
      </w:r>
      <w:r>
        <w:rPr>
          <w:sz w:val="20"/>
          <w:szCs w:val="20"/>
          <w:color w:val="auto"/>
        </w:rPr>
        <w:tab/>
      </w:r>
      <w:r>
        <w:rPr>
          <w:rFonts w:ascii="Courier New" w:cs="Courier New" w:eastAsia="Courier New" w:hAnsi="Courier New"/>
          <w:sz w:val="13"/>
          <w:szCs w:val="13"/>
          <w:color w:val="auto"/>
        </w:rPr>
        <w: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also a director of Kmart Corporation, The</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Kellogg Company and Sensormatic Company.</w:t>
      </w:r>
      <w:r>
        <w:rPr>
          <w:sz w:val="20"/>
          <w:szCs w:val="20"/>
          <w:color w:val="auto"/>
        </w:rPr>
        <w:tab/>
      </w:r>
      <w:r>
        <w:rPr>
          <w:rFonts w:ascii="Courier New" w:cs="Courier New" w:eastAsia="Courier New" w:hAnsi="Courier New"/>
          <w:sz w:val="13"/>
          <w:szCs w:val="13"/>
          <w:color w:val="auto"/>
        </w:rPr>
        <w:t>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Munro is a member of Mobil's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and Organization Committee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Public Issues Committee.</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Lucio A. Noto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[Photograph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Lucip A. Noto]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 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1988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Noto joined Mobil in 1962 and has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 since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1994.</w:t>
        <w:tab/>
        <w:t>He was president and chief operating</w:t>
      </w:r>
    </w:p>
    <w:p>
      <w:pPr>
        <w:spacing w:after="0" w:line="7"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4"/>
          <w:szCs w:val="14"/>
          <w:color w:val="auto"/>
        </w:rPr>
        <w:t>officer from 1993 until March 1, 1998.</w:t>
        <w:tab/>
        <w: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been a director of Mobil Oil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1986 and chairman of the board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Mobil Oil</w:t>
      </w:r>
    </w:p>
    <w:p>
      <w:pPr>
        <w:spacing w:after="0" w:line="7"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4"/>
          <w:szCs w:val="14"/>
          <w:color w:val="auto"/>
        </w:rPr>
        <w:t>Corporation since 1994.</w:t>
        <w:tab/>
        <w:t>He is also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International Business Machines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and Philip Morris Companies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Noto is chairman of Mobil's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200"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spacing w:after="0" w:line="1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BOARD OF DIRECTORS PROPOSAL: APPROVAL AND RATIFICATION OF APPOINTMENT OF INDEPENDENT AUDITORS FOR FISCAL YEAR 1999 (Item 3 on Mobil's proxy card)</w:t>
      </w:r>
    </w:p>
    <w:p>
      <w:pPr>
        <w:spacing w:after="0" w:line="160" w:lineRule="exact"/>
        <w:rPr>
          <w:sz w:val="20"/>
          <w:szCs w:val="20"/>
          <w:color w:val="auto"/>
        </w:rPr>
      </w:pPr>
    </w:p>
    <w:p>
      <w:pPr>
        <w:ind w:right="3939" w:firstLine="517"/>
        <w:spacing w:after="0" w:line="251" w:lineRule="auto"/>
        <w:rPr>
          <w:sz w:val="20"/>
          <w:szCs w:val="20"/>
          <w:color w:val="auto"/>
        </w:rPr>
      </w:pPr>
      <w:r>
        <w:rPr>
          <w:rFonts w:ascii="Courier New" w:cs="Courier New" w:eastAsia="Courier New" w:hAnsi="Courier New"/>
          <w:sz w:val="14"/>
          <w:szCs w:val="14"/>
          <w:color w:val="auto"/>
        </w:rPr>
        <w:t>The Mobil Board desires, in accordance with its established policy, to obtain from you an indication of your approval or disapproval of the Board's appointment of Ernst &amp; Young LLP, Fairfax Square-Tower II, 8075 Leesburg Pike, Vienna, Virginia 22182-2709, as independent auditors of Mobil and its subsidiaries for 1999.</w:t>
      </w:r>
    </w:p>
    <w:p>
      <w:pPr>
        <w:spacing w:after="0" w:line="165"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Ernst &amp; Young LLP has been serving Mobil and its subsidiaries for many years. It has no direct financial interest or any material indirect financial interest in Mobil or any of its subsidiaries. While serving as independent auditor, Ernst &amp; Young LLP has had no connection with Mobil or any of its subsidiaries as promoter, underwriter, voting trustee, director, officer or employee. During 1998, Ernst &amp; Young LLP rendered audit services amounting to $12.9 million.</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Audit Committee recommended and the Mobil Board approved the</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appointment of Ernst &amp; Young LLP as independent auditors.</w:t>
        <w:tab/>
        <w:t>The Audit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reviewed the performance of Ernst &amp; Young LLP in prior years as 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firm's reputation for integrity and competence in the fields of</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4"/>
          <w:szCs w:val="14"/>
          <w:color w:val="auto"/>
        </w:rPr>
        <w:t>accounting and auditing, and the status of litigation involving the firm.</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 is satisfied with Ernst &amp; Young LLP in these respects.</w:t>
      </w:r>
    </w:p>
    <w:p>
      <w:pPr>
        <w:spacing w:after="0" w:line="17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Representatives of Ernst &amp; Young LLP will be present at the Mobil meeting to respond to appropriate questions from those of you attending the meeting and to make such statements as they may desire.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V-4</w:t>
      </w:r>
    </w:p>
    <w:p>
      <w:pPr>
        <w:sectPr>
          <w:pgSz w:w="11900" w:h="16838" w:orient="portrait"/>
          <w:cols w:equalWidth="0" w:num="1">
            <w:col w:w="10239"/>
          </w:cols>
          <w:pgMar w:left="220" w:top="616" w:right="1440" w:bottom="1440" w:gutter="0" w:footer="0" w:header="0"/>
          <w:type w:val="continuous"/>
        </w:sectPr>
      </w:pPr>
    </w:p>
    <w:bookmarkStart w:id="115" w:name="page116"/>
    <w:bookmarkEnd w:id="115"/>
    <w:p>
      <w:pPr>
        <w:jc w:val="right"/>
        <w:ind w:right="3519"/>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Mobil Board recommends you vote FOR the following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resolution which will be presented at the meeting:</w:t>
      </w:r>
    </w:p>
    <w:p>
      <w:pPr>
        <w:spacing w:after="0" w:line="173" w:lineRule="exact"/>
        <w:rPr>
          <w:sz w:val="20"/>
          <w:szCs w:val="20"/>
          <w:color w:val="auto"/>
        </w:rPr>
      </w:pPr>
    </w:p>
    <w:p>
      <w:pPr>
        <w:ind w:left="520" w:right="3859" w:firstLine="517"/>
        <w:spacing w:after="0" w:line="252" w:lineRule="auto"/>
        <w:rPr>
          <w:sz w:val="20"/>
          <w:szCs w:val="20"/>
          <w:color w:val="auto"/>
        </w:rPr>
      </w:pPr>
      <w:r>
        <w:rPr>
          <w:rFonts w:ascii="Courier New" w:cs="Courier New" w:eastAsia="Courier New" w:hAnsi="Courier New"/>
          <w:sz w:val="14"/>
          <w:szCs w:val="14"/>
          <w:color w:val="auto"/>
        </w:rPr>
        <w:t>"RESOLVED, that the appointment, by the Board of Directors of the Corporation, of Ernst &amp; Young LLP as independent auditors of the Corporation and its subsidiary companies, for fiscal year 1999, be and hereby is approved and ratified."</w:t>
      </w:r>
    </w:p>
    <w:p>
      <w:pPr>
        <w:spacing w:after="0" w:line="162"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If the resolution is defeated, the adverse vote will be considered a direction to the Mobil Board to select other auditors for the following year. However, because of the difficulty and expense in making any substitution of auditors so long after the beginning of the current year, it is contemplated that the appointment for the year 1999 will be permitted to stand unless the Mobil Board finds other good reasons for making a change.</w:t>
      </w:r>
    </w:p>
    <w:p>
      <w:pPr>
        <w:spacing w:after="0" w:line="330"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SHAREHOLDER PROPOSALS</w:t>
        <w:tab/>
        <w:t>(Items 4 and 5 on Mobil's proxy card)</w:t>
      </w:r>
    </w:p>
    <w:p>
      <w:pPr>
        <w:spacing w:after="0" w:line="173"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We expect the following proposals to be presented by shareholders at the annual meeting. Following SEC rules, we are reprinting the proposals and supporting statements as they were submitted to us. We take no responsibility for them.</w:t>
      </w:r>
    </w:p>
    <w:p>
      <w:pPr>
        <w:spacing w:after="0" w:line="162"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Shareholder Proposal: Voting of Signed but Unmarked Proxies (Item 4 on Mobil's proxy card)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following proposal was</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submitted by J.F.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Quilter, 500</w:t>
            </w:r>
          </w:p>
        </w:tc>
        <w:tc>
          <w:tcPr>
            <w:tcW w:w="90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Westridge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Drive, Portola Valley,</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California 94028,</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the owner of</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1,352.6814</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shares of</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Mobil common stock:</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0" w:lineRule="exact"/>
        <w:rPr>
          <w:sz w:val="20"/>
          <w:szCs w:val="20"/>
          <w:color w:val="auto"/>
        </w:rPr>
      </w:pPr>
    </w:p>
    <w:p>
      <w:pPr>
        <w:ind w:left="520" w:right="3779" w:firstLine="517"/>
        <w:spacing w:after="0" w:line="252" w:lineRule="auto"/>
        <w:rPr>
          <w:sz w:val="20"/>
          <w:szCs w:val="20"/>
          <w:color w:val="auto"/>
        </w:rPr>
      </w:pPr>
      <w:r>
        <w:rPr>
          <w:rFonts w:ascii="Courier New" w:cs="Courier New" w:eastAsia="Courier New" w:hAnsi="Courier New"/>
          <w:sz w:val="14"/>
          <w:szCs w:val="14"/>
          <w:color w:val="auto"/>
        </w:rPr>
        <w:t>WHEREAS, it is the usual practice for annual stockholders' meeting announcements to include a statement to the effect that if no direction is made the proxy will be voted for the nominations made or positions held by management.</w:t>
      </w:r>
    </w:p>
    <w:p>
      <w:pPr>
        <w:spacing w:after="0" w:line="162"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This clouds the voting results as to votes for directors and auditors, does not accurately reflect the desires of voting stockholders and skews the results. In a political election it would be tantamount to counting votes of those who do not vote as being in favor of the incumbent.</w:t>
      </w:r>
    </w:p>
    <w:p>
      <w:pPr>
        <w:spacing w:after="0" w:line="165"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THEREFORE, it is RESOLVED that the shareholders recommend that the Board of Directors take the necessary action to cause proxy balloting on nominees and items contained in the notice of the annual meeting to be tabulated for each nominee and proposal as in favor, opposed, abstain and returned unmarked. The decision shall be determined by the number of those voted in favor and opposed.</w:t>
      </w:r>
    </w:p>
    <w:p>
      <w:pPr>
        <w:spacing w:after="0" w:line="164" w:lineRule="exact"/>
        <w:rPr>
          <w:sz w:val="20"/>
          <w:szCs w:val="20"/>
          <w:color w:val="auto"/>
        </w:rPr>
      </w:pPr>
    </w:p>
    <w:p>
      <w:pPr>
        <w:ind w:left="520" w:right="3779" w:firstLine="517"/>
        <w:spacing w:after="0" w:line="255" w:lineRule="auto"/>
        <w:rPr>
          <w:sz w:val="20"/>
          <w:szCs w:val="20"/>
          <w:color w:val="auto"/>
        </w:rPr>
      </w:pPr>
      <w:r>
        <w:rPr>
          <w:rFonts w:ascii="Courier New" w:cs="Courier New" w:eastAsia="Courier New" w:hAnsi="Courier New"/>
          <w:sz w:val="14"/>
          <w:szCs w:val="14"/>
          <w:color w:val="auto"/>
        </w:rPr>
        <w:t>Unmarked ballots shall be considered only for the demonstration of a quorum.</w:t>
      </w:r>
    </w:p>
    <w:p>
      <w:pPr>
        <w:spacing w:after="0" w:line="160" w:lineRule="exact"/>
        <w:rPr>
          <w:sz w:val="20"/>
          <w:szCs w:val="20"/>
          <w:color w:val="auto"/>
        </w:rPr>
      </w:pPr>
    </w:p>
    <w:p>
      <w:pPr>
        <w:ind w:left="520" w:right="3779" w:firstLine="517"/>
        <w:spacing w:after="0" w:line="252" w:lineRule="auto"/>
        <w:rPr>
          <w:sz w:val="20"/>
          <w:szCs w:val="20"/>
          <w:color w:val="auto"/>
        </w:rPr>
      </w:pPr>
      <w:r>
        <w:rPr>
          <w:rFonts w:ascii="Courier New" w:cs="Courier New" w:eastAsia="Courier New" w:hAnsi="Courier New"/>
          <w:sz w:val="14"/>
          <w:szCs w:val="14"/>
          <w:color w:val="auto"/>
        </w:rPr>
        <w:t>For each nominee and proposal, stockholders shall be advised of the official results in the normal course of communication with stockholders.</w:t>
      </w:r>
    </w:p>
    <w:p>
      <w:pPr>
        <w:spacing w:after="0" w:line="163" w:lineRule="exact"/>
        <w:rPr>
          <w:sz w:val="20"/>
          <w:szCs w:val="20"/>
          <w:color w:val="auto"/>
        </w:rPr>
      </w:pPr>
    </w:p>
    <w:p>
      <w:pPr>
        <w:ind w:right="4639" w:firstLine="517"/>
        <w:spacing w:after="0" w:line="255" w:lineRule="auto"/>
        <w:rPr>
          <w:sz w:val="20"/>
          <w:szCs w:val="20"/>
          <w:color w:val="auto"/>
        </w:rPr>
      </w:pPr>
      <w:r>
        <w:rPr>
          <w:rFonts w:ascii="Courier New" w:cs="Courier New" w:eastAsia="Courier New" w:hAnsi="Courier New"/>
          <w:sz w:val="14"/>
          <w:szCs w:val="14"/>
          <w:color w:val="auto"/>
        </w:rPr>
        <w:t>The Mobil Board recommends you vote AGAINST the adoption of this proposal.</w:t>
      </w:r>
    </w:p>
    <w:p>
      <w:pPr>
        <w:spacing w:after="0" w:line="160"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As permitted by applicable laws and regulations, and consistent with the practice of virtually all public corporations, Mobil advises shareholders that if they sign, date and return their proxy cards without indicating how they wish to vote, their proxies will be voted in accordance with the Board's recommendations. This entirely lawful and customary procedure serves as a convenience to those shareholders who wish to vote on all matters as management recommends. The proponent asserts that the procedure "clouds the voting results. . . , does not accurately reflect the desires</w:t>
      </w:r>
    </w:p>
    <w:p>
      <w:pPr>
        <w:spacing w:after="0" w:line="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of voting stockholders and skews the results." However, it in no way affects the rights of any shareholder to vote in opposition to management's recommendations on any or all matters or to abstain from voting: a shareholder need only mark the appropriate boxes on the proxy card to record his or her votes. Accordingly, the Mobil Board strongly disagrees with the proponent's assertion.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V-5</w:t>
      </w:r>
    </w:p>
    <w:p>
      <w:pPr>
        <w:sectPr>
          <w:pgSz w:w="11900" w:h="16838" w:orient="portrait"/>
          <w:cols w:equalWidth="0" w:num="1">
            <w:col w:w="10239"/>
          </w:cols>
          <w:pgMar w:left="220" w:top="616"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4379" w:firstLine="517"/>
        <w:spacing w:after="0" w:line="255" w:lineRule="auto"/>
        <w:rPr>
          <w:sz w:val="20"/>
          <w:szCs w:val="20"/>
          <w:color w:val="auto"/>
        </w:rPr>
      </w:pPr>
      <w:r>
        <w:rPr>
          <w:rFonts w:ascii="Courier New" w:cs="Courier New" w:eastAsia="Courier New" w:hAnsi="Courier New"/>
          <w:sz w:val="14"/>
          <w:szCs w:val="14"/>
          <w:color w:val="auto"/>
        </w:rPr>
        <w:t>For the foregoing reasons, the Mobil Board recommends you vote AGAINST the adoption of the proposal.</w:t>
      </w:r>
    </w:p>
    <w:p>
      <w:pPr>
        <w:spacing w:after="0" w:line="160"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Shareholder Proposal: Global Warming</w:t>
        <w:tab/>
        <w:t>(Item 5 on Mobil's proxy card)</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following proposal was submitted by Friends of the Earth Action, 1025 Vermont Avenue, NW #300, Washington, DC 20005-6303 and the National Council of the Churches of Christ in the USA, 475 Riverside Drive, New York, New York 10115-0050, which state that they are the holders of a total of 5,858 shares of Mobil common stock, and six other shareholders who state that they hold 60,900 shares of Mobil common stock in the aggregate and whose names and addresses will be furnished on request:</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WHEREAS:</w:t>
      </w:r>
    </w:p>
    <w:p>
      <w:pPr>
        <w:spacing w:after="0" w:line="173" w:lineRule="exact"/>
        <w:rPr>
          <w:sz w:val="20"/>
          <w:szCs w:val="20"/>
          <w:color w:val="auto"/>
        </w:rPr>
      </w:pPr>
    </w:p>
    <w:p>
      <w:pPr>
        <w:ind w:left="520" w:right="3859" w:firstLine="517"/>
        <w:spacing w:after="0" w:line="252" w:lineRule="auto"/>
        <w:rPr>
          <w:sz w:val="20"/>
          <w:szCs w:val="20"/>
          <w:color w:val="auto"/>
        </w:rPr>
      </w:pPr>
      <w:r>
        <w:rPr>
          <w:rFonts w:ascii="Courier New" w:cs="Courier New" w:eastAsia="Courier New" w:hAnsi="Courier New"/>
          <w:sz w:val="14"/>
          <w:szCs w:val="14"/>
          <w:color w:val="auto"/>
        </w:rPr>
        <w:t>The overwhelming majority of independent, peer-reviewed atmospheric scientists agree that global warming is not hypothetical but a real, existing problem posing serious challenges for modern civilization;</w:t>
      </w:r>
    </w:p>
    <w:p>
      <w:pPr>
        <w:spacing w:after="0" w:line="162"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The impacts of global warming on our public health and welfare include increased occurrence of extreme weather events, sea-level rise, increased spread of infectious diseases, and more frequent and deadly heat waves like the summer of 1998 which was linked to more than 150 deaths in Texas alone.</w:t>
      </w:r>
    </w:p>
    <w:p>
      <w:pPr>
        <w:spacing w:after="0" w:line="165"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British Petroleum and Royal Dutch Shell have already begun making decisions for their long-term growth which factor in the conclusions of the scientific community warning about the effect of fossil fuel combustion on climate change. John Browne, Group Chief Executive of BP America has stated: "The time to consider the policy dimensions of climate change is...when the possibility cannot be discounted.... We in BP have reached that point."</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WE BELIEVE:</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It will cost U.S. taxpayers billions of dollars to combat the impacts of global warming. So far, our company has not lived up to its responsibility as a producer of the pollution which causes global warming. In order to leave the children of the world a safe and healthy environment, and protect threatened plants and animals, it is time for Mobil to catch up with other companies who are preparing for the future now by taking the concrete steps necessary to assess their opportunities for reducing the amount of carbon pollution they produce. Failing to rise to the challenge set by industry leaders will hurt our company's competitiveness and cost our shareholders increasing amounts of money.</w:t>
      </w:r>
    </w:p>
    <w:p>
      <w:pPr>
        <w:spacing w:after="0" w:line="163"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RESOLVED: that the shareholders of Mobil request that the Board of Directors report (at reasonable costs and omitting proprietary information), to shareholders by August 1999, on the greenhouse gas emissions from our company's own operations and products, including (with dollar amounts where relevant) (i) what our company is doing in research and/or action to reduce those emissions and ameliorate the problem, (ii) the financial exposure of our company and its shareholders due to the likely costs of reducing those emissions and potential liability for damages associated with climate change, and</w:t>
      </w:r>
    </w:p>
    <w:p>
      <w:pPr>
        <w:spacing w:after="0" w:line="4" w:lineRule="exact"/>
        <w:rPr>
          <w:sz w:val="20"/>
          <w:szCs w:val="20"/>
          <w:color w:val="auto"/>
        </w:rPr>
      </w:pPr>
    </w:p>
    <w:p>
      <w:pPr>
        <w:jc w:val="both"/>
        <w:ind w:left="520" w:right="4199" w:firstLine="5"/>
        <w:spacing w:after="0" w:line="252" w:lineRule="auto"/>
        <w:tabs>
          <w:tab w:leader="none" w:pos="103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by our company, or by the industry associations to which it pays dues, promoting the view that the issue of climate change is exaggerated, not real, or that global warming may be beneficial.</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SUPPORTING STATEMENT</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We believe that Mobil is exposing its shareholders to financial risk by continuing to produce unnecessary amounts of the pollution which causes global warming, even as the problem of climate change becomes more severe, more widely understood, and more likely to lead to legislation that will penalize excessive carbon polluters. Furthermore, we believe that our company is incurring costs for advertising and lobbying to suggest that the problem of global warming is exaggerated, not real, or too costly to deal with; and thus using our prestige and influence to delay any lessening of climate change.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V-6</w:t>
      </w:r>
    </w:p>
    <w:p>
      <w:pPr>
        <w:sectPr>
          <w:pgSz w:w="11900" w:h="16838" w:orient="portrait"/>
          <w:cols w:equalWidth="0" w:num="1">
            <w:col w:w="10239"/>
          </w:cols>
          <w:pgMar w:left="220" w:top="616" w:right="1440" w:bottom="1440" w:gutter="0" w:footer="0" w:header="0"/>
        </w:sectPr>
      </w:pPr>
    </w:p>
    <w:bookmarkStart w:id="117" w:name="page118"/>
    <w:bookmarkEnd w:id="117"/>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The Mobil Board recommends you vote AGAINST the adoption of this proposal.</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Mobil has consistently communicated its view that all energy resources, including our products, should be used wisely. Furthermore, Mobil has undertaken numerous energy-saving initiatives in the interest of maximizing the efficiency of its operations. Information on these measures, as well as Mobil's position on global climate change, is already widely available in publications such as Mobil's opinion-editorials appearing in major newspapers and magazines worldwide, in Mobil's climate primer entitled, "Global Climate Change: Issues, Impacts and Solutions," in Mobil World, and in the special global climate section of Mobil's web site which can be found at www.mobil.com.</w:t>
      </w:r>
    </w:p>
    <w:p>
      <w:pPr>
        <w:spacing w:after="0" w:line="164"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In addition, Mobil's Annual Environmental, Health and Safety Report will include this year, for the first time, an inventory of carbon emissions</w:t>
      </w:r>
    </w:p>
    <w:p>
      <w:pPr>
        <w:spacing w:after="0" w:line="1"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from Mobil's global operations in 1998. These figures will also be available on Mobil's web site. Thus, the Mobil Board believes that Mobil is fulfilling its obligations to the public and its shareholders by sharing information on its views about, and its extensive activities relating to, global warming. Therefore, the Board recommends that you vote against this proposal.</w:t>
      </w:r>
    </w:p>
    <w:p>
      <w:pPr>
        <w:spacing w:after="0" w:line="327"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Mobil has stated that it is concerned about the possible impacts of human emissions of greenhouse gases on the world's climate. However, Mobil believes that a system of mandated emission targets as embodied in the Kyoto Protocol is the wrong approach to addressing this issue. The magnitude and timing of potential climate change or the effectiveness of proposed solutions and their impacts on the quality of life are not understood. Yet there are many voluntary steps that are being taken to use our energy resources more wisely. And there are promising technologies that can make a sizeable difference in the future.</w:t>
      </w:r>
    </w:p>
    <w:p>
      <w:pPr>
        <w:spacing w:after="0" w:line="164" w:lineRule="exact"/>
        <w:rPr>
          <w:sz w:val="20"/>
          <w:szCs w:val="20"/>
          <w:color w:val="auto"/>
        </w:rPr>
      </w:pPr>
    </w:p>
    <w:p>
      <w:pPr>
        <w:ind w:right="3939" w:firstLine="517"/>
        <w:spacing w:after="0" w:line="251" w:lineRule="auto"/>
        <w:rPr>
          <w:sz w:val="20"/>
          <w:szCs w:val="20"/>
          <w:color w:val="auto"/>
        </w:rPr>
      </w:pPr>
      <w:r>
        <w:rPr>
          <w:rFonts w:ascii="Courier New" w:cs="Courier New" w:eastAsia="Courier New" w:hAnsi="Courier New"/>
          <w:sz w:val="14"/>
          <w:szCs w:val="14"/>
          <w:color w:val="auto"/>
        </w:rPr>
        <w:t>We have also stated, "The choice at this time is not between action and inaction, but between responsible actions and actions that put our economy and business at risk." Mobil supports prudent voluntary cost-effective actions now while learning more about climate change and the possible responses to its effects.</w:t>
      </w:r>
    </w:p>
    <w:p>
      <w:pPr>
        <w:spacing w:after="0" w:line="165"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To enhance its learning about these issues, Mobil actively supports climate change research programs at universities and leading institutions. Mobil supports two efforts at the Massachusetts Institute of Technology: the Joint Program on Science and Policy of Global Changes, and the Energy Choices for a Greenhouse Constrained World. Mobil also supports the Battelle Northwest Study: A Global Energy Technology Strategy to Address Climate Change. These are independent groups that share our desire to find some common-sense answers to the questions asked in the climate change debate.</w:t>
      </w:r>
    </w:p>
    <w:p>
      <w:pPr>
        <w:spacing w:after="0" w:line="329" w:lineRule="exact"/>
        <w:rPr>
          <w:sz w:val="20"/>
          <w:szCs w:val="20"/>
          <w:color w:val="auto"/>
        </w:rPr>
      </w:pPr>
    </w:p>
    <w:p>
      <w:pPr>
        <w:ind w:right="3779" w:firstLine="517"/>
        <w:spacing w:after="0" w:line="250" w:lineRule="auto"/>
        <w:rPr>
          <w:sz w:val="20"/>
          <w:szCs w:val="20"/>
          <w:color w:val="auto"/>
        </w:rPr>
      </w:pPr>
      <w:r>
        <w:rPr>
          <w:rFonts w:ascii="Courier New" w:cs="Courier New" w:eastAsia="Courier New" w:hAnsi="Courier New"/>
          <w:sz w:val="14"/>
          <w:szCs w:val="14"/>
          <w:color w:val="auto"/>
        </w:rPr>
        <w:t>Contrary to the assertions in this resolution, Mobil is taking "concrete steps" to assess opportunities for reducing greenhouse gases from its operations. While we seek to learn more about the science of climate change, Mobil remains committed to research and development efforts that assess technologies that reduce emissions of greenhouse gases. In addition to tracking emissions from Mobil facilities, we are implementing projects to reduce flaring and venting in our operations in the North Sea and offshore Nigeria. Mobil is also supporting projects to counter emissions through initiatives such as our reforestation projects with American Forest. Mobil's joint venture with Ford Motor Company, called "Let's Drive for a Better Future," will develop new energy-efficient fuel and power-train technologies as well as assess opportunities involving direct-injection diesel, hydrocarbon processors for fuel-cell systems, and alternative fuels. These efforts will result in significant contributions toward the efficient and low emissions use of Mobil products.</w:t>
      </w:r>
    </w:p>
    <w:p>
      <w:pPr>
        <w:spacing w:after="0" w:line="172"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Mobil also participates in the International Energy Agency's Greenhouse Gas Research and Development Program, which includes technology assessment, and research and development target-setting for the oil and petrochemical industry. Mobil has installed energy saving technologies at refineries, undertaken energy management audits and worked to reduce gas flaring in our offshore producing fields. Mobil participates in government programs to promote energy efficiency in office buildings and has been recognized by the U.S. EPA for a host of awards. In addition, use of Mobil's industry-leading synthetic lubricants has measurable energy efficiency benefits in many applications.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V-7</w:t>
      </w:r>
    </w:p>
    <w:p>
      <w:pPr>
        <w:sectPr>
          <w:pgSz w:w="11900" w:h="16838" w:orient="portrait"/>
          <w:cols w:equalWidth="0" w:num="1">
            <w:col w:w="10239"/>
          </w:cols>
          <w:pgMar w:left="220" w:top="616"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4019" w:firstLine="517"/>
        <w:spacing w:after="0" w:line="252" w:lineRule="auto"/>
        <w:rPr>
          <w:sz w:val="20"/>
          <w:szCs w:val="20"/>
          <w:color w:val="auto"/>
        </w:rPr>
      </w:pPr>
      <w:r>
        <w:rPr>
          <w:rFonts w:ascii="Courier New" w:cs="Courier New" w:eastAsia="Courier New" w:hAnsi="Courier New"/>
          <w:sz w:val="14"/>
          <w:szCs w:val="14"/>
          <w:color w:val="auto"/>
        </w:rPr>
        <w:t>Mobil has cut its carbon emissions by more than one million metric tons in the past three years. In addition to being effective, our emissions reduction programs are economically logical and justified.</w:t>
      </w:r>
    </w:p>
    <w:p>
      <w:pPr>
        <w:spacing w:after="0" w:line="163"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With its continued support for scientific research, Mobil is taking a leadership role in the effort to achieve an understanding of how man-made emissions affect climate. Mobil believes that while such an understanding is being pursued, reasonable companies should take actions to reduce greenhouse emissions within the framework of good economic sense. Mobil is doing just that.</w:t>
      </w:r>
    </w:p>
    <w:p>
      <w:pPr>
        <w:spacing w:after="0" w:line="164" w:lineRule="exact"/>
        <w:rPr>
          <w:sz w:val="20"/>
          <w:szCs w:val="20"/>
          <w:color w:val="auto"/>
        </w:rPr>
      </w:pPr>
    </w:p>
    <w:p>
      <w:pPr>
        <w:ind w:right="4379" w:firstLine="517"/>
        <w:spacing w:after="0" w:line="255" w:lineRule="auto"/>
        <w:rPr>
          <w:sz w:val="20"/>
          <w:szCs w:val="20"/>
          <w:color w:val="auto"/>
        </w:rPr>
      </w:pPr>
      <w:r>
        <w:rPr>
          <w:rFonts w:ascii="Courier New" w:cs="Courier New" w:eastAsia="Courier New" w:hAnsi="Courier New"/>
          <w:sz w:val="14"/>
          <w:szCs w:val="14"/>
          <w:color w:val="auto"/>
        </w:rPr>
        <w:t>For the foregoing reasons, the Mobil Board recommends you vote AGAINST the adoption of the proposal.</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V-8</w:t>
      </w:r>
    </w:p>
    <w:p>
      <w:pPr>
        <w:sectPr>
          <w:pgSz w:w="11900" w:h="16838" w:orient="portrait"/>
          <w:cols w:equalWidth="0" w:num="1">
            <w:col w:w="10239"/>
          </w:cols>
          <w:pgMar w:left="220" w:top="616" w:right="1440" w:bottom="1440" w:gutter="0" w:footer="0" w:header="0"/>
        </w:sectPr>
      </w:pPr>
    </w:p>
    <w:bookmarkStart w:id="119" w:name="page120"/>
    <w:bookmarkEnd w:id="119"/>
    <w:p>
      <w:pPr>
        <w:jc w:val="right"/>
        <w:ind w:right="3519"/>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MOBIL BOARD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Meetings</w:t>
      </w:r>
    </w:p>
    <w:p>
      <w:pPr>
        <w:spacing w:after="0" w:line="173" w:lineRule="exact"/>
        <w:rPr>
          <w:sz w:val="20"/>
          <w:szCs w:val="20"/>
          <w:color w:val="auto"/>
        </w:rPr>
      </w:pPr>
    </w:p>
    <w:p>
      <w:pPr>
        <w:ind w:left="520" w:right="3859" w:firstLine="517"/>
        <w:spacing w:after="0" w:line="252" w:lineRule="auto"/>
        <w:rPr>
          <w:sz w:val="20"/>
          <w:szCs w:val="20"/>
          <w:color w:val="auto"/>
        </w:rPr>
      </w:pPr>
      <w:r>
        <w:rPr>
          <w:rFonts w:ascii="Courier New" w:cs="Courier New" w:eastAsia="Courier New" w:hAnsi="Courier New"/>
          <w:sz w:val="14"/>
          <w:szCs w:val="14"/>
          <w:color w:val="auto"/>
        </w:rPr>
        <w:t>During 1998, the Mobil Board met 11 times and all current directors attended more than 75 percent of the meetings of the Mobil Board and their respective Board committees.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Compensation</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Mobil employees receive no extra pay for serving on the Mobil Board or its committees. Each non-employee director receives an annual retainer comprised of $36,000 and 600 shares of Mobil common stock in the form of deferred common share equivalents. Non-employee directors also receive a fee of $1,250 for each Board meeting and committee meeting attended, plus travel allowances where appropriate. Directors who chair committees receive additional annual fees of $8,000. Non-employee directors may not participate in Mobil's incentive compensation or other employee benefit programs. However, Mobil provides $100,000 of non-contributory group life insurance and $500,000 of accidental death insurance for accidents occurring while on Mobil business.</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Under the deferred fee plan, non-employee directors may defer, until retirement, receipt of all or a part of their fees and the cash portion of their annual retainers. Deferred amounts may either be credited with notional interest or be represented by common share equivalents which earn notional dividends equal to dividends declared on Mobil common stock. Notional interest on deferred cash accounts is credited at the average rate for 10-year U.S. Treasury bonds over a six-month period, plus 1%, currently 6.08% per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of the Mobil Board</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Mobil Board appoints standing committees to help carry out its duties. The functions and current membership of the five standing committees established by the Mobil Board are described below. Each committee meets regularly during the year and promptly following each meeting advises the full Board of its actions and recommendations. Each committee is composed entirely of non-employee directors.</w:t>
      </w:r>
    </w:p>
    <w:p>
      <w:pPr>
        <w:spacing w:after="0" w:line="330"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Audit Committee, established in 1969, reviews with the independent auditors and Mobil's General Auditor the general scope of their respective audit coverages. Such reviews include consideration of Mobil's accounting practices, procedures and system of internal accounting controls and any significant problems encountered. The committee also recommends to the Board the appointment of Mobil's principal independent auditors.</w:t>
      </w:r>
    </w:p>
    <w:p>
      <w:pPr>
        <w:spacing w:after="0" w:line="164" w:lineRule="exact"/>
        <w:rPr>
          <w:sz w:val="20"/>
          <w:szCs w:val="20"/>
          <w:color w:val="auto"/>
        </w:rPr>
      </w:pPr>
    </w:p>
    <w:p>
      <w:pPr>
        <w:ind w:left="520" w:right="3779" w:firstLine="517"/>
        <w:spacing w:after="0" w:line="252" w:lineRule="auto"/>
        <w:rPr>
          <w:sz w:val="20"/>
          <w:szCs w:val="20"/>
          <w:color w:val="auto"/>
        </w:rPr>
      </w:pPr>
      <w:r>
        <w:rPr>
          <w:rFonts w:ascii="Courier New" w:cs="Courier New" w:eastAsia="Courier New" w:hAnsi="Courier New"/>
          <w:sz w:val="14"/>
          <w:szCs w:val="14"/>
          <w:color w:val="auto"/>
        </w:rPr>
        <w:t>At least annually, the committee reviews the services performed and the fees charged by Mobil's independent auditors and determines that the non-audit services rendered by the independent auditors do not compromise their independence.</w:t>
      </w:r>
    </w:p>
    <w:p>
      <w:pPr>
        <w:spacing w:after="0" w:line="162"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independent auditors and Mobil's General Auditor have direct access to the committee and may discuss with it any matters which may arise in connection with audits, the maintenance of internal accounting controls or any other matters relating to Mobil's financial affairs. Furthermore, the committee may authorize the independent auditors to investigate any matters which the committee deems appropriate and may present its recommendations and conclusions to the Board.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V-9</w:t>
      </w:r>
    </w:p>
    <w:p>
      <w:pPr>
        <w:sectPr>
          <w:pgSz w:w="11900" w:h="16838" w:orient="portrait"/>
          <w:cols w:equalWidth="0" w:num="1">
            <w:col w:w="10239"/>
          </w:cols>
          <w:pgMar w:left="220" w:top="616"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Lewis M. Branscomb (Chairman)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Charles A. Heimbold,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Helene L. Kaplan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Aulana L. Peters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Iain D. T. Vallance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Meetings last year: four.</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 on Directors and Board Affairs, established in 1977, reviews and makes recommendations to the Board regarding: corporate governance matters, including effectiveness of the Board, its committees and individual directors; procedures of the Board and its committees; and the composition, duties and responsibilities of the committees. The committee also reviews and makes recommendations to the Board regarding compensation and meeting fees of non-employee directors.</w:t>
      </w:r>
    </w:p>
    <w:p>
      <w:pPr>
        <w:spacing w:after="0" w:line="164"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In addition, the committee proposes to the Board a slate of directors for election by the shareholders at the annual meeting and identifies and proposes to the Board candidates to fill Board vacancies. The committee considers suggestions from many sources, including shareholders, regarding possible candidates for director.</w:t>
      </w:r>
    </w:p>
    <w:p>
      <w:pPr>
        <w:spacing w:after="0" w:line="165" w:lineRule="exact"/>
        <w:rPr>
          <w:sz w:val="20"/>
          <w:szCs w:val="20"/>
          <w:color w:val="auto"/>
        </w:rPr>
      </w:pPr>
    </w:p>
    <w:p>
      <w:pPr>
        <w:ind w:left="520" w:right="4199" w:firstLine="517"/>
        <w:spacing w:after="0" w:line="255" w:lineRule="auto"/>
        <w:rPr>
          <w:sz w:val="20"/>
          <w:szCs w:val="20"/>
          <w:color w:val="auto"/>
        </w:rPr>
      </w:pPr>
      <w:r>
        <w:rPr>
          <w:rFonts w:ascii="Courier New" w:cs="Courier New" w:eastAsia="Courier New" w:hAnsi="Courier New"/>
          <w:sz w:val="14"/>
          <w:szCs w:val="14"/>
          <w:color w:val="auto"/>
        </w:rPr>
        <w:t>The committee will consider your suggestions for possible director candidates if you follow the procedure described below:</w:t>
      </w:r>
    </w:p>
    <w:p>
      <w:pPr>
        <w:spacing w:after="0" w:line="160"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You should send your nomination(s) to the Secretary of the Committee on Directors and Board Affairs, Mobil Corporation, 3225 Gallows Road, Fairfax, Virginia 22037-0001. Your nomination(s) should describe the qualifications of the candidate and should be accompanied by a written statement that the candidate is willing to serve and is committed to representing the interests of all the shareholders. Candidates must be endorsed by a member of the Committee on Directors and Board Affairs or be supported by the holders of not less than 200 shares of common stock. This number is subject to periodic review by the Committee on Directors and Board Affairs.</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You may also make your nomination(s) at an annual shareholders' meeting in the manner provided in the Mobil by-laws. The Mobil by-laws require, among other things, that you provide written notice of your nomination(s) to Mobil at least 90 days before the anniversary date of the preceding annual meeting. For a description of the full procedure governing these nominations, you should read the Mobil by-laws. You may obtain a copy of the Mobil by-laws from the Secretary of Mobil. At any meeting of shareholders, the presiding officer may refuse to acknowledge the nomination of any person not made in compliance with the procedure specified in the Mobil by-laws.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Allen F. Jacobson (Chairman)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Donald V. Fites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Charles A. Heimbold,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Helene L. Kaplan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Charles S. Sanford, Jr.</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Meetings last year: two.</w:t>
      </w:r>
    </w:p>
    <w:p>
      <w:pPr>
        <w:spacing w:after="0" w:line="173" w:lineRule="exact"/>
        <w:rPr>
          <w:sz w:val="20"/>
          <w:szCs w:val="20"/>
          <w:color w:val="auto"/>
        </w:rPr>
      </w:pPr>
    </w:p>
    <w:p>
      <w:pPr>
        <w:ind w:left="520" w:right="3339" w:firstLine="517"/>
        <w:spacing w:after="0" w:line="252" w:lineRule="auto"/>
        <w:rPr>
          <w:sz w:val="20"/>
          <w:szCs w:val="20"/>
          <w:color w:val="auto"/>
        </w:rPr>
      </w:pPr>
      <w:r>
        <w:rPr>
          <w:rFonts w:ascii="Courier New" w:cs="Courier New" w:eastAsia="Courier New" w:hAnsi="Courier New"/>
          <w:sz w:val="14"/>
          <w:szCs w:val="14"/>
          <w:color w:val="auto"/>
        </w:rPr>
        <w:t>The Management Compensation and Organization Committee, established in 1960, reviews, approves and recommends to the Mobil Board: (1) Mobil's employee and management compensation and benefit policies; (2) management incentive compensation plans, including stock option plans; (3) the amount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V-10</w:t>
      </w:r>
    </w:p>
    <w:p>
      <w:pPr>
        <w:sectPr>
          <w:pgSz w:w="11900" w:h="16838" w:orient="portrait"/>
          <w:cols w:equalWidth="0" w:num="1">
            <w:col w:w="10239"/>
          </w:cols>
          <w:pgMar w:left="220" w:top="616" w:right="1440" w:bottom="1440" w:gutter="0" w:footer="0" w:header="0"/>
        </w:sectPr>
      </w:pPr>
    </w:p>
    <w:bookmarkStart w:id="121" w:name="page122"/>
    <w:bookmarkEnd w:id="121"/>
    <w:p>
      <w:pPr>
        <w:jc w:val="right"/>
        <w:ind w:right="3519"/>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and form of compensation of employee directors and senior managers of Mobil; and (4) all senior management appointments and any significant structural changes in the management and organization of Mobil. The committee also administers the Mobil incentive compensation and stock option plans.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Robert G. Schwartz (Chairman)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Donald V. Fites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Allen F. Jacobson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Samuel C. Johnson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 Richard Munro</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Meetings last year: six.</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report of the committee on executive compensation starts on page V-12.</w:t>
      </w:r>
    </w:p>
    <w:p>
      <w:pPr>
        <w:spacing w:after="0" w:line="160" w:lineRule="exact"/>
        <w:rPr>
          <w:sz w:val="20"/>
          <w:szCs w:val="20"/>
          <w:color w:val="auto"/>
        </w:rPr>
      </w:pPr>
    </w:p>
    <w:p>
      <w:pPr>
        <w:ind w:right="3859" w:firstLine="517"/>
        <w:spacing w:after="0" w:line="250" w:lineRule="auto"/>
        <w:rPr>
          <w:sz w:val="20"/>
          <w:szCs w:val="20"/>
          <w:color w:val="auto"/>
        </w:rPr>
      </w:pPr>
      <w:r>
        <w:rPr>
          <w:rFonts w:ascii="Courier New" w:cs="Courier New" w:eastAsia="Courier New" w:hAnsi="Courier New"/>
          <w:sz w:val="14"/>
          <w:szCs w:val="14"/>
          <w:color w:val="auto"/>
        </w:rPr>
        <w:t>The Public Issues Committee, established in 1973, reviews and makes recommendations regarding: (1) Mobil's domestic and international policies, programs, position and strategies involving political, social and environmental trends and issues; (2) shareholder proposals; (3) support of business, charitable and educational organizations; (4) Mobil's employment and workplace policies and practices, including those relating to equal employment opportunity, non-discrimination and diversity in the workplace; and</w:t>
      </w:r>
    </w:p>
    <w:p>
      <w:pPr>
        <w:spacing w:after="0" w:line="3" w:lineRule="exact"/>
        <w:rPr>
          <w:sz w:val="20"/>
          <w:szCs w:val="20"/>
          <w:color w:val="auto"/>
        </w:rPr>
      </w:pPr>
    </w:p>
    <w:p>
      <w:pPr>
        <w:ind w:right="4119" w:firstLine="5"/>
        <w:spacing w:after="0" w:line="255" w:lineRule="auto"/>
        <w:tabs>
          <w:tab w:leader="none" w:pos="43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Mobil's environmental, health and safety policies, programs, practices and performance.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Samuel C. Johnson (Chairman)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Lewis M. Branscomb</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 Richard Munro</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Aulana L. Peters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Robert G. Schwartz</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Iain D. T. Vallance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Meetings last year: three.</w:t>
      </w:r>
    </w:p>
    <w:p>
      <w:pPr>
        <w:spacing w:after="0" w:line="173" w:lineRule="exact"/>
        <w:rPr>
          <w:sz w:val="20"/>
          <w:szCs w:val="20"/>
          <w:color w:val="auto"/>
        </w:rPr>
      </w:pPr>
    </w:p>
    <w:p>
      <w:pPr>
        <w:ind w:right="3859" w:firstLine="517"/>
        <w:spacing w:after="0" w:line="251" w:lineRule="auto"/>
        <w:rPr>
          <w:sz w:val="20"/>
          <w:szCs w:val="20"/>
          <w:color w:val="auto"/>
        </w:rPr>
      </w:pPr>
      <w:r>
        <w:rPr>
          <w:rFonts w:ascii="Courier New" w:cs="Courier New" w:eastAsia="Courier New" w:hAnsi="Courier New"/>
          <w:sz w:val="14"/>
          <w:szCs w:val="14"/>
          <w:color w:val="auto"/>
        </w:rPr>
        <w:t>The Finance Committee, established in February 1998, reviews and makes recommendations to the Mobil Board regarding: Mobil's financial structure, condition and major policies; Mobil's policies and programs for the management of risk, including its insurance program; and the funding, performance and administration of pension benefit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committee members are: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Charles S. Sanford, Jr. (Chairman)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Donald V. Fites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Charles A. Heimbold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Helene L. Kaplan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Aulana L. Peters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Iain D.T. Vallance.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Meetings last year: two.</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V-11</w:t>
      </w:r>
    </w:p>
    <w:p>
      <w:pPr>
        <w:sectPr>
          <w:pgSz w:w="11900" w:h="16838" w:orient="portrait"/>
          <w:cols w:equalWidth="0" w:num="1">
            <w:col w:w="9719"/>
          </w:cols>
          <w:pgMar w:left="740" w:top="616"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Compensation and Organization Committee Report</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Management Compensation and Organization Committee of the Mobil Board consists of directors who are neither employees nor officers of Mobil. The committee regularly reviews Mobil's executive compensation policies and programs and determines the compensation of the senior executive officers. Mobil's decisions on compensation of the chairman and chief executive officer and other employee directors are reviewed with and approved by all of the non-employee directors, who constitute a majority of the Board.</w:t>
      </w:r>
    </w:p>
    <w:p>
      <w:pPr>
        <w:spacing w:after="0" w:line="164"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executive compensation program includes four elements which, in the committee's view, constitute a flexible and balanced method of establishing total compensation for senior management. The four compensation elements, further discussed below, are base salary, short-term incentive awards, long-term incentive awards, and stock options.</w:t>
      </w:r>
    </w:p>
    <w:p>
      <w:pPr>
        <w:spacing w:after="0" w:line="164"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committee's overall philosophy regarding the compensation of Mobil's executive officers is that these officers should receive total compensation that is equal to the average for comparable positions paid by the seven petroleum comparator or peer companies referred to in the following section when Mobil's performance is average compared to those companies; total compensation that is below the average for comparable positions when Mobil's comparative performance is below average; and total compensation that is above the average for comparable positions when Mobil's comparative performance is above average.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 annually reviews salary ranges for senior positions and approves adjustments necessary to align these ranges with the competitive rates of pay reported by seven major petroleum companies for similar positions. These companies constitute Mobil's petroleum comparator group, and are named in the Performance Graph on page V-16, except that the salary data for the U.S. subsidiaries of British Petroleum Company p.l.c. and Royal Dutch Petroleum Company/ "Shell" Transport and Trading Company p.l.c. are used because parent company data are not available. The committee chose these seven companies as comparators because they are the major companies in direct competition with Mobil in most of its areas of business.</w:t>
      </w:r>
    </w:p>
    <w:p>
      <w:pPr>
        <w:spacing w:after="0" w:line="163"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The committee annually adopts guidelines for executive salary increases which are consistent with guidelines for all U.S. salaried employees. These guidelines are generally based on the average salary increase budget within the comparator group. Actual salaries within the established salary ranges are determined based on the individual executive's performance, position in the salary range and experience level.</w:t>
      </w:r>
    </w:p>
    <w:p>
      <w:pPr>
        <w:spacing w:after="0" w:line="164"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The committee's guidelines apply to annual periods beginning on July 1. The guidelines adopted by the committee for the year beginning July 1, 1998 provided for base pay increases for employees whose salaries were below the competitive rate for their jobs, and lump sum payments instead of base pay increases for employees whose salaries were above the competitive rate for their jobs. Mr. Noto's performance in 1998 was excellent. Faced with deteriorating industry fundamentals and economic problems in some key markets, Mobil fared better than the average of the petroleum comparator group in several important performance measures, such as return on capital employed, earnings per share growth and total return to shareholders. Benefits from expense reduction programs and other self-help initiatives offset significantly lower crude prices. For this reason, and in view of the fact that Mr. Noto's salary is below the competitive rate for the job, the committee approved an increase in Mr. Noto's base salary to $980,000.</w:t>
      </w:r>
    </w:p>
    <w:p>
      <w:pPr>
        <w:spacing w:after="0" w:line="173" w:lineRule="exact"/>
        <w:rPr>
          <w:sz w:val="20"/>
          <w:szCs w:val="20"/>
          <w:color w:val="auto"/>
        </w:rPr>
      </w:pPr>
    </w:p>
    <w:p>
      <w:pPr>
        <w:ind w:left="520" w:right="3859" w:firstLine="517"/>
        <w:spacing w:after="0" w:line="252" w:lineRule="auto"/>
        <w:rPr>
          <w:sz w:val="20"/>
          <w:szCs w:val="20"/>
          <w:color w:val="auto"/>
        </w:rPr>
      </w:pPr>
      <w:r>
        <w:rPr>
          <w:rFonts w:ascii="Courier New" w:cs="Courier New" w:eastAsia="Courier New" w:hAnsi="Courier New"/>
          <w:sz w:val="14"/>
          <w:szCs w:val="14"/>
          <w:color w:val="auto"/>
        </w:rPr>
        <w:t>Mr. Noto's salary continues to be below the average and median base salary paid for a comparable position by the companies in the petroleum comparator group.</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V-12</w:t>
      </w:r>
    </w:p>
    <w:p>
      <w:pPr>
        <w:sectPr>
          <w:pgSz w:w="11900" w:h="16838" w:orient="portrait"/>
          <w:cols w:equalWidth="0" w:num="1">
            <w:col w:w="10239"/>
          </w:cols>
          <w:pgMar w:left="220" w:top="616" w:right="1440" w:bottom="1440" w:gutter="0" w:footer="0" w:header="0"/>
        </w:sectPr>
      </w:pPr>
    </w:p>
    <w:bookmarkStart w:id="123" w:name="page124"/>
    <w:bookmarkEnd w:id="123"/>
    <w:p>
      <w:pPr>
        <w:jc w:val="right"/>
        <w:ind w:right="3519"/>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Incentive Program</w:t>
      </w:r>
    </w:p>
    <w:p>
      <w:pPr>
        <w:spacing w:after="0" w:line="173" w:lineRule="exact"/>
        <w:rPr>
          <w:sz w:val="20"/>
          <w:szCs w:val="20"/>
          <w:color w:val="auto"/>
        </w:rPr>
      </w:pPr>
    </w:p>
    <w:p>
      <w:pPr>
        <w:ind w:left="520" w:right="3939" w:firstLine="517"/>
        <w:spacing w:after="0" w:line="252" w:lineRule="auto"/>
        <w:rPr>
          <w:sz w:val="20"/>
          <w:szCs w:val="20"/>
          <w:color w:val="auto"/>
        </w:rPr>
      </w:pPr>
      <w:r>
        <w:rPr>
          <w:rFonts w:ascii="Courier New" w:cs="Courier New" w:eastAsia="Courier New" w:hAnsi="Courier New"/>
          <w:sz w:val="14"/>
          <w:szCs w:val="14"/>
          <w:color w:val="auto"/>
        </w:rPr>
        <w:t>The goal of the short-term incentive program is to place a portion of executives' annual compensation at risk to encourage and reward sustained high performance each year.</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Under guidelines adopted by the committee for administering the 1995 Mobil incentive compensation and stock ownership plan, under which short-term incentive awards for 1998 were made, a short-term incentive award target has been set for each eligible employee. This target is the difference between the estimated total cash compensation (base salary plus short-term incentive award) for comparable positions at the petroleum comparator companies and the midpoint of the salary range for the employee's salary grade. This target is then multiplied by a performance factor which, in the case of the chairman and chief executive officer and the other four executive officers identified in the Summary Compensation Table on page V-17, can range from 0 to 1.75 depending equally on Mobil's rankings in return on capital employed and earnings per share growth during the preceding year, in each case relative to that of the peer companies during the same year.</w:t>
      </w:r>
    </w:p>
    <w:p>
      <w:pPr>
        <w:spacing w:after="0" w:line="328"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Based on Mobil's performance during 1998, Mobil's ranking among its peers was third in return on capital employed and second in earnings per share growth, indicating an above average performance factor of 1.40. Accordingly, the committee approved an award of $1,537,700 for Mr. Noto, which was the amount determined by multiplying Mr. Noto's incentive award target by the 1998 performance factor. The Committee notes that this award does not exceed the maximum award payable to Mr. Noto under the terms of the plan as approved by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Incentive Program</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long-term incentive program links executive rewards to growth in long-term shareholder value. The program is intended to focus executives' attention on Mobil's performance over a period of longer than one year. The committee believes this program is a key tool in building value for Mobil shareholders, because it rewards the strategic decisions on capital investments which are necessary for success in the petroleum industry. It is structured in four-year performance cycles during which achievement of longer-term financial, strategic and operational objectives is measured.</w:t>
      </w:r>
    </w:p>
    <w:p>
      <w:pPr>
        <w:spacing w:after="0" w:line="164"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The committee allots contingent stock equivalents, also known as performance shares, to key executives annually, at the beginning of each four-year performance cycle. The committee allots a number of performance shares to each executive based on a dollar amount, calculated by multiplying the midpoint of the executive's salary grade by a percentage which varies with position level. The committee then converts the amount determined in this manner into performance shares at the average market price of Mobil common stock over the 30 trading days immediately before the date of allotment. Over the four-year performance cycle, dividend equivalents are credited with respect to these allotments. These dividend equivalents are immediately converted into additional performance shares.</w:t>
      </w:r>
    </w:p>
    <w:p>
      <w:pPr>
        <w:spacing w:after="0" w:line="329"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At the end of the four-year cycle, the committee determines the amount of the long-term award by multiplying the number of performance shares then-credited to an executive's account by (1) the average market price of Mobil common stock over the 30 trading days immediately before the end of the cycle and (2) a performance factor. The performance factor can range from between 0 and 150% depending on Mobil's performance over the cycle relative to its petroleum comparator group as measured by three criteria: return to shareholders (weighted 50%), earnings per share growth (weighted</w:t>
      </w:r>
    </w:p>
    <w:p>
      <w:pPr>
        <w:spacing w:after="0" w:line="4" w:lineRule="exact"/>
        <w:rPr>
          <w:sz w:val="20"/>
          <w:szCs w:val="20"/>
          <w:color w:val="auto"/>
        </w:rPr>
      </w:pPr>
    </w:p>
    <w:p>
      <w:pPr>
        <w:ind w:left="520" w:right="3859"/>
        <w:spacing w:after="0" w:line="251" w:lineRule="auto"/>
        <w:rPr>
          <w:sz w:val="20"/>
          <w:szCs w:val="20"/>
          <w:color w:val="auto"/>
        </w:rPr>
      </w:pPr>
      <w:r>
        <w:rPr>
          <w:rFonts w:ascii="Courier New" w:cs="Courier New" w:eastAsia="Courier New" w:hAnsi="Courier New"/>
          <w:sz w:val="14"/>
          <w:szCs w:val="14"/>
          <w:color w:val="auto"/>
        </w:rPr>
        <w:t>25%), and return on capital employed (weighted 25%). The design of the plan provides for a performance factor of 100% when Mobil achieves average performance within the comparator group, with a higher or lower factor for higher than average or lower than average performance.</w:t>
      </w:r>
    </w:p>
    <w:p>
      <w:pPr>
        <w:spacing w:after="0" w:line="165" w:lineRule="exact"/>
        <w:rPr>
          <w:sz w:val="20"/>
          <w:szCs w:val="20"/>
          <w:color w:val="auto"/>
        </w:rPr>
      </w:pPr>
    </w:p>
    <w:p>
      <w:pPr>
        <w:ind w:left="520" w:right="3859" w:firstLine="517"/>
        <w:spacing w:after="0" w:line="251" w:lineRule="auto"/>
        <w:rPr>
          <w:sz w:val="20"/>
          <w:szCs w:val="20"/>
          <w:color w:val="auto"/>
        </w:rPr>
      </w:pPr>
      <w:r>
        <w:rPr>
          <w:rFonts w:ascii="Courier New" w:cs="Courier New" w:eastAsia="Courier New" w:hAnsi="Courier New"/>
          <w:sz w:val="14"/>
          <w:szCs w:val="14"/>
          <w:color w:val="auto"/>
        </w:rPr>
        <w:t>For the 1995-1998 performance cycle, a special incentive was provided. Prior to the start of the cycle, Mobil's chairman set three challenging goals for Mobil to achieve by the end of 1998: annual net income of $3.0 billion; annual return on capital employed of 12%; and a stock price of $125 prior to the two-for-one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V-13</w:t>
      </w:r>
    </w:p>
    <w:p>
      <w:pPr>
        <w:sectPr>
          <w:pgSz w:w="11900" w:h="16838" w:orient="portrait"/>
          <w:cols w:equalWidth="0" w:num="1">
            <w:col w:w="10239"/>
          </w:cols>
          <w:pgMar w:left="220" w:top="616"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stock split effective May 20, 1997. When the committee made the allotments of performance shares at the start of the 1995-1998 cycle, it determined that the awards otherwise payable at the end of the cycle would be increased by 5% if one of these goals was achieved by the end of 1998, 15% if two of these goals were achieved within that time or 30% if all three of these goals were achieved within that time.</w:t>
      </w:r>
    </w:p>
    <w:p>
      <w:pPr>
        <w:spacing w:after="0" w:line="164"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At the end of the 1995-1998 cycle, the committee compared Mobil's performance for the cycle with the performance of its petroleum comparator companies as measured by the three criteria described above. Relative to the comparator group, Mobil's total return to shareholders ranked third, at 23.8%, its earnings per share growth ranked sixth, and its return on capital employed ranked fourth. Taking all of these factors and their relative weightings into account, the committee determined that the performance factor for the cycle was 100%.</w:t>
      </w:r>
    </w:p>
    <w:p>
      <w:pPr>
        <w:spacing w:after="0" w:line="164"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Mr. Noto was allotted 23,320 performance shares at the start of the 1995-1998 cycle. Based on the market price of Mobil common stock at the time of the allotment, $43.16 per share, the shares allotted to him had a nominal value at the time of grant equal to the midpoint of his salary group at Mobil at that time. At the end of the 1995-1998 cycle, through the crediting of dividend equivalents to his account, there were 26,532 performance shares credited to his account. The market price of Mobil common stock at the end of the cycle was $86.55. Accordingly, applying the formula described above, his actual long-term incentive award was $2,296,234. This reflected in part an increase in the price of Mobil common stock over the cycle of $43.39 per share. In addition, because Mobil had, well before 1998, achieved the three performance goals described above, each long-term incentive award otherwise payable was increased by 30%. As a result, Mr. Noto's total award for the 1995-1998 cycle was $2,985,052. Mr. Noto elected to defer 90% of this award and received 31,041 common share equivalents as a result of such deferral.</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Stock options are granted to emphasize the importance of increasing shareholder value over the long term, and to encourage and facilitate executives' personal ownership of Mobil stock. The committee's policy is to grant options annually, at fair market value, to sustain executives' long-term perspective. The committee has established stock ownership guidelines which provide a strong incentive for executives to strive for long-term results and to become significant Mobil shareholders. These guidelines call for executives to own Mobil stock equal in value to a specified multiple of their respective annual salaries, with the multiple increasing with increases in executives' salary grades. Executives moving to positions requiring higher levels of stock ownership are given five years to comply with these guidelines.</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size of the stock option grant is related to the level of responsibility and individual performance of the executive and is intended, in conjunction with the long-term incentive program, to provide executives with the opportunity for total average long-term incentive compensation comparable to that afforded for similar positions by the petroleum comparator companies over time. Because a number of Mobil's competitors have just one form of long-term compensation, generally stock options, the grant size is not targeted to the number of options granted by other companies.</w:t>
      </w:r>
    </w:p>
    <w:p>
      <w:pPr>
        <w:spacing w:after="0" w:line="164" w:lineRule="exact"/>
        <w:rPr>
          <w:sz w:val="20"/>
          <w:szCs w:val="20"/>
          <w:color w:val="auto"/>
        </w:rPr>
      </w:pPr>
    </w:p>
    <w:p>
      <w:pPr>
        <w:ind w:left="520" w:right="4539" w:firstLine="517"/>
        <w:spacing w:after="0" w:line="252" w:lineRule="auto"/>
        <w:rPr>
          <w:sz w:val="20"/>
          <w:szCs w:val="20"/>
          <w:color w:val="auto"/>
        </w:rPr>
      </w:pPr>
      <w:r>
        <w:rPr>
          <w:rFonts w:ascii="Courier New" w:cs="Courier New" w:eastAsia="Courier New" w:hAnsi="Courier New"/>
          <w:sz w:val="14"/>
          <w:szCs w:val="14"/>
          <w:color w:val="auto"/>
        </w:rPr>
        <w:t>In 1998, the committee awarded Mr. Noto 200,000 stock options. The committee believes the 1998 stock option grant level is competitively justified for the reasons described above.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left="520" w:right="3339" w:firstLine="517"/>
        <w:spacing w:after="0" w:line="251" w:lineRule="auto"/>
        <w:rPr>
          <w:sz w:val="20"/>
          <w:szCs w:val="20"/>
          <w:color w:val="auto"/>
        </w:rPr>
      </w:pPr>
      <w:r>
        <w:rPr>
          <w:rFonts w:ascii="Courier New" w:cs="Courier New" w:eastAsia="Courier New" w:hAnsi="Courier New"/>
          <w:sz w:val="14"/>
          <w:szCs w:val="14"/>
          <w:color w:val="auto"/>
        </w:rPr>
        <w:t>Each year, the Committee reviews the compensation program, giving particular attention to the program's linkage to increasing shareholder value while maintaining competitive total compensation within the petroleum comparator group. Since the competitive market for executive talent extends beyond the petroleum industry, the committee also makes cross checks each year against a broader comparator group. In 1997 and 1998, an outside consultant reviewed for the committee the total compensation of the chairman and chief executive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V-14</w:t>
      </w:r>
    </w:p>
    <w:p>
      <w:pPr>
        <w:sectPr>
          <w:pgSz w:w="11900" w:h="16838" w:orient="portrait"/>
          <w:cols w:equalWidth="0" w:num="1">
            <w:col w:w="10239"/>
          </w:cols>
          <w:pgMar w:left="220" w:top="616" w:right="1440" w:bottom="1440" w:gutter="0" w:footer="0" w:header="0"/>
        </w:sectPr>
      </w:pPr>
    </w:p>
    <w:bookmarkStart w:id="125" w:name="page126"/>
    <w:bookmarkEnd w:id="125"/>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officer and other senior executives. This review was based on a survey of comparable positions at 18 other major corporations of similar size, complexity and quality from both the oil and other industries.</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 believes that the compensation program described above effectively links executive and shareholder interests and provides incentives that are consistent with the long-term strategies required for success in the petroleum industry. Generally, a majority share of a senior executive's total compensation is structured in the form of incentives which reward the executive depending on corporate and individual performance. Within the program's mix of performance-based incentives, an executive has an opportunity to earn above average total compensation for above average corporate and individual performance.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 Tax Deductibility</w:t>
      </w:r>
    </w:p>
    <w:p>
      <w:pPr>
        <w:spacing w:after="0" w:line="173" w:lineRule="exact"/>
        <w:rPr>
          <w:sz w:val="20"/>
          <w:szCs w:val="20"/>
          <w:color w:val="auto"/>
        </w:rPr>
      </w:pPr>
    </w:p>
    <w:p>
      <w:pPr>
        <w:ind w:left="520" w:right="3679" w:firstLine="517"/>
        <w:spacing w:after="0" w:line="252" w:lineRule="auto"/>
        <w:rPr>
          <w:sz w:val="20"/>
          <w:szCs w:val="20"/>
          <w:color w:val="auto"/>
        </w:rPr>
      </w:pPr>
      <w:r>
        <w:rPr>
          <w:rFonts w:ascii="Courier New" w:cs="Courier New" w:eastAsia="Courier New" w:hAnsi="Courier New"/>
          <w:sz w:val="14"/>
          <w:szCs w:val="14"/>
          <w:color w:val="auto"/>
        </w:rPr>
        <w:t>U.S. income tax law limits the amount Mobil can deduct for compensation paid to named executive officers. Performance-based compensation that meets IRS requirements is not subject to this limit.</w:t>
      </w:r>
    </w:p>
    <w:p>
      <w:pPr>
        <w:spacing w:after="0" w:line="16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All awards made to the named executive officers under the 1995 Mobil incentive compensation and stock ownership plan are designed to meet these requirements so that Mobil can deduct the related expenses. Awards made under prior plans are deductible for Federal income tax purposes to the extent permitted by transitional rules provided by IRS regulations.</w:t>
      </w:r>
    </w:p>
    <w:p>
      <w:pPr>
        <w:spacing w:after="0" w:line="164"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The committee recognizes the possibility that at times, the amount of the base salary of a named executive officer, and other compensation not described in the preceding paragraph, may exceed the $1 million deduction limit allowed by the IRS and so may not be fully deductible for Federal income tax purposes. The committee's policy is to make a determination at any such time whether to authorize the payment of these amounts without regard to deductibility or whether the terms of the payment should be modified so as to preserve any deduction otherwise available.</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Management Compensation and Organization Committee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Robert G. Schwartz, Chairman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Donald V. Fites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Allen F. Jacobson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Samuel C. Johnson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J. Richard Munro</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V-15</w:t>
      </w:r>
    </w:p>
    <w:p>
      <w:pPr>
        <w:sectPr>
          <w:pgSz w:w="11900" w:h="16838" w:orient="portrait"/>
          <w:cols w:equalWidth="0" w:num="1">
            <w:col w:w="10239"/>
          </w:cols>
          <w:pgMar w:left="220" w:top="616"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left="520" w:right="3939" w:firstLine="517"/>
        <w:spacing w:after="0" w:line="252" w:lineRule="auto"/>
        <w:rPr>
          <w:sz w:val="20"/>
          <w:szCs w:val="20"/>
          <w:color w:val="auto"/>
        </w:rPr>
      </w:pPr>
      <w:r>
        <w:rPr>
          <w:rFonts w:ascii="Courier New" w:cs="Courier New" w:eastAsia="Courier New" w:hAnsi="Courier New"/>
          <w:sz w:val="14"/>
          <w:szCs w:val="14"/>
          <w:color w:val="auto"/>
        </w:rPr>
        <w:t>The following graph compares the five-year cumulative total shareholder return, including reinvested dividends, on Mobil common stock, with two other indexes:</w:t>
      </w:r>
    </w:p>
    <w:p>
      <w:pPr>
        <w:spacing w:after="0" w:line="329"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FIVE-YEAR CUMMULATIVE TOTAL RETURNS(1)</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VALUE OF $100 INVESTED AT YEAR-END 1993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[Graphic Omitted]</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97"/>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Fiscal Years ended</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5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4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1995</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48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Mobil</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153</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173</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211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101</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139</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171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228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107</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141</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181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224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bl>
    <w:p>
      <w:pPr>
        <w:spacing w:after="0" w:line="17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Assumes $100 invested on December 31, 1993, in Mobil common stock, S&amp;P 500 Index, and a composite index, weighted by market capitalization each year, of the following seven major petroleum companies: Exxon Corporation, Chevron Corporation, Amoco Corporation, Royal Dutch Petroleum Company/ "Shell" Transport and Trading Company p.l.c., Atlantic Richfield Company, British Petroleum Company p.l.c., and Texaco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80" w:right="5839" w:hanging="3272"/>
        <w:spacing w:after="0" w:line="505" w:lineRule="auto"/>
        <w:tabs>
          <w:tab w:leader="none" w:pos="35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return assumes reinvestment of dividends. V-16</w:t>
      </w:r>
    </w:p>
    <w:p>
      <w:pPr>
        <w:sectPr>
          <w:pgSz w:w="11900" w:h="16838" w:orient="portrait"/>
          <w:cols w:equalWidth="0" w:num="1">
            <w:col w:w="10239"/>
          </w:cols>
          <w:pgMar w:left="220" w:top="616" w:right="1440" w:bottom="1440" w:gutter="0" w:footer="0" w:header="0"/>
        </w:sectPr>
      </w:pPr>
    </w:p>
    <w:bookmarkStart w:id="127" w:name="page128"/>
    <w:bookmarkEnd w:id="127"/>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right="4840" w:firstLine="517"/>
        <w:spacing w:after="0" w:line="251" w:lineRule="auto"/>
        <w:rPr>
          <w:sz w:val="20"/>
          <w:szCs w:val="20"/>
          <w:color w:val="auto"/>
        </w:rPr>
      </w:pPr>
      <w:r>
        <w:rPr>
          <w:rFonts w:ascii="Courier New" w:cs="Courier New" w:eastAsia="Courier New" w:hAnsi="Courier New"/>
          <w:sz w:val="14"/>
          <w:szCs w:val="14"/>
          <w:color w:val="auto"/>
        </w:rPr>
        <w:t>The following table presents information for the past three years for the chief executive officer and the other four most highly compensated executive officers of Mobil. See the Management Compensation and Organization Committee report beginning on page V-12 for an explanation of our compensation philosophy.</w:t>
      </w:r>
    </w:p>
    <w:p>
      <w:pPr>
        <w:spacing w:after="0" w:line="200" w:lineRule="exact"/>
        <w:rPr>
          <w:sz w:val="20"/>
          <w:szCs w:val="20"/>
          <w:color w:val="auto"/>
        </w:rPr>
      </w:pPr>
    </w:p>
    <w:p>
      <w:pPr>
        <w:spacing w:after="0" w:line="296"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Long-term Compensation</w:t>
            </w: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60" w:type="dxa"/>
            <w:vAlign w:val="bottom"/>
            <w:gridSpan w:val="3"/>
          </w:tcPr>
          <w:p>
            <w:pPr>
              <w:jc w:val="right"/>
              <w:ind w:right="1248"/>
              <w:spacing w:after="0"/>
              <w:rPr>
                <w:sz w:val="20"/>
                <w:szCs w:val="20"/>
                <w:color w:val="auto"/>
              </w:rPr>
            </w:pPr>
            <w:r>
              <w:rPr>
                <w:rFonts w:ascii="Courier New" w:cs="Courier New" w:eastAsia="Courier New" w:hAnsi="Courier New"/>
                <w:sz w:val="14"/>
                <w:szCs w:val="14"/>
                <w:color w:val="auto"/>
              </w:rPr>
              <w:t>Annual Compensation</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Awards</w:t>
            </w:r>
          </w:p>
        </w:tc>
        <w:tc>
          <w:tcPr>
            <w:tcW w:w="1280" w:type="dxa"/>
            <w:vAlign w:val="bottom"/>
          </w:tcPr>
          <w:p>
            <w:pPr>
              <w:ind w:left="200"/>
              <w:spacing w:after="0"/>
              <w:rPr>
                <w:sz w:val="20"/>
                <w:szCs w:val="20"/>
                <w:color w:val="auto"/>
              </w:rPr>
            </w:pPr>
            <w:r>
              <w:rPr>
                <w:rFonts w:ascii="Courier New" w:cs="Courier New" w:eastAsia="Courier New" w:hAnsi="Courier New"/>
                <w:sz w:val="14"/>
                <w:szCs w:val="14"/>
                <w:color w:val="auto"/>
              </w:rPr>
              <w:t>Payouts</w:t>
            </w: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58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Underlying</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ind w:left="80"/>
              <w:spacing w:after="0"/>
              <w:rPr>
                <w:sz w:val="20"/>
                <w:szCs w:val="20"/>
                <w:color w:val="auto"/>
              </w:rPr>
            </w:pPr>
            <w:r>
              <w:rPr>
                <w:rFonts w:ascii="Courier New" w:cs="Courier New" w:eastAsia="Courier New" w:hAnsi="Courier New"/>
                <w:sz w:val="14"/>
                <w:szCs w:val="14"/>
                <w:color w:val="auto"/>
              </w:rPr>
              <w:t>Other Annual</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Optional</w:t>
            </w:r>
          </w:p>
        </w:tc>
        <w:tc>
          <w:tcPr>
            <w:tcW w:w="128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As of December 31, 1998</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Salary</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Bonus</w:t>
            </w:r>
          </w:p>
        </w:tc>
        <w:tc>
          <w:tcPr>
            <w:tcW w:w="1580" w:type="dxa"/>
            <w:vAlign w:val="bottom"/>
          </w:tcPr>
          <w:p>
            <w:pPr>
              <w:ind w:left="80"/>
              <w:spacing w:after="0"/>
              <w:rPr>
                <w:sz w:val="20"/>
                <w:szCs w:val="20"/>
                <w:color w:val="auto"/>
              </w:rPr>
            </w:pPr>
            <w:r>
              <w:rPr>
                <w:rFonts w:ascii="Courier New" w:cs="Courier New" w:eastAsia="Courier New" w:hAnsi="Courier New"/>
                <w:sz w:val="14"/>
                <w:szCs w:val="14"/>
                <w:color w:val="auto"/>
              </w:rPr>
              <w:t>Compensation(1)</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SARs(2)</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LTIP Payouts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955,000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$1,537,700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$2,985,052</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$102,016</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890,000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1,130,400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43,142</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1,417,335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61,833</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and chief executive officer,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850,000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72,883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1,089,086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113,000</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Corporation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754,167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874,500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1,657,785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80,396</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president and chief</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473,900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32,355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1,062,967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84,349</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operating officer,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64,468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1,140,984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76,860</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Corporation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495,000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1,027,472</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70,053</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482,500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15,569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511,494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28,825</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Oil Corporation</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470,000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32,530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598,906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49,400</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391,500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578,905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332,399</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and chief financial officer,</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Corporation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383,500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375,955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33,484</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Mobil Oil Corporation</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4660" w:hanging="352"/>
        <w:spacing w:after="0" w:line="255" w:lineRule="auto"/>
        <w:tabs>
          <w:tab w:leader="none" w:pos="36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payments in respect of allotments of contingent share equivalents under the long-term incentive program.</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covered by grants may be exercised as stock options only.</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1998 values represent: (1) Company allocations to Mobil's supplemental</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savings plan (Mr. Noto: $99,108; Mr. Renna: $78,371; Mr. DeLoach:</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$45,930; Mr. Cramer: $33,500; and Mr. Pryor: $33,230); (2) premiums paid by</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under the executive life insurance plan (Mr. Noto: $2,908; Mr.</w:t>
      </w:r>
    </w:p>
    <w:p>
      <w:pPr>
        <w:spacing w:after="0" w:line="7" w:lineRule="exact"/>
        <w:rPr>
          <w:rFonts w:ascii="Courier New" w:cs="Courier New" w:eastAsia="Courier New" w:hAnsi="Courier New"/>
          <w:sz w:val="14"/>
          <w:szCs w:val="14"/>
          <w:color w:val="auto"/>
        </w:rPr>
      </w:pPr>
    </w:p>
    <w:p>
      <w:pPr>
        <w:ind w:left="360" w:right="492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Renna: $2,025; Mr. DeLoach: $1,123; Mr. Cramer: $1,276; and Mr. Pryor: $254); (3) lump sum payment of $23,000 to Mr. DeLoach instead of salary increase; and (4) payments of $247,623 to Mr. Cramer in respect of an overseas assignment and $50,000 as a special award for outstanding contribution during the merger negotiations.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V-17</w:t>
      </w:r>
    </w:p>
    <w:p>
      <w:pPr>
        <w:sectPr>
          <w:pgSz w:w="11900" w:h="16838" w:orient="portrait"/>
          <w:cols w:equalWidth="0" w:num="1">
            <w:col w:w="11300"/>
          </w:cols>
          <w:pgMar w:left="220" w:top="616" w:right="379"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OPTION TABLES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following two tables present further details on stock options.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Option/SAR Grants in 1998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Potential Realizable Value at</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Assumed</w:t>
            </w:r>
          </w:p>
        </w:tc>
        <w:tc>
          <w:tcPr>
            <w:tcW w:w="214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Annual Rates of</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3"/>
          </w:tcPr>
          <w:p>
            <w:pPr>
              <w:jc w:val="right"/>
              <w:ind w:right="688"/>
              <w:spacing w:after="0"/>
              <w:rPr>
                <w:sz w:val="20"/>
                <w:szCs w:val="20"/>
                <w:color w:val="auto"/>
              </w:rPr>
            </w:pPr>
            <w:r>
              <w:rPr>
                <w:rFonts w:ascii="Courier New" w:cs="Courier New" w:eastAsia="Courier New" w:hAnsi="Courier New"/>
                <w:sz w:val="14"/>
                <w:szCs w:val="14"/>
                <w:color w:val="auto"/>
              </w:rPr>
              <w:t>Stock Price Appreciation</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Individual Grants</w:t>
            </w:r>
          </w:p>
        </w:tc>
        <w:tc>
          <w:tcPr>
            <w:tcW w:w="1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21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Option Term(2)</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4"/>
              </w:rPr>
              <w: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 of Total</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0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Options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Underlying</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Granted to</w:t>
            </w:r>
          </w:p>
        </w:tc>
        <w:tc>
          <w:tcPr>
            <w:tcW w:w="1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Grant Date</w:t>
            </w:r>
          </w:p>
        </w:tc>
      </w:tr>
      <w:tr>
        <w:trPr>
          <w:trHeight w:val="166"/>
        </w:trPr>
        <w:tc>
          <w:tcPr>
            <w:tcW w:w="2200" w:type="dxa"/>
            <w:vAlign w:val="bottom"/>
          </w:tcPr>
          <w:p>
            <w:pPr>
              <w:spacing w:after="0"/>
              <w:rPr>
                <w:sz w:val="14"/>
                <w:szCs w:val="14"/>
                <w:color w:val="auto"/>
              </w:rPr>
            </w:pPr>
          </w:p>
        </w:tc>
        <w:tc>
          <w:tcPr>
            <w:tcW w:w="116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Options</w:t>
            </w:r>
          </w:p>
        </w:tc>
        <w:tc>
          <w:tcPr>
            <w:tcW w:w="10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Employees</w:t>
            </w:r>
          </w:p>
        </w:tc>
        <w:tc>
          <w:tcPr>
            <w:tcW w:w="1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or Base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Expiration</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Present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Granted(1)</w:t>
            </w:r>
          </w:p>
        </w:tc>
        <w:tc>
          <w:tcPr>
            <w:tcW w:w="10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in 1998</w:t>
            </w:r>
          </w:p>
        </w:tc>
        <w:tc>
          <w:tcPr>
            <w:tcW w:w="14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Price</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Date</w:t>
            </w: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Value(3)</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$71.22(4)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$116.01(4)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$184.72(4)</w:t>
            </w:r>
          </w:p>
        </w:tc>
        <w:tc>
          <w:tcPr>
            <w:tcW w:w="122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4.5%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8,958,250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22,700,250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$2,610,000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115,000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5,150,994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13,052,644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$1,500,750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55,000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2,463,519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6,242,569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$717,750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45,000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2,015,606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5,107,556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$587,250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11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45,000</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71.21875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2/26/2008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2,015,606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5,107,556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$587,250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4580" w:hanging="352"/>
        <w:spacing w:after="0" w:line="251" w:lineRule="auto"/>
        <w:tabs>
          <w:tab w:leader="none" w:pos="36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covered by grants which may be exercised as stock options. Options may be granted to employees as qualified stock options, which are defined as incentive stock options in the Internal Revenue Code, or options which are not qualified. All options are granted at an option price equal to the fair market value of a share of Mobil common stock on the date of grant (but not less than the par value) for up to ten years after grant as determined by the Management Compensation and Organization Committee. All options are 100% exercisable after three years. Options are not transferable by the employee. If the employee dies before exercising an option, it may be exercised on behalf of his or her estate or distributed to an heir or legatee.</w:t>
      </w:r>
    </w:p>
    <w:p>
      <w:pPr>
        <w:spacing w:after="0" w:line="163" w:lineRule="exact"/>
        <w:rPr>
          <w:rFonts w:ascii="Courier New" w:cs="Courier New" w:eastAsia="Courier New" w:hAnsi="Courier New"/>
          <w:sz w:val="14"/>
          <w:szCs w:val="14"/>
          <w:color w:val="auto"/>
        </w:rPr>
      </w:pPr>
    </w:p>
    <w:p>
      <w:pPr>
        <w:ind w:left="360" w:right="5080" w:hanging="352"/>
        <w:spacing w:after="0" w:line="255" w:lineRule="auto"/>
        <w:tabs>
          <w:tab w:leader="none" w:pos="36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figures shown are potential future undiscounted values and are unrelated to the grant date present values shown in the next column.</w:t>
      </w:r>
    </w:p>
    <w:p>
      <w:pPr>
        <w:spacing w:after="0" w:line="159" w:lineRule="exact"/>
        <w:rPr>
          <w:rFonts w:ascii="Courier New" w:cs="Courier New" w:eastAsia="Courier New" w:hAnsi="Courier New"/>
          <w:sz w:val="14"/>
          <w:szCs w:val="14"/>
          <w:color w:val="auto"/>
        </w:rPr>
      </w:pPr>
    </w:p>
    <w:p>
      <w:pPr>
        <w:ind w:left="360" w:right="4660" w:hanging="352"/>
        <w:spacing w:after="0" w:line="250" w:lineRule="auto"/>
        <w:tabs>
          <w:tab w:leader="none" w:pos="36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based on modified Black-Scholes option pricing model which includes assumptions for variables such as interest rates, stock price volatility and future dividend yield. Mobil's use of this model should not be construed as an endorsement of its accuracy. Whether the model assumptions used will prove to be accurate cannot be known at the date of grant. The Black-Scholes model produces a value based on freely tradeable securities. Mobil employee stock options are not transferable, so the "present value" shown cannot be realized by the holder. Recognizing the limitations of the model as described, the following assumptions were used to estimate the grant date present value: dividend yield of 3.20%, five-year zero-coupon risk-free interest rate of 5.66%, estimated volatility of 18% and estimated average expected option term of five years. Mobil stock options are issued at the fair market value of its stock on the date of grant, and terminate if unexercised after ten years. The holder can derive a benefit only to the extent the market value of Mobil common stock is higher than the exercise price at the date of the actual exercise.</w:t>
      </w:r>
    </w:p>
    <w:p>
      <w:pPr>
        <w:spacing w:after="0" w:line="338" w:lineRule="exact"/>
        <w:rPr>
          <w:rFonts w:ascii="Courier New" w:cs="Courier New" w:eastAsia="Courier New" w:hAnsi="Courier New"/>
          <w:sz w:val="14"/>
          <w:szCs w:val="14"/>
          <w:color w:val="auto"/>
        </w:rPr>
      </w:pPr>
    </w:p>
    <w:p>
      <w:pPr>
        <w:ind w:left="360" w:right="4840" w:hanging="352"/>
        <w:spacing w:after="0" w:line="252" w:lineRule="auto"/>
        <w:tabs>
          <w:tab w:leader="none" w:pos="36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assumed annual rate of stock price appreciation of 0%, 5% or 10% per year should occur, the market value per share of Mobil common stock at the end of the ten-year option term would be $71.22, $116.01 or $184.72, as the case may be.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V-18</w:t>
      </w:r>
    </w:p>
    <w:p>
      <w:pPr>
        <w:sectPr>
          <w:pgSz w:w="11900" w:h="16838" w:orient="portrait"/>
          <w:cols w:equalWidth="0" w:num="1">
            <w:col w:w="11300"/>
          </w:cols>
          <w:pgMar w:left="220" w:top="616" w:right="379" w:bottom="1440" w:gutter="0" w:footer="0" w:header="0"/>
        </w:sectPr>
      </w:pPr>
    </w:p>
    <w:bookmarkStart w:id="129" w:name="page130"/>
    <w:bookmarkEnd w:id="129"/>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Aggregated Option/SAR Exercises in 1998 and Year-End Option/SAR Values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Number of</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Securities</w:t>
            </w:r>
          </w:p>
        </w:tc>
        <w:tc>
          <w:tcPr>
            <w:tcW w:w="17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Value of</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Underlying</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Unexercised</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Unexercised</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Options/SARs</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Options/SARs (4)</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at FY-end</w:t>
            </w:r>
          </w:p>
        </w:tc>
        <w:tc>
          <w:tcPr>
            <w:tcW w:w="17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at FY-end</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 Acquired</w:t>
            </w:r>
          </w:p>
        </w:tc>
        <w:tc>
          <w:tcPr>
            <w:tcW w:w="26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Exercisable/</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Exercisable/</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on Exercise(1)</w:t>
            </w:r>
          </w:p>
        </w:tc>
        <w:tc>
          <w:tcPr>
            <w:tcW w:w="2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Realized(2)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Unexercisable(3)</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Unexercisable(3)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28,582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1,148,290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355,000</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16,799,844</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620,000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14,433,750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1,023,125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166,522</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7,811,982</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255,000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5,679,219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81,438</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247,454</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12,727,028</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3,899,844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351,961</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108,388</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5,602,682</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2,695,781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143,365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90,334</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4,638,317</w:t>
            </w:r>
          </w:p>
        </w:tc>
      </w:tr>
      <w:tr>
        <w:trPr>
          <w:trHeight w:val="166"/>
        </w:trPr>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103,000</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2,281,031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number of shares covered by stock options or SARs exercised.</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Difference between exercise price and market value on date of exercise.</w:t>
      </w:r>
    </w:p>
    <w:p>
      <w:pPr>
        <w:spacing w:after="0" w:line="172" w:lineRule="exact"/>
        <w:rPr>
          <w:rFonts w:ascii="Courier New" w:cs="Courier New" w:eastAsia="Courier New" w:hAnsi="Courier New"/>
          <w:sz w:val="14"/>
          <w:szCs w:val="14"/>
          <w:color w:val="auto"/>
        </w:rPr>
      </w:pPr>
    </w:p>
    <w:p>
      <w:pPr>
        <w:ind w:left="360" w:right="3620" w:hanging="352"/>
        <w:spacing w:after="0" w:line="252" w:lineRule="auto"/>
        <w:tabs>
          <w:tab w:leader="none" w:pos="3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options granted prior to 1995 were 100% exercisable after one year. Non-qualified options granted prior to 1995 were 50% exercisable after one year and 100% exercisable after two years. All options granted in 1995 and thereafter are 100% exercisable after three years.</w:t>
      </w:r>
    </w:p>
    <w:p>
      <w:pPr>
        <w:spacing w:after="0" w:line="162" w:lineRule="exact"/>
        <w:rPr>
          <w:rFonts w:ascii="Courier New" w:cs="Courier New" w:eastAsia="Courier New" w:hAnsi="Courier New"/>
          <w:sz w:val="14"/>
          <w:szCs w:val="14"/>
          <w:color w:val="auto"/>
        </w:rPr>
      </w:pPr>
    </w:p>
    <w:p>
      <w:pPr>
        <w:ind w:left="360" w:right="3880" w:hanging="352"/>
        <w:spacing w:after="0" w:line="255" w:lineRule="auto"/>
        <w:tabs>
          <w:tab w:leader="none" w:pos="3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unexercised in-the-money options is based on the December 31, 1998 stock price of $87.125.</w:t>
      </w:r>
    </w:p>
    <w:p>
      <w:pPr>
        <w:spacing w:after="0" w:line="32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Long-term Incentive Program Contingent Allotments in 1998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Performance</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or Other</w:t>
            </w: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Estimated Future Payouts</w:t>
            </w: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Contingent</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Period Until</w:t>
            </w:r>
          </w:p>
        </w:tc>
        <w:tc>
          <w:tcPr>
            <w:tcW w:w="280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73"/>
              </w:rPr>
              <w:t>-------------------------------------------</w:t>
            </w: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Stock</w:t>
            </w:r>
          </w:p>
        </w:tc>
        <w:tc>
          <w:tcPr>
            <w:tcW w:w="16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Maturation or</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Equivalents</w:t>
            </w:r>
          </w:p>
        </w:tc>
        <w:tc>
          <w:tcPr>
            <w:tcW w:w="16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Payouts</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Threshold</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Target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16,906</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$1,472,935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$2,209,403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12,535</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1,092,112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1,638,168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5,711</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497,571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746,356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5,168</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450,262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675,393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5,168</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1998-2001</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450,262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675,393</w:t>
            </w:r>
          </w:p>
        </w:tc>
      </w:tr>
    </w:tbl>
    <w:p>
      <w:pPr>
        <w:spacing w:after="0" w:line="200" w:lineRule="exact"/>
        <w:rPr>
          <w:sz w:val="20"/>
          <w:szCs w:val="20"/>
          <w:color w:val="auto"/>
        </w:rPr>
      </w:pPr>
    </w:p>
    <w:p>
      <w:pPr>
        <w:spacing w:after="0" w:line="301" w:lineRule="exact"/>
        <w:rPr>
          <w:sz w:val="20"/>
          <w:szCs w:val="20"/>
          <w:color w:val="auto"/>
        </w:rPr>
      </w:pPr>
    </w:p>
    <w:p>
      <w:pPr>
        <w:ind w:left="520" w:right="3360" w:firstLine="517"/>
        <w:spacing w:after="0" w:line="251" w:lineRule="auto"/>
        <w:rPr>
          <w:sz w:val="20"/>
          <w:szCs w:val="20"/>
          <w:color w:val="auto"/>
        </w:rPr>
      </w:pPr>
      <w:r>
        <w:rPr>
          <w:rFonts w:ascii="Courier New" w:cs="Courier New" w:eastAsia="Courier New" w:hAnsi="Courier New"/>
          <w:sz w:val="14"/>
          <w:szCs w:val="14"/>
          <w:color w:val="auto"/>
        </w:rPr>
        <w:t>Under this program, we determine allotments of contingent stock equivalents, also known as performance shares, for participants annually, at the start of a four-year performance period. We base these allotments on dollar amounts, determined by reference to the participants' level within Mobil and the midpoint of the participants' salary grade at the beginning of each period, which we then convert into performance shares at the average market price for Mobil common stock over the 30 trading days immediately preceding the allotment. Over the four-year cycle, we will credit dividend equivalents with respect to these allotments, which we will immediately convert into additional performance shares. After the end of the period, the Management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V-19</w:t>
      </w:r>
    </w:p>
    <w:p>
      <w:pPr>
        <w:sectPr>
          <w:pgSz w:w="11900" w:h="16838" w:orient="portrait"/>
          <w:cols w:equalWidth="0" w:num="1">
            <w:col w:w="10260"/>
          </w:cols>
          <w:pgMar w:left="220" w:top="616" w:right="1419"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Compensation and Organization Committee of the Mobil Board determines the extent to which the contingent allotments should be converted into actual awards. The committee's policy in granting actual awards is based on Mobil's performance relative to its petroleum comparator group using three criteria: earnings per share growth, return on capital employed, and total shareholder return.</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Payouts under the program are based in part on the price of the</w:t>
      </w:r>
    </w:p>
    <w:p>
      <w:pPr>
        <w:spacing w:after="0" w:line="7" w:lineRule="exact"/>
        <w:rPr>
          <w:sz w:val="20"/>
          <w:szCs w:val="20"/>
          <w:color w:val="auto"/>
        </w:rPr>
      </w:pPr>
    </w:p>
    <w:p>
      <w:pPr>
        <w:ind w:left="520"/>
        <w:spacing w:after="0"/>
        <w:tabs>
          <w:tab w:leader="none" w:pos="2320" w:val="left"/>
        </w:tabs>
        <w:rPr>
          <w:sz w:val="20"/>
          <w:szCs w:val="20"/>
          <w:color w:val="auto"/>
        </w:rPr>
      </w:pPr>
      <w:r>
        <w:rPr>
          <w:rFonts w:ascii="Courier New" w:cs="Courier New" w:eastAsia="Courier New" w:hAnsi="Courier New"/>
          <w:sz w:val="14"/>
          <w:szCs w:val="14"/>
          <w:color w:val="auto"/>
        </w:rPr>
        <w:t>Mobil common stock.</w:t>
        <w:tab/>
        <w:t>The price used for the estimates provided is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$87.125 per share, which was the closing price of Mobil common stock</w:t>
      </w:r>
    </w:p>
    <w:p>
      <w:pPr>
        <w:spacing w:after="0" w:line="7" w:lineRule="exact"/>
        <w:rPr>
          <w:sz w:val="20"/>
          <w:szCs w:val="20"/>
          <w:color w:val="auto"/>
        </w:rPr>
      </w:pPr>
    </w:p>
    <w:p>
      <w:pPr>
        <w:ind w:left="520"/>
        <w:spacing w:after="0"/>
        <w:tabs>
          <w:tab w:leader="none" w:pos="5160" w:val="left"/>
        </w:tabs>
        <w:rPr>
          <w:sz w:val="20"/>
          <w:szCs w:val="20"/>
          <w:color w:val="auto"/>
        </w:rPr>
      </w:pPr>
      <w:r>
        <w:rPr>
          <w:rFonts w:ascii="Courier New" w:cs="Courier New" w:eastAsia="Courier New" w:hAnsi="Courier New"/>
          <w:sz w:val="14"/>
          <w:szCs w:val="14"/>
          <w:color w:val="auto"/>
        </w:rPr>
        <w:t>on the New York Stock Exchange on December 31, 1998.</w:t>
        <w:tab/>
        <w:t>Actual payouts,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any, will be based on the mean of the high and low sales prices of</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Mobil common stock on the Exchange for a period of 30 trading days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immediately before the determination of the committee referred to in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preceding paragraph.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Table</w:t>
      </w:r>
    </w:p>
    <w:p>
      <w:pPr>
        <w:spacing w:after="0" w:line="173" w:lineRule="exact"/>
        <w:rPr>
          <w:sz w:val="20"/>
          <w:szCs w:val="20"/>
          <w:color w:val="auto"/>
        </w:rPr>
      </w:pPr>
    </w:p>
    <w:p>
      <w:pPr>
        <w:ind w:left="520" w:right="3779" w:firstLine="517"/>
        <w:spacing w:after="0" w:line="250" w:lineRule="auto"/>
        <w:rPr>
          <w:sz w:val="20"/>
          <w:szCs w:val="20"/>
          <w:color w:val="auto"/>
        </w:rPr>
      </w:pPr>
      <w:r>
        <w:rPr>
          <w:rFonts w:ascii="Courier New" w:cs="Courier New" w:eastAsia="Courier New" w:hAnsi="Courier New"/>
          <w:sz w:val="14"/>
          <w:szCs w:val="14"/>
          <w:color w:val="auto"/>
        </w:rPr>
        <w:t>Mobil employees in the higher salary classifications receive pension benefits under two non-contributory plans: a retirement plan qualified under U.S. tax law, which is non-discriminatory, and a supplemental plan that provides benefits that cannot be provided under the qualified plan, due to the limitations imposed by U.S. tax law, plus certain additional benefits. Employees who retire or terminate as vested participants are entitled to receive retirement benefits under these plans computed under a final average pay formula. Benefits under the qualified plan are provided, at an employee's election, either in the form of a life annuity or in one of several alternative forms having an equivalent actuarial value. Benefits under the supplemental plan, which will constitute the majority of the benefits payable to Messrs. Noto, Renna, DeLoach, Cramer and Pryor, are provided only in the form of an annuity for a fixed number of years equal to one-half the employee's life expectancy. The table below shows the annual annuity amount that would be payable for life to employees in the higher salary classifications, commencing at age 60 or older, if they were to elect a life annuity under the qualified plan and if the benefits provided under the supplemental plan for one-half the employee's life expectancy were converted to a life annuity having an equivalent actuarial value.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Retirement Compensation</w:t>
      </w:r>
    </w:p>
    <w:p>
      <w:pPr>
        <w:spacing w:after="0" w:line="173" w:lineRule="exact"/>
        <w:rPr>
          <w:sz w:val="20"/>
          <w:szCs w:val="20"/>
          <w:color w:val="auto"/>
        </w:rPr>
      </w:pPr>
    </w:p>
    <w:p>
      <w:pPr>
        <w:ind w:left="520" w:right="3779" w:firstLine="517"/>
        <w:spacing w:after="0" w:line="251" w:lineRule="auto"/>
        <w:rPr>
          <w:sz w:val="20"/>
          <w:szCs w:val="20"/>
          <w:color w:val="auto"/>
        </w:rPr>
      </w:pPr>
      <w:r>
        <w:rPr>
          <w:rFonts w:ascii="Courier New" w:cs="Courier New" w:eastAsia="Courier New" w:hAnsi="Courier New"/>
          <w:sz w:val="14"/>
          <w:szCs w:val="14"/>
          <w:color w:val="auto"/>
        </w:rPr>
        <w:t>Under Mobil Oil Corporation's executive life insurance program, executives, including Mobil named executive officers, who retire after reaching age 55, or after age 50 with Mobil's consent, are entitled, in addition to term coverage to age 65, to a series of cash payments. These payments commence once the executive attains age 65 and continue for three to 15 years, according to the executive's advance election, and may be used to continue the policy or taken in cash. The amounts of these payments are the amounts determined to be necessary, based on the insurance company's applicable mortality tables and an interest rate of 7.5%, to provide a fully paid up policy with a death benefit equal to two times the sum of the executive's final base pay and bonus.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V-20</w:t>
      </w:r>
    </w:p>
    <w:p>
      <w:pPr>
        <w:sectPr>
          <w:pgSz w:w="11900" w:h="16838" w:orient="portrait"/>
          <w:cols w:equalWidth="0" w:num="1">
            <w:col w:w="10239"/>
          </w:cols>
          <w:pgMar w:left="220" w:top="616" w:right="1440" w:bottom="1440" w:gutter="0" w:footer="0" w:header="0"/>
        </w:sectPr>
      </w:pPr>
    </w:p>
    <w:bookmarkStart w:id="131" w:name="page132"/>
    <w:bookmarkEnd w:id="131"/>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Estimated Annual Benefits under Final Average Pay Formula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Earnings Credited</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For Retirement</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Plan Benefits*</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Years of Service at Retirement</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88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9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104,000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172,000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311,000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649,000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544,000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634,000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817,000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766,000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986,000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385,000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769,000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897,000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1,155,000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441,000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1,324,000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828,000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994,000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1,159,000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1,492,000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554,000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922,000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1,661,000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610,000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1,422,000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1,830,000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666,000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1,331,000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1,999,000</w:t>
            </w:r>
          </w:p>
        </w:tc>
      </w:tr>
      <w:tr>
        <w:trPr>
          <w:trHeight w:val="166"/>
        </w:trPr>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723,000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1,203,000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1,444,000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1,684,000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1,926,000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2,168,000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right="4060" w:hanging="252"/>
        <w:spacing w:after="0" w:line="251" w:lineRule="auto"/>
        <w:tabs>
          <w:tab w:leader="none" w:pos="2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credited for retirement plan benefits represent one-third of the highest consecutive 36 months of base salary (the salary column in the table on page V-17) out of the last 120 months before retirement plus one-third of 100% of the highest three consecutive completed calendar years of short-term incentive compensation (the bonus column in the table on page V-17) awarded out of the last 10 completed calendar years before retirement. The amounts shown reflect the estimated amount of the offset under the plan for Social Security benefits. Estimated credited years of service are as follows for Mr. Noto, 38 years; Mr. Renna, 30 years; Mr. DeLoach, 30 years; Mr. Cramer, 25 years; and Mr. Pryor, 25 years.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V-21</w:t>
      </w:r>
    </w:p>
    <w:p>
      <w:pPr>
        <w:sectPr>
          <w:pgSz w:w="11900" w:h="16838" w:orient="portrait"/>
          <w:cols w:equalWidth="0" w:num="1">
            <w:col w:w="10780"/>
          </w:cols>
          <w:pgMar w:left="220" w:top="616" w:right="899"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STOCK-BASED HOLDINGS OF DIRECTORS, NOMINEES AND EXECUTIVE OFFICERS</w:t>
      </w:r>
    </w:p>
    <w:p>
      <w:pPr>
        <w:spacing w:after="0" w:line="173" w:lineRule="exact"/>
        <w:rPr>
          <w:sz w:val="20"/>
          <w:szCs w:val="20"/>
          <w:color w:val="auto"/>
        </w:rPr>
      </w:pPr>
    </w:p>
    <w:p>
      <w:pPr>
        <w:ind w:right="4140" w:firstLine="517"/>
        <w:spacing w:after="0" w:line="251" w:lineRule="auto"/>
        <w:rPr>
          <w:sz w:val="20"/>
          <w:szCs w:val="20"/>
          <w:color w:val="auto"/>
        </w:rPr>
      </w:pPr>
      <w:r>
        <w:rPr>
          <w:rFonts w:ascii="Courier New" w:cs="Courier New" w:eastAsia="Courier New" w:hAnsi="Courier New"/>
          <w:sz w:val="14"/>
          <w:szCs w:val="14"/>
          <w:color w:val="auto"/>
        </w:rPr>
        <w:t>The following table shows the shares of Mobil common stock, the shares of such stock acquirable within 60 days pursuant to the exercise of employee stock options, the units of interest in shares of Mobil's ESOP preferred stock, the deferred common share equivalents, and the total Mobil stock-based holdings, which are beneficially owned by each director and nominee for director, each executive officer named in the Summary Compensation Table on page V-17 who is not a director, and all directors and executive officers as a group. The table indicates the alignment of these individuals' personal financial interests with the interests of Mobil's shareholders because the value of their total holdings is dependent upon the price of Mobil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Units of</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Common</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Interest in</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Mobil</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Deferred</w:t>
            </w:r>
          </w:p>
        </w:tc>
        <w:tc>
          <w:tcPr>
            <w:tcW w:w="13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Common</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Acquirable</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ESOP</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0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Within</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Preferred</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Share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Stock-Based</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Directors, Nominees and Executive Officers</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Owned</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 Days</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Equivalents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Holdings</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Lewis M. Branscomb...........................</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Harold R. Cramer.............................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54,026</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144,388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3,997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202,611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Thomas C. DeLoach, Jr........................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101,430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302,454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7,760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411,755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Donald V. Fites..............................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3,966</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6,008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9,974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Charles A. Heimbold, Jr......................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2,568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4,568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Allen F. Jacobson............................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2,316</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25,277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27,593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Samuel C. Johnson............................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41,680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Helene L. Kaplan.............................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14,594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22,594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J. Richard Munro.............................</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6,945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8,945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Lucio A. Noto................................</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134,611</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495,000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84,781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714,531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Aulana L. Peters.............................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10,669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10,869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Stephen D. Pryor.............................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22,501</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112,334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860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6,701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142,396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Eugene A. Renna..............................</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117,357</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236,522</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128</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8,982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362,989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Charles S. Sanford, Jr.......................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4,002</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5,569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9,571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Robert G. Schwartz...........................</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21,030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23,030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Iain D.T. Vallance...........................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1,244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group, including those named above..........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722,979</w:t>
            </w:r>
          </w:p>
        </w:tc>
        <w:tc>
          <w:tcPr>
            <w:tcW w:w="14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2,073,915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7,449</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263,043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3,067,386</w:t>
            </w:r>
          </w:p>
        </w:tc>
      </w:tr>
      <w:tr>
        <w:trPr>
          <w:trHeight w:val="663"/>
        </w:trPr>
        <w:tc>
          <w:tcPr>
            <w:tcW w:w="67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The information in the table is as of March 1, 1999.  Shares of</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Mobil common stock owned by directors and executive officers include 14,199</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shares held by family members or family trusts of certain directors and</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officers, as to which shares these persons disclaim beneficial ownership.</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Shares of Mobil common stock owned by directors and executive officers also</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include 62,000 shares of restricted stock held by certain officers as to which</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shares these officers possess sole voting power, but no investment power,</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during the restricted period.  The directors and executive officers have sole</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discretion as to voting and investment power as to all remaining shares of</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Mobil common stock which they presently hold.</w:t>
            </w:r>
          </w:p>
        </w:tc>
        <w:tc>
          <w:tcPr>
            <w:tcW w:w="2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Owners of units of  Mobil ESOP</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4" w:lineRule="exact"/>
        <w:rPr>
          <w:sz w:val="20"/>
          <w:szCs w:val="20"/>
          <w:color w:val="auto"/>
        </w:rPr>
      </w:pPr>
    </w:p>
    <w:p>
      <w:pPr>
        <w:ind w:right="4220"/>
        <w:spacing w:after="0" w:line="250" w:lineRule="auto"/>
        <w:rPr>
          <w:sz w:val="20"/>
          <w:szCs w:val="20"/>
          <w:color w:val="auto"/>
        </w:rPr>
      </w:pPr>
      <w:r>
        <w:rPr>
          <w:rFonts w:ascii="Courier New" w:cs="Courier New" w:eastAsia="Courier New" w:hAnsi="Courier New"/>
          <w:sz w:val="14"/>
          <w:szCs w:val="14"/>
          <w:color w:val="auto"/>
        </w:rPr>
        <w:t>preferred stock possess sole voting power, but no investment power, with respect to these units. Deferred common share equivalents are stock equivalents equal in value to common stock which earn dividend equivalents equal to dividends declared on common stock. Executive officers are credited with deferred common share equivalents under the supplemental employees savings plan of Mobil Oil Corporation, and incentive awards to these officers may be deferred and paid in equivalents under the 1995 Mobil incentive compensation and stock ownership plan and its predecessors. Non-employee directors receive a portion of their annual retainers in equivalents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may elect to receive all or part of their fees and the cash portion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their annual retainers in equivalents under the deferred fee plan referred to 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V-22</w:t>
      </w:r>
    </w:p>
    <w:p>
      <w:pPr>
        <w:sectPr>
          <w:pgSz w:w="11900" w:h="16838" w:orient="portrait"/>
          <w:cols w:equalWidth="0" w:num="1">
            <w:col w:w="10860"/>
          </w:cols>
          <w:pgMar w:left="220" w:top="616" w:right="819" w:bottom="1440" w:gutter="0" w:footer="0" w:header="0"/>
        </w:sectPr>
      </w:pPr>
    </w:p>
    <w:bookmarkStart w:id="133" w:name="page134"/>
    <w:bookmarkEnd w:id="133"/>
    <w:p>
      <w:pPr>
        <w:ind w:left="2340"/>
        <w:spacing w:after="0"/>
        <w:rPr>
          <w:sz w:val="20"/>
          <w:szCs w:val="20"/>
          <w:color w:val="auto"/>
        </w:rPr>
      </w:pPr>
      <w:r>
        <w:rPr>
          <w:rFonts w:ascii="Courier New" w:cs="Courier New" w:eastAsia="Courier New" w:hAnsi="Courier New"/>
          <w:sz w:val="14"/>
          <w:szCs w:val="14"/>
          <w:color w:val="auto"/>
        </w:rPr>
        <w:t>Chapter Five - Other Mobil Annual Meeting Proposals</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page V-9. In addition, when the retirement plan for non-employee directors was terminated in January 1997, some directors elected to receive the actuarial present values of their accrued benefits under that plan in such equivalents. Individuals credited with deferred common share equivalents do not have voting power and may only exercise investment power in very limited circumstances, in respect of these equivalents.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 individual named above owns beneficially more than 1% of the outstanding shares of either of Mobil's classes of voting securities, nor do all directors and current executive officers as a group, including those named above. As of March 1, 1999, the trustee under the employees savings plan of Mobil Oil Corporation held 28,015,387 shares of the common stock of Mobil in the plan, which is approximately 3.59% of the total number of shares of Mobil common stock outstanding at that date. As of the same date, the trustee under the Mobil ESOP, which is incorporated in the employees savings plan of Mobil Oil Corporation, held all 163,469 outstanding shares of the Mobil ESOP preferred stock. The shares of common stock and preferred stock held by the trustees together represented 5.57% of the votes which may be cast by the voting securities of Mobil outstanding as of March 1, 1999. All these shares of common stock are beneficially owned by participants in the employees savings plan of Mobil Oil Corporation; all these shares of Mobil ESOP preferred stock which have been allocated to participants in the Mobil ESOP, numbering 90,260, are beneficially owned by these participants, the balance being held for allocation over the life of the plan.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Arrangements Relating to Possible Change of Control</w:t>
      </w:r>
    </w:p>
    <w:p>
      <w:pPr>
        <w:spacing w:after="0" w:line="173" w:lineRule="exact"/>
        <w:rPr>
          <w:sz w:val="20"/>
          <w:szCs w:val="20"/>
          <w:color w:val="auto"/>
        </w:rPr>
      </w:pPr>
    </w:p>
    <w:p>
      <w:pPr>
        <w:ind w:left="440" w:right="3779" w:firstLine="517"/>
        <w:spacing w:after="0" w:line="252" w:lineRule="auto"/>
        <w:rPr>
          <w:sz w:val="20"/>
          <w:szCs w:val="20"/>
          <w:color w:val="auto"/>
        </w:rPr>
      </w:pPr>
      <w:r>
        <w:rPr>
          <w:rFonts w:ascii="Courier New" w:cs="Courier New" w:eastAsia="Courier New" w:hAnsi="Courier New"/>
          <w:sz w:val="14"/>
          <w:szCs w:val="14"/>
          <w:color w:val="auto"/>
        </w:rPr>
        <w:t>For a discussion of special arrangements affecting executive management which would result from a change of control, see "Interests of Certain Persons in the Merger" on page I-49.</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left="440" w:right="3779" w:firstLine="517"/>
        <w:spacing w:after="0" w:line="251" w:lineRule="auto"/>
        <w:rPr>
          <w:sz w:val="20"/>
          <w:szCs w:val="20"/>
          <w:color w:val="auto"/>
        </w:rPr>
      </w:pPr>
      <w:r>
        <w:rPr>
          <w:rFonts w:ascii="Courier New" w:cs="Courier New" w:eastAsia="Courier New" w:hAnsi="Courier New"/>
          <w:sz w:val="14"/>
          <w:szCs w:val="14"/>
          <w:color w:val="auto"/>
        </w:rPr>
        <w:t>Pursuant to Section 16(a) of the Securities and Exchange Act of 1934, Mobil's directors and officers are required to file reports with the SEC and the NYSE, within specified monthly and annual due dates, relating to their ownership of and transactions in Mobil's equity securities. Robert F. Amrhein, an officer of Mobil, inadvertently filed one monthly report relating to one transaction after the date by which it should have been filed.</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V-23</w:t>
      </w:r>
    </w:p>
    <w:p>
      <w:pPr>
        <w:sectPr>
          <w:pgSz w:w="11900" w:h="16838" w:orient="portrait"/>
          <w:cols w:equalWidth="0" w:num="1">
            <w:col w:w="10239"/>
          </w:cols>
          <w:pgMar w:left="220" w:top="616" w:right="1440" w:bottom="1440" w:gutter="0" w:footer="0" w:header="0"/>
        </w:sectPr>
      </w:pPr>
    </w:p>
    <w:bookmarkStart w:id="134" w:name="page135"/>
    <w:bookmarkEnd w:id="134"/>
    <w:p>
      <w:pPr>
        <w:jc w:val="center"/>
        <w:ind w:right="3239"/>
        <w:spacing w:after="0"/>
        <w:rPr>
          <w:sz w:val="20"/>
          <w:szCs w:val="20"/>
          <w:color w:val="auto"/>
        </w:rPr>
      </w:pPr>
      <w:r>
        <w:rPr>
          <w:rFonts w:ascii="Courier New" w:cs="Courier New" w:eastAsia="Courier New" w:hAnsi="Courier New"/>
          <w:sz w:val="14"/>
          <w:szCs w:val="14"/>
          <w:color w:val="auto"/>
        </w:rPr>
        <w:t>CHAPTER SIX</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ADDITIONAL INFORMATION FOR SHAREHOLDERS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FUTURE SHAREHOLDER PROPOSALS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shareholder proposal for Exxon's annual meeting in 2000 must be sent to the Secretary at the address of Exxon's principal executive office given under "The Companies" on page I-2. The deadline for receipt of a proposal to be considered for inclusion in Exxon's proxy statement is December 11, 1999. The deadline for notice of a proposal for which a shareholder will conduct his or her own solicitation is February 23, 2000. On request, the Secretary will provide detailed instructions for submitting proposals.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Mobil will hold an annual meeting in the year 2000 only if the merger has not already been completed. If such meeting is held, shareholders' proposals will be eligible for consideration for inclusion in the proxy statement for the 2000 annual meeting pursuant to Rule 14a-8 under the Securities and Exchange Act of 1934, as amended, if such proposals are received by Mobil before the close of business on December 10, 1999. Notices of shareholders' proposals submitted outside the processes of Rule 14a-8 will be considered timely, pursuant to the advance notice requirement set forth in Article II, Section 1 of Mobil's by-laws, if such notices are delivered to or mailed and received by Mobil during the period beginning on February 25, 2000 and ending at the close of business on March 27, 2000. Any such proposal or notice should be directed to the attention of the Secretary, Mobil Corporation, 3225 Gallows Road, Fairfax, Virginia 22037-0001.</w:t>
      </w:r>
    </w:p>
    <w:p>
      <w:pPr>
        <w:spacing w:after="0" w:line="329"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SEC rules set forth standards for the exclusion of some shareholder proposals from a proxy statement for an annual meeting.</w:t>
      </w:r>
    </w:p>
    <w:p>
      <w:pPr>
        <w:spacing w:after="0" w:line="326"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Exxon and Mobil file annual, quarterly and special reports, proxy statements and other information with the SEC. You may read and copy any reports, statements or other information we file at the SEC's public reference rooms in Washington, D.C., New York, New York and Chicago, Illinois. Please call the SEC at 1-800-SEC-0330 for further information on the public reference rooms. Our SEC filings are also available to the public from commercial document retrieval services and at the web site maintained by the SEC at "http://www.sec.gov."</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Exxon filed a registration statement on Form S-4 to register with the SEC the Exxon common stock to be issued to Mobil shareholders in the merger. This joint proxy statement/prospectus is a part of that registration statement and constitutes a prospectus of Exxon in addition to being a proxy statement of Exxon and Mobil for the meetings. As allowed by SEC rules, this joint proxy statement/prospectus does not contain all the information you can find in the registration statement or the exhibits to the registration statement.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SEC allows us to "incorporate by reference" information into this joint proxy statement/prospectus, which means that we can disclose important information to you by referring you to another document filed separately with the SEC. The information incorporated by reference is deemed to be part of this joint proxy statement/prospectus, except for any information superseded by information in, or incorporated by reference in, this joint proxy statement/ prospectus. This joint proxy statement/prospectus incorporates by reference the documents set forth below that we have previously filed with the SEC. These documents contain important information about our companies and their finances.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VI-1</w:t>
      </w:r>
    </w:p>
    <w:p>
      <w:pPr>
        <w:sectPr>
          <w:pgSz w:w="11900" w:h="16838" w:orient="portrait"/>
          <w:cols w:equalWidth="0" w:num="1">
            <w:col w:w="10239"/>
          </w:cols>
          <w:pgMar w:left="220" w:top="450"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4"/>
          <w:szCs w:val="14"/>
          <w:color w:val="auto"/>
        </w:rPr>
        <w:t>Chapter Six - Additional Information for Shareholders</w:t>
      </w:r>
    </w:p>
    <w:p>
      <w:pPr>
        <w:spacing w:after="0" w:line="338"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Exxon SEC Filings (File No. 1-2256)</w:t>
      </w:r>
      <w:r>
        <w:rPr>
          <w:sz w:val="20"/>
          <w:szCs w:val="20"/>
          <w:color w:val="auto"/>
        </w:rPr>
        <w:tab/>
      </w:r>
      <w:r>
        <w:rPr>
          <w:rFonts w:ascii="Courier New" w:cs="Courier New" w:eastAsia="Courier New" w:hAnsi="Courier New"/>
          <w:sz w:val="14"/>
          <w:szCs w:val="14"/>
          <w:color w:val="auto"/>
        </w:rPr>
        <w:t>Period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tabs>
          <w:tab w:leader="none" w:pos="3780" w:val="left"/>
        </w:tabs>
        <w:rPr>
          <w:sz w:val="20"/>
          <w:szCs w:val="20"/>
          <w:color w:val="auto"/>
        </w:rPr>
      </w:pPr>
      <w:r>
        <w:rPr>
          <w:rFonts w:ascii="Courier New" w:cs="Courier New" w:eastAsia="Courier New" w:hAnsi="Courier New"/>
          <w:sz w:val="14"/>
          <w:szCs w:val="14"/>
          <w:color w:val="auto"/>
        </w:rPr>
        <w:t>Annual Report on Form 10-K</w:t>
      </w:r>
      <w:r>
        <w:rPr>
          <w:sz w:val="20"/>
          <w:szCs w:val="20"/>
          <w:color w:val="auto"/>
        </w:rPr>
        <w:tab/>
      </w:r>
      <w:r>
        <w:rPr>
          <w:rFonts w:ascii="Courier New" w:cs="Courier New" w:eastAsia="Courier New" w:hAnsi="Courier New"/>
          <w:sz w:val="14"/>
          <w:szCs w:val="14"/>
          <w:color w:val="auto"/>
        </w:rPr>
        <w:t>Fiscal Year ended December 31, 1998</w:t>
      </w:r>
    </w:p>
    <w:p>
      <w:pPr>
        <w:spacing w:after="0" w:line="7" w:lineRule="exact"/>
        <w:rPr>
          <w:sz w:val="20"/>
          <w:szCs w:val="20"/>
          <w:color w:val="auto"/>
        </w:rPr>
      </w:pPr>
    </w:p>
    <w:p>
      <w:pPr>
        <w:ind w:left="100"/>
        <w:spacing w:after="0"/>
        <w:tabs>
          <w:tab w:leader="none" w:pos="3780" w:val="left"/>
        </w:tabs>
        <w:rPr>
          <w:sz w:val="20"/>
          <w:szCs w:val="20"/>
          <w:color w:val="auto"/>
        </w:rPr>
      </w:pPr>
      <w:r>
        <w:rPr>
          <w:rFonts w:ascii="Courier New" w:cs="Courier New" w:eastAsia="Courier New" w:hAnsi="Courier New"/>
          <w:sz w:val="14"/>
          <w:szCs w:val="14"/>
          <w:color w:val="auto"/>
        </w:rPr>
        <w:t>Current Report on Form 8-K</w:t>
      </w:r>
      <w:r>
        <w:rPr>
          <w:sz w:val="20"/>
          <w:szCs w:val="20"/>
          <w:color w:val="auto"/>
        </w:rPr>
        <w:tab/>
      </w:r>
      <w:r>
        <w:rPr>
          <w:rFonts w:ascii="Courier New" w:cs="Courier New" w:eastAsia="Courier New" w:hAnsi="Courier New"/>
          <w:sz w:val="14"/>
          <w:szCs w:val="14"/>
          <w:color w:val="auto"/>
        </w:rPr>
        <w:t>Filed on December 1, 1998</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description of Exxon common stock</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set forth in the Registration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Statement on Form 10 filed April 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1935, as amended by Current Report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on Form 8-K for the month of May 1970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Quarterly Report on Form 10-Q for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quarter ended June 30, 1993</w:t>
      </w:r>
    </w:p>
    <w:p>
      <w:pPr>
        <w:spacing w:after="0" w:line="173"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Mobil SEC Filings (File No. 001-07555)</w:t>
      </w:r>
      <w:r>
        <w:rPr>
          <w:sz w:val="20"/>
          <w:szCs w:val="20"/>
          <w:color w:val="auto"/>
        </w:rPr>
        <w:tab/>
      </w:r>
      <w:r>
        <w:rPr>
          <w:rFonts w:ascii="Courier New" w:cs="Courier New" w:eastAsia="Courier New" w:hAnsi="Courier New"/>
          <w:sz w:val="13"/>
          <w:szCs w:val="13"/>
          <w:color w:val="auto"/>
        </w:rPr>
        <w:t>Period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5"/>
          </w:tcPr>
          <w:p>
            <w:pPr>
              <w:spacing w:after="0"/>
              <w:rPr>
                <w:sz w:val="20"/>
                <w:szCs w:val="20"/>
                <w:color w:val="auto"/>
              </w:rPr>
            </w:pPr>
            <w:r>
              <w:rPr>
                <w:rFonts w:ascii="Courier New" w:cs="Courier New" w:eastAsia="Courier New" w:hAnsi="Courier New"/>
                <w:sz w:val="14"/>
                <w:szCs w:val="14"/>
                <w:color w:val="auto"/>
              </w:rPr>
              <w:t>Annual Report on Form 10-K</w:t>
            </w:r>
          </w:p>
        </w:tc>
        <w:tc>
          <w:tcPr>
            <w:tcW w:w="22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Fiscal Year ended</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1998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Report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8-K</w:t>
            </w:r>
          </w:p>
        </w:tc>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Filed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27,</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Report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8-K</w:t>
            </w:r>
          </w:p>
        </w:tc>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Filed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r>
    </w:tbl>
    <w:p>
      <w:pPr>
        <w:spacing w:after="0" w:line="17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are also incorporating by reference additional documents that we file with the SEC between the date of this joint proxy statement/prospectus and the date of the meetings.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Exxon has supplied all information contained or incorporated by reference in this joint proxy statement/prospectus relating to Exxon, and Mobil has supplied all such information relating to Mobil.</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you are a shareholder, we may have sent you some of the documents incorporated by reference, but you can obtain any of them through us or the SEC. Documents incorporated by reference are available from us without charge, excluding all exhibits unless we have specifically incorporated by reference an exhibit in this joint proxy statement/prospectus. Shareholders may obtain documents incorporated by reference in this joint proxy statement/prospectus by requesting them in writing or by telephone from the appropriate party at the following address:</w:t>
      </w:r>
    </w:p>
    <w:p>
      <w:pPr>
        <w:spacing w:after="0" w:line="16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Exxon Shareholder Services</w:t>
            </w:r>
          </w:p>
        </w:tc>
        <w:tc>
          <w:tcPr>
            <w:tcW w:w="22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Mobil Corporation</w:t>
            </w:r>
          </w:p>
        </w:tc>
      </w:tr>
      <w:tr>
        <w:trPr>
          <w:trHeight w:val="166"/>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P.O. Box 8033</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3225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Gallows Road</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Boston, MA</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02266-8033</w:t>
            </w:r>
          </w:p>
        </w:tc>
        <w:tc>
          <w:tcPr>
            <w:tcW w:w="22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Fairfax, VA 22307-0001</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Tel: (800)</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252-1800</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Tel:</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(703) 846-3893</w:t>
            </w:r>
          </w:p>
        </w:tc>
      </w:tr>
    </w:tbl>
    <w:p>
      <w:pPr>
        <w:spacing w:after="0" w:line="17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If you would like to request documents from us, please do so by May 20, 1999 to receive them before the Meetings.</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You can also get more information by visiting Exxon's web site at www.exxon.com and Mobil's web site at www.mobil.com. Web site materials are not part of this joint proxy statement/prospectus.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You should rely only on the information contained or incorporated by reference in this joint proxy statement/prospectus to vote on the Exxon proposals and the Mobil proposals. We have not authorized anyone to provide you with information that is different from what is contained in this joint proxy statement/ prospectus. This joint proxy statement/prospectus is dated April 5, 1999. You should not assume that the information contained in the joint proxy statement/ prospectus is accurate as of any date other than such date, an neither the mailing of this joint proxy statement/prospectus to shareholders nor the issuance of Exxon common stock in the merger shall create any implication to the contrary.</w:t>
      </w:r>
    </w:p>
    <w:p>
      <w:pPr>
        <w:spacing w:after="0" w:line="200" w:lineRule="exact"/>
        <w:rPr>
          <w:sz w:val="20"/>
          <w:szCs w:val="20"/>
          <w:color w:val="auto"/>
        </w:rPr>
      </w:pPr>
    </w:p>
    <w:p>
      <w:pPr>
        <w:spacing w:after="0" w:line="29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VI-2</w:t>
      </w:r>
    </w:p>
    <w:p>
      <w:pPr>
        <w:sectPr>
          <w:pgSz w:w="11900" w:h="16838" w:orient="portrait"/>
          <w:cols w:equalWidth="0" w:num="1">
            <w:col w:w="10239"/>
          </w:cols>
          <w:pgMar w:left="220" w:top="782" w:right="1440" w:bottom="1440" w:gutter="0" w:footer="0" w:header="0"/>
        </w:sectPr>
      </w:pPr>
    </w:p>
    <w:bookmarkStart w:id="136" w:name="page137"/>
    <w:bookmarkEnd w:id="136"/>
    <w:p>
      <w:pPr>
        <w:jc w:val="right"/>
        <w:ind w:right="3519"/>
        <w:spacing w:after="0"/>
        <w:rPr>
          <w:sz w:val="20"/>
          <w:szCs w:val="20"/>
          <w:color w:val="auto"/>
        </w:rPr>
      </w:pPr>
      <w:r>
        <w:rPr>
          <w:rFonts w:ascii="Courier New" w:cs="Courier New" w:eastAsia="Courier New" w:hAnsi="Courier New"/>
          <w:sz w:val="14"/>
          <w:szCs w:val="14"/>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dated as of</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December 1, 1998</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among</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MOBIL CORPORATION</w:t>
      </w:r>
    </w:p>
    <w:p>
      <w:pPr>
        <w:spacing w:after="0" w:line="173"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4"/>
          <w:szCs w:val="14"/>
          <w:color w:val="auto"/>
        </w:rPr>
        <w:t>EXXON CORPORATION</w:t>
      </w:r>
    </w:p>
    <w:p>
      <w:pPr>
        <w:spacing w:after="0" w:line="173"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LION ACQUISITION SUBSIDIARY CORPORATION</w:t>
      </w:r>
    </w:p>
    <w:p>
      <w:pPr>
        <w:sectPr>
          <w:pgSz w:w="11900" w:h="16838" w:orient="portrait"/>
          <w:cols w:equalWidth="0" w:num="1">
            <w:col w:w="9019"/>
          </w:cols>
          <w:pgMar w:left="1440" w:top="450" w:right="1440" w:bottom="1440" w:gutter="0" w:footer="0" w:header="0"/>
        </w:sectPr>
      </w:pPr>
    </w:p>
    <w:bookmarkStart w:id="137" w:name="page138"/>
    <w:bookmarkEnd w:id="137"/>
    <w:tbl>
      <w:tblPr>
        <w:tblLayout w:type="fixed"/>
        <w:tblInd w:w="3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820" w:type="dxa"/>
            <w:vAlign w:val="bottom"/>
          </w:tcPr>
          <w:p>
            <w:pPr>
              <w:jc w:val="center"/>
              <w:ind w:right="146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4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r>
      <w:tr>
        <w:trPr>
          <w:trHeight w:val="331"/>
        </w:trPr>
        <w:tc>
          <w:tcPr>
            <w:tcW w:w="12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1200" w:type="dxa"/>
            <w:vAlign w:val="bottom"/>
          </w:tcPr>
          <w:p>
            <w:pPr>
              <w:spacing w:after="0"/>
              <w:rPr>
                <w:sz w:val="14"/>
                <w:szCs w:val="14"/>
                <w:color w:val="auto"/>
              </w:rPr>
            </w:pPr>
          </w:p>
        </w:tc>
        <w:tc>
          <w:tcPr>
            <w:tcW w:w="4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ARTICLE 1</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Conversion of Shares....................................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Surrender and Payment...................................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Stock Options...........................................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Adjustments.............................................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Fractional Shares.......................................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Withholding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Lost Certificates.......................................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1.09.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Shares Held by Company Affiliates.......................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1.10.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Dissenter's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331"/>
        </w:trPr>
        <w:tc>
          <w:tcPr>
            <w:tcW w:w="1200" w:type="dxa"/>
            <w:vAlign w:val="bottom"/>
          </w:tcPr>
          <w:p>
            <w:pPr>
              <w:spacing w:after="0"/>
              <w:rPr>
                <w:sz w:val="24"/>
                <w:szCs w:val="24"/>
                <w:color w:val="auto"/>
              </w:rPr>
            </w:pPr>
          </w:p>
        </w:tc>
        <w:tc>
          <w:tcPr>
            <w:tcW w:w="4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ARTICLE 2</w:t>
            </w:r>
          </w:p>
        </w:tc>
        <w:tc>
          <w:tcPr>
            <w:tcW w:w="34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jc w:val="center"/>
              <w:ind w:right="1468"/>
              <w:spacing w:after="0"/>
              <w:rPr>
                <w:sz w:val="20"/>
                <w:szCs w:val="20"/>
                <w:color w:val="auto"/>
              </w:rPr>
            </w:pPr>
            <w:r>
              <w:rPr>
                <w:rFonts w:ascii="Courier New" w:cs="Courier New" w:eastAsia="Courier New" w:hAnsi="Courier New"/>
                <w:sz w:val="14"/>
                <w:szCs w:val="14"/>
                <w:color w:val="auto"/>
              </w:rPr>
              <w:t>CERTAIN GOVERNANCE MATTERS</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Acquiror Name...........................................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Acquiror Board of Directors.............................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Transition Committee....................................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6"/>
        </w:trPr>
        <w:tc>
          <w:tcPr>
            <w:tcW w:w="6020" w:type="dxa"/>
            <w:vAlign w:val="bottom"/>
            <w:gridSpan w:val="2"/>
          </w:tcPr>
          <w:p>
            <w:pPr>
              <w:spacing w:after="0"/>
              <w:rPr>
                <w:sz w:val="20"/>
                <w:szCs w:val="20"/>
                <w:color w:val="auto"/>
              </w:rPr>
            </w:pPr>
            <w:r>
              <w:rPr>
                <w:rFonts w:ascii="Courier New" w:cs="Courier New" w:eastAsia="Courier New" w:hAnsi="Courier New"/>
                <w:sz w:val="14"/>
                <w:szCs w:val="14"/>
                <w:color w:val="auto"/>
              </w:rPr>
              <w:t>SECTION 2.04.  Certificate of Incorporation of the Surviving</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By-laws of the Surviving Corporation....................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2.06.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Directors and Officers of the Surviving Corporation.....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331"/>
        </w:trPr>
        <w:tc>
          <w:tcPr>
            <w:tcW w:w="1200" w:type="dxa"/>
            <w:vAlign w:val="bottom"/>
          </w:tcPr>
          <w:p>
            <w:pPr>
              <w:spacing w:after="0"/>
              <w:rPr>
                <w:sz w:val="24"/>
                <w:szCs w:val="24"/>
                <w:color w:val="auto"/>
              </w:rPr>
            </w:pPr>
          </w:p>
        </w:tc>
        <w:tc>
          <w:tcPr>
            <w:tcW w:w="4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ARTICLE 3</w:t>
            </w:r>
          </w:p>
        </w:tc>
        <w:tc>
          <w:tcPr>
            <w:tcW w:w="340" w:type="dxa"/>
            <w:vAlign w:val="bottom"/>
          </w:tcPr>
          <w:p>
            <w:pPr>
              <w:spacing w:after="0"/>
              <w:rPr>
                <w:sz w:val="24"/>
                <w:szCs w:val="24"/>
                <w:color w:val="auto"/>
              </w:rPr>
            </w:pPr>
          </w:p>
        </w:tc>
      </w:tr>
      <w:tr>
        <w:trPr>
          <w:trHeight w:val="166"/>
        </w:trPr>
        <w:tc>
          <w:tcPr>
            <w:tcW w:w="602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REPRESENTATIONS AND WARRANTIES OF THE COMPANY</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Corporate Existence and Power...........................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Corporate Authorization.................................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Governmental Authorization..............................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Non-Contravention.......................................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Capitalization of the Company...........................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Subsidiaries............................................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 Filings............................................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3.09.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Disclosure Documents...................................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Absence of Certain Changes.............................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No Undisclosed Material Liabilities....................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A-12</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Litigation.............................................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A-12</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A-12</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Employee Benefit Plans.................................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A-13</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Compliance with Laws...................................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Finders' or Advisors' Fees.............................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Environmental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Opinion of Financial Advisor...........................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3.19.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Pooling; Tax Treatment.................................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A-14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of Contents is not a part of this Agreement.</w:t>
      </w:r>
    </w:p>
    <w:p>
      <w:pPr>
        <w:sectPr>
          <w:pgSz w:w="11900" w:h="16838" w:orient="portrait"/>
          <w:cols w:equalWidth="0" w:num="1">
            <w:col w:w="10239"/>
          </w:cols>
          <w:pgMar w:left="220" w:top="450"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3.20.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Pooling Letter.........................................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3.21.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Takeover Statutes......................................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3.22.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Rights Agreement.......................................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ARTICLE 4</w:t>
            </w:r>
          </w:p>
        </w:tc>
        <w:tc>
          <w:tcPr>
            <w:tcW w:w="340" w:type="dxa"/>
            <w:vAlign w:val="bottom"/>
          </w:tcPr>
          <w:p>
            <w:pPr>
              <w:spacing w:after="0"/>
              <w:rPr>
                <w:sz w:val="24"/>
                <w:szCs w:val="24"/>
                <w:color w:val="auto"/>
              </w:rPr>
            </w:pPr>
          </w:p>
        </w:tc>
      </w:tr>
      <w:tr>
        <w:trPr>
          <w:trHeight w:val="166"/>
        </w:trPr>
        <w:tc>
          <w:tcPr>
            <w:tcW w:w="602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REPRESENTATIONS AND WARRANTIES OF ACQUIROR</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Corporate Existence and Power..........................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Corporate Authorization................................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Governmental Authorization.............................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Non-Contravention......................................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Capitalization.........................................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Subsidiaries...........................................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 Filings............................................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4.09.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Disclosure Documents...................................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Absence of Certain Changes.............................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No Undisclosed Material Liabilities....................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Litigation.............................................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Taxes..................................................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A-19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Employee Benefit Plans.................................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Compliance with Laws...................................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Finders' or Advisors' Fees.............................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4.17.</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Environmental Matters..................................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4.18.</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Opinion of Financial Advisor...........................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4.19.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Pooling; Tax Treatment.................................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4.20.</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Pooling Letter.........................................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ARTICLE 5</w:t>
            </w:r>
          </w:p>
        </w:tc>
        <w:tc>
          <w:tcPr>
            <w:tcW w:w="34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ind w:left="600"/>
              <w:spacing w:after="0"/>
              <w:rPr>
                <w:sz w:val="20"/>
                <w:szCs w:val="20"/>
                <w:color w:val="auto"/>
              </w:rPr>
            </w:pPr>
            <w:r>
              <w:rPr>
                <w:rFonts w:ascii="Courier New" w:cs="Courier New" w:eastAsia="Courier New" w:hAnsi="Courier New"/>
                <w:sz w:val="14"/>
                <w:szCs w:val="14"/>
                <w:color w:val="auto"/>
              </w:rPr>
              <w:t>COVENANTS OF THE COMPANY</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Conduct of the Company.................................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A-21</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Company Stockholder Meeting; Proxy Material............</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A-23</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5.03.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Other Offers...........................................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A-23</w:t>
            </w: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ARTICLE 6</w:t>
            </w:r>
          </w:p>
        </w:tc>
        <w:tc>
          <w:tcPr>
            <w:tcW w:w="34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COVENANTS OF ACQUIROR</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Conduct of Acquiror....................................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Obligations of Merger Subsidiary.......................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 and Officer Liability.........................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Acquiror Stockholder Meeting; Form S-4.................</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A-26</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Stock Exchange Listing.................................</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A-27</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6.06.</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Employee Benefits......................................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A-27</w:t>
            </w:r>
          </w:p>
        </w:tc>
      </w:tr>
      <w:tr>
        <w:trPr>
          <w:trHeight w:val="331"/>
        </w:trPr>
        <w:tc>
          <w:tcPr>
            <w:tcW w:w="1200" w:type="dxa"/>
            <w:vAlign w:val="bottom"/>
          </w:tcPr>
          <w:p>
            <w:pPr>
              <w:spacing w:after="0"/>
              <w:rPr>
                <w:sz w:val="24"/>
                <w:szCs w:val="24"/>
                <w:color w:val="auto"/>
              </w:rPr>
            </w:pPr>
          </w:p>
        </w:tc>
        <w:tc>
          <w:tcPr>
            <w:tcW w:w="4820" w:type="dxa"/>
            <w:vAlign w:val="bottom"/>
          </w:tcPr>
          <w:p>
            <w:pPr>
              <w:jc w:val="center"/>
              <w:ind w:right="1388"/>
              <w:spacing w:after="0"/>
              <w:rPr>
                <w:sz w:val="20"/>
                <w:szCs w:val="20"/>
                <w:color w:val="auto"/>
              </w:rPr>
            </w:pPr>
            <w:r>
              <w:rPr>
                <w:rFonts w:ascii="Courier New" w:cs="Courier New" w:eastAsia="Courier New" w:hAnsi="Courier New"/>
                <w:sz w:val="14"/>
                <w:szCs w:val="14"/>
                <w:color w:val="auto"/>
              </w:rPr>
              <w:t>ARTICLE 7</w:t>
            </w:r>
          </w:p>
        </w:tc>
        <w:tc>
          <w:tcPr>
            <w:tcW w:w="34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COVENANTS OF ACQUIROR AND THE COMPANY</w:t>
            </w:r>
          </w:p>
        </w:tc>
        <w:tc>
          <w:tcPr>
            <w:tcW w:w="34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7.01.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Best Efforts...........................................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A-28</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7.02.</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Certain Filings........................................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7.03.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Access to Information..................................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SECTION 7.04.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Tax and Accounting Treatment...........................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bl>
    <w:p>
      <w:pPr>
        <w:spacing w:after="0" w:line="170"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A-ii</w:t>
      </w:r>
    </w:p>
    <w:p>
      <w:pPr>
        <w:sectPr>
          <w:pgSz w:w="11900" w:h="16838" w:orient="portrait"/>
          <w:cols w:equalWidth="0" w:num="1">
            <w:col w:w="9879"/>
          </w:cols>
          <w:pgMar w:left="580" w:top="616" w:right="1440"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2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7.05.</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Public Announcements...................................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7.06.</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Further Assurances.....................................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A-29</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7.07.</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Notices of Certain Events..............................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A-30</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7.08.</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Affiliates.............................................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A-30</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7.09.</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Payment of Dividends...................................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A-30</w:t>
            </w:r>
          </w:p>
        </w:tc>
      </w:tr>
      <w:tr>
        <w:trPr>
          <w:trHeight w:val="331"/>
        </w:trPr>
        <w:tc>
          <w:tcPr>
            <w:tcW w:w="1240" w:type="dxa"/>
            <w:vAlign w:val="bottom"/>
          </w:tcPr>
          <w:p>
            <w:pPr>
              <w:spacing w:after="0"/>
              <w:rPr>
                <w:sz w:val="24"/>
                <w:szCs w:val="24"/>
                <w:color w:val="auto"/>
              </w:rPr>
            </w:pPr>
          </w:p>
        </w:tc>
        <w:tc>
          <w:tcPr>
            <w:tcW w:w="478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ARTICLE 8</w:t>
            </w:r>
          </w:p>
        </w:tc>
        <w:tc>
          <w:tcPr>
            <w:tcW w:w="340" w:type="dxa"/>
            <w:vAlign w:val="bottom"/>
          </w:tcPr>
          <w:p>
            <w:pPr>
              <w:spacing w:after="0"/>
              <w:rPr>
                <w:sz w:val="24"/>
                <w:szCs w:val="24"/>
                <w:color w:val="auto"/>
              </w:rPr>
            </w:pPr>
          </w:p>
        </w:tc>
      </w:tr>
      <w:tr>
        <w:trPr>
          <w:trHeight w:val="166"/>
        </w:trPr>
        <w:tc>
          <w:tcPr>
            <w:tcW w:w="1240" w:type="dxa"/>
            <w:vAlign w:val="bottom"/>
          </w:tcPr>
          <w:p>
            <w:pPr>
              <w:spacing w:after="0"/>
              <w:rPr>
                <w:sz w:val="14"/>
                <w:szCs w:val="14"/>
                <w:color w:val="auto"/>
              </w:rPr>
            </w:pPr>
          </w:p>
        </w:tc>
        <w:tc>
          <w:tcPr>
            <w:tcW w:w="478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CONDITIONS TO THE MERGER</w:t>
            </w:r>
          </w:p>
        </w:tc>
        <w:tc>
          <w:tcPr>
            <w:tcW w:w="34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8.01.</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Conditions to the Obligations of Each Party............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A-30</w:t>
            </w:r>
          </w:p>
        </w:tc>
      </w:tr>
      <w:tr>
        <w:trPr>
          <w:trHeight w:val="166"/>
        </w:trPr>
        <w:tc>
          <w:tcPr>
            <w:tcW w:w="6020" w:type="dxa"/>
            <w:vAlign w:val="bottom"/>
            <w:gridSpan w:val="2"/>
          </w:tcPr>
          <w:p>
            <w:pPr>
              <w:spacing w:after="0"/>
              <w:rPr>
                <w:sz w:val="20"/>
                <w:szCs w:val="20"/>
                <w:color w:val="auto"/>
              </w:rPr>
            </w:pPr>
            <w:r>
              <w:rPr>
                <w:rFonts w:ascii="Courier New" w:cs="Courier New" w:eastAsia="Courier New" w:hAnsi="Courier New"/>
                <w:sz w:val="14"/>
                <w:szCs w:val="14"/>
                <w:color w:val="auto"/>
              </w:rPr>
              <w:t>SECTION 8.02.  Conditions to the Obligations of Acquiror and</w:t>
            </w:r>
          </w:p>
        </w:tc>
        <w:tc>
          <w:tcPr>
            <w:tcW w:w="340" w:type="dxa"/>
            <w:vAlign w:val="bottom"/>
          </w:tcPr>
          <w:p>
            <w:pPr>
              <w:spacing w:after="0"/>
              <w:rPr>
                <w:sz w:val="14"/>
                <w:szCs w:val="14"/>
                <w:color w:val="auto"/>
              </w:rPr>
            </w:pPr>
          </w:p>
        </w:tc>
      </w:tr>
      <w:tr>
        <w:trPr>
          <w:trHeight w:val="166"/>
        </w:trPr>
        <w:tc>
          <w:tcPr>
            <w:tcW w:w="124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Merger Subsidiary......................................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A-31</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8.03.</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Conditions to the Obligations of the Company...........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A-32</w:t>
            </w:r>
          </w:p>
        </w:tc>
      </w:tr>
      <w:tr>
        <w:trPr>
          <w:trHeight w:val="331"/>
        </w:trPr>
        <w:tc>
          <w:tcPr>
            <w:tcW w:w="1240" w:type="dxa"/>
            <w:vAlign w:val="bottom"/>
          </w:tcPr>
          <w:p>
            <w:pPr>
              <w:spacing w:after="0"/>
              <w:rPr>
                <w:sz w:val="24"/>
                <w:szCs w:val="24"/>
                <w:color w:val="auto"/>
              </w:rPr>
            </w:pPr>
          </w:p>
        </w:tc>
        <w:tc>
          <w:tcPr>
            <w:tcW w:w="478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ARTICLE 9</w:t>
            </w:r>
          </w:p>
        </w:tc>
        <w:tc>
          <w:tcPr>
            <w:tcW w:w="340" w:type="dxa"/>
            <w:vAlign w:val="bottom"/>
          </w:tcPr>
          <w:p>
            <w:pPr>
              <w:spacing w:after="0"/>
              <w:rPr>
                <w:sz w:val="24"/>
                <w:szCs w:val="24"/>
                <w:color w:val="auto"/>
              </w:rPr>
            </w:pPr>
          </w:p>
        </w:tc>
      </w:tr>
      <w:tr>
        <w:trPr>
          <w:trHeight w:val="166"/>
        </w:trPr>
        <w:tc>
          <w:tcPr>
            <w:tcW w:w="1240" w:type="dxa"/>
            <w:vAlign w:val="bottom"/>
          </w:tcPr>
          <w:p>
            <w:pPr>
              <w:spacing w:after="0"/>
              <w:rPr>
                <w:sz w:val="14"/>
                <w:szCs w:val="14"/>
                <w:color w:val="auto"/>
              </w:rPr>
            </w:pPr>
          </w:p>
        </w:tc>
        <w:tc>
          <w:tcPr>
            <w:tcW w:w="478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9.01.</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A-33</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9.02.</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Effect of Termination..................................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A-34</w:t>
            </w:r>
          </w:p>
        </w:tc>
      </w:tr>
      <w:tr>
        <w:trPr>
          <w:trHeight w:val="331"/>
        </w:trPr>
        <w:tc>
          <w:tcPr>
            <w:tcW w:w="1240" w:type="dxa"/>
            <w:vAlign w:val="bottom"/>
          </w:tcPr>
          <w:p>
            <w:pPr>
              <w:spacing w:after="0"/>
              <w:rPr>
                <w:sz w:val="24"/>
                <w:szCs w:val="24"/>
                <w:color w:val="auto"/>
              </w:rPr>
            </w:pPr>
          </w:p>
        </w:tc>
        <w:tc>
          <w:tcPr>
            <w:tcW w:w="478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ARTICLE 10</w:t>
            </w:r>
          </w:p>
        </w:tc>
        <w:tc>
          <w:tcPr>
            <w:tcW w:w="340" w:type="dxa"/>
            <w:vAlign w:val="bottom"/>
          </w:tcPr>
          <w:p>
            <w:pPr>
              <w:spacing w:after="0"/>
              <w:rPr>
                <w:sz w:val="24"/>
                <w:szCs w:val="24"/>
                <w:color w:val="auto"/>
              </w:rPr>
            </w:pPr>
          </w:p>
        </w:tc>
      </w:tr>
      <w:tr>
        <w:trPr>
          <w:trHeight w:val="166"/>
        </w:trPr>
        <w:tc>
          <w:tcPr>
            <w:tcW w:w="1240" w:type="dxa"/>
            <w:vAlign w:val="bottom"/>
          </w:tcPr>
          <w:p>
            <w:pPr>
              <w:spacing w:after="0"/>
              <w:rPr>
                <w:sz w:val="14"/>
                <w:szCs w:val="14"/>
                <w:color w:val="auto"/>
              </w:rPr>
            </w:pPr>
          </w:p>
        </w:tc>
        <w:tc>
          <w:tcPr>
            <w:tcW w:w="478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MISCELLANEOUS</w:t>
            </w:r>
          </w:p>
        </w:tc>
        <w:tc>
          <w:tcPr>
            <w:tcW w:w="34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10.01.</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A-34</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10.02.</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Non-Survival of Representations and Warranties........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A-35</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10.03.</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Amendments; No Waivers................................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A-35</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10.04.</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Expenses..............................................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A-35</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10.05.</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A-36</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10.06.</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Governing Law.........................................</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A-36</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10.07.</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Jurisdiction..........................................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A-36</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10.08.</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Waiver of Jury Trial..................................</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10.09.</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Counterparts; Effectiveness...........................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10.10.</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Entire Agreement......................................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10.11.</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Captions..............................................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SECTION 10.12.</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Severability..........................................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A-37</w:t>
            </w:r>
          </w:p>
        </w:tc>
      </w:tr>
    </w:tbl>
    <w:p>
      <w:pPr>
        <w:spacing w:after="0" w:line="170"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A-iii</w:t>
      </w:r>
    </w:p>
    <w:p>
      <w:pPr>
        <w:sectPr>
          <w:pgSz w:w="11900" w:h="16838" w:orient="portrait"/>
          <w:cols w:equalWidth="0" w:num="1">
            <w:col w:w="9879"/>
          </w:cols>
          <w:pgMar w:left="580" w:top="450"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EXHIBITS AND</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SCHEDULES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Stock Option Agreement</w:t>
            </w:r>
          </w:p>
        </w:tc>
        <w:tc>
          <w:tcPr>
            <w:tcW w:w="90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B-1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Letter Relating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Pooling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B-2</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Letter Relating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Pooling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(Acquiror)</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B-3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Affiliate's Letter</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C-1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Tax Certificate</w:t>
            </w: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(Acquiror)</w:t>
            </w:r>
          </w:p>
        </w:tc>
        <w:tc>
          <w:tcPr>
            <w:tcW w:w="9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C-2</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Tax Certificate</w:t>
            </w: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(Company)</w:t>
            </w:r>
          </w:p>
        </w:tc>
        <w:tc>
          <w:tcPr>
            <w:tcW w:w="9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3.06(a)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3.06(b)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3.11(c)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4.11(c)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7.08(a)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7.08(b)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8.01(e)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A-iv</w:t>
      </w:r>
    </w:p>
    <w:p>
      <w:pPr>
        <w:sectPr>
          <w:pgSz w:w="11900" w:h="16838" w:orient="portrait"/>
          <w:cols w:equalWidth="0" w:num="1">
            <w:col w:w="10239"/>
          </w:cols>
          <w:pgMar w:left="220" w:top="450" w:right="1440" w:bottom="1440" w:gutter="0" w:footer="0" w:header="0"/>
        </w:sectPr>
      </w:pPr>
    </w:p>
    <w:bookmarkStart w:id="141" w:name="page142"/>
    <w:bookmarkEnd w:id="141"/>
    <w:p>
      <w:pPr>
        <w:ind w:left="1980"/>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AGREEMENT AND PLAN OF MERGER dated as of December 1, 1998 among Mobil Corporation, a Delaware corporation (the "Company"), Exxon Corporation, a New Jersey corporation ("Acquiror"), and Lion Acquisition Subsidiary Corporation, a newly-formed Delaware corporation and a wholly-owned first-tier subsidiary of Acquiror ("Merger Subsidiary").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the respective Boards of Directors of Acquiror, Merger Subsidiary and the Company have approved this Agreement, and deem it advisable and in the best interests of their respective stockholders to consummate the merger of Merger Subsidiary with and into the Company on the terms and conditions set forth herein;</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for United States federal income tax purposes, it is intended that the Merger contemplated by this Agreement qualify as a "reorganization" within the meaning of Section 368 of the Internal Revenue Code of 1986, as amended (the "Code"), and the rules and regulations promulgated thereunder;</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WHEREAS, for accounting purposes, it is intended that the Merger be accounted for as a pooling of interests under United States generally accepted accounting principles ("GAAP"); and</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as a condition and inducement to Acquiror entering into this Agreement and incurring the obligations set forth herein, concurrently with the execution and delivery of this Agreement, Acquiror and the Company are entering into a Stock Option Agreement in the form of Exhibit A hereto (the "Option Agreement") pursuant to which the Company has granted Acquiror an option, exercisable under the circumstances specified therein, to purchase shares of common stock, par value $1.00 per share, of the Company (the "Shares").</w:t>
      </w:r>
    </w:p>
    <w:p>
      <w:pPr>
        <w:spacing w:after="0" w:line="164"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promises and the respective representations, warranties, covenants, and agreements set forth herein, the parties hereto agree as follows:</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1.01. The Merger. (a) At the Effective Time, Merger Subsidiary shall be merged (the "Merger") with and into the Company in accordance with the requirements of the General Corporation Law of the State of Delaware (the "Delaware Law"), whereupon the separate existence of Merger Subsidiary shall cease, and the Company shall be the surviving corporation in the Merger (the "Surviving Corporation").</w:t>
      </w:r>
    </w:p>
    <w:p>
      <w:pPr>
        <w:spacing w:after="0" w:line="164" w:lineRule="exact"/>
        <w:rPr>
          <w:sz w:val="20"/>
          <w:szCs w:val="20"/>
          <w:color w:val="auto"/>
        </w:rPr>
      </w:pPr>
    </w:p>
    <w:p>
      <w:pPr>
        <w:ind w:right="3419" w:firstLine="439"/>
        <w:spacing w:after="0" w:line="251" w:lineRule="auto"/>
        <w:tabs>
          <w:tab w:leader="none" w:pos="77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satisfaction or, to the extent permitted hereunder, waiver of all conditions to the Merger, the Company and Merger Subsidiary will file a certificate of merger with the Secretary of State of the State of Delaware and make all other filings or recordings required by Delaware Law in connection with the Merger. The Merger shall become effective at such time as the certificate of merger is duly filed with the Secretary of State of the State of Delaware or at such later time as is specified in the certificate of merger (the "Effective Time").</w:t>
      </w:r>
    </w:p>
    <w:p>
      <w:pPr>
        <w:spacing w:after="0" w:line="163"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the Surviving Corporation shall possess all the rights, privileges, powers and franchises and be subject to all of the restrictions, disabilities and duties of the Company and Merger Subsidiary, all as provided under Delaware Law.</w:t>
      </w:r>
    </w:p>
    <w:p>
      <w:pPr>
        <w:spacing w:after="0" w:line="162" w:lineRule="exact"/>
        <w:rPr>
          <w:rFonts w:ascii="Courier New" w:cs="Courier New" w:eastAsia="Courier New" w:hAnsi="Courier New"/>
          <w:sz w:val="14"/>
          <w:szCs w:val="14"/>
          <w:color w:val="auto"/>
        </w:rPr>
      </w:pPr>
    </w:p>
    <w:p>
      <w:pPr>
        <w:ind w:right="3339" w:firstLine="525"/>
        <w:spacing w:after="0" w:line="250" w:lineRule="auto"/>
        <w:tabs>
          <w:tab w:leader="none" w:pos="86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the Merger (the "Closing") shall take place (i) at the offices of Davis Polk &amp; Wardwell, 450 Lexington Avenue, New York, NY, as soon as practicable, but in any event within three business days after the day on which the last to be fulfilled or waived of the conditions set forth in Article 8 (other than those conditions that by their nature are to be fulfilled at the Closing, but subject to the fulfillment or waiver of such conditions) shall be fulfilled or waived in accordance with this Agreement or (ii) at such other place and time or on such other date as the Company and Acquiror may agree</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writing (the "Closing Date").</w:t>
      </w:r>
    </w:p>
    <w:p>
      <w:pPr>
        <w:sectPr>
          <w:pgSz w:w="11900" w:h="16838" w:orient="portrait"/>
          <w:cols w:equalWidth="0" w:num="1">
            <w:col w:w="10239"/>
          </w:cols>
          <w:pgMar w:left="220" w:top="616"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4019" w:firstLine="431"/>
        <w:spacing w:after="0" w:line="252" w:lineRule="auto"/>
        <w:rPr>
          <w:sz w:val="20"/>
          <w:szCs w:val="20"/>
          <w:color w:val="auto"/>
        </w:rPr>
      </w:pPr>
      <w:r>
        <w:rPr>
          <w:rFonts w:ascii="Courier New" w:cs="Courier New" w:eastAsia="Courier New" w:hAnsi="Courier New"/>
          <w:sz w:val="14"/>
          <w:szCs w:val="14"/>
          <w:color w:val="auto"/>
        </w:rPr>
        <w:t>SECTION 1.02. Conversion of Shares. (a) At the Effective Time by virtue of the Merger and without any action on the part of the holder thereof:</w:t>
      </w:r>
    </w:p>
    <w:p>
      <w:pPr>
        <w:spacing w:after="0" w:line="163" w:lineRule="exact"/>
        <w:rPr>
          <w:sz w:val="20"/>
          <w:szCs w:val="20"/>
          <w:color w:val="auto"/>
        </w:rPr>
      </w:pPr>
    </w:p>
    <w:p>
      <w:pPr>
        <w:ind w:left="440" w:right="3339" w:firstLine="430"/>
        <w:spacing w:after="0" w:line="251" w:lineRule="auto"/>
        <w:tabs>
          <w:tab w:leader="none" w:pos="121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held by the Company as treasury stock or owned by Acquiror or any subsidiary of Acquiror (excluding Shares, if any, held in any "Rabbi trust" identified on Schedule 3.14, which may be accounted for as treasury stock ("Rabbi Trust Shares")) immediately prior to the Effective Time (together with the associated Company Right (as defined in Section 3.05), if any) shall be canceled, and no payment shall be made with respect thereto;</w:t>
      </w:r>
    </w:p>
    <w:p>
      <w:pPr>
        <w:spacing w:after="0" w:line="164"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64" w:lineRule="exact"/>
        <w:rPr>
          <w:rFonts w:ascii="Courier New" w:cs="Courier New" w:eastAsia="Courier New" w:hAnsi="Courier New"/>
          <w:sz w:val="14"/>
          <w:szCs w:val="14"/>
          <w:color w:val="auto"/>
        </w:rPr>
      </w:pPr>
    </w:p>
    <w:p>
      <w:pPr>
        <w:ind w:left="440" w:right="3519" w:firstLine="257"/>
        <w:spacing w:after="0" w:line="251" w:lineRule="auto"/>
        <w:tabs>
          <w:tab w:leader="none" w:pos="121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(including each Rabbi Trust Share) (together with the associated Company Right) outstanding immediately prior to the Effective Time shall, except as otherwise provided in Section 1.02(a)(i), be converted into the right to receive 1.32015 (the "Exchange Ratio") shares of fully paid and nonassessable common stock, without par value, of Acquiror ("Acquiror Common Stock"); and</w:t>
      </w:r>
    </w:p>
    <w:p>
      <w:pPr>
        <w:spacing w:after="0" w:line="164" w:lineRule="exact"/>
        <w:rPr>
          <w:rFonts w:ascii="Courier New" w:cs="Courier New" w:eastAsia="Courier New" w:hAnsi="Courier New"/>
          <w:sz w:val="14"/>
          <w:szCs w:val="14"/>
          <w:color w:val="auto"/>
        </w:rPr>
      </w:pPr>
    </w:p>
    <w:p>
      <w:pPr>
        <w:ind w:left="440" w:right="3339" w:firstLine="344"/>
        <w:spacing w:after="0" w:line="250" w:lineRule="auto"/>
        <w:tabs>
          <w:tab w:leader="none" w:pos="121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Series B ESOP Convertible Preferred Stock, par value $1.00 per share, of the Company (the "Series B Preferred Stock") held in the leveraged ESOP portion of the Company's Employee Savings Plan (the "Leveraged ESOP"), other than Dissenting Shares, shall be converted into the right to receive one validly issued, fully paid and nonassessable share of a new series of preferred stock to be issued by Acquiror (as a successor under Section 8(A) of the Certificate of Designation, Preferences and Rights establishing the Series B Preferred Stock) at the Effective Time (the "Acquiror Preferred Stock"). Each share of Acquiror Preferred Stock shall, to the extent possible, have terms that are identical to those of the Series B Preferred Stock immediately prior to the Effective Time, except that, (a) as a result of the Merger the issuer thereof shall be Acquiror rather than the Company, and (b) upon conversion thereof (at the same times and subject to the same terms and conditions under which Series B Preferred Stock is convertible into Shares) each share of Acquiror Preferred Stock shall be converted into that Merger Consideration (as defined below) which the holder thereof would have received had the Series B Preferred Stock of such holder been converted into Shares immediately prior to the Effective Time.</w:t>
      </w:r>
    </w:p>
    <w:p>
      <w:pPr>
        <w:spacing w:after="0" w:line="17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Acquiror Common Stock issued as provided in this Section 1.02 shall be of the same class and shall have the same terms as the currently outstanding Acquiror Common Stock. Acquiror shall, following the Closing, except as provided in Section 1.03(c), pay all stamp duties and stamp duty reserve tax, if any, imposed in connection with the issuance or creation of the Acquiror Common Stock and Acquiror Preferred Stock in connection with the Merger. The Company shall have the right to approve the Certificate of Designations establishing the Acquiror Preferred Stock, such approval not to be unreasonably withheld.</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all Shares (together with the associated Company Rights) converted in accordance with Section 1.02(a)(iii) and all Series B Preferred Stock (other than Dissenting Shares) converted in accordance with Section 1.02(a)(iv) shall no longer be outstanding and shall automatically be canceled and retired and shall cease to exist, and each holder of a certificate representing any such Shares or Series B Preferred Stock shall cease to have any rights with respect thereto, except the right to receive the Merger Consideration or Preferred Merger Consideration (each as defined below), as applicable, and any dividends payable pursuant to Section 1.03(f). From and after the Effective Time, all certificates representing the common stock of Merger Subsidiary shall be deemed for all purposes to represent the number of shares of common stock of the Surviving Corporation into which they were converted in accordance with Section 1.02(a)(ii).</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6" w:right="1440" w:bottom="1440" w:gutter="0" w:footer="0" w:header="0"/>
        </w:sectPr>
      </w:pPr>
    </w:p>
    <w:bookmarkStart w:id="143" w:name="page144"/>
    <w:bookmarkEnd w:id="14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339" w:firstLine="439"/>
        <w:spacing w:after="0" w:line="251"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Acquiror Common Stock to be received as consideration pursuant to the Merger by each holder of Shares (together with cash in lieu of fractional shares of Acquiror Common Stock as specified below) is referred to herein as the "Merger Consideration". The Acquiror Preferred Stock to be received as consideration pursuant to the Merger by each holder of Series B Preferred Stock is referred to herein as the "Preferred Merger Consideration."</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word "Subsidiary" when used with respect to any Person means any other Person, whether incorporated or unincorporated, of which (i) more than fifty percent of the securities or other ownership interests or (ii) securities or other interests having by their terms ordinary voting power to elect more than fifty percent of the board of directors or others performing similar functions with respect to such corporation or other organization, is directly owned or controlled by such Person or by any one or more of its Subsidiaries. For purposes of this Agreement, "Person" means an individual, a corporation, a limited liability company, a partnership, an association, a trust or any other entity or organization, including a government or political subdivision or any agency or instrumentality thereof.</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1.03. Surrender and Payment. (a) Prior to the Effective Time, Acquiror shall appoint an agent reasonably acceptable to the Company (the "Exchange Agent") for the purpose of exchanging certificates representing Shares or Series B Preferred Stock (the "Certificates") for the Merger Consideration or Preferred Merger Consideration, as applicable. Acquiror will make available to the Exchange Agent, as needed, the Merger Consideration and Preferred Merger Consideration to be paid in respect of the Shares and the Series B Preferred Stock, respectively. Promptly after the Effective Time, Acquiror will send, or will cause the Exchange Agent to send, to each holder of record at the Effective Time of Shares and Series B Preferred Stock a letter of transmittal for use in such exchange (which shall specify that the delivery shall be effected, and risk of loss and title shall pass, only upon proper delivery of the Certificates to the Exchange Agent) in such form as the Company and Acquiror may reasonably agree, for use in effecting delivery of Shares and Series B Preferred Stock to the Exchange Agent.</w:t>
      </w:r>
    </w:p>
    <w:p>
      <w:pPr>
        <w:spacing w:after="0" w:line="172" w:lineRule="exact"/>
        <w:rPr>
          <w:sz w:val="20"/>
          <w:szCs w:val="20"/>
          <w:color w:val="auto"/>
        </w:rPr>
      </w:pPr>
    </w:p>
    <w:p>
      <w:pPr>
        <w:ind w:right="3339" w:firstLine="439"/>
        <w:spacing w:after="0" w:line="251" w:lineRule="auto"/>
        <w:tabs>
          <w:tab w:leader="none" w:pos="7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Shares that have been converted into a right to receive the Merger Consideration, upon surrender to the Exchange Agent of a Certificate, together with a properly completed letter of transmittal, will be entitled to receive the Merger Consideration in respect of the Shares represented by such Certificate. Until so surrendered, each such Certificate shall, after the Effective Time, represent for all purposes only the right to receive such Merger Consideration. Each holder of Series B Preferred Stock that has been converted into a right to receive the Preferred Merger Consideration, upon surrender to the Exchange Agent of a Certificate, together with a properly completed letter of transmittal, will be entitled to receive the Preferred Merger Consideration in respect of the Series B Preferred Stock represented by such Certificate. Until so surrendered, each such Certificate shall, after the Effective Time, represent for all purposes only the right to receive such Preferred Merger Consideration.</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portion of the Merger Consideration or the Preferred Merger Consideration is to be paid to a Person other than the Person in whose name the Certificate is registered, it shall be a condition to such payment that the Certificate so surrendered shall be properly endorsed or otherwise be in proper form for transfer and that the Person requesting such payment shall pay to the Exchange Agent any transfer or other taxes required as a result of such payment to a Person other than the registered holder of such Certificate or establish to the satisfaction of the Exchange Agent that such tax has been paid or is not payable.</w:t>
      </w:r>
    </w:p>
    <w:p>
      <w:pPr>
        <w:spacing w:after="0" w:line="32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there shall be no further registration of transfers of Shares or Series B Preferred Stock. If, after the Effective Time, Certificates are presented to the Surviving Corporation, they shall be canceled and exchanged for the consideration provided for, and in accordance with the procedures set forth, in this Article 1.</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portion of the Merger Consideration or the Preferred Merger Consideration made available to the Exchange Agent pursuant to Section 1.03(a) that remains unclaimed by the holders of Shares or Series B Preferred Stock one year after the Effective Time shall be returned to Acquiror, upon demand, and any such holder who has not</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exchanged his Shares for the Merger Consideration or the Series B Preferred Stock for the Preferred Merger Consideration, as applicable, in accordance with this Section prior to that time shall thereafter look only to Acquiror for payment of the Merger Consideration in respect of his Shares or the Preferred Merger Consideration in respect of the Series B Preferred Stock. Notwithstanding the foregoing, Acquiror shall not be liable to any holder of Shares or Series B Preferred Stock for any amount paid to a public official pursuant to applicable abandoned property laws. Any amounts remaining unclaimed by holders of Shares or Series B Preferred Stock three years after the Effective Time (or such earlier date immediately prior to such time as such amounts would otherwise escheat to or become property of any governmental entity) shall, to the extent permitted by applicable law, become the property of Acquiror free and clear of any claims or interest of any Person previously entitled thereto.</w:t>
      </w:r>
    </w:p>
    <w:p>
      <w:pPr>
        <w:spacing w:after="0" w:line="162" w:lineRule="exact"/>
        <w:rPr>
          <w:sz w:val="20"/>
          <w:szCs w:val="20"/>
          <w:color w:val="auto"/>
        </w:rPr>
      </w:pPr>
    </w:p>
    <w:p>
      <w:pPr>
        <w:ind w:right="3339" w:firstLine="439"/>
        <w:spacing w:after="0" w:line="250" w:lineRule="auto"/>
        <w:tabs>
          <w:tab w:leader="none" w:pos="77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distributions with respect to Acquiror Common Stock or Acquiror Preferred Stock issued in the Merger shall be paid to the holder of any unsurrendered Certificates until such Certificates are surrendered as provided in this Section. Subject to the effect of applicable laws, following such surrender, there shall be paid, without interest, to the record holder of the Acquiror Common Stock or Acquiror Preferred Stock, as appropriate, issued in exchange therefor (i) at the time of such surrender, all dividends and other distributions payable in respect of such Acquiror Common Stock or Acquiror Preferred Stock, as the case may be, with a record date after the Effective Time and a payment date on or prior to the date of such surrender and not previously paid and (ii) at the appropriate payment date, the dividends or other distributions payable with respect to such Acquiror Common Stock or Acquiror Preferred Stock, as the case may be, with a record date after the Effective Time but with a payment date subsequent to such surrender. For purposes of dividends or other distributions in respect of Acquiror Common Stock and Acquiror Preferred Stock, all Acquiror Common Stock and Acquiror Preferred Stock to be issued pursuant to the Merger (but not options therefor issued pursuant to Section 1.04 unless actually exercised at the Effective Time) shall be entitled to dividends pursuant to the immediately preceding sentence as if issued and outstanding as of the Effective Time.</w:t>
      </w:r>
    </w:p>
    <w:p>
      <w:pPr>
        <w:spacing w:after="0" w:line="17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1.04. Stock Options. (a) At the Effective Time, each outstanding option to purchase Shares (a "Company Stock Option") granted under the Company's plans identified in Schedule 1.04 as being the only compensation or benefit plans or agreements pursuant to which Shares may be issued (collectively, the "Company Stock Option Plans"), whether vested or not vested, shall be deemed assumed by Acquiror and shall thereafter be deemed to constitute an option to acquire, on the same terms and conditions as were applicable under such Company Stock Option prior to the Effective Time (in accordance with the past practice of the Company with respect to interpretation and application of such terms and conditions), the number (rounded down to the nearest whole number) of shares of Acquiror Common Stock determined by multiplying (x) the number of Shares subject to such Company Stock Option immediately prior to the Effective Time by (y) the Exchange Ratio, at a price per share of Acquiror Common Stock (rounded up to the nearest whole cent) equal to (A) the exercise price per Share otherwise purchasable pursuant to such Company Stock Option divided by (B) the Exchange Ratio. In addition, prior to the Effective Time, the Company will make any amendments to the terms of such stock option or compensation plans or arrangements that are necessary to give effect to the transactions contemplated by this Section. The Company represents that no consents are necessary to give effect to the transactions contemplated by this Section.</w:t>
      </w:r>
    </w:p>
    <w:p>
      <w:pPr>
        <w:spacing w:after="0" w:line="174" w:lineRule="exact"/>
        <w:rPr>
          <w:sz w:val="20"/>
          <w:szCs w:val="20"/>
          <w:color w:val="auto"/>
        </w:rPr>
      </w:pPr>
    </w:p>
    <w:p>
      <w:pPr>
        <w:ind w:right="3679" w:firstLine="439"/>
        <w:spacing w:after="0" w:line="252"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take all corporate action necessary to reserve for issuance a sufficient number of shares of Acquiror Common Stock and Acquiror Preferred Stock for delivery pursuant to the terms set forth in this Section 1.04.</w:t>
      </w:r>
    </w:p>
    <w:p>
      <w:pPr>
        <w:spacing w:after="0" w:line="162" w:lineRule="exact"/>
        <w:rPr>
          <w:rFonts w:ascii="Courier New" w:cs="Courier New" w:eastAsia="Courier New" w:hAnsi="Courier New"/>
          <w:sz w:val="14"/>
          <w:szCs w:val="14"/>
          <w:color w:val="auto"/>
        </w:rPr>
      </w:pPr>
    </w:p>
    <w:p>
      <w:pPr>
        <w:ind w:right="3519" w:firstLine="439"/>
        <w:spacing w:after="0" w:line="250"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award or account (including restricted stock, stock equivalents and stock units, but excluding Company Stock Options) outstanding as of the date hereof ("Company Award") that has been established, made or granted under any employee incentive or benefit plans, programs or arrangements and non-employee director plans maintained by the Company on</w:t>
      </w:r>
    </w:p>
    <w:p>
      <w:pPr>
        <w:spacing w:after="0" w:line="2" w:lineRule="exact"/>
        <w:rPr>
          <w:rFonts w:ascii="Courier New" w:cs="Courier New" w:eastAsia="Courier New" w:hAnsi="Courier New"/>
          <w:sz w:val="14"/>
          <w:szCs w:val="14"/>
          <w:color w:val="auto"/>
        </w:rPr>
      </w:pPr>
    </w:p>
    <w:p>
      <w:pPr>
        <w:ind w:right="37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prior to the date hereof which provide for grants of equity-based awards or equity-based accounts shall be amended or converted into a similar instrument of Acquiror, in each case with such adjustments to the terms and conditions of such Company Awards as are appropriate to preserve the value inherent in such Company Awards with no detrimental effects on the holders thereof. The other terms and conditions of each Company Award, and the plans or agreements under which they were issued, shall continue to apply</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16" w:right="1440" w:bottom="1440" w:gutter="0" w:footer="0" w:header="0"/>
        </w:sectPr>
      </w:pPr>
    </w:p>
    <w:bookmarkStart w:id="145" w:name="page146"/>
    <w:bookmarkEnd w:id="14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in accordance with their terms and conditions, including any provisions for acceleration (as such terms and conditions have been interpreted and applied by the Company in accordance with its past practice). The Company represents that (i) there are no Company Awards or Company Stock Options other than those reflected in Section 3.05 and (ii) all employee incentive or benefit plans, programs or arrangements and non-employee director plans under which any Company Award has been established, made or granted and all Company Stock Option Plans are disclosed in Schedule 1.04.</w:t>
      </w:r>
    </w:p>
    <w:p>
      <w:pPr>
        <w:spacing w:after="0" w:line="164" w:lineRule="exact"/>
        <w:rPr>
          <w:sz w:val="20"/>
          <w:szCs w:val="20"/>
          <w:color w:val="auto"/>
        </w:rPr>
      </w:pPr>
    </w:p>
    <w:p>
      <w:pPr>
        <w:ind w:right="3339" w:firstLine="439"/>
        <w:spacing w:after="0" w:line="251" w:lineRule="auto"/>
        <w:tabs>
          <w:tab w:leader="none" w:pos="77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Acquiror shall file with the Securities and Exchange Commission (the "SEC") a registration statement on an appropriate form or a post-effective amendment to a previously filed registration statement under the Securities Act of 1933, as amended (the "1933 Act"), with respect to the Acquiror Common Stock subject to options and other equity-based awards issued pursuant to this Section 1.04, and shall use its reasonable best efforts to maintain the current status of the prospectus contained therein, as well as comply with any applicable state securities or "blue sky" laws, for so long as such options or other equity-based awards remain outstanding.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1.05. Adjustments. If at any time during the period between the date of this Agreement and the Effective Time, any change in the outstanding shares of capital stock of Acquiror or the Company (other than as contemplated in Section 3.05 or Section 4.05 or permitted under this Agreement) shall occur, including, without limitation, by reason of any reclassification, recapitalization, stock split or combination, exchange or readjustment of shares, or any stock dividend thereon with a record date during such period, the Merger Consideration and Preferred Merger Consideration shall be appropriately adjusted.</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1.06. Fractional Shares. (a) No fractional shares of Acquiror Common Stock shall be issued in the Merger, but in lieu thereof each holder of Shares otherwise entitled to a fractional share of Acquiror Common Stock will be entitled to receive, from the Exchange Agent in accordance with the provisions of this Section 1.06, a cash payment in lieu of such fractional shares of Acquiror Common Stock representing such holder's proportionate interest, if any, in the proceeds from the sale by the Exchange Agent in one or more transactions of the number of shares of Acquiror Common Stock delivered to the Exchange Agent by Acquiror pursuant to Section 1.03(a) over the aggregate number of whole shares of Acquiror Common Stock to be distributed to the holders of the certificates representing Shares pursuant to Section 1.03(b) (such excess being herein called the "Excess Shares"). The parties acknowledge that payment of the cash consideration in lieu of issuing fractional shares was not separately bargained for consideration but merely represents a mechanical rounding off for purposes of simplifying the corporate and accounting problems that would otherwise be caused by the issuance of fractional shares. As soon as practicable after the Effective Time, the Exchange Agent, as agent for the holders of the certificates representing Shares, shall sell the Excess Shares at then prevailing prices on the New York Stock Exchange (the "NYSE") in the manner provided in the following paragraph.</w:t>
      </w:r>
    </w:p>
    <w:p>
      <w:pPr>
        <w:spacing w:after="0" w:line="340" w:lineRule="exact"/>
        <w:rPr>
          <w:sz w:val="20"/>
          <w:szCs w:val="20"/>
          <w:color w:val="auto"/>
        </w:rPr>
      </w:pPr>
    </w:p>
    <w:p>
      <w:pPr>
        <w:ind w:right="3339" w:firstLine="439"/>
        <w:spacing w:after="0" w:line="250"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Excess Shares by the Exchange Agent, as agent for the holders that would otherwise receive fractional shares, shall be executed on the NYSE through one or more member firms of the NYSE and shall be executed in round lots to the extent practicable. The compensation payable to the Exchange Agent and the expenses incurred by the Exchange Agent, in each case, in connection with such sale or sales of the Excess Shares, and all related commissions, transfer taxes and other out-of-pocket transaction costs, will be paid by the Surviving Corporation out of its own funds and will not be paid directly or indirectly by Acquiror. Until the proceeds of such sale or sales have been distributed to the holders of Shares, the Exchange Agent shall hold such proceeds in trust for the holders of Shares (the "Common Shares Trust"). The Exchange Agent shall determine the portion of the Common Shares Trust to which each holder of Shares shall be entitled, if any, by multiplying the amount of the aggregate proceeds comprising the Common Shares Trust by a fraction,</w:t>
      </w:r>
    </w:p>
    <w:p>
      <w:pPr>
        <w:spacing w:after="0" w:line="6" w:lineRule="exact"/>
        <w:rPr>
          <w:rFonts w:ascii="Courier New" w:cs="Courier New" w:eastAsia="Courier New" w:hAnsi="Courier New"/>
          <w:sz w:val="14"/>
          <w:szCs w:val="14"/>
          <w:color w:val="auto"/>
        </w:rPr>
      </w:pPr>
    </w:p>
    <w:p>
      <w:pPr>
        <w:ind w:right="37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is the amount of the fractional share interest to which such holder of Shares would otherwise be entitled and the denominator of which is the aggregate amount of fractional share interests to which all holders of Shares would otherwise be entitled.</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6"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519" w:firstLine="439"/>
        <w:spacing w:after="0" w:line="252" w:lineRule="auto"/>
        <w:tabs>
          <w:tab w:leader="none" w:pos="77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determination of the amount of cash, if any, to be paid to holders of Shares in lieu of any fractional shares of Acquiror Common Stock, the Exchange Agent shall make available such amounts to such holders of Shares without interest.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1.07. Withholding Rights. Each of the Surviving Corporation and Acquiror shall be entitled to deduct and withhold from the consideration otherwise payable to any person pursuant to this Article such amounts as it is required to deduct and withhold with respect to the making of such payment under any provision of federal, state, local or foreign tax law. To the extent that amounts are so withheld by the Surviving Corporation or Acquiror, as the case may be, such withheld amounts shall be treated for all purposes of this Agreement as having been paid to the holder of the Shares in respect of which such deduction and withholding was made by the Surviving Corporation or Acquiror, as the case may be.</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1.08. Lost Certificates.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or Preferred Merger Consideration to be paid in respect of the Shares or Series B Preferred Stock, as applicable, represented by such Certificates as contemplated by this Article.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1.09. Shares Held by Company Affiliates. Anything to the contrary herein notwithstanding, any shares of Acquiror Common Stock (or certificates therefor) issued to affiliates of the Company pursuant to Section 1.03 shall be subject to the restrictions described in Exhibit B-1 and Exhibit B-3, and such shares (or certificates therefor) shall bear a legend describing such restrictions.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1.10. Dissenter's Rights. Notwithstanding anything in this Agreement to the contrary, any shares of Series B Preferred Stock outstanding immediately prior to the Effective Time and held by a holder who has not voted in favor of the Merger or consented thereto in writing and who has delivered a written demand for appraisal of such shares in accordance with Section 262 of the Delaware Law, if such Section 262 provides for appraisal rights for such shares in the Merger ("Dissenting Shares"), shall not be converted into the right to receive the Preferred Merger Consideration, unless and until such holder fails to perfect or effectively withdraws or otherwise loses his right to appraisal and payment under the Delaware Law. If, after the Effective Time, any such holder fails to perfect or effectively withdraws or loses his right to appraisal, such Dissenting Shares shall thereupon be treated as if they had been converted as of the Effective Time into the right to receive the Preferred Merger Consideration to which such holder is entitled, without interest or dividends thereon. Any amounts paid to holders of Dissenting Shares in an appraisal proceeding will be paid by the Surviving Corporation out of its own funds and will not be paid, directly or indirectly, by Acquiror.</w:t>
      </w:r>
    </w:p>
    <w:p>
      <w:pPr>
        <w:spacing w:after="0" w:line="33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2</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CERTAIN GOVERNANCE MATTERS</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SECTION 2.01. Acquiror Name. Acquiror shall take all such action as is necessary to change its name to "Exxon Mobil Corporation" effective as of the Effective Time, which action shall include, without limitation, seeking stockholder approval to amend Acquiror's certificate of incorporation as provided in Section 6.04.</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2.02. Acquiror Board of Directors. (a) At the Effective Time, Acquiror shall cause the Board of Directors of Acquiror to consist of not more than 19 directors, up to 13 of whom shall be the directors of Acquiror prior to the Effective Time and six of whom shall be directors designated prior to the Effective Time by the Company</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616" w:right="1440" w:bottom="1440" w:gutter="0" w:footer="0" w:header="0"/>
        </w:sectPr>
      </w:pPr>
    </w:p>
    <w:bookmarkStart w:id="147" w:name="page148"/>
    <w:bookmarkEnd w:id="14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reasonably acceptable to Acquiror (of whom two shall be Persons who immediately prior to the Effective Time were directors and executive officers of the Company and four shall be Persons who immediately prior to the Effective Time were directors but not executive officers of the Company) (the "Company Board Designees"). Prior to the Effective Time, the Board of Directors of Acquiror shall take all action necessary to amend the by-laws of Acquiror to increase the size of the Board of Directors of Acquiror to not more than 19 and to elect the Company Board Designees to the Board of Directors of Acquiror, in each case as of the Effective Time.</w:t>
      </w:r>
    </w:p>
    <w:p>
      <w:pPr>
        <w:spacing w:after="0" w:line="164" w:lineRule="exact"/>
        <w:rPr>
          <w:sz w:val="20"/>
          <w:szCs w:val="20"/>
          <w:color w:val="auto"/>
        </w:rPr>
      </w:pPr>
    </w:p>
    <w:p>
      <w:pPr>
        <w:ind w:right="3339" w:firstLine="439"/>
        <w:spacing w:after="0" w:line="252"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Acquiror shall take all action necessary to cause Mr. Lucio A. Noto to be elected as Vice Chairman of the Board of Directors of Acquiror as of the Effective Time.</w:t>
      </w:r>
    </w:p>
    <w:p>
      <w:pPr>
        <w:spacing w:after="0" w:line="162"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cause there to be at least one Company Board Designee on each of the Audit Committee and Compensation Committee of the Board of Directors of Acquiror as of the Effective Time.</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occurs on a date which is less than nine months before the next regularly scheduled annual meeting of stockholders of Acquiror, Acquiror further agrees to use all reasonable efforts necessary to (i) nominate the Company Board Designees for election as directors, (ii) elect Mr. Lucio A. Noto as Vice Chairman of the Board of Directors of Acquiror, and (iii) cause at least one Company Board Designee to be on each of the Audit Committee and Compensation Committee of the Board of Directors of Acquiror, in each case in connection with and as of such next regularly scheduled annual meeting.</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2.03. Transition Committee. The parties agree to establish a Transition Committee which will have a consultative role and which will be in effect from the date hereof until the earlier of the termination hereof and the Effective Time. The Transition Committee shall be comprised of Mr. Lee R. Raymond and Mr. Lucio A. Noto. The Transition Committee will be concerned with matters relating to planning the integration after the Effective Time of Acquiror and the Company, including organization and staffing. The Transition Committee will draw upon the resources of Acquiror and the Company as necessary or appropriate.</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2.04. Certificate of Incorporation of the Surviving Corporation. The certificate of incorporation of the Company in effect at the Effective Time shall be the certificate of incorporation of the Surviving Corporation until amended in accordance with applicable law.</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2.05. By-laws of the Surviving Corporation. The by-laws of Merger Subsidiary in effect at the Effective Time shall be the by-laws of the Surviving Corporation until amended in accordance with applicable law.</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2.06. Directors and Officers of the Surviving Corporation. From and after the Effective Time, until successors are duly elected or appointed and qualified in accordance with applicable law, (a) the directors of Merger Subsidiary at the Effective Time shall be the directors of the Surviving Corporation, and (b) the officers of the Company at the Effective Time shall be the officers of the Surviving Corporation.</w:t>
      </w:r>
    </w:p>
    <w:p>
      <w:pPr>
        <w:spacing w:after="0" w:line="33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3</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REPRESENTATIONS AND WARRANTIES OF THE COMPANY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represents and warrants to Acquiror that:</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SECTION 3.01. Corporate Existence and Power. The Company is a corporation duly incorporated, validly existing and in good standing under the laws of the State of Delaware, and has all corporate powers and all governmental licenses, authorizations, consents and approvals required to carry on its business as now conducted, except for those the absence of which would not, individually or in the aggregate, have a Material Adverse Effect on the Company. The</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616"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Company is duly qualified to do business as a foreign corporation and is in good standing in each jurisdiction where the character of the property owned or leased by it or the nature of its activities makes such qualification necessary, except for those jurisdictions where the failure to be so qualified would not, individually or in the aggregate, have a Material Adverse Effect on the Company. For purposes of this Agreement, a "Material Adverse Effect" with respect to any Person means a material adverse effect on the financial condition, business, liabilities, properties, assets or results of operations, taken as a whole, of such Person and its Subsidiaries, taken as a whole, except to the extent resulting from (w) any changes in general United States or global economic conditions, (x) any changes affecting the oil and gas industry in general,</w:t>
      </w:r>
    </w:p>
    <w:p>
      <w:pPr>
        <w:spacing w:after="0" w:line="5" w:lineRule="exact"/>
        <w:rPr>
          <w:sz w:val="20"/>
          <w:szCs w:val="20"/>
          <w:color w:val="auto"/>
        </w:rPr>
      </w:pPr>
    </w:p>
    <w:p>
      <w:pPr>
        <w:ind w:right="3779" w:firstLine="8"/>
        <w:spacing w:after="0" w:line="251" w:lineRule="auto"/>
        <w:tabs>
          <w:tab w:leader="none" w:pos="34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matters whose significance or impact would reasonably be expected to be primarily short term (i.e., under 18 months) or (z) matters disclosed on Schedule 3.01. The Company has heretofore delivered to Acquiror true and complete copies of the Company's certificate of incorporation and by-laws as currently in effect.</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3.02. Corporate Authorization. (a) The execution, delivery and performance by the Company of this Agreement and the Option Agreement and the consummation by the Company of the transactions contemplated hereby and thereby are within the Company's corporate powers and, except for any required approval by the Company's stockholders in connection with the consummation of the Merger, have been duly authorized by all necessary corporate action. The affirmative vote of holders of the outstanding Shares and outstanding shares of Series B Preferred Stock having votes representing a majority of the votes of all such outstanding capital stock, voting together as a single class, is the only vote of the holders of any of the Company's capital stock necessary in connection with consummation of the Merger. Assuming due authorization, execution and delivery of this Agreement and the Option Agreement by Acquiror and Merger Subsidiary, as applicable, each of this Agreement and the Option Agreement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w:t>
      </w:r>
    </w:p>
    <w:p>
      <w:pPr>
        <w:spacing w:after="0" w:line="339" w:lineRule="exact"/>
        <w:rPr>
          <w:sz w:val="20"/>
          <w:szCs w:val="20"/>
          <w:color w:val="auto"/>
        </w:rPr>
      </w:pPr>
    </w:p>
    <w:p>
      <w:pPr>
        <w:ind w:right="3419" w:firstLine="439"/>
        <w:spacing w:after="0" w:line="251" w:lineRule="auto"/>
        <w:tabs>
          <w:tab w:leader="none" w:pos="77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Board of Directors, at a meeting duly called and held, has (i) determined that this Agreement and the Option Agreement and the transactions contemplated hereby and thereby (including the Merger) are fair to and in the best interests of the Company's stockholders, (ii) approved and adopted this Agreement and the Option Agreement and the transactions contemplated hereby and thereby (including the Merger), and (iii) resolved (subject to Section 5.02) to recommend approval and adoption of this Agreement by its stockholders.</w:t>
      </w:r>
    </w:p>
    <w:p>
      <w:pPr>
        <w:spacing w:after="0" w:line="33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3.03. Governmental Authorization. The execution, delivery and performance by the Company of this Agreement and the Option Agreement and the consummation of the Merger by the Company require no action by or in respect of, or filing with, any governmental body, agency, official or authority other than</w:t>
      </w:r>
    </w:p>
    <w:p>
      <w:pPr>
        <w:spacing w:after="0" w:line="2" w:lineRule="exact"/>
        <w:rPr>
          <w:sz w:val="20"/>
          <w:szCs w:val="20"/>
          <w:color w:val="auto"/>
        </w:rPr>
      </w:pPr>
    </w:p>
    <w:p>
      <w:pPr>
        <w:ind w:right="3519" w:firstLine="8"/>
        <w:spacing w:after="0" w:line="250" w:lineRule="auto"/>
        <w:tabs>
          <w:tab w:leader="none" w:pos="34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 certificate of merger in accordance with Delaware Law, (b) compliance with any applicable requirements of the Hart-Scott-Rodino Antitrust Improvements Act of 1976 (the "HSR Act"), (c) compliance with any applicable requirements of Council Regulation No. 4064/89 of the European Community, as amended (the "EC Merger Regulation"), (d) compliance with any applicable requirements of Part IX of the Canadian Competition Act (the "Canadian Act"),</w:t>
      </w:r>
    </w:p>
    <w:p>
      <w:pPr>
        <w:spacing w:after="0" w:line="2" w:lineRule="exact"/>
        <w:rPr>
          <w:rFonts w:ascii="Courier New" w:cs="Courier New" w:eastAsia="Courier New" w:hAnsi="Courier New"/>
          <w:sz w:val="14"/>
          <w:szCs w:val="14"/>
          <w:color w:val="auto"/>
        </w:rPr>
      </w:pPr>
    </w:p>
    <w:p>
      <w:pPr>
        <w:jc w:val="both"/>
        <w:ind w:right="3519" w:firstLine="8"/>
        <w:spacing w:after="0" w:line="250" w:lineRule="auto"/>
        <w:tabs>
          <w:tab w:leader="none" w:pos="344"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any applicable requirements of the Securities Exchange Act of 1934, as amended, and the rules and regulations promulgated thereunder (the "Exchange Act"), (f) compliance with any applicable requirements of the</w:t>
      </w:r>
    </w:p>
    <w:p>
      <w:pPr>
        <w:spacing w:after="0" w:line="1"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and (g) other actions or filings which if not taken or made would not, individually or in the aggregate, have a Material Adverse Effect on the Company.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3.04. Non-Contravention. Except as set forth in Schedule 3.04, the execution, delivery and performance by the Company of this Agreement and the Option Agreement and the consummation by the Company of the transactions contemplated hereby and thereby do not and will not (a) assuming compliance with the matters referred to in Section 3.02, contravene or conflict with the certificate of incorporation or by-laws of the Company, (b) assuming compliance with the matters referred to in Section 3.03, contravene or conflict with or constitute a violation of any provision of any law, regulation, judgment, injunction, order or decree binding upon or applicable to the Company or any of its Subsidiaries, (c) constitute a default under or give rise to a right of termination, cancellation or acceleration of any right or obligation of the Company or any of its Subsidiaries or to a loss of any benefit to which the Company</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616" w:right="1440" w:bottom="1440" w:gutter="0" w:footer="0" w:header="0"/>
        </w:sectPr>
      </w:pPr>
    </w:p>
    <w:bookmarkStart w:id="149" w:name="page150"/>
    <w:bookmarkEnd w:id="14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or any of its Subsidiaries is entitled under any provision of any agreement, contract or other instrument binding upon the Company or any of its Subsidiaries or any license, franchise, permit or other similar authorization held by the Company or any of its Subsidiaries, or (d) result in the creation or imposition of any Lien on any asset of the Company or any of its Subsidiaries, except for such contraventions, conflicts or violations referred to in clause (b) or defaults, rights of termination, cancellation or acceleration, or losses or Liens referred to in clause (c) or (d) that would not, individually or in the aggregate, have a Material Adverse Effect on the Company. For purposes of this Agreement, "Lien" means, with respect to any asset, any mortgage, lien, pledge, charge, security interest or encumbrance of any kind in respect of such asset other than any such mortgage, lien, pledge, charge, security interest or encumbrance (i) for Taxes (as defined in Section 3.13) not yet due or being contested in good faith (and for which adequate accruals or reserves have been established on the Acquiror Balance Sheet or the Company Balance Sheet, as the case may be) or (ii) which is a carriers', warehousemen's, mechanics', materialmen's, repairmen's or other like lien arising in the ordinary course of business. Except as disclosed in Schedule 3.04, neither the Company nor any Subsidiary of the Company is a party to any agreement that expressly limits the ability of the Company or any Subsidiary of the Company, or would limit Acquiror or any Subsidiary of Acquiror after the Effective Time, to compete in or conduct any line of business or compete with any Person or in any geographic area or during any period of time except to the extent that any such limitation, individually or in the aggregate, would not be reasonably likely to have a Material Adverse Effect on Acquiror after the Effective Time.</w:t>
      </w:r>
    </w:p>
    <w:p>
      <w:pPr>
        <w:spacing w:after="0" w:line="34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3.05. Capitalization of the Company. The authorized capital stock of the Company consists of 1,200,000,000 Shares and 30,000,000 shares of preferred stock, par value $1.00 per share (of which 6,000,000 shares are designated Series A Junior Participating Preferred Stock and 191,062 are designated Series B Preferred Stock). As of the close of business on November 27, 1998, there were outstanding 779,934,096 Shares, no shares of Series A Junior Participating Preferred Stock (all of which are reserved for issuance in accordance with the Rights Agreement (the "Company Rights Agreement"), dated as of December 15, 1995, between the Company and Mellon Bank, N.A., as Rights Agent, pursuant to which the Company has issued rights ("Company Rights") to purchase the Series A Junior Participating Preferred Stock) and 165,791.77 shares of Series B Preferred Stock, and employee stock options to purchase an aggregate of 31,337,561 Shares (of which options to purchase an aggregate of 19,313,161 Shares were exercisable) and Company Awards (other than outstanding restricted stock) with respect to an aggregate of 1,257,513.9444 Shares. All outstanding shares of capital stock of the Company have been duly authorized and validly issued and are fully paid and nonassessable. Except as set forth in this Section and except for changes since the close of business on November 27, 1998 resulting from the exercise of employee stock options outstanding on such date or options or stock-based awards granted as permitted by Section 5.01, there are outstanding (a) no shares of capital stock or other voting securities of the Company, (b) except for the Series B Preferred Stock, no securities of the Company convertible into or exchangeable for shares of capital stock or voting securities of the Company, and (c) except for the Series B Preferred Stock, and except for the Option Agreement, no options, warrants or other rights to acquire from the Company, and no preemptive or similar rights, subscription or other rights, convertible securities, agreements, arrangements or commitments of any character, relating to the capital stock of the Company, obligating the Company to issue, transfer or sell, any capital stock, voting securities or securities convertible into or exchangeable for capital stock or voting securities of</w:t>
      </w:r>
    </w:p>
    <w:p>
      <w:pPr>
        <w:spacing w:after="0" w:line="1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Company or obligating the Company to grant, extend or enter into any such option, warrant, subscription or other right, convertible security, agreement, arrangement or commitment (the items in clauses 3.05(a), 3.05(b) and 3.05(c) being referred to collectively as the "Company Securities"). Except for the Series B Preferred Stock, there are no outstanding obligations of the Company or any of its Subsidiaries to repurchase, redeem or otherwise acquire any Company Securities.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3.06. Subsidiaries. (a) Each Subsidiary of the Company is duly organized, validly existing and in good standing under the laws of its jurisdiction of organization, has all powers and all governmental licenses, authorizations, consents and approvals required to carry on its business as now conducted, except for those the absence of which would not, individually or in the aggregate, reasonably be expected to have a Material Adverse Effect on the Company. Each Subsidiary of the Company is duly qualified to do business and is in good standing in each jurisdiction where the character of the property owned or leased by it or the nature of its activities makes such qualification necessary, except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782"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for those jurisdictions where failure to be so qualified would not, individually or in the aggregate, have a Material Adverse Effect on the Company. All "significant subsidiaries", as such term is defined in Section 1-02 of Regulation S-X under the Exchange Act (each, a "Significant Subsidiary") of the Company and their respective jurisdictions of incorporation are identified in the Company's annual report on Form 10-K for the fiscal year ended December 31, 1997 (the "Company 10-K") or in Schedule 3.06(a).</w:t>
      </w:r>
    </w:p>
    <w:p>
      <w:pPr>
        <w:spacing w:after="0" w:line="164" w:lineRule="exact"/>
        <w:rPr>
          <w:sz w:val="20"/>
          <w:szCs w:val="20"/>
          <w:color w:val="auto"/>
        </w:rPr>
      </w:pPr>
    </w:p>
    <w:p>
      <w:pPr>
        <w:ind w:right="3339" w:firstLine="439"/>
        <w:spacing w:after="0" w:line="250"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directors' qualifying shares and except as set forth in the Company 10-K, all of the outstanding capital stock of, or other ownership interests in, each Significant Subsidiary of the Company is owned by the Company, directly or indirectly, free and clear of any material Lien and free of any other material limitation or restriction (including any restriction on the right to vote, sell or otherwise dispose of such capital stock or other ownership interests). There are no outstanding (i) securities of the Company or any of its Subsidiaries convertible into or exchangeable for shares of capital stock or other voting securities or ownership interests in any Significant Subsidiary of the Company or (ii) options, warrants or other rights to acquire from the Company or any of its Significant Subsidiaries, and no preemptive or similar rights, subscription or other rights, convertible securities, agreements, arrangements or commitments of any character, relating to the capital stock of any Significant Subsidiary of the Company, obligating the Company or any of its Significant Subsidiaries to issue, transfer or sell, any capital stock, voting securities or other ownership interests in, or any securities convertible into or exchangeable for any capital stock, voting securities or ownership interests in, any Significant Subsidiary of the Company or obligating the Company or any Significant Subsidiary of the Company to grant, extend or enter into any such option, warrant, subscription or other right, convertible security, agreement, arrangement or commitment except, in any such case under clause (i) or (ii), to the extent relating to an insignificant equity interest in any Significant Subsidiary (the items in clauses 3.06(b)(i) and 3.06(b)(ii) being referred to collectively as the "Company Subsidiary Securities"). Except as set forth on Schedule 3.06(b), there are no outstanding obligations of the Company or any of its Subsidiaries to repurchase, redeem or otherwise acquire any outstanding Company Subsidiary Securities.</w:t>
      </w:r>
    </w:p>
    <w:p>
      <w:pPr>
        <w:spacing w:after="0" w:line="17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3.07. SEC Filings. (a) The Company has delivered to Acquiror (i) its annual reports on Form 10-K for its fiscal years ended December 31, 1995, 1996 and 1997, (ii) its quarterly reports on Form 10-Q for its fiscal quarters ended after December 31, 1997, (iii) its proxy or information statements relating to meetings of, or actions taken without a meeting by, the stockholders of the Company held since December 31, 1997, and (iv) all of its other reports, statements, schedules and registration statements filed with the SEC since December 31, 1997 (the documents referred to in this Section 3.07(a) being referred to collectively as the "Company SEC Documents"). The Company's quarterly report on Form 10-Q for its fiscal quarter ended September 30, 1998 is referred to herein as the "Company 10-Q".</w:t>
      </w:r>
    </w:p>
    <w:p>
      <w:pPr>
        <w:spacing w:after="0" w:line="163" w:lineRule="exact"/>
        <w:rPr>
          <w:sz w:val="20"/>
          <w:szCs w:val="20"/>
          <w:color w:val="auto"/>
        </w:rPr>
      </w:pPr>
    </w:p>
    <w:p>
      <w:pPr>
        <w:ind w:right="3339" w:firstLine="439"/>
        <w:spacing w:after="0" w:line="252"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 date, each Company SEC Document complied as to form in all material respects with the applicable requirements of the Exchange Act and the 1933 Act.</w:t>
      </w:r>
    </w:p>
    <w:p>
      <w:pPr>
        <w:spacing w:after="0" w:line="162" w:lineRule="exact"/>
        <w:rPr>
          <w:rFonts w:ascii="Courier New" w:cs="Courier New" w:eastAsia="Courier New" w:hAnsi="Courier New"/>
          <w:sz w:val="14"/>
          <w:szCs w:val="14"/>
          <w:color w:val="auto"/>
        </w:rPr>
      </w:pPr>
    </w:p>
    <w:p>
      <w:pPr>
        <w:jc w:val="both"/>
        <w:ind w:right="3419" w:firstLine="439"/>
        <w:spacing w:after="0" w:line="252"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 date, each Company SEC Document filed pursuant to the Exchange Act did not contain any untrue statement of a material fact or omit to state any material fact necessary in order to make the statements made therein, in the light of the circumstances under which they were made, not misleading.</w:t>
      </w:r>
    </w:p>
    <w:p>
      <w:pPr>
        <w:spacing w:after="0" w:line="162" w:lineRule="exact"/>
        <w:rPr>
          <w:rFonts w:ascii="Courier New" w:cs="Courier New" w:eastAsia="Courier New" w:hAnsi="Courier New"/>
          <w:sz w:val="14"/>
          <w:szCs w:val="14"/>
          <w:color w:val="auto"/>
        </w:rPr>
      </w:pPr>
    </w:p>
    <w:p>
      <w:pPr>
        <w:ind w:right="3599" w:firstLine="439"/>
        <w:spacing w:after="0" w:line="251"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registration statement, as amended or supplemented, if applicable, filed pursuant to the 1933 Act as of the date such statement or amendment became effective did not contain any untrue statement of a material fact or omit to state any material fact required to be stated therein or necessary to make the statements therein not misleading.</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3.08. Financial Statements. The audited consolidated financial statements and unaudited consolidated interim financial statements of the Company (including any related notes and schedules) included in its annual reports on Form 10-K and the quarterly reports on Form 10-Q referred to in Section 3.07 fairly present in all material respects, in conformity with generally accepted accounting principles applied on a consistent basis (except as may be indicated in the notes thereto), the consolidated financial position of the Company and its consolidated Subsidiaries as of the dates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782" w:right="1440" w:bottom="1440" w:gutter="0" w:footer="0" w:header="0"/>
        </w:sectPr>
      </w:pPr>
    </w:p>
    <w:bookmarkStart w:id="151" w:name="page152"/>
    <w:bookmarkEnd w:id="15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thereof and their consolidated results of operations and changes in financial position for the periods then ended (subject to normal year-end adjustments and the absence of notes in the case of any unaudited interim financial statements). For purposes of this Agreement, "Company Balance Sheet" means the consolidated balance sheet of the Company as of September 30, 1998 set forth in the Company 10-Q and "Company Balance Sheet Date" means September 30, 1998.</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3.09. Disclosure Documents. (a) Neither the proxy statement of the Company (the "Company Proxy Statement") to be filed with the SEC in connection with the Merger, nor any amendment or supplement thereto, will, at the date the Company Proxy Statement or any such amendment or supplement is first mailed to shareholders of the Company or at the time such shareholders vote on the adoption and approval of this Agreement and the transactions contemplated hereby, contain any untrue statement of a material fact or omit to state any material fact necessary in order to make the statements therein, in light of the circumstances under which they were made, not misleading. The Company Proxy Statement will, when filed, comply as to form in all material respects with the requirements of the Exchange Act. No representation or warranty is made by the Company in this Section 3.09 with respect to statements made or incorporated by reference therein based on information supplied by Acquiror or Merger Subsidiary for inclusion or incorporation by reference in the Company Proxy Statement.</w:t>
      </w:r>
    </w:p>
    <w:p>
      <w:pPr>
        <w:spacing w:after="0" w:line="162" w:lineRule="exact"/>
        <w:rPr>
          <w:sz w:val="20"/>
          <w:szCs w:val="20"/>
          <w:color w:val="auto"/>
        </w:rPr>
      </w:pPr>
    </w:p>
    <w:p>
      <w:pPr>
        <w:ind w:right="3339" w:firstLine="439"/>
        <w:spacing w:after="0" w:line="251"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information supplied or to be supplied by Company for inclusion or incorporation by reference in the Acquiror Proxy Statement (as defined in Section 4.09) or in the Form S-4 (as defined in Section 4.09) or any amendment or supplement thereto will, at the time the Acquiror Proxy Statement or any such supplement or amendment thereto is first mailed to the stockholders of Acquiror or at the time such stockholders vote on the matters constituting the Acquiror Stockholder Approval (as defined in Section 4.02) or at the time the Form S-4 or any such amendment or supplement becomes effective under the 1933 Act or at the Effective Time, as the case may be, contain any untrue statement of a material fact or omit to state a material fact necessary in order to make the statements therein, in light of the circumstances under which they were made, not misleading.</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3.10. Absence of Certain Changes. Except as set forth in Schedule 3.10, since the Company Balance Sheet Date, the Company and its Subsidiaries have conducted their business in the ordinary course consistent with past practice and there has not been:</w:t>
      </w:r>
    </w:p>
    <w:p>
      <w:pPr>
        <w:spacing w:after="0" w:line="162" w:lineRule="exact"/>
        <w:rPr>
          <w:sz w:val="20"/>
          <w:szCs w:val="20"/>
          <w:color w:val="auto"/>
        </w:rPr>
      </w:pPr>
    </w:p>
    <w:p>
      <w:pPr>
        <w:ind w:left="520" w:right="3859" w:firstLine="350"/>
        <w:spacing w:after="0" w:line="252" w:lineRule="auto"/>
        <w:tabs>
          <w:tab w:leader="none" w:pos="120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would be expected to have, individually or in the aggregate, a Material Adverse Effect on the Company;</w:t>
      </w:r>
    </w:p>
    <w:p>
      <w:pPr>
        <w:spacing w:after="0" w:line="162"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the Company (other than (i) quarterly cash dividends payable by the Company consistent with past practice (including periodic dividend increases consistent with past practice), but which for the sake of clarity shall not include any special dividends) or (ii) required dividends on the Series B Preferred Stock) or any repurchase, redemption or other acquisition by the Company or any of its Subsidiaries of any outstanding shares of capital stock or other securities of, or other ownership interests in, the Company or any of its Subsidiaries (other than any such repurchases prior to the date hereof pursuant to the Company's publicly announced stock buyback program or, after the date hereof, as permitted under Section 5.01(e));</w:t>
      </w:r>
    </w:p>
    <w:p>
      <w:pPr>
        <w:spacing w:after="0" w:line="162" w:lineRule="exact"/>
        <w:rPr>
          <w:rFonts w:ascii="Courier New" w:cs="Courier New" w:eastAsia="Courier New" w:hAnsi="Courier New"/>
          <w:sz w:val="14"/>
          <w:szCs w:val="14"/>
          <w:color w:val="auto"/>
        </w:rPr>
      </w:pPr>
    </w:p>
    <w:p>
      <w:pPr>
        <w:ind w:left="520" w:right="4459" w:firstLine="350"/>
        <w:spacing w:after="0" w:line="255" w:lineRule="auto"/>
        <w:tabs>
          <w:tab w:leader="none" w:pos="120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of any material term of any outstanding security of the Company or any of its Subsidiaries;</w:t>
      </w:r>
    </w:p>
    <w:p>
      <w:pPr>
        <w:spacing w:after="0" w:line="159" w:lineRule="exact"/>
        <w:rPr>
          <w:rFonts w:ascii="Courier New" w:cs="Courier New" w:eastAsia="Courier New" w:hAnsi="Courier New"/>
          <w:sz w:val="14"/>
          <w:szCs w:val="14"/>
          <w:color w:val="auto"/>
        </w:rPr>
      </w:pPr>
    </w:p>
    <w:p>
      <w:pPr>
        <w:ind w:left="520" w:right="3679" w:firstLine="350"/>
        <w:spacing w:after="0" w:line="251" w:lineRule="auto"/>
        <w:tabs>
          <w:tab w:leader="none" w:pos="120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or commitment made, or any contract, agreement or settlement entered into, by (or judgment, order or decree affecting) the Company or any of its Subsidiaries relating to its assets or business (including the acquisition or disposition of any assets) or any relinquishment by the Company or any of its Subsidiaries of any contract or other right, in either case, material to the Company and its Subsidiaries taken as a whole, other than transactions, commitments, contracts, agreements or settlements (including without limitation</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782"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both"/>
        <w:ind w:left="520" w:right="3779"/>
        <w:spacing w:after="0" w:line="252" w:lineRule="auto"/>
        <w:rPr>
          <w:sz w:val="20"/>
          <w:szCs w:val="20"/>
          <w:color w:val="auto"/>
        </w:rPr>
      </w:pPr>
      <w:r>
        <w:rPr>
          <w:rFonts w:ascii="Courier New" w:cs="Courier New" w:eastAsia="Courier New" w:hAnsi="Courier New"/>
          <w:sz w:val="14"/>
          <w:szCs w:val="14"/>
          <w:color w:val="auto"/>
        </w:rPr>
        <w:t>settlements of litigation and tax proceedings) in the ordinary course of business consistent with past practice, those contemplated by this Agreement, or as agreed to in writing by Acquiror;</w:t>
      </w:r>
    </w:p>
    <w:p>
      <w:pPr>
        <w:spacing w:after="0" w:line="163" w:lineRule="exact"/>
        <w:rPr>
          <w:sz w:val="20"/>
          <w:szCs w:val="20"/>
          <w:color w:val="auto"/>
        </w:rPr>
      </w:pPr>
    </w:p>
    <w:p>
      <w:pPr>
        <w:jc w:val="both"/>
        <w:ind w:left="520" w:right="3779" w:firstLine="350"/>
        <w:spacing w:after="0" w:line="252" w:lineRule="auto"/>
        <w:tabs>
          <w:tab w:leader="none" w:pos="120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any method of accounting or accounting practice (other than any change for tax purposes) by the Company or any of its Subsidiaries, except for any such change which is not significant or which is required by reason of a concurrent change in GAAP; or</w:t>
      </w:r>
    </w:p>
    <w:p>
      <w:pPr>
        <w:spacing w:after="0" w:line="162" w:lineRule="exact"/>
        <w:rPr>
          <w:rFonts w:ascii="Courier New" w:cs="Courier New" w:eastAsia="Courier New" w:hAnsi="Courier New"/>
          <w:sz w:val="14"/>
          <w:szCs w:val="14"/>
          <w:color w:val="auto"/>
        </w:rPr>
      </w:pPr>
    </w:p>
    <w:p>
      <w:pPr>
        <w:ind w:left="520" w:right="3679" w:firstLine="350"/>
        <w:spacing w:after="0" w:line="251" w:lineRule="auto"/>
        <w:tabs>
          <w:tab w:leader="none" w:pos="120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grant of any severance or termination pay to (or amendment to any such existing arrangement with) any director, officer or employee of the Company or any of its Subsidiaries, (ii) entering into of any employment, deferred compensation or other similar agreement (or any amendment to any such existing agreement) with any director, officer or employee of the Company or any of its Subsidiaries, (iii) increase in benefits payable under any existing severance or termination pay policies or employment agreements or (iv) increase in (or amendments to the terms of) compensation, bonus or other benefits payable to directors, officers or employees of the Company or any of its Subsidiaries, other than in the ordinary course of business consistent with past practice, as permitted by this Agreement, or as agreed to in writing by Acquiror.</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SECTION 3.11. No Undisclosed Material Liabilities. There are no liabilities of the Company or any Subsidiary of the Company of any kind whatsoever, whether accrued, contingent, absolute, determined, determinable or otherwise, other than:</w:t>
      </w:r>
    </w:p>
    <w:p>
      <w:pPr>
        <w:spacing w:after="0" w:line="162" w:lineRule="exact"/>
        <w:rPr>
          <w:sz w:val="20"/>
          <w:szCs w:val="20"/>
          <w:color w:val="auto"/>
        </w:rPr>
      </w:pPr>
    </w:p>
    <w:p>
      <w:pPr>
        <w:ind w:left="520" w:right="3779" w:firstLine="436"/>
        <w:spacing w:after="0" w:line="255" w:lineRule="auto"/>
        <w:tabs>
          <w:tab w:leader="none" w:pos="1295"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disclosed or provided for in the Company Balance Sheet or in the notes thereto;</w:t>
      </w:r>
    </w:p>
    <w:p>
      <w:pPr>
        <w:spacing w:after="0" w:line="159" w:lineRule="exact"/>
        <w:rPr>
          <w:rFonts w:ascii="Courier New" w:cs="Courier New" w:eastAsia="Courier New" w:hAnsi="Courier New"/>
          <w:sz w:val="14"/>
          <w:szCs w:val="14"/>
          <w:color w:val="auto"/>
        </w:rPr>
      </w:pPr>
    </w:p>
    <w:p>
      <w:pPr>
        <w:ind w:left="520" w:right="4019" w:firstLine="350"/>
        <w:spacing w:after="0" w:line="255" w:lineRule="auto"/>
        <w:tabs>
          <w:tab w:leader="none" w:pos="1209"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which in the aggregate would not reasonably be expected to have a Material Adverse Effect on the Company;</w:t>
      </w:r>
    </w:p>
    <w:p>
      <w:pPr>
        <w:spacing w:after="0" w:line="159" w:lineRule="exact"/>
        <w:rPr>
          <w:rFonts w:ascii="Courier New" w:cs="Courier New" w:eastAsia="Courier New" w:hAnsi="Courier New"/>
          <w:sz w:val="14"/>
          <w:szCs w:val="14"/>
          <w:color w:val="auto"/>
        </w:rPr>
      </w:pPr>
    </w:p>
    <w:p>
      <w:pPr>
        <w:ind w:left="520" w:right="4199" w:firstLine="350"/>
        <w:spacing w:after="0" w:line="255" w:lineRule="auto"/>
        <w:tabs>
          <w:tab w:leader="none" w:pos="1209"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disclosed in the Company SEC Documents filed prior to the date hereof or set forth in Schedule 3.11(c); and</w:t>
      </w:r>
    </w:p>
    <w:p>
      <w:pPr>
        <w:spacing w:after="0" w:line="159"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under this Agreement.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3.12. Litigation. Except as disclosed in the Company SEC Documents filed prior to the date hereof, there is no action, suit, investigation or proceeding pending against, or to the knowledge of the Company threatened against or affecting, the Company or any of its Subsidiaries or any of their respective properties before any court or arbitrator or any governmental</w:t>
      </w:r>
    </w:p>
    <w:p>
      <w:pPr>
        <w:spacing w:after="0" w:line="2"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body, agency or official which would reasonably be expected to have a Material Adverse Effect on the Company.</w:t>
      </w:r>
    </w:p>
    <w:p>
      <w:pPr>
        <w:spacing w:after="0" w:line="160" w:lineRule="exact"/>
        <w:rPr>
          <w:sz w:val="20"/>
          <w:szCs w:val="20"/>
          <w:color w:val="auto"/>
        </w:rPr>
      </w:pPr>
    </w:p>
    <w:p>
      <w:pPr>
        <w:ind w:right="3779" w:firstLine="517"/>
        <w:spacing w:after="0" w:line="250" w:lineRule="auto"/>
        <w:rPr>
          <w:sz w:val="20"/>
          <w:szCs w:val="20"/>
          <w:color w:val="auto"/>
        </w:rPr>
      </w:pPr>
      <w:r>
        <w:rPr>
          <w:rFonts w:ascii="Courier New" w:cs="Courier New" w:eastAsia="Courier New" w:hAnsi="Courier New"/>
          <w:sz w:val="14"/>
          <w:szCs w:val="14"/>
          <w:color w:val="auto"/>
        </w:rPr>
        <w:t>SECTION 3.13. Taxes. Except as set forth in the Company Balance Sheet (including the notes thereto) or as otherwise set forth in Schedule 3.13 and except as would not, individually or in the aggregate, have a Material Adverse Effect on the Company, (i) all Company Tax Returns required to be filed with any taxing authority by, or with respect to, the Company and its Subsidiaries have been filed in accordance with all applicable laws; (ii) the Company and its Subsidiaries have timely paid all Taxes shown as due and payable on the Company Tax Returns that have been so filed, and, as of the time of filing, the Company Tax Returns correctly reflected the facts regarding the income, business, assets, operations, activities and the status of the Company and its Subsidiaries (other than Taxes which are being contested in good faith and for which adequate reserves are reflected on the Company Balance Sheet); (iii) the Company and its Subsidiaries have made provision for all Taxes payable by the Company and its Subsidiaries for which no Company Tax Return has yet been filed; (iv) the charges, accruals and reserves for Taxes with respect to the Company and its Subsidiaries reflected on the Company Balance Sheet are adequate under GAAP to cover the Tax liabilities accruing through the date thereof; (v) there is no action, suit, proceeding, audit or claim now proposed or pending against or with respect to the Company or any of its Subsidiaries in respect of any Tax where there is a reasonable possibility of an adverse determination; and (vi) to the best of the Company's knowledge and belief, neither the</w:t>
      </w:r>
    </w:p>
    <w:p>
      <w:pPr>
        <w:spacing w:after="0" w:line="34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616" w:right="1440" w:bottom="1440" w:gutter="0" w:footer="0" w:header="0"/>
        </w:sectPr>
      </w:pPr>
    </w:p>
    <w:bookmarkStart w:id="153" w:name="page154"/>
    <w:bookmarkEnd w:id="15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Company nor any of its Subsidiaries is liable for any Tax imposed on any entity other than such Person, except as the result of the application of Treas. Reg. Section 1.1502-6 (and any comparable provision of the tax laws of any state, local or foreign jurisdiction) to the affiliated group of which the Company is the common parent. For purposes of this Agreement, "Taxes" shall mean any and all taxes, charges, fees, levies or other assessments, including, without limitation,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(including taxes under Section 59A of the Code), customs duties, capital stock, profits, disability, sales, registration, value added, alternative or add-on minimum, estimated or other taxes, assessments or charges imposed by any federal, state, local or foreign governmental entity and any interest, penalties, or additions to tax attributable thereto. For purposes of this Agreement, "Tax Returns" shall mean any return, report, form or similar statement required to be filed with respect to any Tax (including any attached schedules), including, without limitation, any information return, claim for refund, amended return or declaration of estimated Tax.</w:t>
      </w:r>
    </w:p>
    <w:p>
      <w:pPr>
        <w:spacing w:after="0" w:line="34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3.14. Employee Benefit Plans. (a) Prior to the date hereof, the Company has provided Acquiror with a list (set forth on Schedule 3.14) identifying each material "employee benefit plan," as defined in Section 3(3) of the Employee Retirement Income Security Act of 1974 ("ERISA"), each material employment, severance or similar contract, plan, arrangement or policy applicable to any director, former director, employee or former employee of the Company and each material plan or arrangement (written or oral), providing for compensation, bonuses,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benefits) which is maintained, administered or contributed to by the Company and covers any employee or director or former employee or director of the Company, or under which the Company has any liability. Such material plans (excluding any such plan that is a "multiemployer plan", as defined in Section 3(37) of ERISA) are referred to collectively herein as the "Company Employee Plans".</w:t>
      </w:r>
    </w:p>
    <w:p>
      <w:pPr>
        <w:spacing w:after="0" w:line="173" w:lineRule="exact"/>
        <w:rPr>
          <w:sz w:val="20"/>
          <w:szCs w:val="20"/>
          <w:color w:val="auto"/>
        </w:rPr>
      </w:pPr>
    </w:p>
    <w:p>
      <w:pPr>
        <w:ind w:right="3339" w:firstLine="439"/>
        <w:spacing w:after="0" w:line="251"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Employee Plan has been maintained in compliance with its terms and with the requirements prescribed by any and all statutes, orders, rules and regulations (including but not limited to ERISA and the Code) which are applicable to such Plan, except where failure to so comply would not, individually or in the aggregate, have a Material Adverse Effect on the Company.</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affiliate of the Company has incurred a liability under Title IV of ERISA that has not been satisfied in full, and no condition exists that presents a material risk to the Company or any affiliate of the Company of incurring any such liability other than liability for premiums due the Pension Benefit Guaranty Corporation (which premiums have been paid when due).</w:t>
      </w:r>
    </w:p>
    <w:p>
      <w:pPr>
        <w:spacing w:after="0" w:line="326"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Employee Plan which is intended to be qualified under Section 401(a) of the Code is so qualified and has been so qualified during the period from its adoption to date, and each trust forming a part thereof is exempt from federal income tax pursuant to Section 501(a) of the Code.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3.14, no director or officer or other employee of the Company or any of its Subsidiaries will become entitled to any retirement, severance or similar benefit or enhanced or accelerated benefit (including any acceleration of vesting or lapse of repurchase rights or obligations with respect to any employee stock option or other benefit under any stock option plan or compensation plan or arrangement of the Company) solely as a result of the transactions contemplated hereby.</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reflected in the Company SEC Documents filed prior to the date hereof, no Company Employee Plan provides post-retirement health and medical, life or other insurance benefits for retired employees of the Company or any of its Subsidiaries.</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616"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339" w:firstLine="439"/>
        <w:spacing w:after="0" w:line="251" w:lineRule="auto"/>
        <w:tabs>
          <w:tab w:leader="none" w:pos="77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3.14, there has been no amendment to, written interpretation or announcement (whether or not written) by the Company or any of its affiliates relating to, or change in employee participation or coverage under, any Company Employee Plan which would increase materially the expense of maintaining such Company Employee Plan above the level of the expense incurred in respect thereof for the 12 months ended on the Company Balance Sheet Date.</w:t>
      </w:r>
    </w:p>
    <w:p>
      <w:pPr>
        <w:spacing w:after="0" w:line="33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3.15. Compliance with Laws. Neither the Company nor any of its Subsidiaries is in violation of, or has since January 1, 1997 violated, any applicable provisions of any laws, statutes, ordinances or regulations except for any violations that, individually or in the aggregate, would not reasonably be expected to have a Material Adverse Effect on the Company.</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3.16. Finders' or Advisors' Fees. Except for Goldman, Sachs &amp; Co., a copy of whose engagement agreement has been provided to Acquiror, there is no investment banker, broker, finder or other intermediary which has been retained by or is authorized to act on behalf of the Company or any of its Subsidiaries who might be entitled to any fee or commission in connection with the transactions contemplated by this Agreement.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3.17. Environmental Matters. (a) Except as set forth in the Company SEC Documents filed prior to the date hereof and with such exceptions as, individually or in the aggregate, have not had, and would not reasonably be expected to have, a Material Adverse Effect on the Company, (i) no notice, notification, demand, request for information, citation, summons, complaint or order has been received by, and no investigation, action, claim, suit, proceeding or review is pending or, to the knowledge of the Company or any of its Subsidiaries, threatened by any Person against, the Company or any of its Subsidiaries, and no penalty has been assessed against the Company or any of its Subsidiaries, in each case, with respect to any matters relating to or arising out of any Environmental Law; (ii) the Company and its Subsidiaries are and have been in compliance with all Environmental Laws; (iii) there are no liabilities of or relating to the Company or any of its Subsidiaries relating to or arising out of any Environmental Law of any kind whatsoever, whether accrued, contingent, absolute, determined, determinable or otherwise, and there is no existing condition, situation or set of circumstances which could reasonably be expected to result in such a liability; and (iv) there has been no environmental investigation, study, audit, test, review or other analysis conducted of which the Company has knowledge in relation to the current or prior business of the Company or any of its Subsidiaries or any property or facility now or previously owned, leased or operated by the Company or any of its Subsidiaries which has not been delivered to Acquiror at least five days prior to the date hereof.</w:t>
      </w:r>
    </w:p>
    <w:p>
      <w:pPr>
        <w:spacing w:after="0" w:line="341" w:lineRule="exact"/>
        <w:rPr>
          <w:sz w:val="20"/>
          <w:szCs w:val="20"/>
          <w:color w:val="auto"/>
        </w:rPr>
      </w:pPr>
    </w:p>
    <w:p>
      <w:pPr>
        <w:ind w:right="3339" w:firstLine="439"/>
        <w:spacing w:after="0" w:line="251" w:lineRule="auto"/>
        <w:tabs>
          <w:tab w:leader="none" w:pos="77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3.17 and Section 4.17, the term "Environmental Laws" means any federal, state, local and foreign statutes, laws (including, without limitation, common law), judicial decisions, regulations, ordinances, rules, judgments, orders, codes, injunctions, permits, governmental agreements or governmental restrictions relating to human health and safety, the environment or to pollutants, contaminants, wastes, or chemicals.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3.18. Opinion of Financial Advisor. The Company has received the opinion of Goldman, Sachs &amp; Co. to the effect that, as of the date of such opinion, the Exchange Ratio is fair from a financial point of view to the holders of Shares (other than Acquiror or any of its Subsidiaries or affiliates), and, as of the date hereof, such opinion has not been withdrawn.</w:t>
      </w:r>
    </w:p>
    <w:p>
      <w:pPr>
        <w:spacing w:after="0" w:line="165" w:lineRule="exact"/>
        <w:rPr>
          <w:sz w:val="20"/>
          <w:szCs w:val="20"/>
          <w:color w:val="auto"/>
        </w:rPr>
      </w:pPr>
    </w:p>
    <w:p>
      <w:pPr>
        <w:ind w:right="3939" w:firstLine="517"/>
        <w:spacing w:after="0" w:line="251" w:lineRule="auto"/>
        <w:rPr>
          <w:sz w:val="20"/>
          <w:szCs w:val="20"/>
          <w:color w:val="auto"/>
        </w:rPr>
      </w:pPr>
      <w:r>
        <w:rPr>
          <w:rFonts w:ascii="Courier New" w:cs="Courier New" w:eastAsia="Courier New" w:hAnsi="Courier New"/>
          <w:sz w:val="14"/>
          <w:szCs w:val="14"/>
          <w:color w:val="auto"/>
        </w:rPr>
        <w:t>SECTION 3.19. Pooling; Tax Treatment. (a) The Company intends that the Merger be accounted for under the "pooling of interests" method under the requirements of Opinion No. 16 (Business Combinations) of the Accounting Principles Board of the American Institute of Certified Public Accountants, the Financial Accounting Standards Board, and the rules and regulations of the SEC.</w:t>
      </w:r>
    </w:p>
    <w:p>
      <w:pPr>
        <w:spacing w:after="0" w:line="164" w:lineRule="exact"/>
        <w:rPr>
          <w:sz w:val="20"/>
          <w:szCs w:val="20"/>
          <w:color w:val="auto"/>
        </w:rPr>
      </w:pPr>
    </w:p>
    <w:p>
      <w:pPr>
        <w:ind w:right="3779" w:firstLine="439"/>
        <w:spacing w:after="0" w:line="252" w:lineRule="auto"/>
        <w:tabs>
          <w:tab w:leader="none" w:pos="861"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affiliates has taken or agreed to take any action or is aware of any fact or circumstance that would prevent the Merger from qualifying (i) for "pooling of interests" accounting treatment as</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782" w:right="1440" w:bottom="1440" w:gutter="0" w:footer="0" w:header="0"/>
        </w:sectPr>
      </w:pPr>
    </w:p>
    <w:bookmarkStart w:id="155" w:name="page156"/>
    <w:bookmarkEnd w:id="15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described in (a) above or (ii) as a reorganization within the meaning of Section 368 of the Code (a "368 Reorganization").</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3.20. Pooling Letter. The Company has received a letter from Ernst</w:t>
      </w:r>
    </w:p>
    <w:p>
      <w:pPr>
        <w:spacing w:after="0" w:line="7" w:lineRule="exact"/>
        <w:rPr>
          <w:sz w:val="20"/>
          <w:szCs w:val="20"/>
          <w:color w:val="auto"/>
        </w:rPr>
      </w:pPr>
    </w:p>
    <w:p>
      <w:pPr>
        <w:ind w:right="3339" w:firstLine="8"/>
        <w:spacing w:after="0" w:line="251" w:lineRule="auto"/>
        <w:tabs>
          <w:tab w:leader="none" w:pos="17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Young LLP dated as of November 22, 1998 and addressed to the Company, a copy of which has been delivered to Acquiror, in which Ernst &amp; Young LLP concurs with the Company management's conclusion that, as of November 22, 1998, no conditions exist related to the Company that would preclude the Acquiror from accounting for the Merger as a pooling of interests, and such letter has not been withdrawn or modified in any material respect as of the date hereof.</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3.21. Takeover Statutes. The Board of Directors of the Company has taken the necessary action to make inapplicable the application of Section 203 of the Delaware Law, any other applicable antitakeover or similar statute or regulation and the supermajority voting provisions of Article 6 of the Company's certificate of incorporation to this Agreement and the Option Agreement and the transactions contemplated hereby and thereby.</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3.22. Rights Agreement. The Board of Directors of the Company has resolved to, and the Company promptly after the execution hereof will, take all action necessary to render the rights issued pursuant to the terms of the Company Rights Agreement inapplicable to the Merger, this Agreement, the Option Agreement and the other transactions contemplated hereby and thereby.</w:t>
      </w:r>
    </w:p>
    <w:p>
      <w:pPr>
        <w:spacing w:after="0" w:line="33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4</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REPRESENTATIONS AND WARRANTIES OF ACQUIROR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Acquiror represents and warrants to the Company that:</w:t>
      </w:r>
    </w:p>
    <w:p>
      <w:pPr>
        <w:spacing w:after="0" w:line="173"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SECTION 4.01. Corporate Existence and Power. Each of Acquiror and Merger Subsidiary is a corporation duly incorporated, validly existing and in good standing under the laws of its jurisdiction of incorporation and has all corporate powers and all governmental licenses, authorizations, consents and approvals required to carry on its business as now conducted, except for those the absence of which would not, individually or in the aggregate,</w:t>
      </w:r>
    </w:p>
    <w:p>
      <w:pPr>
        <w:spacing w:after="0" w:line="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have a Material Adverse Effect on Acquiror. Acquiror is duly qualified to do business as a foreign corporation and is in good standing in each jurisdiction where the character of the property owned or leased by it or the nature of its activities makes such qualification necessary, except for those jurisdictions where the failure to be so qualified would not, individually or in the aggregate, have a Material Adverse Effect on Acquiror. Since the date of its incorporation, Merger Subsidiary has not engaged in any activities other than in connection with or as contemplated by this Agreement. Acquiror has heretofore delivered to the Company true and complete copies of Acquiror's and Merger Subsidiary's certificate of incorporation and by-laws as currently in effect.</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4.02. Corporate Authorization. (a) The execution, delivery and performance by Acquiror and Merger Subsidiary of this Agreement, and by Acquiror of the Option Agreement, and the consummation by Acquiror and Merger Subsidiary of the transactions contemplated hereby and thereby are within the corporate powers of Acquiror and Merger Subsidiary and have been duly authorized by all necessary corporate action, except for any required approval by Acquiror's stockholders of (i) the Merger, (ii) the amendment of Acquiror's certificate of incorporation to increase the authorized shares of Acquiror Common Stock and to change Acquiror's name in accordance with Section 2.01 and (iii) the issuance of Acquiror Common Stock in connection with the Merger (clauses (i), (ii) and (iii) being the "Acquiror Stockholder Approval") and except for the designation by the Board of Directors of shares of the Acquiror's authorized preferred stock as Acquiror Preferred Stock. The affirmative vote of the holders of shares of Acquiror Common Stock and shares of Class A Preferred Stock having votes representing a majority of the votes cast by all such shares, voting together as a single class, is the only vote of the holders of any of Acquiror's capital stock necessary in connection with obtaining the Acquiror Stockholder Approval. Assuming due authorization, execution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782"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and delivery of this Agreement and the Option Agreement by the Company, this Agreement constitutes a valid and binding agreement of each of Acquiror and Merger Subsidiary and the Option Agreement constitutes a valid and binding agreement of Acquiror, in each case enforceable against such party in accordance with its terms, subject to bankruptcy, insolvency, fraudulent transfer, reorganization, moratorium and similar laws of general applicability relating to or affecting creditors' rights and to general equity principles. The shares of Acquiror Common Stock and Acquiror Preferred Stock issued pursuant to the Merger, when issued in accordance with the terms hereof, will be duly authorized, validly issued, fully paid and nonassessable and not subject to preemptive rights.</w:t>
      </w:r>
    </w:p>
    <w:p>
      <w:pPr>
        <w:spacing w:after="0" w:line="163" w:lineRule="exact"/>
        <w:rPr>
          <w:sz w:val="20"/>
          <w:szCs w:val="20"/>
          <w:color w:val="auto"/>
        </w:rPr>
      </w:pPr>
    </w:p>
    <w:p>
      <w:pPr>
        <w:ind w:left="780" w:hanging="341"/>
        <w:spacing w:after="0"/>
        <w:tabs>
          <w:tab w:leader="none" w:pos="78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Acquiror's Board of Directors, at a meeting duly called and held, has</w:t>
      </w:r>
    </w:p>
    <w:p>
      <w:pPr>
        <w:spacing w:after="0" w:line="7" w:lineRule="exact"/>
        <w:rPr>
          <w:rFonts w:ascii="Courier New" w:cs="Courier New" w:eastAsia="Courier New" w:hAnsi="Courier New"/>
          <w:sz w:val="14"/>
          <w:szCs w:val="14"/>
          <w:color w:val="auto"/>
        </w:rPr>
      </w:pPr>
    </w:p>
    <w:p>
      <w:pPr>
        <w:jc w:val="both"/>
        <w:ind w:right="3859" w:firstLine="8"/>
        <w:spacing w:after="0" w:line="252" w:lineRule="auto"/>
        <w:tabs>
          <w:tab w:leader="none" w:pos="34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this Agreement and the Option Agreement and the transactions contemplated hereby and thereby (including the Merger), and (ii) resolved (subject to Section 6.04) to recommend approval by its stockholders of the matters constituting the Acquiror Stockholder Approval.</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4.03. Governmental Authorization. The execution, delivery and performance by Acquiror and Merger Subsidiary of this Agreement, and by Acquiror of the Option Agreement, and the consummation by Acquiror and Merger Subsidiary of the transactions contemplated hereby and thereby require no action by or in respect of, or filing with, any governmental body, agency, official or authority other than (a) the filing of a certificate of merger in accordance with Delaware Law, (b) compliance with any applicable requirements of the HSR Act, (c) compliance with any applicable requirements of the EC Merger Regulation, (d) compliance with any applicable requirements of the Canadian Act, (e) compliance with any applicable requirements of the Exchange Act, (f) compliance with any applicable requirements of the 1933 Act and (g) other actions or filings which if not taken or made would not, individually or in the aggregate, have a Material Adverse Effect on Acquiror.</w:t>
      </w:r>
    </w:p>
    <w:p>
      <w:pPr>
        <w:spacing w:after="0" w:line="16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SECTION 4.04. Non-Contravention. The execution, delivery and performance by Acquiror and Merger Subsidiary of this Agreement, and by Acquiror of the Option Agreement, and the consummation by Acquiror and Merger Subsidiary of the transactions contemplated hereby and thereby do not and will not (a) assuming compliance with the matters referred to in Section 4.02, contravene or conflict with the certificate of incorporation or by-laws of Acquiror or Merger Subsidiary, (b) assuming compliance with the matters referred to in Section 4.03, contravene or conflict with any provision of any law, regulation, judgment, injunction, order or decree binding upon or applicable to</w:t>
      </w:r>
    </w:p>
    <w:p>
      <w:pPr>
        <w:spacing w:after="0" w:line="4"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Acquiror or any of its Subsidiaries, (c) constitute a default under or give rise to any right of termination, cancellation or acceleration of any right or obligation of Acquiror or any of its Subsidiaries or to a loss of any benefit to which Acquiror or any of its Subsidiaries is entitled under any provision of any agreement, contract or other instrument binding upon Acquiror or any of its Subsidiaries or any license, franchise, permit or other similar authorization held by Acquiror or any of its Subsidiaries or</w:t>
      </w:r>
    </w:p>
    <w:p>
      <w:pPr>
        <w:spacing w:after="0" w:line="3" w:lineRule="exact"/>
        <w:rPr>
          <w:sz w:val="20"/>
          <w:szCs w:val="20"/>
          <w:color w:val="auto"/>
        </w:rPr>
      </w:pPr>
    </w:p>
    <w:p>
      <w:pPr>
        <w:ind w:right="3779" w:firstLine="8"/>
        <w:spacing w:after="0" w:line="251" w:lineRule="auto"/>
        <w:tabs>
          <w:tab w:leader="none" w:pos="34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creation or imposition of any Lien on any asset of Acquiror or any of its Subsidiaries, except for such contraventions, conflicts or violations referred to in clause (b) or defaults, rights of termination, cancellation or acceleration, or losses or Liens referred to in clause (c) or (d) that would not, individually or in the aggregate, have a Material Adverse Effect on Acquiror. Neither Acquiror nor any Subsidiary of Acquiror is a party to any agreement that expressly limits the ability of Acquiror or any Subsidiary of Acquiror to compete in or conduct any line of business or compete with any Person or in any geographic area or during any period of time except to the extent that any such limitation, individually or in the aggregate, would not be reasonably likely to have a Material Adverse Effect on Acquiror after the Effective Time.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4.05. Capitalization. The authorized capital stock of Acquiror consists of 3,000,000,000 shares of Acquiror Common Stock and 200,000,000 shares of preferred stock, without par value (of which 16,500,000 are designated Class A Preferred Stock and 100,000,000 are designated Class B Preferred Stock). As of the close of business on November 27, 1998, there were outstanding 2,427,693,787 shares of Acquiror Common Stock, 1,884,638 shares of Class A Preferred Stock and no shares of Class B Preferred Stock, and employee stock options to purchase an aggregate of 70,537,194 shares of Acquiror Common Stock (of which options to purchase an aggregate of 59,117,944 shares of Acquiror Common Stock were exercisable). All outstanding shares of capital stock of Acquiror have been duly authorized and validly issued and are fully paid and nonassessable. Except as set forth in this Section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9"/>
          </w:cols>
          <w:pgMar w:left="220" w:top="782" w:right="1440" w:bottom="1440" w:gutter="0" w:footer="0" w:header="0"/>
        </w:sectPr>
      </w:pPr>
    </w:p>
    <w:bookmarkStart w:id="157" w:name="page158"/>
    <w:bookmarkEnd w:id="15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and except for changes since the close of business on November 27, 1998 resulting from the exercise of employee stock options outstanding on such date or options or other stock-based awards granted as permitted by Section 6.01 and except for the shares to be issued in connection with the Merger, there are outstanding (a) no shares of capital stock or other voting securities of Acquiror, (b) no securities of Acquiror convertible into or exchangeable for shares of capital stock or voting securities of Acquiror, and (c) no options, warrants or other rights to acquire from Acquiror, and no preemptive or similar rights, subscription or other rights, convertible securities, agreements, arrangements, or commitments of any character, relating to the capital stock of Acquiror, obligating Acquiror to issue, transfer or sell any capital stock, voting security or securities convertible into or exchangeable for capital stock or voting securities of Acquiror or obligating Acquiror to grant, extend or enter into any such option, warrant, subscription or other right, convertible security, agreement, arrangement or commitment (the items in clauses 4.05(a), 4.05(b) and 4.05(c) being referred to collectively as the "Acquiror Securities"). There are no outstanding obligations of Acquiror or any of its Subsidiaries to repurchase, redeem or otherwise acquire any Acquiror Securities.</w:t>
      </w:r>
    </w:p>
    <w:p>
      <w:pPr>
        <w:spacing w:after="0" w:line="17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4.06. Subsidiaries. (a) Each Subsidiary of Acquiror is duly organized, validly existing and in good standing under the laws of its jurisdiction of organization, has all powers and all governmental licenses, authorizations, permits, consents and approvals required to carry on its business as now conducted, except for those the absence of which would not, individually or in the aggregate, reasonably be expected to have a Material Adverse Effect on Acquiror. Each Subsidiary of Acquiror is duly qualified to do business and is in good standing in each jurisdiction where the character of the property owned or leased by it or the nature of its activities makes such qualifications necessary, except for those jurisdictions where failure to be so qualified would not, individually or in the aggregate, have a Material Adverse Effect on Acquiror. All Significant Subsidiaries of Acquiror and their respective jurisdictions of incorporation are identified in Acquiror's annual report on Form 10-K for the fiscal year ended December 31, 1997 ("Acquiror 10-K").</w:t>
      </w:r>
    </w:p>
    <w:p>
      <w:pPr>
        <w:spacing w:after="0" w:line="328" w:lineRule="exact"/>
        <w:rPr>
          <w:sz w:val="20"/>
          <w:szCs w:val="20"/>
          <w:color w:val="auto"/>
        </w:rPr>
      </w:pPr>
    </w:p>
    <w:p>
      <w:pPr>
        <w:ind w:right="3419" w:firstLine="439"/>
        <w:spacing w:after="0" w:line="250" w:lineRule="auto"/>
        <w:tabs>
          <w:tab w:leader="none" w:pos="7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directors' qualifying shares and except as set forth in the Acquiror 10-K, all of the outstanding capital stock of, or other ownership interests in, each Significant Subsidiary of Acquiror is owned by Acquiror, directly or indirectly, free and clear of any material Lien and free of any other material limitation or restriction (including any restriction on the right to vote, sell or otherwise dispose of such capital stock or other ownership interests). There are no outstanding (i) securities of Acquiror</w:t>
      </w:r>
    </w:p>
    <w:p>
      <w:pPr>
        <w:spacing w:after="0" w:line="3" w:lineRule="exact"/>
        <w:rPr>
          <w:rFonts w:ascii="Courier New" w:cs="Courier New" w:eastAsia="Courier New" w:hAnsi="Courier New"/>
          <w:sz w:val="14"/>
          <w:szCs w:val="14"/>
          <w:color w:val="auto"/>
        </w:rPr>
      </w:pPr>
    </w:p>
    <w:p>
      <w:pPr>
        <w:ind w:right="37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any of its Subsidiaries convertible into or exchangeable for shares of capital stock or other voting securities or ownership interests in any Significant Subsidiary of Acquiror, and (ii) options, warrants or other rights to acquire from Acquiror or any of its Significant Subsidiaries, and no preemptive or similar rights, subscriptions or other rights, convertible securities, agreements, arrangements or commitments of any character, relating to the capital stock of any Significant Subsidiary of Acquiror, obligating Acquiror or any of its Significant Subsidiaries to issue, transfer or sell, any capital stock, voting securities or other ownership interests in, or any securities convertible into or exchangeable for any capital stock, voting securities or ownership interests in, any Significant Subsidiary of Acquiror or obligating Acquiror or any Significant Subsidiary of Acquiror to grant, extend or enter into any such option, warrant, subscription or other right, convertible security, agreement, arrangement or commitment except, in any such case under clause (i) or (ii), to the extent relating to an insignificant equity interest in any Significant Subsidiary (items in clauses 4.06(b)(i) and 4.06(b)(ii) being referred to collectively as the "Acquiror Subsidiary Securities"). There are no outstanding obligations of Acquiror or any of its Subsidiaries to repurchase, redeem or otherwise acquire any outstanding Acquiror Subsidiary Securities.</w:t>
      </w:r>
    </w:p>
    <w:p>
      <w:pPr>
        <w:spacing w:after="0" w:line="34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4.07. SEC Filings. (a) Acquiror has delivered to the Company (i) its annual reports on Form 10-K for its fiscal years ended December 31, 1995, 1996 and 1997, (ii) its quarterly reports on Form 10-Q for its fiscal quarters ended after December 31, 1997, (iii) its proxy or information statements relating to meetings, of, or actions taken without a meeting by, the stockholders of Acquiror held since December 31, 1997, and (iv) all of its other reports, statements, schedules and registration statements filed with the SEC since December 31, 1997 (the documents referred to in this Section 4.07(a) being referred to collectively as the "Acquiror SEC Documents"). The Acquiror's quarterly report on Form 10-Q for its fiscal quarter ended September 30, 1998 is referred to herein as the "Acquiror 10-Q".</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10239"/>
          </w:cols>
          <w:pgMar w:left="220" w:top="782"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519" w:firstLine="439"/>
        <w:spacing w:after="0" w:line="252"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 date, each Acquiror SEC Document complied as to form in all material respects with the applicable requirements of the Exchange Act and the 1933 Act.</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its filing date, each Acquiror SEC Document filed pursuant to the Exchange Act did not contain any untrue statement of a material fact or omit to state any material fact necessary in order to make the statements made therein, in the light of the circumstances under which they were made, not misleading.</w:t>
      </w:r>
    </w:p>
    <w:p>
      <w:pPr>
        <w:spacing w:after="0" w:line="162" w:lineRule="exact"/>
        <w:rPr>
          <w:rFonts w:ascii="Courier New" w:cs="Courier New" w:eastAsia="Courier New" w:hAnsi="Courier New"/>
          <w:sz w:val="14"/>
          <w:szCs w:val="14"/>
          <w:color w:val="auto"/>
        </w:rPr>
      </w:pPr>
    </w:p>
    <w:p>
      <w:pPr>
        <w:ind w:right="3599" w:firstLine="439"/>
        <w:spacing w:after="0" w:line="251" w:lineRule="auto"/>
        <w:tabs>
          <w:tab w:leader="none" w:pos="7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registration statement as amended or supplemented, if applicable, filed pursuant to the 1933 Act as of the date such statement or amendment became effective did not contain any untrue statement of a material fact or omit to state any material fact required to be stated therein or necessary to make the statements therein not misleading.</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4.08. Financial Statements. The audited consolidated financial statements and unaudited consolidated interim financial statements of Acquiror (including any related notes and schedules) included in the annual reports on Form 10-K and the quarterly reports on Form 10-Q referred to in Section 4.07 fairly present in all material respects, in conformity with generally accepted accounting principles applied on a consistent basis (except as may be indicated in the notes thereto), the consolidated financial position of Acquiror and its consolidated Subsidiaries as of the dates thereof and their consolidated results of operations and changes in financial position for the periods then ended (subject to normal year-end adjustments and the absence of notes in the case of any unaudited interim financial statements). For purposes of this Agreement, "Acquiror Balance Sheet" means the consolidated balance sheet of Acquiror as of September 30, 1998 set forth in the Acquiror 10-Q and "Acquiror Balance Sheet Date" means September 30, 1998.</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4.09. Disclosure Documents. (a) The proxy statement of Acquiror (the "Acquiror Proxy Statement") to be filed with the SEC in connection with the Merger and the Registration Statement on Form S-4 of Acquiror (the "Form S-4") to be filed under the 1933 Act relating to the issuance of Acquiror Common Stock in the Merger, that may be required to be filed with the SEC in connection with the issuance of shares of Acquiror Common Stock pursuant to the Merger and</w:t>
      </w:r>
    </w:p>
    <w:p>
      <w:pPr>
        <w:spacing w:after="0" w:line="3"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4"/>
          <w:szCs w:val="14"/>
          <w:color w:val="auto"/>
        </w:rPr>
        <w:t>any amendments or supplements thereto, will, when filed, subject to the last sentence of Section 4.09(b), comply as to form in all material respects with the applicable requirements of the 1933 Act.</w:t>
      </w:r>
    </w:p>
    <w:p>
      <w:pPr>
        <w:spacing w:after="0" w:line="163" w:lineRule="exact"/>
        <w:rPr>
          <w:sz w:val="20"/>
          <w:szCs w:val="20"/>
          <w:color w:val="auto"/>
        </w:rPr>
      </w:pPr>
    </w:p>
    <w:p>
      <w:pPr>
        <w:ind w:right="3339" w:firstLine="439"/>
        <w:spacing w:after="0" w:line="251" w:lineRule="auto"/>
        <w:tabs>
          <w:tab w:leader="none" w:pos="77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Acquiror Proxy Statement nor any amendment or supplement thereto, will, at the date the Acquiror Proxy Statement or any such amendment or supplement is first mailed to shareholders of Acquiror or at the time such shareholders vote on the matters constituting the Acquiror Stockholder Approval, contain any untrue statement of a material fact or omit to state any material fact necessary in order to make the statements therein, in light of the circumstances under which they were made, not misleading. Neither the Form S-4 nor any amendment or supplement thereto will at the time it becomes effective under the 1933 Act or at the Effective Time contain any untrue statement of a material fact or omit to state a material fact required to be stated therein or necessary to make the statements therein not misleading. No representation or warranty is made by Acquiror in this Section 4.09 with respect to statements made or incorporated by reference therein based on information supplied by the Company for inclusion or incorporation by reference in the Acquiror Proxy Statement or the Form S-4.</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information supplied or to be supplied by Acquiror for inclusion or incorporation by reference in the Company Proxy Statement or any amendment or supplement thereto will, at the date the Company Proxy Statement or any amendment or supplement thereto is first mailed to stockholders of Company or at the time such stockholders vote on the adoption and approval of this Agreement and the transactions contemplated hereby, contain any untrue statement of a material fact or omit to state any material fact necessary in order to make the statements therein, in light of the circumstances under which they were made, not misleading.</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4.10. Absence of Certain Changes. Since the Acquiror Balance Sheet Date, Acquiror and its Subsidiaries have conducted their business in the ordinary course consistent with past practice and there has not been: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10239"/>
          </w:cols>
          <w:pgMar w:left="220" w:top="782" w:right="1440" w:bottom="1440" w:gutter="0" w:footer="0" w:header="0"/>
        </w:sectPr>
      </w:pPr>
    </w:p>
    <w:bookmarkStart w:id="159" w:name="page160"/>
    <w:bookmarkEnd w:id="159"/>
    <w:p>
      <w:pPr>
        <w:jc w:val="center"/>
        <w:ind w:right="15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3859" w:firstLine="350"/>
        <w:spacing w:after="0" w:line="252" w:lineRule="auto"/>
        <w:tabs>
          <w:tab w:leader="none" w:pos="1209"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would be expected to have, individually or in the aggregate, a Material Adverse Effect on Acquiror;</w:t>
      </w:r>
    </w:p>
    <w:p>
      <w:pPr>
        <w:spacing w:after="0" w:line="162"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Acquiror (other than (i) quarterly cash dividends payable by Acquiror consistent with past practice (including periodic dividend increases consistent with past practice), but which for the sake of clarity shall not include any special dividends), or (ii) required dividends on preferred stock outstanding on the date hereof) or any repurchase, redemption or other acquisition by Acquiror or any of its Subsidiaries of any outstanding shares of capital stock or other equity securities of, or other ownership interests in, Acquiror (other than any such repurchases prior to the date hereof pursuant to Acquiror's publicly announced stock buyback program or, after the date hereof, as permitted under Section 6.01(e)); or</w:t>
      </w:r>
    </w:p>
    <w:p>
      <w:pPr>
        <w:spacing w:after="0" w:line="162"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prior to the date hereof in any method of accounting or accounting practice (other than any change for tax purposes) by Acquiror or any of its Subsidiaries, except for any such change which is not significant or which is required by reason of a concurrent change in GAAP.</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SECTION 4.11. No Undisclosed Material Liabilities. There are no liabilities of the Acquiror or any Subsidiary of the Acquiror of any kind whatsoever, whether accrued, contingent, absolute, determined, determinable or otherwise, other than:</w:t>
      </w:r>
    </w:p>
    <w:p>
      <w:pPr>
        <w:spacing w:after="0" w:line="162" w:lineRule="exact"/>
        <w:rPr>
          <w:sz w:val="20"/>
          <w:szCs w:val="20"/>
          <w:color w:val="auto"/>
        </w:rPr>
      </w:pPr>
    </w:p>
    <w:p>
      <w:pPr>
        <w:ind w:left="520" w:right="3779" w:firstLine="350"/>
        <w:spacing w:after="0" w:line="255" w:lineRule="auto"/>
        <w:tabs>
          <w:tab w:leader="none" w:pos="120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disclosed or provided for in the Acquiror Balance Sheet or in the notes thereto;</w:t>
      </w:r>
    </w:p>
    <w:p>
      <w:pPr>
        <w:spacing w:after="0" w:line="159" w:lineRule="exact"/>
        <w:rPr>
          <w:rFonts w:ascii="Courier New" w:cs="Courier New" w:eastAsia="Courier New" w:hAnsi="Courier New"/>
          <w:sz w:val="14"/>
          <w:szCs w:val="14"/>
          <w:color w:val="auto"/>
        </w:rPr>
      </w:pPr>
    </w:p>
    <w:p>
      <w:pPr>
        <w:ind w:left="520" w:right="4019" w:firstLine="350"/>
        <w:spacing w:after="0" w:line="255" w:lineRule="auto"/>
        <w:tabs>
          <w:tab w:leader="none" w:pos="120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which in the aggregate would not reasonably be expected to have a Material Adverse Effect on Acquiror;</w:t>
      </w:r>
    </w:p>
    <w:p>
      <w:pPr>
        <w:spacing w:after="0" w:line="159" w:lineRule="exact"/>
        <w:rPr>
          <w:rFonts w:ascii="Courier New" w:cs="Courier New" w:eastAsia="Courier New" w:hAnsi="Courier New"/>
          <w:sz w:val="14"/>
          <w:szCs w:val="14"/>
          <w:color w:val="auto"/>
        </w:rPr>
      </w:pPr>
    </w:p>
    <w:p>
      <w:pPr>
        <w:ind w:left="520" w:right="4119" w:firstLine="350"/>
        <w:spacing w:after="0" w:line="255" w:lineRule="auto"/>
        <w:tabs>
          <w:tab w:leader="none" w:pos="120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disclosed in the Acquiror SEC Documents filed prior to the date hereof or set forth in Schedule 4.11(c); and</w:t>
      </w:r>
    </w:p>
    <w:p>
      <w:pPr>
        <w:spacing w:after="0" w:line="159"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under this Agreement.</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4.12. Litigation. Except as disclosed in the Acquiror SEC Documents filed prior to the date hereof, there is no action, suit, investigation or proceeding pending against, or to the knowledge of Acquiror threatened against or affecting, Acquiror or any of its Subsidiaries or any of their respective properties before any court or arbitrator or any governmental body, agency or official which would reasonably be expected to have a Material Adverse Effect on Acquiror.</w:t>
      </w:r>
    </w:p>
    <w:p>
      <w:pPr>
        <w:spacing w:after="0" w:line="164" w:lineRule="exact"/>
        <w:rPr>
          <w:sz w:val="20"/>
          <w:szCs w:val="20"/>
          <w:color w:val="auto"/>
        </w:rPr>
      </w:pPr>
    </w:p>
    <w:p>
      <w:pPr>
        <w:ind w:right="3859" w:firstLine="517"/>
        <w:spacing w:after="0" w:line="250" w:lineRule="auto"/>
        <w:rPr>
          <w:sz w:val="20"/>
          <w:szCs w:val="20"/>
          <w:color w:val="auto"/>
        </w:rPr>
      </w:pPr>
      <w:r>
        <w:rPr>
          <w:rFonts w:ascii="Courier New" w:cs="Courier New" w:eastAsia="Courier New" w:hAnsi="Courier New"/>
          <w:sz w:val="14"/>
          <w:szCs w:val="14"/>
          <w:color w:val="auto"/>
        </w:rPr>
        <w:t>SECTION 4.13. Taxes. Except as set forth in the Acquiror Balance Sheet (including the notes thereto) or as otherwise set forth on Schedule 4.13 and except as would not, individually or in the aggregate, have a Material Adverse Effect on Acquiror, (i) all Acquiror Tax Returns required to be filed with any taxing authority by, or with respect to, Acquiror and its Subsidiaries have been filed in accordance with all applicable laws;</w:t>
      </w:r>
    </w:p>
    <w:p>
      <w:pPr>
        <w:spacing w:after="0" w:line="3" w:lineRule="exact"/>
        <w:rPr>
          <w:sz w:val="20"/>
          <w:szCs w:val="20"/>
          <w:color w:val="auto"/>
        </w:rPr>
      </w:pPr>
    </w:p>
    <w:p>
      <w:pPr>
        <w:ind w:right="3779" w:firstLine="8"/>
        <w:spacing w:after="0" w:line="250" w:lineRule="auto"/>
        <w:tabs>
          <w:tab w:leader="none" w:pos="51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and its Subsidiaries have timely paid all Taxes shown as due and payable on Acquiror Tax Returns that have been so filed, and, as of the time of filing, Acquiror Tax Returns correctly reflected the facts regarding the income, business, assets, operations, activities and the status of Acquiror and its Subsidiaries (other than Taxes which are being contested in good faith and for which adequate reserves are reflected on the Acquiror Balance Sheet); (iii) Acquiror and its Subsidiaries have made provision for all Taxes payable by Acquiror and its Subsidiaries for which no Acquiror Tax Return has yet been filed; (iv) the charges, accruals and reserves for Taxes with respect to Acquiror and its Subsidiaries reflected on the Acquiror Balance Sheet are adequate under GAAP to cover the Tax liabilities accruing through the date thereof; (v) there is no action, suit, proceeding, audit or claim now proposed or pending against or with respect to Acquiror or any of its Subsidiaries in respect of any Tax where there is a reasonable possibility of an adverse determination; and (vi) to the best of Acquiror's knowledge and belief, neither Acquiror nor any of its Subsidiaries is liable for any Tax imposed on</w:t>
      </w:r>
    </w:p>
    <w:p>
      <w:pPr>
        <w:spacing w:after="0" w:line="33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10239"/>
          </w:cols>
          <w:pgMar w:left="220" w:top="782"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any entity other than such Person, except as the result of the application of Treas. Reg. Section 1.1502-6 (and any comparable provision of the tax laws of any state, local or foreign jurisdiction) to the affiliated group of which Acquiror is the common parent.</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4.14. Employee Benefit Plans. (a) Prior to the date hereof, Acquiror has provided the Company with a list (set forth on Schedule 4.14) identifying each material "employee benefit plan," as defined in Section 3(3) of ERISA, each employment, severance or similar contract, plan, arrangement or policy applicable to any director, former director, employee or former employee of Acquiror and each material plan or arrangement (written or oral), providing for compensation, bonuses,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benefits) which is maintained, administered or contributed to by Acquiror and covers any employee or director or former employee or director of Acquiror, or under which Acquiror has any liability. Such material plans (excluding any such plan that is a "multiemployer plan", as defined in Section 3(37) of ERISA) are referred to collectively herein as the "Acquiror Employee Plans".</w:t>
      </w:r>
    </w:p>
    <w:p>
      <w:pPr>
        <w:spacing w:after="0" w:line="173" w:lineRule="exact"/>
        <w:rPr>
          <w:sz w:val="20"/>
          <w:szCs w:val="20"/>
          <w:color w:val="auto"/>
        </w:rPr>
      </w:pPr>
    </w:p>
    <w:p>
      <w:pPr>
        <w:ind w:right="3419" w:firstLine="439"/>
        <w:spacing w:after="0" w:line="251"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Acquiror Employee Plan has been maintained in compliance with its terms and with the requirements prescribed by any and all statutes, orders, rules and regulations (including but not limited to ERISA and the Code) which are applicable to such Plan, except where failure to so comply would not, individually or in the aggregate, have a Material Adverse Effect on Acquiror.</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Acquiror nor any affiliate of Acquiror has incurred a liability under Title IV of ERISA that has not been satisfied in full, and no condition exists that presents a material risk to Acquiror or any affiliate of Acquiror of incurring any such liability other than liability for premiums due the Pension Benefit Guaranty Corporation (which premiums have been paid when due).</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Acquiror Employee Plan which is intended to be qualified under Section 401(a) of the Code is so qualified and has been so qualified during the period from its adoption to date, and each trust forming a part thereof is exempt from federal income tax pursuant to Section 501(a) of the Code.</w:t>
      </w:r>
    </w:p>
    <w:p>
      <w:pPr>
        <w:spacing w:after="0" w:line="162" w:lineRule="exact"/>
        <w:rPr>
          <w:rFonts w:ascii="Courier New" w:cs="Courier New" w:eastAsia="Courier New" w:hAnsi="Courier New"/>
          <w:sz w:val="14"/>
          <w:szCs w:val="14"/>
          <w:color w:val="auto"/>
        </w:rPr>
      </w:pPr>
    </w:p>
    <w:p>
      <w:pPr>
        <w:ind w:right="3779" w:firstLine="439"/>
        <w:spacing w:after="0" w:line="252"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director or officer or other employee of Acquiror or any of its Subsidiaries will become entitled to any retirement, severance or similar benefit or enhanced or accelerated benefit solely as a result of the transactions contemplated hereby.</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reflected in the Acquiror SEC Documents filed prior to the date hereof, no Acquiror Employee Plan provides post-retirement health and medical, life or other insurance benefits for retired employees of Acquiror or any of its Subsidiaries.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amendment to, written interpretation or announcement (whether or not written) by Acquiror or any of its affiliates relating to, or change in employee participation or coverage under, any Acquiror Employee Plan which would increase materially the expense of maintaining such Acquiror Employee Plan above the level of the expense incurred in respect thereof for the 12 months ended on the Acquiror Balance Sheet Date.</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4.15. Compliance with Laws. Neither Acquiror nor any of its Subsidiaries is in violation of, or has since January 1, 1997 violated, any applicable provisions of any laws, statutes, ordinances or regulations except for any violations that, individually or in the aggregate, would not reasonably be expected to have a Material Adverse Effect on Acquiror.</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10239"/>
          </w:cols>
          <w:pgMar w:left="220" w:top="782" w:right="1440" w:bottom="1440" w:gutter="0" w:footer="0" w:header="0"/>
        </w:sectPr>
      </w:pPr>
    </w:p>
    <w:bookmarkStart w:id="161" w:name="page162"/>
    <w:bookmarkEnd w:id="16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4.16. Finders' or Advisors' Fees. Except for J.P. Morgan Securities Inc., whose fees will be paid by Acquiror, there is no investment banker, broker, finder or other intermediary which has been retained by or is authorized to act on behalf of Acquiror or any of its Subsidiaries who might be entitled to any fee or commission in connection with the transactions contemplated by this Agreement.</w:t>
      </w:r>
    </w:p>
    <w:p>
      <w:pPr>
        <w:spacing w:after="0" w:line="32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4.17. Environmental Matters. Except as set forth in the Acquiror SEC Documents filed prior to the date hereof and with such exceptions as, individually or in the aggregate, have not had, and would not reasonably be expected to have, a Material Adverse Effect on Acquiror, (i) no notice, notification, demand, request for information, citation, summons, complaint or order has been received by, and no investigation, action, claim, suit, proceeding or review is pending or, to the knowledge of Acquiror or any of its Subsidiaries, threatened by any Person against, Acquiror or any of its Subsidiaries, and no penalty has been assessed against Acquiror or any of its Subsidiaries, in each case, with respect to any matters relating to or arising out of any Environmental Law; (ii) Acquiror and its Subsidiaries are and have been in compliance with all Environmental Laws; (iii) there are no liabilities of or relating to Acquiror or any of its Subsidiaries relating to or arising out of any Environmental Law of any kind whatsoever, whether accrued, contingent, absolute, determined, determinable or otherwise, and there is no existing condition, situation or set of circumstances which could reasonably be expected to result in such a liability; and (iv) there has been no environmental investigation, study, audit, test, review or other analysis conducted of which Acquiror has knowledge in relation to the current or prior business of Acquiror or any of its Subsidiaries or any property or facility now or previously owned, leased or operated by Acquiror or any of its Subsidiaries which has not been delivered to the Company at least five days prior to the date hereof.</w:t>
      </w:r>
    </w:p>
    <w:p>
      <w:pPr>
        <w:spacing w:after="0" w:line="175"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SECTION 4.18. Opinion of Financial Advisor. Acquiror has received the opinion of J.P. Morgan Securities Inc. to the effect that, as of the date of such opinion, the consideration to be paid by Acquiror in the Merger is fair, from a financial point of view, to Acquiror, and, as of the date hereof, such opinion has not been withdrawn.</w:t>
      </w:r>
    </w:p>
    <w:p>
      <w:pPr>
        <w:spacing w:after="0" w:line="165" w:lineRule="exact"/>
        <w:rPr>
          <w:sz w:val="20"/>
          <w:szCs w:val="20"/>
          <w:color w:val="auto"/>
        </w:rPr>
      </w:pPr>
    </w:p>
    <w:p>
      <w:pPr>
        <w:ind w:right="3939" w:firstLine="517"/>
        <w:spacing w:after="0" w:line="252" w:lineRule="auto"/>
        <w:rPr>
          <w:sz w:val="20"/>
          <w:szCs w:val="20"/>
          <w:color w:val="auto"/>
        </w:rPr>
      </w:pPr>
      <w:r>
        <w:rPr>
          <w:rFonts w:ascii="Courier New" w:cs="Courier New" w:eastAsia="Courier New" w:hAnsi="Courier New"/>
          <w:sz w:val="14"/>
          <w:szCs w:val="14"/>
          <w:color w:val="auto"/>
        </w:rPr>
        <w:t>SECTION 4.19. Pooling; Tax Treatment. (a) Acquiror intends that the Merger be accounted for as a "pooling of interests" as described in Section 3.19(a).</w:t>
      </w:r>
    </w:p>
    <w:p>
      <w:pPr>
        <w:spacing w:after="0" w:line="163" w:lineRule="exact"/>
        <w:rPr>
          <w:sz w:val="20"/>
          <w:szCs w:val="20"/>
          <w:color w:val="auto"/>
        </w:rPr>
      </w:pPr>
    </w:p>
    <w:p>
      <w:pPr>
        <w:ind w:right="3779" w:firstLine="439"/>
        <w:spacing w:after="0" w:line="252" w:lineRule="auto"/>
        <w:tabs>
          <w:tab w:leader="none" w:pos="861"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Acquiror nor any of its affiliates has taken or agreed to take any action or is aware of any fact or circumstance that would prevent the Merger from qualifying (i) for "pooling of interests" accounting treatment as described in Section 3.19(a) or (ii) as a 368 Reorganization.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4.20. Pooling Letter. Acquiror has received a letter from PricewaterhouseCoopers LLP dated as of November 25, 1998 and addressed to Acquiror, a copy of which has been delivered to the Company, stating that based on the information furnished to PricewaterhouseCoopers LLP in the related certificate of Acquiror's management and based on the letter from Ernst &amp; Young LLP referenced in Section 3.20, PricewaterhouseCoopers LLP concurs with Acquiror management's conclusion that, as of November 25, 1998, no conditions exist that would preclude Acquiror's accounting for the Merger as a pooling of interests, and such letter has not been withdrawn or modified in any material respect as of the date hereof.</w:t>
      </w: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5</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COVENANTS OF THE COMPANY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agrees that: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5.01. Conduct of the Company. From the date hereof until the Effective Time, the Company and its Subsidiaries shall conduct their business in the ordinary course consistent with past practice and shall use their reasonable best efforts to preserve intact their business organizations and relationships with third parties. Without</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782"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limiting the generality of the foregoing, except with the prior written consent of Acquiror or as contemplated by this Agreement, and, in the case of clauses (g), (i), (j) and (l) below, except in the ordinary course of business not representing a new strategic direction of the Company, from the date hereof until the Effective Time:</w:t>
      </w:r>
    </w:p>
    <w:p>
      <w:pPr>
        <w:spacing w:after="0" w:line="165" w:lineRule="exact"/>
        <w:rPr>
          <w:sz w:val="20"/>
          <w:szCs w:val="20"/>
          <w:color w:val="auto"/>
        </w:rPr>
      </w:pPr>
    </w:p>
    <w:p>
      <w:pPr>
        <w:ind w:left="520" w:right="3519" w:firstLine="350"/>
        <w:spacing w:after="0" w:line="252" w:lineRule="auto"/>
        <w:tabs>
          <w:tab w:leader="none" w:pos="1209"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Significant Subsidiaries to, adopt or propose any change in its certificate of incorporation or by-laws;</w:t>
      </w:r>
    </w:p>
    <w:p>
      <w:pPr>
        <w:spacing w:after="0" w:line="162" w:lineRule="exact"/>
        <w:rPr>
          <w:rFonts w:ascii="Courier New" w:cs="Courier New" w:eastAsia="Courier New" w:hAnsi="Courier New"/>
          <w:sz w:val="14"/>
          <w:szCs w:val="14"/>
          <w:color w:val="auto"/>
        </w:rPr>
      </w:pPr>
    </w:p>
    <w:p>
      <w:pPr>
        <w:ind w:left="520" w:right="3939" w:firstLine="350"/>
        <w:spacing w:after="0" w:line="251" w:lineRule="auto"/>
        <w:tabs>
          <w:tab w:leader="none" w:pos="1209"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Significant Subsidiary of the Company to, adopt a plan or agreement of complete or partial liquidation, dissolution, merger, consolidation, restructuring, recapitalization or other material reorganization of the Company or any of its Significant Subsidiaries (other than a merger or consolidation between its wholly-owned Subsidiaries);</w:t>
      </w:r>
    </w:p>
    <w:p>
      <w:pPr>
        <w:spacing w:after="0" w:line="164" w:lineRule="exact"/>
        <w:rPr>
          <w:rFonts w:ascii="Courier New" w:cs="Courier New" w:eastAsia="Courier New" w:hAnsi="Courier New"/>
          <w:sz w:val="14"/>
          <w:szCs w:val="14"/>
          <w:color w:val="auto"/>
        </w:rPr>
      </w:pPr>
    </w:p>
    <w:p>
      <w:pPr>
        <w:ind w:left="520" w:right="3859" w:firstLine="350"/>
        <w:spacing w:after="0" w:line="250" w:lineRule="auto"/>
        <w:tabs>
          <w:tab w:leader="none" w:pos="1209"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material Subsidiary of the Company to, issue, sell, transfer, pledge, dispose of or encumber any shares of, or securities convertible into or exchangeable for, or options, warrants, calls, commitments or rights of any kind to acquire, any shares of capital stock of any class or series of the Company or its material Subsidiaries other than (i) issuances pursuant to the exercise of convertible securities outstanding on the date hereof or issuances pursuant to stock based awards or options that are outstanding on the date hereof and are reflected in Section 3.05 or are granted in accordance with clause</w:t>
      </w:r>
    </w:p>
    <w:p>
      <w:pPr>
        <w:spacing w:after="0" w:line="4" w:lineRule="exact"/>
        <w:rPr>
          <w:rFonts w:ascii="Courier New" w:cs="Courier New" w:eastAsia="Courier New" w:hAnsi="Courier New"/>
          <w:sz w:val="14"/>
          <w:szCs w:val="14"/>
          <w:color w:val="auto"/>
        </w:rPr>
      </w:pPr>
    </w:p>
    <w:p>
      <w:pPr>
        <w:ind w:left="960" w:hanging="435"/>
        <w:spacing w:after="0"/>
        <w:tabs>
          <w:tab w:leader="none" w:pos="9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and (ii) additional options or stock-based awards to</w:t>
      </w:r>
    </w:p>
    <w:p>
      <w:pPr>
        <w:spacing w:after="0" w:line="7" w:lineRule="exact"/>
        <w:rPr>
          <w:sz w:val="20"/>
          <w:szCs w:val="20"/>
          <w:color w:val="auto"/>
        </w:rPr>
      </w:pPr>
    </w:p>
    <w:p>
      <w:pPr>
        <w:ind w:left="520" w:right="4019"/>
        <w:spacing w:after="0" w:line="252" w:lineRule="auto"/>
        <w:rPr>
          <w:sz w:val="20"/>
          <w:szCs w:val="20"/>
          <w:color w:val="auto"/>
        </w:rPr>
      </w:pPr>
      <w:r>
        <w:rPr>
          <w:rFonts w:ascii="Courier New" w:cs="Courier New" w:eastAsia="Courier New" w:hAnsi="Courier New"/>
          <w:sz w:val="14"/>
          <w:szCs w:val="14"/>
          <w:color w:val="auto"/>
        </w:rPr>
        <w:t>acquire Shares granted under the terms of any Company Stock Option Plan as in effect on the date hereof in the ordinary course consistent with past practice;</w:t>
      </w:r>
    </w:p>
    <w:p>
      <w:pPr>
        <w:spacing w:after="0" w:line="163" w:lineRule="exact"/>
        <w:rPr>
          <w:sz w:val="20"/>
          <w:szCs w:val="20"/>
          <w:color w:val="auto"/>
        </w:rPr>
      </w:pPr>
    </w:p>
    <w:p>
      <w:pPr>
        <w:ind w:left="520" w:right="3779" w:firstLine="350"/>
        <w:spacing w:after="0" w:line="251" w:lineRule="auto"/>
        <w:tabs>
          <w:tab w:leader="none" w:pos="1209"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material Subsidiary of the Company to, (i) split, combine, subdivide or reclassify its outstanding shares of capital stock, or (ii) declare, set aside or pay any dividend or other distribution payable in cash, stock or property with respect to its capital stock other than, subject to Section 7.09, (x) regular quarterly cash dividends payable by the Company or such material Subsidiary consistent with past practice (including periodic dividend increases consistent with past practice), but which for the sake of clarity shall not include any special dividend, (y) any required dividends on the Series B Preferred Stock or (z) dividends paid by any Subsidiary of the Company to the Company or any wholly-owned Subsidiary of the Company;</w:t>
      </w:r>
    </w:p>
    <w:p>
      <w:pPr>
        <w:spacing w:after="0" w:line="162" w:lineRule="exact"/>
        <w:rPr>
          <w:rFonts w:ascii="Courier New" w:cs="Courier New" w:eastAsia="Courier New" w:hAnsi="Courier New"/>
          <w:sz w:val="14"/>
          <w:szCs w:val="14"/>
          <w:color w:val="auto"/>
        </w:rPr>
      </w:pPr>
    </w:p>
    <w:p>
      <w:pPr>
        <w:ind w:left="520" w:right="3779" w:firstLine="350"/>
        <w:spacing w:after="0" w:line="250" w:lineRule="auto"/>
        <w:tabs>
          <w:tab w:leader="none" w:pos="1209"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redeem, purchase or otherwise acquire directly or indirectly any of the Company's capital stock, except for repurchases, redemptions or acquisitions (x) required by the terms of its capital stock or any securities outstanding on the date hereof,</w:t>
      </w:r>
    </w:p>
    <w:p>
      <w:pPr>
        <w:spacing w:after="0" w:line="2" w:lineRule="exact"/>
        <w:rPr>
          <w:rFonts w:ascii="Courier New" w:cs="Courier New" w:eastAsia="Courier New" w:hAnsi="Courier New"/>
          <w:sz w:val="14"/>
          <w:szCs w:val="14"/>
          <w:color w:val="auto"/>
        </w:rPr>
      </w:pPr>
    </w:p>
    <w:p>
      <w:pPr>
        <w:ind w:left="520" w:right="3779" w:firstLine="5"/>
        <w:spacing w:after="0" w:line="251" w:lineRule="auto"/>
        <w:tabs>
          <w:tab w:leader="none" w:pos="864"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by or in connection with the respective terms, as of the date hereof, of any Company Stock Option Plan or any dividend reinvestment plan as in effect on the date hereof in the ordinary course of the operations of such plan consistent with past practice and only to the extent consistent with Section 7.04 or (z) effected in the ordinary course consistent with past practice and only to the extent consistent with Section 7.04;</w:t>
      </w:r>
    </w:p>
    <w:p>
      <w:pPr>
        <w:spacing w:after="0" w:line="164"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amend the terms (including the terms relating to accelerating the vesting or lapse of repurchase rights or obligations) of any outstanding options to purchase Shares (which, it is understood, will not limit the administration of the relevant plans in accordance with past practices and interpretations of the Company's Board and the MCOC (as defined in Section 6.06(e)) to the extent consistent with Section 7.04) or amend the terms of or terminate the Leveraged ESOP;</w:t>
      </w:r>
    </w:p>
    <w:p>
      <w:pPr>
        <w:spacing w:after="0" w:line="163" w:lineRule="exact"/>
        <w:rPr>
          <w:rFonts w:ascii="Courier New" w:cs="Courier New" w:eastAsia="Courier New" w:hAnsi="Courier New"/>
          <w:sz w:val="14"/>
          <w:szCs w:val="14"/>
          <w:color w:val="auto"/>
        </w:rPr>
      </w:pPr>
    </w:p>
    <w:p>
      <w:pPr>
        <w:ind w:left="520" w:right="3939" w:firstLine="350"/>
        <w:spacing w:after="0" w:line="255" w:lineRule="auto"/>
        <w:tabs>
          <w:tab w:leader="none" w:pos="1209"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make or commit to make any capital expenditure;</w:t>
      </w:r>
    </w:p>
    <w:p>
      <w:pPr>
        <w:spacing w:after="0" w:line="159" w:lineRule="exact"/>
        <w:rPr>
          <w:rFonts w:ascii="Courier New" w:cs="Courier New" w:eastAsia="Courier New" w:hAnsi="Courier New"/>
          <w:sz w:val="14"/>
          <w:szCs w:val="14"/>
          <w:color w:val="auto"/>
        </w:rPr>
      </w:pPr>
    </w:p>
    <w:p>
      <w:pPr>
        <w:ind w:left="520" w:right="3939" w:firstLine="350"/>
        <w:spacing w:after="0" w:line="251" w:lineRule="auto"/>
        <w:tabs>
          <w:tab w:leader="none" w:pos="1209"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increase the compensation or benefits of any director, officer or employee, except for normal increases in the ordinary course of business consistent with past practice or as required under applicable law or any existing agreement or commitment;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10239"/>
          </w:cols>
          <w:pgMar w:left="220" w:top="782" w:right="1440" w:bottom="1440" w:gutter="0" w:footer="0" w:header="0"/>
        </w:sectPr>
      </w:pPr>
    </w:p>
    <w:bookmarkStart w:id="163" w:name="page164"/>
    <w:bookmarkEnd w:id="16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4119" w:firstLine="350"/>
        <w:spacing w:after="0" w:line="252" w:lineRule="auto"/>
        <w:tabs>
          <w:tab w:leader="none" w:pos="120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acquire a material amount of assets (as measured with respect to the consolidated assets of the Company and its Subsidiaries taken as a whole) of any other Person;</w:t>
      </w:r>
    </w:p>
    <w:p>
      <w:pPr>
        <w:spacing w:after="0" w:line="162" w:lineRule="exact"/>
        <w:rPr>
          <w:rFonts w:ascii="Courier New" w:cs="Courier New" w:eastAsia="Courier New" w:hAnsi="Courier New"/>
          <w:sz w:val="14"/>
          <w:szCs w:val="14"/>
          <w:color w:val="auto"/>
        </w:rPr>
      </w:pPr>
    </w:p>
    <w:p>
      <w:pPr>
        <w:ind w:left="520" w:right="3859" w:firstLine="350"/>
        <w:spacing w:after="0" w:line="252" w:lineRule="auto"/>
        <w:tabs>
          <w:tab w:leader="none" w:pos="120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sell, lease, license or otherwise dispose of any material assets or property except pursuant to existing contracts or commitments;</w:t>
      </w:r>
    </w:p>
    <w:p>
      <w:pPr>
        <w:spacing w:after="0" w:line="162" w:lineRule="exact"/>
        <w:rPr>
          <w:rFonts w:ascii="Courier New" w:cs="Courier New" w:eastAsia="Courier New" w:hAnsi="Courier New"/>
          <w:sz w:val="14"/>
          <w:szCs w:val="14"/>
          <w:color w:val="auto"/>
        </w:rPr>
      </w:pPr>
    </w:p>
    <w:p>
      <w:pPr>
        <w:ind w:left="520" w:right="3859" w:firstLine="350"/>
        <w:spacing w:after="0" w:line="251" w:lineRule="auto"/>
        <w:tabs>
          <w:tab w:leader="none" w:pos="120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any such change which is not significant or which is required by reason of a concurrent change in GAAP, the Company will not, and will not permit any Subsidiary of the Company to, change any method of accounting or accounting practice (other than any change for tax purposes) used by it;</w:t>
      </w:r>
    </w:p>
    <w:p>
      <w:pPr>
        <w:spacing w:after="0" w:line="164" w:lineRule="exact"/>
        <w:rPr>
          <w:rFonts w:ascii="Courier New" w:cs="Courier New" w:eastAsia="Courier New" w:hAnsi="Courier New"/>
          <w:sz w:val="14"/>
          <w:szCs w:val="14"/>
          <w:color w:val="auto"/>
        </w:rPr>
      </w:pPr>
    </w:p>
    <w:p>
      <w:pPr>
        <w:ind w:left="520" w:right="3779" w:firstLine="350"/>
        <w:spacing w:after="0" w:line="252" w:lineRule="auto"/>
        <w:tabs>
          <w:tab w:leader="none" w:pos="120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enter into any material joint venture, partnership or other similar arrangement;</w:t>
      </w:r>
    </w:p>
    <w:p>
      <w:pPr>
        <w:spacing w:after="0" w:line="162" w:lineRule="exact"/>
        <w:rPr>
          <w:rFonts w:ascii="Courier New" w:cs="Courier New" w:eastAsia="Courier New" w:hAnsi="Courier New"/>
          <w:sz w:val="14"/>
          <w:szCs w:val="14"/>
          <w:color w:val="auto"/>
        </w:rPr>
      </w:pPr>
    </w:p>
    <w:p>
      <w:pPr>
        <w:ind w:left="520" w:right="3939" w:firstLine="350"/>
        <w:spacing w:after="0" w:line="252" w:lineRule="auto"/>
        <w:tabs>
          <w:tab w:leader="none" w:pos="120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take any action that would make any representation or warranty of the Company hereunder inaccurate in any material respect at, or as of any time prior to, the Effective Time; and</w:t>
      </w:r>
    </w:p>
    <w:p>
      <w:pPr>
        <w:spacing w:after="0" w:line="162" w:lineRule="exact"/>
        <w:rPr>
          <w:rFonts w:ascii="Courier New" w:cs="Courier New" w:eastAsia="Courier New" w:hAnsi="Courier New"/>
          <w:sz w:val="14"/>
          <w:szCs w:val="14"/>
          <w:color w:val="auto"/>
        </w:rPr>
      </w:pPr>
    </w:p>
    <w:p>
      <w:pPr>
        <w:jc w:val="both"/>
        <w:ind w:left="520" w:right="4539" w:firstLine="350"/>
        <w:spacing w:after="0" w:line="255" w:lineRule="auto"/>
        <w:tabs>
          <w:tab w:leader="none" w:pos="120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agree or commit to do any of the foregoing.</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5.02. Company Stockholder Meeting; Proxy Material. Unless the Board of Directors of Acquiror shall take any action permitted by the third sentence of Section 6.04, the Company shall cause a meeting of its stockholders (the "Company Stockholder Meeting") to be duly called and held as soon as reasonably practicable, on a date reasonably acceptable to Acquiror, for the purpose of voting on the approval and adoption of this Agreement and the Merger (the "Company Stockholder Approval"). Except as provided in the next sentence, the Board of Directors of the Company shall recommend approval and adoption of this Agreement by the Company's stockholders. The Board of Directors of the Company shall be permitted to (i) not recommend to the Company's shareholders that they give the Company Stockholder Approval or (ii) withdraw or modify in a manner adverse to Acquiror its recommendation to the Company's shareholders that they give the Company Stockholder Approval, only (x) if the Board of Directors of the Company by a majority vote determines in its good faith judgment that it is necessary to so withdraw or modify its recommendation to comply with its fiduciary duty to shareholders under applicable law, after receiving the advice of outside legal counsel, and (y) if the Company and the senior officers and directors of the Company have substantially complied with their obligations set forth in Section 5.03. In connection with the Company Stockholder Meeting, the Company (x) will promptly prepare and file with the SEC, will use its reasonable best efforts to have cleared by the SEC and will thereafter mail to its shareholders as promptly as practicable the Company Proxy Statement and all other proxy materials for the Company Stockholder Meeting, (y) will use its reasonable best efforts, subject to the immediately preceding sentence, to obtain the Company Stockholder Approval and (z) will otherwise comply with all legal requirements applicable to the Company Stockholder Meeting.</w:t>
      </w:r>
    </w:p>
    <w:p>
      <w:pPr>
        <w:spacing w:after="0" w:line="17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5.03. Other Offers. The Company and its Subsidiaries will not, and the Company will use its reasonable best efforts to cause the officers, directors, employees, investment bankers, consultants and other agents of the Company and its Subsidiaries not to, directly or indirectly, take any action to solicit, initiate, encourage or facilitate the making of any Acquisition Proposal (including without limitation by amending, or granting any waiver under, the Company Rights Agreement) or any inquiry with respect thereto or engage in discussions or negotiations with any Person with respect thereto, or disclose any non-public information relating to the Company or any Subsidiary of the Company or afford access to the properties, books or records of the Company or any Subsidiary of the Company to, any Person that has made, or to the Company's knowledge, is considering making, any Acquisition Proposal; provided that nothing contained in this Section 5.03 shall prevent the Company from furnishing non-public information to, or entering into</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782"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discussions or negotiations with, or affording access to the properties, books or records of the Company or its Subsidiaries to, any Person in connection with an unsolicited bona fide Acquisition Proposal received from such Person so long as prior to furnishing non-public information to, or entering into discussions or negotiations with, such Person, (i) the Board of Directors of the Company by a majority vote determines in its good faith judgment that it is necessary to do so to comply with its fiduciary duty to shareholders under applicable law, after receiving the advice of outside legal counsel, and (ii) the Company receives from such Person an executed confidentiality agreement with terms no less favorable to the Company than those contained in the Confidentiality Agreement (as defined in Section 7.03). Nothing contained in this Agreement shall prevent the Board of Directors of the Company from complying with Rule 14e-2 under the Exchange Act with regard to an Acquisition Proposal; provided that the Board of Directors of the Company shall not recommend that the shareholders of the Company tender their shares in connection with a tender offer except to the extent the Board of Directors of the Company by a majority vote determines in its good faith judgment that such a recommendation is required to comply with the fiduciary duties of the Board of Directors of the Company to shareholders under applicable law, after receiving the advice of outside legal counsel. Unless the Board of Directors of the Company by a majority vote determines in its good faith judgment that it is necessary not to do so to comply with its fiduciary duty to shareholders under applicable law, after receiving the advice of outside legal counsel, the Company will (a) promptly (and in no event later than 48 hours after receipt of any Acquisition Proposal) notify (which notice shall be provided orally and in writing and shall identify the Person making such Acquisition Proposal and set forth the material terms thereof) Acquiror after receipt of any Acquisition Proposal, any indication of which the Company has knowledge that any Person is considering making an Acquisition Proposal or any request for non-public information relating to the Company or any Subsidiary of the Company or for access to the properties, books or records of the Company or any Subsidiary of the Company by any Person that has made, or to the Company's knowledge may be considering making, an Acquisition Proposal, and (b) will keep Acquiror informed of the status and material terms of any such Acquisition Proposal or request. The Company and its Subsidiaries will, and the Company will use its reasonable best efforts to cause the officers, directors, employees, investment bankers, consultants and other agents of the Company and its Subsidiaries to, immediately cease and cause to be terminated all discussions and negotiations, if any, that have taken place prior to the date hereof with any parties with respect to any Acquisition Proposal.</w:t>
      </w:r>
    </w:p>
    <w:p>
      <w:pPr>
        <w:spacing w:after="0" w:line="18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For purposes of this Agreement, "Acquisition Proposal" means any offer or proposal for, or any indication of interest in, any (i) direct or indirect acquisition or purchase of a business or assets that constitute 20% or more of the net revenues, net income or the assets of the Company and its Subsidiaries, taken as a whole, (ii) direct or indirect acquisition or purchase of 20% or more of any class of equity securities of the Company or any of its Subsidiaries whose business constitutes 20% or more of the net revenues, net income or assets of the Company and its Subsidiaries, taken as a whole, (iii) tender offer or exchange offer that if consummated would result in any person beneficially owning 20% or more of any class of equity securities of the Company or any of its Subsidiaries whose business constitutes 20% or more the net revenues, net income or assets of the Company and its Subsidiaries, taken as a whole, or (iv) merger, consolidation, business combination, recapitalization, liquidation, dissolution or similar transaction involving the Company or any of its Subsidiaries whose business constitutes 20% or more of the net revenue, net income or assets of the Company and its Subsidiaries, taken as a whole, other than the transactions contemplated by this Agreement. For purposes of this Agreement, "Superior Proposal" means any bona fide Acquisition Proposal for or in respect of at least a majority of the outstanding Shares on terms that the Board of Directors of the Company determines in its good faith judgment (after consultation with a financial advisor of nationally recognized reputation, taking into account all the terms and conditions of the Acquisition Proposal, including any break-up fees, expense reimbursement provisions and conditions to consummation) are more favorable to all of the Company's stockholders than the Merger.</w:t>
      </w:r>
    </w:p>
    <w:p>
      <w:pPr>
        <w:spacing w:after="0" w:line="34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10239"/>
          </w:cols>
          <w:pgMar w:left="220" w:top="782" w:right="1440" w:bottom="1440" w:gutter="0" w:footer="0" w:header="0"/>
        </w:sectPr>
      </w:pPr>
    </w:p>
    <w:bookmarkStart w:id="165" w:name="page166"/>
    <w:bookmarkEnd w:id="16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200" w:lineRule="exact"/>
        <w:rPr>
          <w:sz w:val="20"/>
          <w:szCs w:val="20"/>
          <w:color w:val="auto"/>
        </w:rPr>
      </w:pPr>
    </w:p>
    <w:p>
      <w:pPr>
        <w:spacing w:after="0" w:line="30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6</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COVENANTS OF ACQUIROR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Acquiror agrees that: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6.01. Conduct of Acquiror. From the date hereof until the Effective Time, Acquiror and its Subsidiaries shall conduct their business in the ordinary course consistent with past practice and shall use their reasonable best efforts to preserve intact their business organizations and relationships with third parties. Without limiting the generality of the foregoing, and except with the prior written consent of the Company or as contemplated by this Agreement, from the date hereof until the Effective Time:</w:t>
      </w:r>
    </w:p>
    <w:p>
      <w:pPr>
        <w:spacing w:after="0" w:line="164" w:lineRule="exact"/>
        <w:rPr>
          <w:sz w:val="20"/>
          <w:szCs w:val="20"/>
          <w:color w:val="auto"/>
        </w:rPr>
      </w:pPr>
    </w:p>
    <w:p>
      <w:pPr>
        <w:ind w:left="520" w:right="4019" w:firstLine="350"/>
        <w:spacing w:after="0" w:line="252" w:lineRule="auto"/>
        <w:tabs>
          <w:tab w:leader="none" w:pos="129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adopt or propose any change in its certificate of incorporation or by-laws, except as contemplated in Section 4.02(a) or 2.02(a);</w:t>
      </w:r>
    </w:p>
    <w:p>
      <w:pPr>
        <w:spacing w:after="0" w:line="162" w:lineRule="exact"/>
        <w:rPr>
          <w:rFonts w:ascii="Courier New" w:cs="Courier New" w:eastAsia="Courier New" w:hAnsi="Courier New"/>
          <w:sz w:val="14"/>
          <w:szCs w:val="14"/>
          <w:color w:val="auto"/>
        </w:rPr>
      </w:pPr>
    </w:p>
    <w:p>
      <w:pPr>
        <w:ind w:left="520" w:right="3939" w:firstLine="350"/>
        <w:spacing w:after="0" w:line="252" w:lineRule="auto"/>
        <w:tabs>
          <w:tab w:leader="none" w:pos="129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adopt a plan or agreement of complete or partial liquidation, dissolution, merger, consolidation, restructuring, recapitalization or other material reorganization of Acquiror;</w:t>
      </w:r>
    </w:p>
    <w:p>
      <w:pPr>
        <w:spacing w:after="0" w:line="162" w:lineRule="exact"/>
        <w:rPr>
          <w:rFonts w:ascii="Courier New" w:cs="Courier New" w:eastAsia="Courier New" w:hAnsi="Courier New"/>
          <w:sz w:val="14"/>
          <w:szCs w:val="14"/>
          <w:color w:val="auto"/>
        </w:rPr>
      </w:pPr>
    </w:p>
    <w:p>
      <w:pPr>
        <w:ind w:left="520" w:right="3779" w:firstLine="350"/>
        <w:spacing w:after="0" w:line="250" w:lineRule="auto"/>
        <w:tabs>
          <w:tab w:leader="none" w:pos="129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issue, sell, transfer, pledge, dispose of or encumber any shares of, or securities convertible into or exchangeable for, or options, warrants, calls, commitments or rights of any kind to acquire, any shares of capital stock of any class or series of Acquiror, other than (i) issuances pursuant to the exercise of convertible securities outstanding on the date hereof or issuances pursuant to stock-based awards or options outstanding on the date hereof or that are granted in accordance with clause (ii) below and</w:t>
      </w:r>
    </w:p>
    <w:p>
      <w:pPr>
        <w:spacing w:after="0" w:line="3" w:lineRule="exact"/>
        <w:rPr>
          <w:rFonts w:ascii="Courier New" w:cs="Courier New" w:eastAsia="Courier New" w:hAnsi="Courier New"/>
          <w:sz w:val="14"/>
          <w:szCs w:val="14"/>
          <w:color w:val="auto"/>
        </w:rPr>
      </w:pPr>
    </w:p>
    <w:p>
      <w:pPr>
        <w:ind w:left="520" w:right="3939" w:firstLine="5"/>
        <w:spacing w:after="0" w:line="251" w:lineRule="auto"/>
        <w:tabs>
          <w:tab w:leader="none" w:pos="95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options or stock-based awards to acquire Acquiror Common Stock granted under the terms of any employee or director stock option or compensation plan or arrangement of Acquiror as in effect as of the date hereof in the ordinary course consistent with past practice;</w:t>
      </w:r>
    </w:p>
    <w:p>
      <w:pPr>
        <w:spacing w:after="0" w:line="164" w:lineRule="exact"/>
        <w:rPr>
          <w:rFonts w:ascii="Courier New" w:cs="Courier New" w:eastAsia="Courier New" w:hAnsi="Courier New"/>
          <w:sz w:val="14"/>
          <w:szCs w:val="14"/>
          <w:color w:val="auto"/>
        </w:rPr>
      </w:pPr>
    </w:p>
    <w:p>
      <w:pPr>
        <w:ind w:left="520" w:right="3779" w:firstLine="350"/>
        <w:spacing w:after="0" w:line="251" w:lineRule="auto"/>
        <w:tabs>
          <w:tab w:leader="none" w:pos="1295"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(i) split, combine, subdivide or reclassify its outstanding shares of capital stock or (ii) declare, set aside or pay any dividend or other distribution payable in cash, stock or property with respect to its capital stock other than, subject to Section 7.09, (x) regular quarterly cash dividends payable by Acquiror on Acquiror Common Stock consistent with past practice (including periodic dividend increases consistent with past practice), but which for the sake of clarity shall not include any special dividend or (y) any required dividends on preferred stock outstanding on the date hereof;</w:t>
      </w:r>
    </w:p>
    <w:p>
      <w:pPr>
        <w:spacing w:after="0" w:line="163" w:lineRule="exact"/>
        <w:rPr>
          <w:rFonts w:ascii="Courier New" w:cs="Courier New" w:eastAsia="Courier New" w:hAnsi="Courier New"/>
          <w:sz w:val="14"/>
          <w:szCs w:val="14"/>
          <w:color w:val="auto"/>
        </w:rPr>
      </w:pPr>
    </w:p>
    <w:p>
      <w:pPr>
        <w:ind w:left="520" w:right="3779" w:firstLine="350"/>
        <w:spacing w:after="0" w:line="251" w:lineRule="auto"/>
        <w:tabs>
          <w:tab w:leader="none" w:pos="1295"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and will not permit any Subsidiary of Acquiror to, redeem, purchase or otherwise acquire directly or indirectly any of Acquiror's capital stock, except for repurchases, redemptions or acquisitions (x) required by the terms of capital stock or any securities outstanding on the date hereof, (y) required by or in connection with the respective terms, as of the date hereof, of any employee stock option plan or compensation plan or arrangement of Acquiror or any dividend reinvestment plan as in effect as of the date hereof in the ordinary course of operations of such plan consistent with past practice and only to the extent consistent with Section 7.04 or (z) effected in the ordinary course consistent with past practice and only to the extent consistent with Section 7.04;</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and will not permit any of its</w:t>
      </w:r>
    </w:p>
    <w:p>
      <w:pPr>
        <w:spacing w:after="0" w:line="7" w:lineRule="exact"/>
        <w:rPr>
          <w:rFonts w:ascii="Courier New" w:cs="Courier New" w:eastAsia="Courier New" w:hAnsi="Courier New"/>
          <w:sz w:val="14"/>
          <w:szCs w:val="14"/>
          <w:color w:val="auto"/>
        </w:rPr>
      </w:pPr>
    </w:p>
    <w:p>
      <w:pPr>
        <w:ind w:left="520"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to, take any action that would make any representation or warranty of Acquiror hereunder inaccurate in any material respect at, or as of any time prior to, the Effective Time; and</w:t>
      </w:r>
    </w:p>
    <w:p>
      <w:pPr>
        <w:spacing w:after="0" w:line="162" w:lineRule="exact"/>
        <w:rPr>
          <w:rFonts w:ascii="Courier New" w:cs="Courier New" w:eastAsia="Courier New" w:hAnsi="Courier New"/>
          <w:sz w:val="14"/>
          <w:szCs w:val="14"/>
          <w:color w:val="auto"/>
        </w:rPr>
      </w:pPr>
    </w:p>
    <w:p>
      <w:pPr>
        <w:ind w:left="520" w:right="4539" w:firstLine="350"/>
        <w:spacing w:after="0" w:line="255" w:lineRule="auto"/>
        <w:tabs>
          <w:tab w:leader="none" w:pos="1295"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not, and will not permit any of its Subsidiaries to, agree or commit to do any of the foregoing.</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10239"/>
          </w:cols>
          <w:pgMar w:left="220" w:top="782"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SECTION 6.02. Obligations of Merger Subsidiary. Acquiror will take all action necessary to cause Merger Subsidiary to perform its obligations under this Agreement and to consummate the Merger on the terms and conditions set forth in this Agreement.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6.03. Director and Officer Liability. (a) For seven years after the Effective Time, Acquiror shall indemnify and hold harmless the individuals who on or prior to the Effective Time were officers, directors and employees of the Company or its Subsidiaries (collectively, the "Indemnitees") with respect to all acts or omissions by them in their capacities as such or taken at the request of the Company or any of its Subsidiaries at any time prior to the Effective Time to the extent provided under the Company's certificate of incorporation and by-laws in effect on the date hereof. Acquiror shall cause the Surviving Corporation to honor all indemnification agreements with Indemnitees (including under the Company's by-laws) in effect as of the date hereof in accordance with the terms thereof. To the best knowledge of the Company, the Company has disclosed to Acquiror all such indemnification agreements prior to the date hereof.</w:t>
      </w:r>
    </w:p>
    <w:p>
      <w:pPr>
        <w:spacing w:after="0" w:line="329" w:lineRule="exact"/>
        <w:rPr>
          <w:sz w:val="20"/>
          <w:szCs w:val="20"/>
          <w:color w:val="auto"/>
        </w:rPr>
      </w:pPr>
    </w:p>
    <w:p>
      <w:pPr>
        <w:ind w:right="3419" w:firstLine="439"/>
        <w:spacing w:after="0" w:line="250" w:lineRule="auto"/>
        <w:tabs>
          <w:tab w:leader="none" w:pos="7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seven years after the Effective Time, Acquiror shall procure the provision of officers' and directors' liability insurance in respect of acts or omissions occurring prior to the Effective Time covering each such Person currently covered by the Company's officers' and directors' liability insurance policy on terms with respect to coverage and in amounts no less favorable than those of such policy in effect on the date hereof (it being understood that Acquiror may discharge its obligations pursuant to this paragraph by providing an insurance policy underwritten by Ancon Insurance Company, Inc., a wholly-owned Subsidiary of Acquiror); provided, that if the aggregate annual premiums for such insurance at any time during such period shall exceed 300% of the per annum rate of premium paid by the Company and its Subsidiaries as</w:t>
      </w:r>
    </w:p>
    <w:p>
      <w:pPr>
        <w:spacing w:after="0" w:line="4" w:lineRule="exact"/>
        <w:rPr>
          <w:rFonts w:ascii="Courier New" w:cs="Courier New" w:eastAsia="Courier New" w:hAnsi="Courier New"/>
          <w:sz w:val="14"/>
          <w:szCs w:val="14"/>
          <w:color w:val="auto"/>
        </w:rPr>
      </w:pPr>
    </w:p>
    <w:p>
      <w:pPr>
        <w:jc w:val="both"/>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date hereof for such insurance, then Acquiror shall, or shall cause its Subsidiaries to, provide only such coverage as shall then be available at an annual premium equal to 300% of such rate.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Acquiror under this Section 6.03 shall not be terminated or modified in such a manner as to adversely affect any Indemnitee to whom this Section 6.03 applies without the consent of such affected Indemnitee (it being expressly agreed that the Indemnitees to whom this Section 6.03 applies shall be third party beneficiaries of this Section 6.03).</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6.04. Acquiror Stockholder Meeting; Form S-4. Unless the Board of Directors of the Company shall take any action permitted by the third sentence of Section 5.02, Acquiror shall cause a meeting of its stockholders (the "Acquiror Stockholder Meeting") to be duly called and held as soon as reasonably practicable, on a date reasonably acceptable to the Company, for the purpose of approving the matters constituting the Acquiror Stockholder Approval. Except as provided in the next sentence, the Board of Directors of Acquiror shall recommend approval of the matters constituting the Acquiror Stockholder Approval. The Board of Directors of Acquiror shall be permitted to (i) not recommend to Acquiror's shareholders that they give the Acquiror Stockholder Approval or (ii) withdraw or modify in a manner adverse to the Company its recommendation to the Acquiror's shareholders that they give the Acquiror Stockholder Approval, only if the Board of Directors of Acquiror by a majority vote determines in its good faith judgment that it is necessary to so withdraw or modify its recommendation to comply with its fiduciary duty to shareholders under applicable law, after receiving the advice of outside legal counsel. In connection with the Acquiror Stockholder Meeting, Acquiror (x) will promptly prepare and file with the SEC, will use its reasonable best efforts to have cleared by the SEC, and will thereafter mail to its stockholders as promptly as practicable, the Acquiror Proxy Statement and all other proxy materials for such meeting, (y) will use its reasonable best efforts, subject to the immediately preceding sentence, to obtain the Acquiror Stockholder Approval, and (z) will otherwise comply with all legal requirements applicable to the Acquiror Stockholder Meeting. Subject to the terms and conditions of this Agreement and unless the Board of Directors of the Company shall take any action permitted by the third sentence of Section 5.02, Acquiror shall prepare and file with the SEC under the 1933 Act the Form S-4, and shall use its reasonable best efforts to cause the Form S-4 to be declared effective by the SEC as promptly as practicable. Acquiror shall promptly take any action required to be taken under foreign or state securities or Blue Sky laws in connection with the issuance of Acquiror Common Stock in connection with the Merger. The parties acknowledge and agree that</w:t>
      </w:r>
    </w:p>
    <w:p>
      <w:pPr>
        <w:spacing w:after="0" w:line="34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10239"/>
          </w:cols>
          <w:pgMar w:left="220" w:top="782" w:right="1440" w:bottom="1440" w:gutter="0" w:footer="0" w:header="0"/>
        </w:sectPr>
      </w:pPr>
    </w:p>
    <w:bookmarkStart w:id="167" w:name="page168"/>
    <w:bookmarkEnd w:id="16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Acquiror may include in such proxy statement to be mailed to its stockholders a proposal to amend Acquiror's certificate of incorporation to eliminate the Class B Preferred Stock.</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6.05. Stock Exchange Listing. Acquiror shall use its reasonable best efforts to cause the shares of Acquiror Common Stock to be issued in connection with the Merger to be listed on the NYSE, subject to official notice of issuance.</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6.06. Employee Benefits. (a) From and after the Effective Time, Acquiror shall cause the Surviving Corporation to honor in accordance with their terms all benefits and obligations under the Executive Arrangements (as defined in Section 6.06(f)) and, subject to Section 6.06(b), the other Company Employee Plans, each as in effect on the date hereof (or as amended with the prior written consent of Acquiror), to the extent that entitlements or rights, actual or contingent (whether such entitlements or rights are vested as of the Effective Time or become vested or payable only upon the occurrence of a further event, including a discretionary determination) exist in respect thereof as of the Effective Time. Acquiror and the Company hereby agree that the consummation of the Merger shall constitute a "Change in Control" for purpose of any employee arrangement and all other Company Employee Plans, pursuant to the terms of such plans in effect on the date hereof. No provision of this Section 6.06(a) shall be construed as a limitation on the right of Acquiror to amend or terminate any Company Employee Plans which the Company would otherwise have under the terms of such Company Employee Plan, and no provision of this Section 6.06(a) shall be construed to create a right in any employee or beneficiary of such employee under a Company Employee Plan that such employee or beneficiary would not otherwise have under the terms of such Company Employee Plan.</w:t>
      </w:r>
    </w:p>
    <w:p>
      <w:pPr>
        <w:spacing w:after="0" w:line="174" w:lineRule="exact"/>
        <w:rPr>
          <w:sz w:val="20"/>
          <w:szCs w:val="20"/>
          <w:color w:val="auto"/>
        </w:rPr>
      </w:pPr>
    </w:p>
    <w:p>
      <w:pPr>
        <w:ind w:right="3339" w:firstLine="439"/>
        <w:spacing w:after="0" w:line="250" w:lineRule="auto"/>
        <w:tabs>
          <w:tab w:leader="none" w:pos="77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Effective Time, Acquiror shall continue to provide to individuals who are employed by the Company and its Subsidiaries as of the Effective Time who remain employed with Acquiror or any Subsidiary of Acquiror ("Affected Employees"), for so long as such Affected Employees remain employed by Acquiror or any Subsidiary of Acquiror, employee benefits (other than salary or incentive compensation) (i) pursuant to the Company's or its Subsidiaries' employee benefit plans, programs, policies and arrangements as provided to such employees immediately prior to the Effective Time or (ii) pursuant to employee benefit plans, programs, policies or arrangements maintained by Acquiror or any Subsidiary of Acquiror providing coverage and benefits which, in the aggregate, are no less favorable than those provided to employees of Acquiror in positions comparable to positions held by Affected Employees with Acquiror or its Subsidiaries from time to time after the Effective Time. Following the Effective Time, Acquiror shall continue to provide to former employees of the Company or its Subsidiaries (and to employees of the Company or its Subsidiaries whose employment terminates prior to the Effective Time) ("Affected Retirees") post retirement benefits (other than pensions) (i) pursuant to the Company Employee Plans applicable to such Affected Retirees, each as in effect on the date hereof, or (ii) pursuant to employee benefit plans, programs, policies or arrangements maintained by Acquiror or any Subsidiary of Acquiror providing post retirement coverage and benefits (other than pensions) which, in the aggregate, are no less favorable than those provided to former employees of Acquiror.</w:t>
      </w:r>
    </w:p>
    <w:p>
      <w:pPr>
        <w:spacing w:after="0" w:line="175"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or will cause the Surviving Corporation to, give Affected Employees full credit for purposes of eligibility, vesting, benefit accrual (including benefit accrual under any defined benefit pension plans, provided that a participant's benefit under any such defined benefit pension plan may be offset by such participant's accrued benefit under the Company defined benefit pension plan) and determination of the level of benefits under any employee benefit plans or arrangements maintained by Acquiror or any Subsidiary of Acquiror for such Affected Employees' service with the Company or any Subsidiary of the Company to the same extent recognized by the Company immediately prior to the Effective Time.</w:t>
      </w:r>
    </w:p>
    <w:p>
      <w:pPr>
        <w:spacing w:after="0" w:line="163"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will, or will cause the Surviving Corporation to, (i) waive all limitations as to preexisting conditions, exclusions and waiting periods with respect to participation and coverage requirements applicable to the Affected Employees under any welfare benefit plans that such employees may be eligible to participate in after the Effective Time, other than limitations or waiting periods that are already in effect with respect to such employees and</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10239"/>
          </w:cols>
          <w:pgMar w:left="220" w:top="782"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that have not been satisfied as of the Effective Time under any welfare plan maintained for the Affected Employees immediately prior to the Effective Time, and (ii) provide each Affected Employee with credit for any co-payments and deductibles paid prior to the Effective Time in satisfying any applicable deductible or out-of-pocket requirements under any welfare plans that such employees are eligible to participate in after the Effective Time.</w:t>
      </w:r>
    </w:p>
    <w:p>
      <w:pPr>
        <w:spacing w:after="0" w:line="164" w:lineRule="exact"/>
        <w:rPr>
          <w:sz w:val="20"/>
          <w:szCs w:val="20"/>
          <w:color w:val="auto"/>
        </w:rPr>
      </w:pPr>
    </w:p>
    <w:p>
      <w:pPr>
        <w:ind w:right="3339" w:firstLine="439"/>
        <w:spacing w:after="0" w:line="251" w:lineRule="auto"/>
        <w:tabs>
          <w:tab w:leader="none" w:pos="77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(i) acknowledges that the Company's Board and the Management Compensation and Organization Committee (the "MCOC") of the Company's Board has determined that all officers and employees covered by the Company Management Retention Plan have performed at a level satisfactory to the Company over the period that the conditional retention awards granted thereunder have been outstanding and, accordingly, that all such individuals would be entitled to full payment under the Company Management Retention Plan were they to retire or otherwise terminate their employment with the Company or any of its Subsidiaries and (ii) agrees to give considerable weight to such determination in administering the Company Management Retention Plan after the Effective Time, given the significant length of time that has elapsed since the award grants.</w:t>
      </w:r>
    </w:p>
    <w:p>
      <w:pPr>
        <w:spacing w:after="0" w:line="163"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agrees that the 1986, 1991 and 1995 Company Incentive Compensation and Stock Ownership Plans, the Company Management Retention Plan, the Supplemental Pension Annuity Program of Mobil Corporation, the Executive Life Insurance Program of Mobil Corporation and the Company Employee Severance Plan (collectively, the "Executive Arrangements"), as well as any award made under any Executive Arrangement (including Company Stock Options and Company Awards), shall be administered in accordance with the past practices and interpretations of the Company's Board and the MCOC (including those past practices and interpretations previously disclosed by the Company to Acquiror) with respect to eligibility, vesting, term and payment, among other matters. Any question regarding the past practices and interpretations of the Company's Board and the MCOC and the application thereof to the type of facts and circumstances in a given case shall be referred to Mr. Lucio A. Noto or his designee for a final decision with respect thereto, which decision shall not be inconsistent with the intention of this Agreement and the Merger.</w:t>
      </w:r>
    </w:p>
    <w:p>
      <w:pPr>
        <w:spacing w:after="0" w:line="200" w:lineRule="exact"/>
        <w:rPr>
          <w:sz w:val="20"/>
          <w:szCs w:val="20"/>
          <w:color w:val="auto"/>
        </w:rPr>
      </w:pPr>
    </w:p>
    <w:p>
      <w:pPr>
        <w:spacing w:after="0" w:line="29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7</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COVENANTS OF ACQUIROR AND THE COMPANY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parties hereto agree that: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7.01. Best Efforts. (a) The Company and Acquiror shall each cooperate with the other and use (and shall use best efforts to cause their respective Subsidiaries to use) their respective best efforts to promptly (i) take or cause to be taken all actions, and do or cause to be done all things, necessary, proper or advisable under this Agreement and applicable laws to consummate and make effective the Merger and the other transactions contemplated by this Agreement as soon as practicable, including, without limitation, preparing and filing as promptly as practicable all documentation to effect all necessary filings, notices, petitions, statements, registrations, submissions of information, applications and other documents and (ii) obtain all approvals, consents, registrations, permits, authorizations and other confirmations required to be obtained from any third party necessary, proper or advisable to consummate the Merger and the other transactions contemplated by this Agreement. Subject to applicable laws relating to the exchange of information, the Company and Acquiror shall have the right to review in advance, and to the extent practicable each will consult the other on, all the information relating to the Company and its Subsidiaries or Acquiror and its Subsidiaries, as the case may be, that appears in any filing made with, or written materials submitted to, any third party and/or any governmental authority in connection with the Merger and the other transactions contemplated by this Agreement.</w:t>
      </w:r>
    </w:p>
    <w:p>
      <w:pPr>
        <w:spacing w:after="0" w:line="174" w:lineRule="exact"/>
        <w:rPr>
          <w:sz w:val="20"/>
          <w:szCs w:val="20"/>
          <w:color w:val="auto"/>
        </w:rPr>
      </w:pPr>
    </w:p>
    <w:p>
      <w:pPr>
        <w:ind w:right="3419" w:firstLine="439"/>
        <w:spacing w:after="0" w:line="253" w:lineRule="auto"/>
        <w:tabs>
          <w:tab w:leader="none" w:pos="77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else contained herein, the provisions of this Section 7.01 shall not be construed to require either party to undertake any efforts or to take any action if the result thereof would give Acquiror the right</w:t>
      </w:r>
    </w:p>
    <w:p>
      <w:pPr>
        <w:spacing w:after="0" w:line="3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10239"/>
          </w:cols>
          <w:pgMar w:left="220" w:top="782" w:right="1440" w:bottom="1440" w:gutter="0" w:footer="0" w:header="0"/>
        </w:sectPr>
      </w:pPr>
    </w:p>
    <w:bookmarkStart w:id="169" w:name="page170"/>
    <w:bookmarkEnd w:id="16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to decline to consummate the transactions contemplated by this Agreement pursuant to Section 8.02 by reason of giving rise to a Substantial Detriment.</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7.02. Certain Filings. The Company and Acquiror shall cooperate with one another (a) in connection with the preparation of the Company Proxy Statement, the Acquiror Proxy Statement and the Form S-4, (b) in determining whether any action by or in respect of, or filing with, any governmental body, agency or official, or authority is required,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Company Proxy Statement, the Acquiror Proxy Statement or the Form S-4 and seeking timely to obtain any such actions, consents, approvals or waivers.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7.03. Access to Information. From the date hereof until the Effective Time, to the extent permitted by applicable law, the Company and Acquiror will give the other party, its counsel, financial advisors, auditors and other authorized representatives reasonable access to the offices, properties, books and records of such party and its Subsidiaries, furnish to the other party, its counsel, financial advisors, auditors and other authorized representatives such financial and operating data and other information as such Persons may reasonably request and will instruct its own employees, counsel and financial advisors to cooperate with the other party in its investigation of the business of the Company or Acquiror, as the case may be; provided that no investigation of the other party's business shall affect any representation</w:t>
      </w:r>
    </w:p>
    <w:p>
      <w:pPr>
        <w:spacing w:after="0" w:line="5"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or warranty given by either party hereunder. All information obtained by Acquiror or the Company pursuant to this Section shall be kept confidential in accordance with, and shall otherwise be subject to the terms of, the Confidentiality Agreement dated November 12, 1998 between Acquiror and the Company (the "Confidentiality Agreement").</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SECTION 7.04. Tax and Accounting Treatment. (a) Each of Acquiror and the Company shall not take any action and shall not fail to take any action which action or failure to act would prevent, or would be reasonably likely to prevent, the Merger from qualifying (a) for "pooling of interests" accounting treatment as described in Section 3.19(a) or (b) as a 368 Reorganization.</w:t>
      </w:r>
    </w:p>
    <w:p>
      <w:pPr>
        <w:spacing w:after="0" w:line="165" w:lineRule="exact"/>
        <w:rPr>
          <w:sz w:val="20"/>
          <w:szCs w:val="20"/>
          <w:color w:val="auto"/>
        </w:rPr>
      </w:pPr>
    </w:p>
    <w:p>
      <w:pPr>
        <w:ind w:left="780" w:hanging="341"/>
        <w:spacing w:after="0"/>
        <w:tabs>
          <w:tab w:leader="none" w:pos="780"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use its reasonable best efforts to provide to Davis Polk</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172"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Wardwell and Skadden, Arps, Slate, Meagher &amp; Flom LLP a certificate substantially in the form attached hereto as Exhibit C-1. The Company shall use its reasonable best efforts to provide to Davis Polk &amp; Wardwell and Skadden, Arps, Slate, Meagher &amp; Flom LLP a certificate substantially in the form attached hereto as Exhibit C-2.</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7.05. Public Announcements. Acquiror and the Company will consult with each other before issuing any press release or making any public statement with respect to this Agreement and the transactions contemplated hereby and shall not issue any such press release or make any such public statement without the prior consent of the other party, which consent shall not be unreasonably withheld. Notwithstanding the foregoing, any such press release or public statement as may be required by applicable law or any listing agreement with any national securities exchange may be issued prior to such consultation, if the party making such release or statement has used its reasonable efforts to consult with the other party.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7.06. Further Assurances. At and after the Effective Time, the officers and directors of the Surviving Corporation will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10239"/>
          </w:cols>
          <w:pgMar w:left="220" w:top="782"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SECTION 7.07. Notices of Certain Events. (a) Each of the Company and Acquiror shall promptly notify the other party of:</w:t>
      </w:r>
    </w:p>
    <w:p>
      <w:pPr>
        <w:spacing w:after="0" w:line="160" w:lineRule="exact"/>
        <w:rPr>
          <w:sz w:val="20"/>
          <w:szCs w:val="20"/>
          <w:color w:val="auto"/>
        </w:rPr>
      </w:pPr>
    </w:p>
    <w:p>
      <w:pPr>
        <w:ind w:left="520" w:right="3939" w:firstLine="350"/>
        <w:spacing w:after="0" w:line="252" w:lineRule="auto"/>
        <w:tabs>
          <w:tab w:leader="none" w:pos="1209"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 and</w:t>
      </w:r>
    </w:p>
    <w:p>
      <w:pPr>
        <w:spacing w:after="0" w:line="162" w:lineRule="exact"/>
        <w:rPr>
          <w:rFonts w:ascii="Courier New" w:cs="Courier New" w:eastAsia="Courier New" w:hAnsi="Courier New"/>
          <w:sz w:val="14"/>
          <w:szCs w:val="14"/>
          <w:color w:val="auto"/>
        </w:rPr>
      </w:pPr>
    </w:p>
    <w:p>
      <w:pPr>
        <w:jc w:val="both"/>
        <w:ind w:left="520" w:right="4019" w:firstLine="264"/>
        <w:spacing w:after="0" w:line="252" w:lineRule="auto"/>
        <w:tabs>
          <w:tab w:leader="none" w:pos="1209"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governmental or regulatory agency or authority in connection with the transactions contemplated by this Agreement.</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Acquiror shall promptly notify the other party of any actions, suits, claims, investigations or proceedings commenced or, to the best of its knowledge threatened against, relating to or involving or otherwise affecting such party or any of its Subsidiaries which relate to the consummation of the transactions contemplated by this Agreement.</w:t>
      </w:r>
    </w:p>
    <w:p>
      <w:pPr>
        <w:spacing w:after="0" w:line="165"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SECTION 7.08. Affiliates. (a) The Company shall use its reasonable best efforts to deliver to Acquiror, within 15 days of the date hereof, a letter agreement substantially in the form of Exhibit B-1 hereto executed by each Person listed on Schedule 7.08(a).</w:t>
      </w:r>
    </w:p>
    <w:p>
      <w:pPr>
        <w:spacing w:after="0" w:line="162" w:lineRule="exact"/>
        <w:rPr>
          <w:sz w:val="20"/>
          <w:szCs w:val="20"/>
          <w:color w:val="auto"/>
        </w:rPr>
      </w:pPr>
    </w:p>
    <w:p>
      <w:pPr>
        <w:ind w:right="3339" w:firstLine="439"/>
        <w:spacing w:after="0" w:line="252" w:lineRule="auto"/>
        <w:tabs>
          <w:tab w:leader="none" w:pos="77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use its reasonable best efforts to obtain, within 15 days of the date hereof, a letter agreement substantially in the form of Exhibit B-2 hereto executed by each Person listed on Schedule 7.08(b).</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the Company shall cause to be delivered to Acquiror a letter identifying, to the best of the Company's knowledge, all Persons who are, at the time of the Company Stockholder Meeting, "affiliates" of the Company for purposes of Rule 145 under the 1933 Act. The Company shall furnish such information and documents as Acquiror may reasonably request for the purpose of reviewing such list. The Company shall use its reasonable best efforts to cause each Person who is so identified as an affiliate to deliver to Acquiror on or prior to the Effective Time a letter agreement substantially in the form of Exhibit B-3 to this Agreement.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7.09. Payment of Dividends. From the date hereof until the Effective Time, Acquiror and the Company will coordinate with each other regarding the declaration of dividends in respect of the shares of Acquiror Common Stock and the Shares and the record dates and payment dates relating thereto, it being the intention of the parties that holders of Shares will not receive two dividends, or fail to receive one dividend, for any single calendar quarter with respect to their Shares and the shares of Acquiror Common Stock any holder of Shares receives in exchange therefor in connection with the Merger.</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8</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8.01. Conditions to the Obligations of Each Party. The obligations of the Company, Acquiror and Merger Subsidiary to consummate the Merger are subject to the satisfaction (or, to the extent legally permissible, waiver) of the following conditions:</w:t>
      </w:r>
    </w:p>
    <w:p>
      <w:pPr>
        <w:spacing w:after="0" w:line="162" w:lineRule="exact"/>
        <w:rPr>
          <w:sz w:val="20"/>
          <w:szCs w:val="20"/>
          <w:color w:val="auto"/>
        </w:rPr>
      </w:pPr>
    </w:p>
    <w:p>
      <w:pPr>
        <w:ind w:left="520" w:right="3779" w:firstLine="350"/>
        <w:spacing w:after="0" w:line="255" w:lineRule="auto"/>
        <w:tabs>
          <w:tab w:leader="none" w:pos="1209"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have been adopted by the stockholders of the Company in accordance with Delaware Law;</w:t>
      </w:r>
    </w:p>
    <w:p>
      <w:pPr>
        <w:spacing w:after="0" w:line="159" w:lineRule="exact"/>
        <w:rPr>
          <w:rFonts w:ascii="Courier New" w:cs="Courier New" w:eastAsia="Courier New" w:hAnsi="Courier New"/>
          <w:sz w:val="14"/>
          <w:szCs w:val="14"/>
          <w:color w:val="auto"/>
        </w:rPr>
      </w:pPr>
    </w:p>
    <w:p>
      <w:pPr>
        <w:ind w:left="520" w:right="3939" w:firstLine="350"/>
        <w:spacing w:after="0" w:line="255" w:lineRule="auto"/>
        <w:tabs>
          <w:tab w:leader="none" w:pos="1209"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applicable waiting period under the HSR Act relating to the Merger shall have expired;</w:t>
      </w:r>
    </w:p>
    <w:p>
      <w:pPr>
        <w:spacing w:after="0" w:line="159" w:lineRule="exact"/>
        <w:rPr>
          <w:rFonts w:ascii="Courier New" w:cs="Courier New" w:eastAsia="Courier New" w:hAnsi="Courier New"/>
          <w:sz w:val="14"/>
          <w:szCs w:val="14"/>
          <w:color w:val="auto"/>
        </w:rPr>
      </w:pPr>
    </w:p>
    <w:p>
      <w:pPr>
        <w:jc w:val="both"/>
        <w:ind w:left="520" w:right="3939" w:firstLine="350"/>
        <w:spacing w:after="0" w:line="252" w:lineRule="auto"/>
        <w:tabs>
          <w:tab w:leader="none" w:pos="1209"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the European Commission of the transactions contemplated by this Agreement shall have been obtained pursuant to the EC Merger Regulation;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10239"/>
          </w:cols>
          <w:pgMar w:left="220" w:top="782" w:right="1440" w:bottom="1440" w:gutter="0" w:footer="0" w:header="0"/>
        </w:sectPr>
      </w:pPr>
    </w:p>
    <w:bookmarkStart w:id="171" w:name="page172"/>
    <w:bookmarkEnd w:id="17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4019" w:firstLine="350"/>
        <w:spacing w:after="0" w:line="252" w:lineRule="auto"/>
        <w:tabs>
          <w:tab w:leader="none" w:pos="120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any applicable law or regulation and no judgment, injunction, order or decree shall prohibit or enjoin the consummation of the Merger;</w:t>
      </w:r>
    </w:p>
    <w:p>
      <w:pPr>
        <w:spacing w:after="0" w:line="162" w:lineRule="exact"/>
        <w:rPr>
          <w:rFonts w:ascii="Courier New" w:cs="Courier New" w:eastAsia="Courier New" w:hAnsi="Courier New"/>
          <w:sz w:val="14"/>
          <w:szCs w:val="14"/>
          <w:color w:val="auto"/>
        </w:rPr>
      </w:pPr>
    </w:p>
    <w:p>
      <w:pPr>
        <w:ind w:left="520" w:right="4019" w:firstLine="350"/>
        <w:spacing w:after="0" w:line="255" w:lineRule="auto"/>
        <w:tabs>
          <w:tab w:leader="none" w:pos="120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have received all required approvals and third party consents listed on Schedule 8.01(e);</w:t>
      </w:r>
    </w:p>
    <w:p>
      <w:pPr>
        <w:spacing w:after="0" w:line="159" w:lineRule="exact"/>
        <w:rPr>
          <w:rFonts w:ascii="Courier New" w:cs="Courier New" w:eastAsia="Courier New" w:hAnsi="Courier New"/>
          <w:sz w:val="14"/>
          <w:szCs w:val="14"/>
          <w:color w:val="auto"/>
        </w:rPr>
      </w:pPr>
    </w:p>
    <w:p>
      <w:pPr>
        <w:ind w:left="520" w:right="4019" w:firstLine="350"/>
        <w:spacing w:after="0" w:line="252" w:lineRule="auto"/>
        <w:tabs>
          <w:tab w:leader="none" w:pos="120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matters constituting the Acquiror Stockholder Approval shall have been approved by the stockholders of Acquiror in accordance with applicable law or regulation;</w:t>
      </w:r>
    </w:p>
    <w:p>
      <w:pPr>
        <w:spacing w:after="0" w:line="162" w:lineRule="exact"/>
        <w:rPr>
          <w:rFonts w:ascii="Courier New" w:cs="Courier New" w:eastAsia="Courier New" w:hAnsi="Courier New"/>
          <w:sz w:val="14"/>
          <w:szCs w:val="14"/>
          <w:color w:val="auto"/>
        </w:rPr>
      </w:pPr>
    </w:p>
    <w:p>
      <w:pPr>
        <w:ind w:left="520" w:right="3939" w:firstLine="350"/>
        <w:spacing w:after="0" w:line="252" w:lineRule="auto"/>
        <w:tabs>
          <w:tab w:leader="none" w:pos="120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S-4 shall have been declared effective under the 1933 Act and no stop order suspending the effectiveness of the Form S-4 shall be in effect and no proceedings for such purpose shall be pending before or threatened by the SEC;</w:t>
      </w:r>
    </w:p>
    <w:p>
      <w:pPr>
        <w:spacing w:after="0" w:line="162" w:lineRule="exact"/>
        <w:rPr>
          <w:rFonts w:ascii="Courier New" w:cs="Courier New" w:eastAsia="Courier New" w:hAnsi="Courier New"/>
          <w:sz w:val="14"/>
          <w:szCs w:val="14"/>
          <w:color w:val="auto"/>
        </w:rPr>
      </w:pPr>
    </w:p>
    <w:p>
      <w:pPr>
        <w:ind w:left="520" w:right="3939" w:firstLine="350"/>
        <w:spacing w:after="0" w:line="252" w:lineRule="auto"/>
        <w:tabs>
          <w:tab w:leader="none" w:pos="120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Acquiror Common Stock to be issued in the Merger shall have been approved for listing on the NYSE, subject to official notice of issuance; and</w:t>
      </w:r>
    </w:p>
    <w:p>
      <w:pPr>
        <w:spacing w:after="0" w:line="162" w:lineRule="exact"/>
        <w:rPr>
          <w:rFonts w:ascii="Courier New" w:cs="Courier New" w:eastAsia="Courier New" w:hAnsi="Courier New"/>
          <w:sz w:val="14"/>
          <w:szCs w:val="14"/>
          <w:color w:val="auto"/>
        </w:rPr>
      </w:pPr>
    </w:p>
    <w:p>
      <w:pPr>
        <w:ind w:left="520" w:right="3779" w:firstLine="350"/>
        <w:spacing w:after="0" w:line="250" w:lineRule="auto"/>
        <w:tabs>
          <w:tab w:leader="none" w:pos="129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Acquiror shall have received a letter from PricewaterhouseCoopers LLP dated as of the Closing Date and addressed to Acquiror (a copy of which shall have been furnished to the Company), stating that based on the information furnished to PricewaterhouseCoopers LLP in the related certificate of Acquiror's management and based on the letter from Ernst &amp; Young LLP referenced in clause (ii) below, PricewaterhouseCoopers LLP concurs with Acquiror management's conclusion that, as of the Closing Date, no conditions exist that would preclude Acquiror's accounting for the Merger as a pooling of interests and such letter shall not have been withdrawn or modified in any material respect and (ii) the Company shall have received a letter from Ernst &amp; Young LLP dated as of the Closing Date and addressed to the Company (a copy of which shall have been furnished to Acquiror), in which Ernst &amp; Young LLP concurs with the Company management's conclusion that no conditions exist relating to the Company that would preclude the Acquiror from accounting for the Merger as a pooling of interests, and such letter shall not have been withdrawn or modified in any material respect.</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SECTION 8.02. Conditions to the Obligations of Acquiror and Merger Subsidiary. The obligations of Acquiror and Merger Subsidiary to consummate the Merger are subject to the satisfaction (or, to the extent legally permissible, waiver) of the following further conditions:</w:t>
      </w:r>
    </w:p>
    <w:p>
      <w:pPr>
        <w:spacing w:after="0" w:line="162" w:lineRule="exact"/>
        <w:rPr>
          <w:sz w:val="20"/>
          <w:szCs w:val="20"/>
          <w:color w:val="auto"/>
        </w:rPr>
      </w:pPr>
    </w:p>
    <w:p>
      <w:pPr>
        <w:ind w:left="520" w:right="3779" w:firstLine="350"/>
        <w:spacing w:after="0" w:line="250" w:lineRule="auto"/>
        <w:tabs>
          <w:tab w:leader="none" w:pos="1295"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shall have performed in all material respects all of its obligations hereunder required to be performed by it at or prior to the Effective Time, (ii) except to the extent expressly permitted under this Agreement, the representations and warranties of the Company contained in this Agreement and in any certificate or other writing delivered by the Company pursuant hereto</w:t>
      </w:r>
    </w:p>
    <w:p>
      <w:pPr>
        <w:spacing w:after="0" w:line="2" w:lineRule="exact"/>
        <w:rPr>
          <w:rFonts w:ascii="Courier New" w:cs="Courier New" w:eastAsia="Courier New" w:hAnsi="Courier New"/>
          <w:sz w:val="14"/>
          <w:szCs w:val="14"/>
          <w:color w:val="auto"/>
        </w:rPr>
      </w:pPr>
    </w:p>
    <w:p>
      <w:pPr>
        <w:ind w:left="520" w:right="3779" w:firstLine="5"/>
        <w:spacing w:after="0" w:line="251" w:lineRule="auto"/>
        <w:tabs>
          <w:tab w:leader="none" w:pos="86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are qualified by materiality or Material Adverse Effect shall be true at and as of the Effective Time as if made at and as of such time, and (y) that are not qualified by materiality or Material Adverse Effect shall be true in all material respects at and as of the Effective Time as if made at and as of such time and (iii) Acquiror shall have received a certificate signed by a vice-president of the Company to the foregoing effect;</w:t>
      </w:r>
    </w:p>
    <w:p>
      <w:pPr>
        <w:spacing w:after="0" w:line="164" w:lineRule="exact"/>
        <w:rPr>
          <w:rFonts w:ascii="Courier New" w:cs="Courier New" w:eastAsia="Courier New" w:hAnsi="Courier New"/>
          <w:sz w:val="14"/>
          <w:szCs w:val="14"/>
          <w:color w:val="auto"/>
        </w:rPr>
      </w:pPr>
    </w:p>
    <w:p>
      <w:pPr>
        <w:ind w:left="520" w:right="3859" w:firstLine="350"/>
        <w:spacing w:after="0" w:line="251" w:lineRule="auto"/>
        <w:tabs>
          <w:tab w:leader="none" w:pos="1209"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instituted or pending any action or proceeding by any governmental authority (whether domestic, foreign or supranational) before any court or governmental authority or agency, domestic, foreign or supranational, (i) seeking to restrain, prohibit or otherwise interfere with the ownership or operation by Acquiror or any Subsidiary of Acquiror of all or any portion of the business of the Company or any of its Subsidiaries or of Acquiror or any of its Subsidiaries or to compel Acquiror or any Subsidiary of Acquiror to dispose of or hold separate all or any portion of the business or assets of the Company or any of its Subsidiaries or of Acquiror or any of its Subsidiaries, (ii) seeking to impose or confirm limitations on the ability of Acquiror or any Subsidiary of Acquiror effectively to exercise full rights of ownership of the Shares (or shares of stock of</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10239"/>
          </w:cols>
          <w:pgMar w:left="220" w:top="782"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3779"/>
        <w:spacing w:after="0" w:line="251" w:lineRule="auto"/>
        <w:rPr>
          <w:sz w:val="20"/>
          <w:szCs w:val="20"/>
          <w:color w:val="auto"/>
        </w:rPr>
      </w:pPr>
      <w:r>
        <w:rPr>
          <w:rFonts w:ascii="Courier New" w:cs="Courier New" w:eastAsia="Courier New" w:hAnsi="Courier New"/>
          <w:sz w:val="14"/>
          <w:szCs w:val="14"/>
          <w:color w:val="auto"/>
        </w:rPr>
        <w:t>the Surviving Corporation) including, without limitation, the right to vote any Shares (or shares of stock of the Surviving Corporation) on any matters properly presented to stockholders or (iii) seeking to require divestiture by Acquiror or any Subsidiary of Acquiror of any Shares (or shares of stock of the Surviving Corporation) if any such matter referred to in clause (i), (ii) or (iii) hereof could reasonably be expected to result in a substantial detriment to the Acquiror and its Subsidiaries (including the Company and its Subsidiaries), taken as a whole (any such substantial detriment being referred to in this Agreement as a "Substantial Detriment");</w:t>
      </w:r>
    </w:p>
    <w:p>
      <w:pPr>
        <w:spacing w:after="0" w:line="163" w:lineRule="exact"/>
        <w:rPr>
          <w:sz w:val="20"/>
          <w:szCs w:val="20"/>
          <w:color w:val="auto"/>
        </w:rPr>
      </w:pPr>
    </w:p>
    <w:p>
      <w:pPr>
        <w:ind w:left="520" w:right="3779" w:firstLine="350"/>
        <w:spacing w:after="0" w:line="251" w:lineRule="auto"/>
        <w:tabs>
          <w:tab w:leader="none" w:pos="120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any statute, rule, regulation, injunction, order or decree, enacted, enforced, promulgated, entered, issued or deemed applicable to the Merger and the other transactions contemplated hereby (or in the case of any statute, rule or regulation, awaiting signature or reasonably expected to become law), by any court, government or governmental authority or agency or legislative body, domestic, foreign or supranational, that is reasonably likely, directly or indirectly, to result in a Substantial Detriment;</w:t>
      </w:r>
    </w:p>
    <w:p>
      <w:pPr>
        <w:spacing w:after="0" w:line="163" w:lineRule="exact"/>
        <w:rPr>
          <w:rFonts w:ascii="Courier New" w:cs="Courier New" w:eastAsia="Courier New" w:hAnsi="Courier New"/>
          <w:sz w:val="14"/>
          <w:szCs w:val="14"/>
          <w:color w:val="auto"/>
        </w:rPr>
      </w:pPr>
    </w:p>
    <w:p>
      <w:pPr>
        <w:ind w:left="520" w:right="3779" w:firstLine="350"/>
        <w:spacing w:after="0" w:line="251" w:lineRule="auto"/>
        <w:tabs>
          <w:tab w:leader="none" w:pos="129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all required approvals or consents of any governmental authority (whether domestic, foreign or supranational) in connection with the Merger and the consummation of the other transactions contemplated hereby shall have been obtained (and all relevant statutory, regulatory or other governmental waiting periods, whether domestic, foreign or supranational, shall have expired) unless the failure to receive any such approval or consent would not be reasonably likely, directly or indirectly, to result in a Substantial Detriment and (ii) all such approvals and consents which have been obtained shall be on terms that are not reasonably likely, directly or indirectly, to result in a Substantial Detriment;</w:t>
      </w:r>
    </w:p>
    <w:p>
      <w:pPr>
        <w:spacing w:after="0" w:line="163" w:lineRule="exact"/>
        <w:rPr>
          <w:rFonts w:ascii="Courier New" w:cs="Courier New" w:eastAsia="Courier New" w:hAnsi="Courier New"/>
          <w:sz w:val="14"/>
          <w:szCs w:val="14"/>
          <w:color w:val="auto"/>
        </w:rPr>
      </w:pPr>
    </w:p>
    <w:p>
      <w:pPr>
        <w:ind w:left="520" w:right="3779" w:firstLine="350"/>
        <w:spacing w:after="0" w:line="251" w:lineRule="auto"/>
        <w:tabs>
          <w:tab w:leader="none" w:pos="129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have received an opinion of Davis Polk &amp; Wardwell in form and substance reasonably satisfactory to Acquiror, on the basis of certain facts, representations and assumptions set forth in such opinion, dated the Effective Time, to the effect that the Merger will be treated for federal income tax purposes as a reorganization qualifying under the provisions of Section 368(a) of the Code and that each of Acquiror, Merger Subsidiary and the Company will be a party to the reorganization within the meaning of Section 368(b) of the Code. In rendering such opinion, such counsel shall be entitled to rely upon certain representations of officers of Acquiror and the Company reasonably requested by counsel, including without limitation those contained in certificates substantially in the form attached as Exhibits C-1 and C-2; and</w:t>
      </w:r>
    </w:p>
    <w:p>
      <w:pPr>
        <w:spacing w:after="0" w:line="162" w:lineRule="exact"/>
        <w:rPr>
          <w:rFonts w:ascii="Courier New" w:cs="Courier New" w:eastAsia="Courier New" w:hAnsi="Courier New"/>
          <w:sz w:val="14"/>
          <w:szCs w:val="14"/>
          <w:color w:val="auto"/>
        </w:rPr>
      </w:pPr>
    </w:p>
    <w:p>
      <w:pPr>
        <w:jc w:val="both"/>
        <w:ind w:left="520" w:right="3939" w:firstLine="350"/>
        <w:spacing w:after="0" w:line="252" w:lineRule="auto"/>
        <w:tabs>
          <w:tab w:leader="none" w:pos="120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this Agreement, there shall not have been any event, occurrence, development or state of circumstances which, individually or in the aggregate, has had or would reasonably be expected to have a Material Adverse Effect on the Company.</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8.03. Conditions to the Obligations of the Company. The obligation of the Company to consummate the Merger is subject to the satisfaction (or, to the extent legally permissible, waiver) of the following further conditions:</w:t>
      </w:r>
    </w:p>
    <w:p>
      <w:pPr>
        <w:spacing w:after="0" w:line="163" w:lineRule="exact"/>
        <w:rPr>
          <w:sz w:val="20"/>
          <w:szCs w:val="20"/>
          <w:color w:val="auto"/>
        </w:rPr>
      </w:pPr>
    </w:p>
    <w:p>
      <w:pPr>
        <w:ind w:left="520" w:right="3779" w:firstLine="350"/>
        <w:spacing w:after="0" w:line="251" w:lineRule="auto"/>
        <w:tabs>
          <w:tab w:leader="none" w:pos="129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Acquiror shall have performed in all material respects all of its obligations hereunder required to be performed by it at or prior to the Effective Time, (ii) except to the extent expressly permitted under this Agreement, the representations and warranties of Acquiror contained in this Agreement and in any certificate or other writing delivered by Acquiror pursuant hereto (x) that are qualified by materiality or Material Adverse Effect shall be true at and as of the Effective Time as if made at and as of such time, and (y) that are not qualified by materiality or Material Adverse Effect shall be true in all material respects at and as of the Effective Time as if made at and as of such time and (iii) the Company shall have received a certificate signed by a vice-president of Acquiror to the foregoing effect;</w:t>
      </w:r>
    </w:p>
    <w:p>
      <w:pPr>
        <w:spacing w:after="0" w:line="162" w:lineRule="exact"/>
        <w:rPr>
          <w:rFonts w:ascii="Courier New" w:cs="Courier New" w:eastAsia="Courier New" w:hAnsi="Courier New"/>
          <w:sz w:val="14"/>
          <w:szCs w:val="14"/>
          <w:color w:val="auto"/>
        </w:rPr>
      </w:pPr>
    </w:p>
    <w:p>
      <w:pPr>
        <w:ind w:left="520" w:right="3859" w:firstLine="350"/>
        <w:spacing w:after="0" w:line="251" w:lineRule="auto"/>
        <w:tabs>
          <w:tab w:leader="none" w:pos="1209"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an opinion of Skadden, Arps, Slate, Meagher &amp; Flom LLP in form and substance reasonably satisfactory to the Company, on the basis of certain facts, representations and assumptions set forth in such opinion, dated the Effective Time, to the effect that the Merger will be treated for</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0239"/>
          </w:cols>
          <w:pgMar w:left="220" w:top="782" w:right="1440" w:bottom="1440" w:gutter="0" w:footer="0" w:header="0"/>
        </w:sectPr>
      </w:pPr>
    </w:p>
    <w:bookmarkStart w:id="173" w:name="page174"/>
    <w:bookmarkEnd w:id="17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520" w:right="3859"/>
        <w:spacing w:after="0" w:line="251" w:lineRule="auto"/>
        <w:rPr>
          <w:sz w:val="20"/>
          <w:szCs w:val="20"/>
          <w:color w:val="auto"/>
        </w:rPr>
      </w:pPr>
      <w:r>
        <w:rPr>
          <w:rFonts w:ascii="Courier New" w:cs="Courier New" w:eastAsia="Courier New" w:hAnsi="Courier New"/>
          <w:sz w:val="14"/>
          <w:szCs w:val="14"/>
          <w:color w:val="auto"/>
        </w:rPr>
        <w:t>federal income tax purposes as a reorganization qualifying under the provisions of Section 368(a) of the Code and that each of Acquiror, Merger Subsidiary and the Company will be a party to the reorganization within the meaning of Section 368(b) of the Code. In rendering such opinion, such counsel shall be entitled to rely upon certain representations of officers of Acquiror and the Company reasonably requested by counsel, including without limitation those contained in certificates substantially in the form attached as Exhibits C-1 and C-2; and</w:t>
      </w:r>
    </w:p>
    <w:p>
      <w:pPr>
        <w:spacing w:after="0" w:line="164" w:lineRule="exact"/>
        <w:rPr>
          <w:sz w:val="20"/>
          <w:szCs w:val="20"/>
          <w:color w:val="auto"/>
        </w:rPr>
      </w:pPr>
    </w:p>
    <w:p>
      <w:pPr>
        <w:jc w:val="both"/>
        <w:ind w:left="520" w:right="3939" w:firstLine="350"/>
        <w:spacing w:after="0" w:line="252" w:lineRule="auto"/>
        <w:tabs>
          <w:tab w:leader="none" w:pos="1209"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this Agreement, there shall not have been any event, occurrence, development or state of circumstances which, individually or in the aggregate, has had or would reasonably be expected to have a Material Adverse Effect on Acquiror.</w:t>
      </w:r>
    </w:p>
    <w:p>
      <w:pPr>
        <w:spacing w:after="0" w:line="328"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ARTICLE 9</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9.01. Termination. This Agreement may be terminated and the Merger may be abandoned at any time prior to the Effective Time (notwithstanding any approval of this Agreement by the stockholders of the Company or any approval of the matters constituting the Acquiror Stockholder Approval by the stockholders of Acquiror):</w:t>
      </w:r>
    </w:p>
    <w:p>
      <w:pPr>
        <w:spacing w:after="0" w:line="165" w:lineRule="exact"/>
        <w:rPr>
          <w:sz w:val="20"/>
          <w:szCs w:val="20"/>
          <w:color w:val="auto"/>
        </w:rPr>
      </w:pPr>
    </w:p>
    <w:p>
      <w:pPr>
        <w:ind w:left="1220" w:hanging="350"/>
        <w:spacing w:after="0"/>
        <w:tabs>
          <w:tab w:leader="none" w:pos="12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Company and Acquiror;</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Acquiror,</w:t>
      </w:r>
    </w:p>
    <w:p>
      <w:pPr>
        <w:spacing w:after="0" w:line="172" w:lineRule="exact"/>
        <w:rPr>
          <w:rFonts w:ascii="Courier New" w:cs="Courier New" w:eastAsia="Courier New" w:hAnsi="Courier New"/>
          <w:sz w:val="14"/>
          <w:szCs w:val="14"/>
          <w:color w:val="auto"/>
        </w:rPr>
      </w:pPr>
    </w:p>
    <w:p>
      <w:pPr>
        <w:ind w:left="860" w:right="3939" w:firstLine="1129"/>
        <w:spacing w:after="0" w:line="250" w:lineRule="auto"/>
        <w:tabs>
          <w:tab w:leader="none" w:pos="2324"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has not been consummated by the first anniversary of the date hereof (the "End Date"); provided that if (x) the Effective Time has not occurred by such first anniversary by reason of non- satisfaction of any of the conditions set forth in Sections 8.01(b), 8.01(c), 8.01(e), 8.02(b), 8.02(c) or 8.02(d) and (y) all other conditions in Article 8 have theretofore been satisfied or (to the extent legally permissible) waived or are then capable of being satisfied, the End Date will be June 30, 2000; provided further that the right to terminate this Agreement under this Section</w:t>
      </w:r>
    </w:p>
    <w:p>
      <w:pPr>
        <w:spacing w:after="0" w:line="4" w:lineRule="exact"/>
        <w:rPr>
          <w:rFonts w:ascii="Courier New" w:cs="Courier New" w:eastAsia="Courier New" w:hAnsi="Courier New"/>
          <w:sz w:val="14"/>
          <w:szCs w:val="14"/>
          <w:color w:val="auto"/>
        </w:rPr>
      </w:pPr>
    </w:p>
    <w:p>
      <w:pPr>
        <w:ind w:left="860"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9.01(b)(i) shall not be available to any party whose failure to fulfill in any material respect any obligation under this Agreement has caused or resulted in the failure of the Effective Time to occur on or before the End Date;</w:t>
      </w:r>
    </w:p>
    <w:p>
      <w:pPr>
        <w:spacing w:after="0" w:line="162" w:lineRule="exact"/>
        <w:rPr>
          <w:rFonts w:ascii="Courier New" w:cs="Courier New" w:eastAsia="Courier New" w:hAnsi="Courier New"/>
          <w:sz w:val="14"/>
          <w:szCs w:val="14"/>
          <w:color w:val="auto"/>
        </w:rPr>
      </w:pPr>
    </w:p>
    <w:p>
      <w:pPr>
        <w:ind w:left="860" w:right="4019" w:firstLine="1043"/>
        <w:spacing w:after="0" w:line="252" w:lineRule="auto"/>
        <w:tabs>
          <w:tab w:leader="none" w:pos="2324"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Stockholder Approval shall not have been obtained by reason of the failure to obtain the required vote at a duly held meeting of stockholders or any adjournment thereof; or</w:t>
      </w:r>
    </w:p>
    <w:p>
      <w:pPr>
        <w:spacing w:after="0" w:line="162" w:lineRule="exact"/>
        <w:rPr>
          <w:rFonts w:ascii="Courier New" w:cs="Courier New" w:eastAsia="Courier New" w:hAnsi="Courier New"/>
          <w:sz w:val="14"/>
          <w:szCs w:val="14"/>
          <w:color w:val="auto"/>
        </w:rPr>
      </w:pPr>
    </w:p>
    <w:p>
      <w:pPr>
        <w:ind w:left="860" w:right="3939" w:firstLine="957"/>
        <w:spacing w:after="0" w:line="252" w:lineRule="auto"/>
        <w:tabs>
          <w:tab w:leader="none" w:pos="2324"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Acquiror Stockholder Approval shall not have been obtained by reason of the failure to obtain the required vote at a duly held meeting of stockholders or any adjournment thereof;</w:t>
      </w:r>
    </w:p>
    <w:p>
      <w:pPr>
        <w:spacing w:after="0" w:line="162" w:lineRule="exact"/>
        <w:rPr>
          <w:rFonts w:ascii="Courier New" w:cs="Courier New" w:eastAsia="Courier New" w:hAnsi="Courier New"/>
          <w:sz w:val="14"/>
          <w:szCs w:val="14"/>
          <w:color w:val="auto"/>
        </w:rPr>
      </w:pPr>
    </w:p>
    <w:p>
      <w:pPr>
        <w:ind w:left="520" w:right="3859" w:firstLine="350"/>
        <w:spacing w:after="0" w:line="251" w:lineRule="auto"/>
        <w:tabs>
          <w:tab w:leader="none" w:pos="1209"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Acquiror, if there shall be any law or regulation that makes consummation of the Merger illegal or otherwise prohibited or if any judgment, injunction, order or decree enjoining Acquiror or the Company from consummating the Merger is entered and such judgment, injunction, order or decree shall become final and nonappealable;</w:t>
      </w:r>
    </w:p>
    <w:p>
      <w:pPr>
        <w:spacing w:after="0" w:line="164" w:lineRule="exact"/>
        <w:rPr>
          <w:rFonts w:ascii="Courier New" w:cs="Courier New" w:eastAsia="Courier New" w:hAnsi="Courier New"/>
          <w:sz w:val="14"/>
          <w:szCs w:val="14"/>
          <w:color w:val="auto"/>
        </w:rPr>
      </w:pPr>
    </w:p>
    <w:p>
      <w:pPr>
        <w:ind w:left="520" w:right="3939" w:firstLine="350"/>
        <w:spacing w:after="0" w:line="251" w:lineRule="auto"/>
        <w:tabs>
          <w:tab w:leader="none" w:pos="1209"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Acquiror, if the Board of Directors of the Company shall have failed to recommend or withdrawn or modified or changed in a manner adverse to Acquiror its approval or recommendation of this Agreement or the Merger, or shall have failed to call the Company Stockholder Meeting in accordance with Section 5.02, or shall have recommended a Superior Proposal (or the Board of Directors of the Company resolves to do any of the foregoing);</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10239"/>
          </w:cols>
          <w:pgMar w:left="220" w:top="782"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173" w:lineRule="exact"/>
        <w:rPr>
          <w:sz w:val="20"/>
          <w:szCs w:val="20"/>
          <w:color w:val="auto"/>
        </w:rPr>
      </w:pPr>
    </w:p>
    <w:p>
      <w:pPr>
        <w:ind w:left="520" w:right="3779" w:firstLine="350"/>
        <w:spacing w:after="0" w:line="250" w:lineRule="auto"/>
        <w:tabs>
          <w:tab w:leader="none" w:pos="1209"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(i) the Board of Directors of the Company authorizes the Company, subject to complying with the terms of this Agreement, to enter into a binding written agreement concerning a transaction that constitutes a Superior Proposal and the Company notifies Acquiror in writing that it intends to enter into such an agreement, attaching the most current version of such agreement (or a description of all material terms and conditions thereof) to such notice, (ii) Acquiror does not make, within three business days of receipt of the Company's written notification of its intention to enter into a binding agreement for a Superior Proposal, an offer that the Board of Directors of the Company determines, in good faith after consultation with its financial advisors, is at least as favorable to the shareholders of the Company as the Superior Proposal, it being understood that the Company shall not enter into any such binding agreement during such three day period and (iii) the Company prior to such termination pursuant to this clause (e) pays to Acquiror in immediately available funds the fees required to be paid pursuant to Section 10.04. The Company agrees to notify Acquiror promptly if its intention to enter into a written agreement referred to in its notification shall change at any time after giving such notification; or</w:t>
      </w:r>
    </w:p>
    <w:p>
      <w:pPr>
        <w:spacing w:after="0" w:line="174" w:lineRule="exact"/>
        <w:rPr>
          <w:rFonts w:ascii="Courier New" w:cs="Courier New" w:eastAsia="Courier New" w:hAnsi="Courier New"/>
          <w:sz w:val="14"/>
          <w:szCs w:val="14"/>
          <w:color w:val="auto"/>
        </w:rPr>
      </w:pPr>
    </w:p>
    <w:p>
      <w:pPr>
        <w:ind w:left="520" w:right="3779" w:firstLine="350"/>
        <w:spacing w:after="0" w:line="251" w:lineRule="auto"/>
        <w:tabs>
          <w:tab w:leader="none" w:pos="1209"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the Board of Directors of Acquiror shall have failed to recommend or withdrawn or modified or changed in a manner adverse to the Company its approval and recommendation of the matters constituting the Acquiror Stockholder Approval, or shall have failed to call the Acquiror Stockholder Meeting in accordance with Section 6.04 (or the Board of Directors of Acquiror resolves to do any of the foregoing).</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party desiring to terminate this Agreement pursuant to clause (b), (c), (d), (e), or (f) of this Section 9.01 shall give written notice of such termination to the other party in accordance with Section 10.01, specifying the provision hereof pursuant to which such termination is effected.</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9.02. Effect of Termination. If this Agreement is terminated pursuant to Section 9.01, this Agreement shall become void and of no effect with no liability on the part of any party hereto, except that (a) the agreements contained in this Section 9.02, in Section 10.04, in the Option Agreement and in the Confidentiality Agreement shall survive the termination hereof and (b) no such termination shall relieve any party of any liability or damages resulting from any willful breach by that party of this Agreement.</w:t>
      </w:r>
    </w:p>
    <w:p>
      <w:pPr>
        <w:spacing w:after="0" w:line="33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10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4379" w:firstLine="517"/>
        <w:spacing w:after="0" w:line="252" w:lineRule="auto"/>
        <w:rPr>
          <w:sz w:val="20"/>
          <w:szCs w:val="20"/>
          <w:color w:val="auto"/>
        </w:rPr>
      </w:pPr>
      <w:r>
        <w:rPr>
          <w:rFonts w:ascii="Courier New" w:cs="Courier New" w:eastAsia="Courier New" w:hAnsi="Courier New"/>
          <w:sz w:val="14"/>
          <w:szCs w:val="14"/>
          <w:color w:val="auto"/>
        </w:rPr>
        <w:t>SECTION 10.01. Notices. All notices, requests and other communications to any party hereunder shall be in writing (including facsimile or similar writing) and shall be given,</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to Acquiror or Merger Subsidiary,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Charles W. Matthews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Irving, Texas 75039-2298</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(972) 444-1438</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George R. Bason, Jr.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(212) 450-4800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10239"/>
          </w:cols>
          <w:pgMar w:left="220" w:top="782" w:right="1440" w:bottom="1440" w:gutter="0" w:footer="0" w:header="0"/>
        </w:sectPr>
      </w:pPr>
    </w:p>
    <w:bookmarkStart w:id="175" w:name="page176"/>
    <w:bookmarkEnd w:id="17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Company,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Samuel H. Gillespie III</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Fairfax, Virginia 22307-0001</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(703) 846-4674</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Roger S. Aaron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10022</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(212) 735-2000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such other address or facsimile number as such party may hereafter specify for the purpose by notice to the other parties hereto. Each such notice, request or other communication shall be effective (a) if given by facsimile, when such facsimile is transmitted to the facsimile number specified in this Section and the appropriate facsimile confirmation is received or (b) if given by any other means, when delivered at the address specified in this Section.</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10.02. Non-Survival of Representations and Warranties. The representations and warranties contained herein and in any certificate or other writing delivered pursuant hereto shall not survive the Effective Time or the termination of this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10.03. Amendments; No Waivers. (a) Any provision of this Agreement (including the Exhibits and Schedules hereto) may be amended or waived prior to the Effective Time if, and only if, such amendment or waiver is in writing and signed, in the case of an amendment, by the Company, Acquiror and Merger Subsidiary, or in the case of a waiver, by the party against whom the waiver is to be effective; provided that after the adoption of this Agreement by the stockholders of the Company, no such amendment or waiver shall, without the further approval of such stockholders, alter or change (i) the amount or kind of consideration to be received in exchange for any shares of capital stock of the Company, (ii) any term of the certificate of incorporation of the Surviving Corporation or (iii) any of the terms or conditions of this Agreement if such alteration or change would adversely affect the holders of any shares of capital stock of the Company.</w:t>
      </w:r>
    </w:p>
    <w:p>
      <w:pPr>
        <w:spacing w:after="0" w:line="163" w:lineRule="exact"/>
        <w:rPr>
          <w:sz w:val="20"/>
          <w:szCs w:val="20"/>
          <w:color w:val="auto"/>
        </w:rPr>
      </w:pPr>
    </w:p>
    <w:p>
      <w:pPr>
        <w:ind w:right="3419" w:firstLine="439"/>
        <w:spacing w:after="0" w:line="251" w:lineRule="auto"/>
        <w:tabs>
          <w:tab w:leader="none" w:pos="77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10.04. Expenses. (a) Except as otherwise specified in this Section 10.04 or the Option Agreement or agreed in writing by the parties, all costs and expenses incurred in connection with this Agreement and the transactions contemplated by this Agreement shall be paid by the party incurring such cost or expense; provided that all liability for transfer taxes (other than transfer taxes to be paid by Acquiror in connection with the issuance and creation of Acquiror Common Stock and Acquiror Preferred Stock in the Merger, as provided in Section 1.02(b)) incurred by the Company or the Company's stockholders in connection with the transactions contemplated hereby shall be paid by the Surviving Corporation out of its own funds and will not be paid, directly or indirectly, by Acquiror.</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782"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860" w:hanging="421"/>
        <w:spacing w:after="0"/>
        <w:tabs>
          <w:tab w:leader="none" w:pos="86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w:t>
      </w:r>
    </w:p>
    <w:p>
      <w:pPr>
        <w:spacing w:after="0" w:line="172" w:lineRule="exact"/>
        <w:rPr>
          <w:rFonts w:ascii="Courier New" w:cs="Courier New" w:eastAsia="Courier New" w:hAnsi="Courier New"/>
          <w:sz w:val="14"/>
          <w:szCs w:val="14"/>
          <w:color w:val="auto"/>
        </w:rPr>
      </w:pPr>
    </w:p>
    <w:p>
      <w:pPr>
        <w:ind w:left="440" w:right="4379" w:firstLine="430"/>
        <w:spacing w:after="0" w:line="255" w:lineRule="auto"/>
        <w:tabs>
          <w:tab w:leader="none" w:pos="1215"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terminate this Agreement pursuant to Section 9.01(e);</w:t>
      </w:r>
    </w:p>
    <w:p>
      <w:pPr>
        <w:spacing w:after="0" w:line="159" w:lineRule="exact"/>
        <w:rPr>
          <w:rFonts w:ascii="Courier New" w:cs="Courier New" w:eastAsia="Courier New" w:hAnsi="Courier New"/>
          <w:sz w:val="14"/>
          <w:szCs w:val="14"/>
          <w:color w:val="auto"/>
        </w:rPr>
      </w:pPr>
    </w:p>
    <w:p>
      <w:pPr>
        <w:ind w:left="440" w:right="3859" w:firstLine="344"/>
        <w:spacing w:after="0" w:line="251" w:lineRule="auto"/>
        <w:tabs>
          <w:tab w:leader="none" w:pos="1301"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Acquiror shall terminate this Agreement pursuant to Section 9.01(d), unless at the time of such failure to recommend, withdrawal or adverse modification or change, failure to call the Company Stockholder Meeting or recommendation of a Superior Proposal, any of the conditions set forth in Section 8.03(a) or 8.03(c) would not have been satisfied as of such date and would not be reasonably capable of being satisfied; or</w:t>
      </w:r>
    </w:p>
    <w:p>
      <w:pPr>
        <w:spacing w:after="0" w:line="164" w:lineRule="exact"/>
        <w:rPr>
          <w:rFonts w:ascii="Courier New" w:cs="Courier New" w:eastAsia="Courier New" w:hAnsi="Courier New"/>
          <w:sz w:val="14"/>
          <w:szCs w:val="14"/>
          <w:color w:val="auto"/>
        </w:rPr>
      </w:pPr>
    </w:p>
    <w:p>
      <w:pPr>
        <w:ind w:left="520" w:right="3779" w:firstLine="177"/>
        <w:spacing w:after="0" w:line="251" w:lineRule="auto"/>
        <w:tabs>
          <w:tab w:leader="none" w:pos="1209"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the Company or Acquiror shall terminate this Agreement pursuant to Section 9.01(b)(ii) in circumstances where the Company Stockholder Approval has not been obtained and prior to the Company Stockholder Meeting an Acquisition Proposal is made by any Person and the Company enters into a definitive agreement within twelve months after termination of this Agreement either (1) in respect of any Acquisition Proposal with such Person or its affiliate or (2) in respect of any Acquisition Proposal with any other Person (other than Acquiror or any affiliate of Acquiror) providing, in the case of this clause (2), greater value per Share than the Exercise Price (as defined in the Option Agreement),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then in any case as described in clause (i), (ii) or (iii) (each such case of termination being referred to as a "Trigger Event") the Company shall pay to Acquiror (by wire transfer of immediately available funds not later than the date of termination of this Agreement or, in the case of clause (iii), the date of such definitive agreement) an amount equal to $1,500,000,000. Acceptance by Acquiror of the payment referred to in the foregoing sentence shall constitute conclusive evidence that this Agreement has been validly terminated and upon acceptance of payment of such amount the Company shall be fully released and discharged from any liability or obligation resulting from or under this Agreement (but without limiting the Company's obligations under the Option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 If the Company shall terminate this Agreement pursuant to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9.01(f) unless at the time of such failure to recommend, withdrawal or adverse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or change or failure to call the Acquiror Stockholder Meeting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conditions set forth in Section 8.02(a) or 8.02(f) would not have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satisfied as of such date and would not be reasonably capable of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satisfied, then Acquiror shall pay to the Company (by wire transfer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available funds not later than the date of termination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 amount equal to $1,500,000,000. Acceptance by the Company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referred to in the foregoing sentence shall constitute conclusive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evidence that this Agreement has been validly terminated and upon acceptance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such amount the Acquiror shall be fully released and discharged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liability or obligation resulting from or under this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10.05.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the other parties hereto except that Merger Subsidiary may transfer or assign, in whole or from time to time in part, to one or more of its affiliates, its rights under this Agreement, but any such transfer or assignment will not relieve Merger Subsidiary of its obligations hereunder.</w:t>
      </w:r>
    </w:p>
    <w:p>
      <w:pPr>
        <w:spacing w:after="0" w:line="164"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SECTION 10.06. Governing Law. This Agreement shall be construed in accordance with and governed by the law of the State of Delaware, without regard to principles of conflicts of law.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10.07. Jurisdiction. Any suit, action or proceeding seeking to enforce any provision of, or based on any matter arising out of or in connection with, this Agreement or the transactions contemplated hereby may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782" w:right="1440" w:bottom="1440" w:gutter="0" w:footer="0" w:header="0"/>
        </w:sectPr>
      </w:pPr>
    </w:p>
    <w:bookmarkStart w:id="177" w:name="page178"/>
    <w:bookmarkEnd w:id="17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10.01 shall be deemed effective service of process on such party.</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SECTION 10.08. Waiver of Jury Trial. EACH OF THE PARTIES HERETO HEREBY IRREVOCABLY WAIVES ANY AND ALL RIGHT TO TRIAL BY JURY IN ANY LEGAL PROCEEDING ARISING OUT OF OR RELATED TO THIS AGREEMENT OR THE TRANSACTIONS CONTEMPLATED HEREBY.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10.09.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10.10. Entire Agreement. This Agreement (including the Exhibits and Schedules hereto), the Option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hereof and thereof. Except as provided in Section 6.03(c), no provision of this Agreement or any other agreement contemplated hereby is intended to confer on any Person other than the parties hereto any rights or remedies.</w:t>
      </w:r>
    </w:p>
    <w:p>
      <w:pPr>
        <w:spacing w:after="0" w:line="164"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SECTION 10.11. Captions. The captions herein are included for convenience of reference only and shall be ignored in the construction or interpretation hereof.</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10.12.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A-37</w:t>
      </w:r>
    </w:p>
    <w:p>
      <w:pPr>
        <w:sectPr>
          <w:pgSz w:w="11900" w:h="16838" w:orient="portrait"/>
          <w:cols w:equalWidth="0" w:num="1">
            <w:col w:w="10239"/>
          </w:cols>
          <w:pgMar w:left="220" w:top="782"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authorized officers as of the day and year first above written.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MOBIL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Lucio A. Noto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Lucio A. Noto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Chairman and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EXXON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Lee R. Raymond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Lee R. Raymond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Chairman of the Board</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LION ACQUISITION SUBSIDIARY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T. Peter Townsend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T. Peter Townsend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A-38</w:t>
      </w:r>
    </w:p>
    <w:p>
      <w:pPr>
        <w:sectPr>
          <w:pgSz w:w="11900" w:h="16838" w:orient="portrait"/>
          <w:cols w:equalWidth="0" w:num="1">
            <w:col w:w="10239"/>
          </w:cols>
          <w:pgMar w:left="220" w:top="782" w:right="1440" w:bottom="1440" w:gutter="0" w:footer="0" w:header="0"/>
        </w:sectPr>
      </w:pPr>
    </w:p>
    <w:bookmarkStart w:id="179" w:name="page180"/>
    <w:bookmarkEnd w:id="179"/>
    <w:p>
      <w:pPr>
        <w:jc w:val="right"/>
        <w:ind w:right="351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EXHIBIT A TO ANNEX A</w:t>
      </w:r>
    </w:p>
    <w:p>
      <w:pPr>
        <w:spacing w:after="0" w:line="200" w:lineRule="exact"/>
        <w:rPr>
          <w:sz w:val="20"/>
          <w:szCs w:val="20"/>
          <w:color w:val="auto"/>
        </w:rPr>
      </w:pPr>
    </w:p>
    <w:p>
      <w:pPr>
        <w:spacing w:after="0" w:line="30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STOCK OPTION AGREEMENT</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[See Annex B]</w:t>
      </w:r>
    </w:p>
    <w:p>
      <w:pPr>
        <w:sectPr>
          <w:pgSz w:w="11900" w:h="16838" w:orient="portrait"/>
          <w:cols w:equalWidth="0" w:num="1">
            <w:col w:w="9019"/>
          </w:cols>
          <w:pgMar w:left="1440" w:top="782"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B-1 TO ANNEX A</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LETTER RELATING TO POOLING</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(Mobil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75039-2298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22307-0001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terms of the Agreement and Plan of Merger dated as of December 1, 1998 (the "Agreement") among Exxon Corporation, a New Jersey corporation ("Exxon"), Mobil Corporation, a Delaware corporation (the "Company"), and Lion Acquisition Subsidiary Corporation, a Delaware corporation and a wholly-owned subsidiary of Exxon ("Merger Subsidiary"), Merger Subsidiary will be merged with and into the Company with the Company to be the surviving corporation in the Merger (the "Merger").</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undersigned represents, warrants and covenants with and to Exxon and the Company that: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The undersigned understands that the Merger is intended to be accounted for using the "pooling-of-interests" method and that such treatment for financial accounting purposes is dependent upon the accuracy of certain of the representations and warranties, and the undersigned's compliance with certain of the covenants and agreements, set forth herein. Accordingly, the undersigned will not sell, transfer or otherwise dispose of the undersigned's interests in, or acquire or sell any options or other securities relating to securities of Exxon or the Company that would be intended to reduce the undersigned's risk relative to, any shares of common stock of either Exxon or the Company beneficially owned by the undersigned, during the period commencing on the 30th day prior to the effectiveness of the Merger and ending at such time as Exxon publicly releases a report (the "Combined Financial Results Report") covering at least 30 days of combined operations of Exxon and the Company after the Merger. Exxon shall notify the undersigned of the publication of such results.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The undersigned also understands that stop transfer instructions will be given to the transfer agents of Exxon and the Company in order to prevent any breach of the covenants and agreements made by the undersigned in paragraph A, although such stop transfer instructions will be promptly rescinded upon the publication of the Combined Financial Results Report.</w:t>
      </w:r>
    </w:p>
    <w:p>
      <w:pPr>
        <w:sectPr>
          <w:pgSz w:w="11900" w:h="16838" w:orient="portrait"/>
          <w:cols w:equalWidth="0" w:num="1">
            <w:col w:w="10239"/>
          </w:cols>
          <w:pgMar w:left="220" w:top="782" w:right="1440" w:bottom="1440" w:gutter="0" w:footer="0" w:header="0"/>
        </w:sectPr>
      </w:pPr>
    </w:p>
    <w:bookmarkStart w:id="181" w:name="page182"/>
    <w:bookmarkEnd w:id="18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 The undersigned understands and agrees that this letter agreement shall apply to all shares of the capital stock of Exxon and the Company that are deemed to be beneficially owned by the undersigned pursuant to applicable federal securities laws.</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19__.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A-B-1-2</w:t>
      </w:r>
    </w:p>
    <w:p>
      <w:pPr>
        <w:sectPr>
          <w:pgSz w:w="11900" w:h="16838" w:orient="portrait"/>
          <w:cols w:equalWidth="0" w:num="1">
            <w:col w:w="10239"/>
          </w:cols>
          <w:pgMar w:left="220" w:top="782"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B-2 TO ANNEX A</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LETTER RELATING TO POOLING</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(Exxon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75039-2298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22307-0001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terms of the Agreement and Plan of Merger dated as of December 1, 1998 (the "Agreement") among Exxon Corporation, a New Jersey corporation ("Exxon"), Mobil Corporation, a Delaware corporation (the "Company"), and Lion Acquisition Subsidiary Corporation, a Delaware corporation and a wholly-owned subsidiary of Exxon ("Merger Subsidiary"), Merger Subsidiary will be merged with and into the Company with the Company to be the surviving corporation in the Merger (the "Merger").</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undersigned represents, warrants and covenants with and to Exxon and the Company that: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The undersigned understands that the Merger is intended to be accounted for using the "pooling-of-interests" method and that such treatment for financial accounting purposes is dependent upon the accuracy of certain of the representations and warranties, and the undersigned's compliance with certain of the covenants and agreements, set forth herein. Accordingly, the undersigned will not sell, transfer or otherwise dispose of the undersigned's interests in, or acquire or sell any options or other securities relating to securities of Exxon or the Company that would be intended to reduce the undersigned's risk relative to, any shares of common stock of either Exxon or the Company beneficially owned by the undersigned, during the period commencing on the 30th day prior to the effectiveness of the Merger and ending at such time as Exxon publicly releases a report (the "Combined Financial Results Report") covering at least 30 days of combined operations of Exxon and the Company after the Merger. Exxon shall notify the undersigned of the publication of such results.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The undersigned also understands that stop transfer instructions will be given to the transfer agents of Exxon and the Company in order to prevent any breach of the covenants and agreements made by the undersigned in paragraph A, although such stop transfer instructions will be promptly rescinded upon the publication of the Combined Financial Results Report.</w:t>
      </w:r>
    </w:p>
    <w:p>
      <w:pPr>
        <w:sectPr>
          <w:pgSz w:w="11900" w:h="16838" w:orient="portrait"/>
          <w:cols w:equalWidth="0" w:num="1">
            <w:col w:w="10239"/>
          </w:cols>
          <w:pgMar w:left="220" w:top="782" w:right="1440" w:bottom="1440" w:gutter="0" w:footer="0" w:header="0"/>
        </w:sectPr>
      </w:pPr>
    </w:p>
    <w:bookmarkStart w:id="183" w:name="page184"/>
    <w:bookmarkEnd w:id="18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 The undersigned understands and agrees that this letter agreement shall apply to all shares of the capital stock of Exxon and the Company that are deemed to be beneficially owned by the undersigned pursuant to applicable federal securities laws.</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19__.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A-B-2-2</w:t>
      </w:r>
    </w:p>
    <w:p>
      <w:pPr>
        <w:sectPr>
          <w:pgSz w:w="11900" w:h="16838" w:orient="portrait"/>
          <w:cols w:equalWidth="0" w:num="1">
            <w:col w:w="10239"/>
          </w:cols>
          <w:pgMar w:left="220" w:top="782"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B-3 TO ANNEX A</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AFFILIATE'S LETTER</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(Mobil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Texas 750039-2298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22307-0001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undersigned has been advised that as of the date of this letter the undersigned may be deemed to be an "affiliate" of Mobil Corporation, a Delaware corporation (the "Company"), as the term "affiliate" is defined for purposes of paragraphs (c) and (d) of Rule 145 of the rules and regulations (the "Rules and Regulations") of the Securities and Exchange Commission (the "Commission") under the Securities Act of 1933, as amended (the "Act"). Pursuant to the terms of the Agreement and Plan of Merger dated as of December 1, 1998 (the "Agreement") among the Company, Exxon Corporation, a New Jersey corporation ("Exxon"), and Lion Acquisition Subsidiary Corporation, a Delaware corporation and a wholly-owned subsidiary of Exxon ("Merger Subsidiary"), Merger Subsidiary will be merged with and into the Company with the Company to be the surviving corporation in the merger (the "Merger").</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a result of the Merger, the undersigned will receive shares of common stock, no par value, of Exxon (the "Exxon Common Stock") in exchange for shares owned by the undersigned of common stock, par value $1.00 per share, of the Company (the "Company Common Stock").</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undersigned represents, warrants and covenants to Exxon and the Company that as of the date the undersigned receives any Exxon Common Stock as a result of the Merger:</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A. The undersigned shall not make any sale, transfer or other disposition of the Exxon Common Stock in violation of the Act or the Rules and Regulations.</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B. The undersigned has carefully read this letter and the Agreement and discussed the requirements of such documents and other applicable limitations upon the undersigned's ability to sell, transfer or otherwise dispose of the Exxon Common Stock to the extent the undersigned felt necessary with the undersigned's counsel or counsel for the Company.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 The undersigned has been advised that the issuance of Exxon Common Stock to the undersigned pursuant to the Merger will be registered with the Commission under the Act on a Registration Statement on Form S-4. However, the undersigned has also been advised that, because at the time the Merger is submitted for a vote of the stockholders of the Company, the undersigned may be deemed to be an affiliate of the Company, the undersigned may not sell, transfer or otherwise dispose of the Exxon Common Stock issued to the undersigned in</w:t>
      </w:r>
    </w:p>
    <w:p>
      <w:pPr>
        <w:sectPr>
          <w:pgSz w:w="11900" w:h="16838" w:orient="portrait"/>
          <w:cols w:equalWidth="0" w:num="1">
            <w:col w:w="10239"/>
          </w:cols>
          <w:pgMar w:left="220" w:top="782" w:right="1440" w:bottom="1440" w:gutter="0" w:footer="0" w:header="0"/>
        </w:sectPr>
      </w:pPr>
    </w:p>
    <w:bookmarkStart w:id="185" w:name="page186"/>
    <w:bookmarkEnd w:id="18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Merger unless (i) such sale, transfer or other disposition has been registered under the Act, (ii) such sale, transfer or other disposition is made in conformity with Rule 145 promulgated by the Commission under the Act, or (iii) in the opinion of counsel reasonably acceptable to Exxon, or pursuant to a "no action" letter obtained by the undersigned from the staff of the Commission, such sale, transfer or other disposition is otherwise exempt from registration under the Act.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 The undersigned understands that Exxon is under no obligation to register the sale, transfer or other disposition of the Exxon Common Stock by the undersigned or on the undersigned's behalf under the Act or to take any other action necessary in order to enable such sale, transfer or other disposition by the undersigned to be made in compliance with an exemption from such registration.</w:t>
      </w:r>
    </w:p>
    <w:p>
      <w:pPr>
        <w:spacing w:after="0" w:line="164"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E. The undersigned also understands that there will be placed on any certificates for the Exxon Common Stock issued to the undersigned a legend stating in substance:</w:t>
      </w:r>
    </w:p>
    <w:p>
      <w:pPr>
        <w:spacing w:after="0" w:line="163" w:lineRule="exact"/>
        <w:rPr>
          <w:sz w:val="20"/>
          <w:szCs w:val="20"/>
          <w:color w:val="auto"/>
        </w:rPr>
      </w:pPr>
    </w:p>
    <w:p>
      <w:pPr>
        <w:ind w:left="440" w:right="4119"/>
        <w:spacing w:after="0" w:line="251" w:lineRule="auto"/>
        <w:rPr>
          <w:sz w:val="20"/>
          <w:szCs w:val="20"/>
          <w:color w:val="auto"/>
        </w:rPr>
      </w:pPr>
      <w:r>
        <w:rPr>
          <w:rFonts w:ascii="Courier New" w:cs="Courier New" w:eastAsia="Courier New" w:hAnsi="Courier New"/>
          <w:sz w:val="14"/>
          <w:szCs w:val="14"/>
          <w:color w:val="auto"/>
        </w:rPr>
        <w:t>"THE SECURITIES REPRESENTED BY THIS CERTIFICATE WERE ISSUED IN A TRANSACTION TO WHICH RULE 145 PROMULGATED UNDER THE SECURITIES ACT OF 1933 APPLIES. THE SECURITIES REPRESENTED BY THIS CERTIFICATE MAY BE SOLD, TRANSFERRED OR OTHERWISE DISPOSED OF ONLY IN ACCORDANCE WITH THE TERMS OF A LETTER AGREEMENT BETWEEN THE REGISTERED HOLDER HEREOF AND EXXON CORPORATION, A COPY OF WHICH AGREEMENT IS ON FILE AT THE PRINCIPAL OFFICES OF EXXON CORPORATION."</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 The undersigned also understands that unless a sale or transfer by the undersigned of the undersigned's Exxon Common Stock has been registered under the Act or is a sale made in conformity with the provisions of Rule 145 under the Act, Exxon reserves the right to put the following legend on the certificates issued to the undersigned's transferee:</w:t>
      </w:r>
    </w:p>
    <w:p>
      <w:pPr>
        <w:spacing w:after="0" w:line="165" w:lineRule="exact"/>
        <w:rPr>
          <w:sz w:val="20"/>
          <w:szCs w:val="20"/>
          <w:color w:val="auto"/>
        </w:rPr>
      </w:pPr>
    </w:p>
    <w:p>
      <w:pPr>
        <w:ind w:left="440" w:right="4119"/>
        <w:spacing w:after="0" w:line="251" w:lineRule="auto"/>
        <w:rPr>
          <w:sz w:val="20"/>
          <w:szCs w:val="20"/>
          <w:color w:val="auto"/>
        </w:rPr>
      </w:pPr>
      <w:r>
        <w:rPr>
          <w:rFonts w:ascii="Courier New" w:cs="Courier New" w:eastAsia="Courier New" w:hAnsi="Courier New"/>
          <w:sz w:val="14"/>
          <w:szCs w:val="14"/>
          <w:color w:val="auto"/>
        </w:rPr>
        <w:t>"THE SECURITIES REPRESENTED BY THIS CERTIFICATE HAVE NOT BEEN REGISTERED UNDER THE SECURITIES ACT OF 1933 AND WERE ACQUIRED FROM A PERSON WHO RECEIVED SUCH SECURITIES IN A TRANSACTION TO WHICH RULE 145 PROMULGATED UNDER THE SECURITIES ACT OF 1933 APPLIES. THE SECURITIES HAVE NOT BEEN ACQUIRED BY THE HOLDER WITH A VIEW TO, OR FOR RESALE IN CONNECTION WITH, ANY DISTRIBUTION THEREOF WITHIN THE MEANING OF THE SECURITIES ACT OF 1933 AND MAY NOT BE SOLD, TRANSFERRED OR OTHERWISE DISPOSED OF EXCEPT PURSUANT TO AN EFFECTIVE REGISTRATION STATEMENT OR IN ACCORDANCE WITH AN EXEMPTION FROM THE REGISTRATION REQUIREMENTS OF THE SECURITIES ACT OF 1933."</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It is understood and agreed that the legends set forth in paragraphs E and F above shall be removed by delivery of substitute certificates without such legend if (i) the securities represented thereby have been registered for sale by the undersigned under the Act or (ii) Exxon has received either an opinion of counsel, which opinion and counsel shall be reasonably satisfactory to Exxon, or a "no-action" letter obtained by the undersigned from the staff of the Commission, to the effect that the restrictions imposed by Rule 145 under the Act no longer apply to the undersigned.</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G. The undersigned further understands and agrees that the representations, warranties, covenants and agreements of the undersigned set forth herein are for the benefit of Exxon, the Company and the Surviving Corporation (as defined</w:t>
      </w:r>
    </w:p>
    <w:p>
      <w:pPr>
        <w:spacing w:after="0" w:line="1"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the Merger Agreement) and will be relied upon by such entities and their respective counsel and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A-B-3-2</w:t>
      </w:r>
    </w:p>
    <w:p>
      <w:pPr>
        <w:sectPr>
          <w:pgSz w:w="11900" w:h="16838" w:orient="portrait"/>
          <w:cols w:equalWidth="0" w:num="1">
            <w:col w:w="10239"/>
          </w:cols>
          <w:pgMar w:left="220" w:top="782"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H. The undersigned understands and agrees that this letter agreement shall apply to all shares of the capital stock of Exxon and the Company that are deemed to be beneficially owned by the undersigned pursuant to applicable federal securities laws.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Execution of this letter should not be considered an admission on the part of the undersigned that the undersigned is an "affiliate" of the Company as described in the first paragraph of this letter or as a waiver of any rights the undersigned may have to object to any claim that the undersigned is such an affiliate on or after the date of this letter.</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this 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19__.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A-B-3-3</w:t>
      </w:r>
    </w:p>
    <w:p>
      <w:pPr>
        <w:sectPr>
          <w:pgSz w:w="11900" w:h="16838" w:orient="portrait"/>
          <w:cols w:equalWidth="0" w:num="1">
            <w:col w:w="10239"/>
          </w:cols>
          <w:pgMar w:left="220" w:top="782" w:right="1440" w:bottom="1440" w:gutter="0" w:footer="0" w:header="0"/>
        </w:sectPr>
      </w:pPr>
    </w:p>
    <w:bookmarkStart w:id="187" w:name="page188"/>
    <w:bookmarkEnd w:id="18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C-1 TO ANNEX A</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(as amended April 2, 1999)</w:t>
      </w:r>
    </w:p>
    <w:p>
      <w:pPr>
        <w:spacing w:after="0" w:line="338"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EXXON CORPORATION AND</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LION ACQUISITION SUBSIDIARY CORPORATION</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REPRESENTATION LETTER</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opinions to be delivered pursuant to Sections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8.02(e) and 8.03(b) of the Agreement and Plan of Merger (the "Agreement")*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1, 1998, among Mobil, a Delaware corporation ("Company"),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New Jersey corporation ("Parent"), and Lion Acquisition 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 Delaware corporation and a wholly-owned subsidiary of Parent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Subsidiary"), and the opinions which, pursuant to the requirements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601(b)(8) of Regulation S-K under the Securities Act of 1933,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included in the Registration Statement on Form S-4,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of Parent and Merger Subsidiary hereby certify and represent as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Parent and Merger Subsidiary that the facts relating to the merger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of Merger Subsidiary with and into Company pursuant to the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as described in the Joint Proxy Statement/Prospectus of Parent and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Merger (the "Proxy Statement") are true, correct and complete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respects as of the date hereof and will be true, correct and complete in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respects at the Effective Time and that:</w:t>
      </w:r>
    </w:p>
    <w:p>
      <w:pPr>
        <w:spacing w:after="0" w:line="173" w:lineRule="exact"/>
        <w:rPr>
          <w:sz w:val="20"/>
          <w:szCs w:val="20"/>
          <w:color w:val="auto"/>
        </w:rPr>
      </w:pPr>
    </w:p>
    <w:p>
      <w:pPr>
        <w:ind w:right="3339" w:firstLine="611"/>
        <w:spacing w:after="0" w:line="251" w:lineRule="auto"/>
        <w:tabs>
          <w:tab w:leader="none" w:pos="861"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Consideration and Preferred Merger Consideration to be received in the Merger by holders of common stock of Company ("Company Stock") and Series B Preferred Stock of Company ("Series B Preferred Stock"), respectively, was determined by arm's length negotiations between the managements of Parent and Company and will be approximately equal to the fair market value of the Company Stock and Series B Preferred Stock, respectively, surrendered in exchange. In connection with the Merger, no holder of Company Stock will receive in exchange for such stock, directly or indirectly, any consideration other than common stock of Parent ("Parent Stock") and, in lieu of fractional shares of Parent Stock, cash. In connection with the Merger, no holder of Series B Preferred Stock, other than any such holders who dissent in the merger and perfect their right to appraisal and payment, will receive in exchange for such stock, directly or indirectly, any consideration other than preferred stock to be issued by Parent ("Parent Preferred Stock") at the Effective Time.</w:t>
      </w:r>
    </w:p>
    <w:p>
      <w:pPr>
        <w:spacing w:after="0" w:line="328" w:lineRule="exact"/>
        <w:rPr>
          <w:rFonts w:ascii="Courier New" w:cs="Courier New" w:eastAsia="Courier New" w:hAnsi="Courier New"/>
          <w:sz w:val="14"/>
          <w:szCs w:val="14"/>
          <w:color w:val="auto"/>
        </w:rPr>
      </w:pPr>
    </w:p>
    <w:p>
      <w:pPr>
        <w:ind w:left="860" w:hanging="249"/>
        <w:spacing w:after="0"/>
        <w:tabs>
          <w:tab w:leader="none" w:pos="86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cash paid in lieu of fractional shares of Parent Stock,</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 of</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*References contained in this Certificate to the Agreement include, unless the context otherwise requires, each document attached as an exhibit or annex. All defined terms used herein and not otherwise defined have the meaning ascribed to them in the Agreement.</w:t>
      </w:r>
    </w:p>
    <w:p>
      <w:pPr>
        <w:sectPr>
          <w:pgSz w:w="11900" w:h="16838" w:orient="portrait"/>
          <w:cols w:equalWidth="0" w:num="1">
            <w:col w:w="10239"/>
          </w:cols>
          <w:pgMar w:left="220" w:top="782"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1300" w:hanging="430"/>
        <w:spacing w:after="0"/>
        <w:tabs>
          <w:tab w:leader="none" w:pos="13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(or any successor corporation),</w:t>
      </w:r>
    </w:p>
    <w:p>
      <w:pPr>
        <w:spacing w:after="0" w:line="172" w:lineRule="exact"/>
        <w:rPr>
          <w:rFonts w:ascii="Courier New" w:cs="Courier New" w:eastAsia="Courier New" w:hAnsi="Courier New"/>
          <w:sz w:val="14"/>
          <w:szCs w:val="14"/>
          <w:color w:val="auto"/>
        </w:rPr>
      </w:pPr>
    </w:p>
    <w:p>
      <w:pPr>
        <w:ind w:left="520" w:right="3779" w:firstLine="264"/>
        <w:spacing w:after="0" w:line="252" w:lineRule="auto"/>
        <w:tabs>
          <w:tab w:leader="none" w:pos="120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that, immediately before or immediately after such purchase, exchange, redemption, or other acquisition, is a member of an Affiliated Group (as defined herein) of which Parent (or any successor corporation) is a member, or</w:t>
      </w:r>
    </w:p>
    <w:p>
      <w:pPr>
        <w:spacing w:after="0" w:line="162" w:lineRule="exact"/>
        <w:rPr>
          <w:rFonts w:ascii="Courier New" w:cs="Courier New" w:eastAsia="Courier New" w:hAnsi="Courier New"/>
          <w:sz w:val="14"/>
          <w:szCs w:val="14"/>
          <w:color w:val="auto"/>
        </w:rPr>
      </w:pPr>
    </w:p>
    <w:p>
      <w:pPr>
        <w:ind w:left="520" w:right="3859" w:firstLine="177"/>
        <w:spacing w:after="0" w:line="251" w:lineRule="auto"/>
        <w:tabs>
          <w:tab w:leader="none" w:pos="120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in which Parent (or any successor corporation) owns, or which owns with respect to Parent (or any successor corporation), directly or indirectly, immediately before or immediately after such purchase, exchange, redemption, or other acquisition, at least 50% of the total combined voting power of all classes of stock entitled to vote or at least 50% of the total value of shares of all classes of stock, taking into account for purposes of this clause (iii)</w:t>
      </w:r>
    </w:p>
    <w:p>
      <w:pPr>
        <w:spacing w:after="0" w:line="16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 any stock owned by 5% or greater stockholders of Parent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(or any successor) or such corporation,</w:t>
      </w:r>
    </w:p>
    <w:p>
      <w:pPr>
        <w:spacing w:after="0" w:line="173" w:lineRule="exact"/>
        <w:rPr>
          <w:sz w:val="20"/>
          <w:szCs w:val="20"/>
          <w:color w:val="auto"/>
        </w:rPr>
      </w:pPr>
    </w:p>
    <w:p>
      <w:pPr>
        <w:ind w:left="1480" w:right="3679" w:hanging="179"/>
        <w:spacing w:after="0" w:line="252" w:lineRule="auto"/>
        <w:tabs>
          <w:tab w:leader="none" w:pos="1460" w:val="left"/>
        </w:tabs>
        <w:rPr>
          <w:sz w:val="20"/>
          <w:szCs w:val="20"/>
          <w:color w:val="auto"/>
        </w:rPr>
      </w:pPr>
      <w:r>
        <w:rPr>
          <w:rFonts w:ascii="Courier New" w:cs="Courier New" w:eastAsia="Courier New" w:hAnsi="Courier New"/>
          <w:sz w:val="14"/>
          <w:szCs w:val="14"/>
          <w:color w:val="auto"/>
        </w:rPr>
        <w:t>o</w:t>
        <w:tab/>
        <w:t>a proportionate share of the stock owned by entities in which Parent (or any successor) or such corporation owns an interest, and</w:t>
      </w:r>
    </w:p>
    <w:p>
      <w:pPr>
        <w:spacing w:after="0" w:line="16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 any stock which may be acquired pursuant to the exercise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of options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"Parent Related Person") has any current plan or intention to redeem, purchase, exchange or otherwise reacquire any of the Parent Stock or Parent Preferred Stock to be issued in the Merger. Parent will implement its stock repurchase plan consistent with the resolution adopted by the Board of Parent on November 25, 1998. Parent intends that all stock repurchases made pursuant to this stock repurchase plan, or any other stock repurchase plan adopted by Parent,</w:t>
      </w:r>
    </w:p>
    <w:p>
      <w:pPr>
        <w:spacing w:after="0" w:line="330" w:lineRule="exact"/>
        <w:rPr>
          <w:sz w:val="20"/>
          <w:szCs w:val="20"/>
          <w:color w:val="auto"/>
        </w:rPr>
      </w:pPr>
    </w:p>
    <w:p>
      <w:pPr>
        <w:ind w:left="1300" w:hanging="430"/>
        <w:spacing w:after="0"/>
        <w:tabs>
          <w:tab w:leader="none" w:pos="130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undertaken for a corporate business purpose,</w:t>
      </w:r>
    </w:p>
    <w:p>
      <w:pPr>
        <w:spacing w:after="0" w:line="172" w:lineRule="exact"/>
        <w:rPr>
          <w:rFonts w:ascii="Courier New" w:cs="Courier New" w:eastAsia="Courier New" w:hAnsi="Courier New"/>
          <w:sz w:val="14"/>
          <w:szCs w:val="14"/>
          <w:color w:val="auto"/>
        </w:rPr>
      </w:pPr>
    </w:p>
    <w:p>
      <w:pPr>
        <w:ind w:left="520" w:right="3939" w:firstLine="350"/>
        <w:spacing w:after="0" w:line="251" w:lineRule="auto"/>
        <w:tabs>
          <w:tab w:leader="none" w:pos="120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made in the open market for stock of the Parent which is widely held and publicly traded, except that Parent may acquire stock in block trades made directly with an entity that is not known to Parent to have acquired such stock in the Merger, and any redemptions or repurchases of stock issued in the Merger that occur shall be incidental to the operation of such stock repurchase plan, and</w:t>
      </w:r>
    </w:p>
    <w:p>
      <w:pPr>
        <w:spacing w:after="0" w:line="164" w:lineRule="exact"/>
        <w:rPr>
          <w:rFonts w:ascii="Courier New" w:cs="Courier New" w:eastAsia="Courier New" w:hAnsi="Courier New"/>
          <w:sz w:val="14"/>
          <w:szCs w:val="14"/>
          <w:color w:val="auto"/>
        </w:rPr>
      </w:pPr>
    </w:p>
    <w:p>
      <w:pPr>
        <w:ind w:left="520" w:right="3779" w:firstLine="436"/>
        <w:spacing w:after="0" w:line="252" w:lineRule="auto"/>
        <w:tabs>
          <w:tab w:leader="none" w:pos="1295"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limited to, in the aggregate, a small percentage of each class of stock of Parent outstanding at the time of the redemption or repurchase.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Parent will cause all Parent Related Persons and any person acting as an agent of Parent not to redeem, purchase, exchange or otherwise acquire (including by derivative transactions such as an equity swap which would have the economic effect of an acquisition), directly or indirectly (including through partnerships or through third parties in connection with a plan to so acquire), a number of shares of Parent Stock and Parent Preferred Stock to be received by Company shareholders in connection with the Merger that would reduce the Company shareholders' ownership of Parent Stock and Parent Preferred Stock to a number of shares having a value, as of the Effective Time, of less than 50% of the total value of Company Stock and Series B Preferred Stock immediately prior to the Effective Time.</w:t>
      </w:r>
    </w:p>
    <w:p>
      <w:pPr>
        <w:spacing w:after="0" w:line="16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For purposes of this representation, shares of Company Stock exchanged for cash in lieu of fractional shares of Parent Stock are treated as outstanding shares of Company Stock at the Effective Time. Moreover, shares of</w:t>
      </w:r>
    </w:p>
    <w:p>
      <w:pPr>
        <w:spacing w:after="0" w:line="1"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Company Stock and Series B Preferred Stock that are redeemed or sold or otherwise transferred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A-C-1-2</w:t>
      </w:r>
    </w:p>
    <w:p>
      <w:pPr>
        <w:sectPr>
          <w:pgSz w:w="11900" w:h="16838" w:orient="portrait"/>
          <w:cols w:equalWidth="0" w:num="1">
            <w:col w:w="10239"/>
          </w:cols>
          <w:pgMar w:left="220" w:top="782" w:right="1440" w:bottom="1440" w:gutter="0" w:footer="0" w:header="0"/>
        </w:sectPr>
      </w:pPr>
    </w:p>
    <w:bookmarkStart w:id="189" w:name="page190"/>
    <w:bookmarkEnd w:id="189"/>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Parent, or any person related to Company or Parent prior to the Merger and in contemplation or as part of the Merger will be taken into account for purposes of this representation.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purposes of this Certificate, "Affiliated Group" shall mean one or more chains of corporations connected through stock ownership with a common parent corporation, but only if</w:t>
      </w:r>
    </w:p>
    <w:p>
      <w:pPr>
        <w:spacing w:after="0" w:line="163" w:lineRule="exact"/>
        <w:rPr>
          <w:sz w:val="20"/>
          <w:szCs w:val="20"/>
          <w:color w:val="auto"/>
        </w:rPr>
      </w:pPr>
    </w:p>
    <w:p>
      <w:pPr>
        <w:ind w:left="440" w:right="3779" w:firstLine="516"/>
        <w:spacing w:after="0" w:line="252" w:lineRule="auto"/>
        <w:tabs>
          <w:tab w:leader="none" w:pos="130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parent owns directly stock that possesses at least 80% of the total voting power, and has a value at least equal to 80% of the total value, of the stock in at least one of the other corporations, and</w:t>
      </w:r>
    </w:p>
    <w:p>
      <w:pPr>
        <w:spacing w:after="0" w:line="162" w:lineRule="exact"/>
        <w:rPr>
          <w:rFonts w:ascii="Courier New" w:cs="Courier New" w:eastAsia="Courier New" w:hAnsi="Courier New"/>
          <w:sz w:val="14"/>
          <w:szCs w:val="14"/>
          <w:color w:val="auto"/>
        </w:rPr>
      </w:pPr>
    </w:p>
    <w:p>
      <w:pPr>
        <w:ind w:left="440" w:right="3779" w:firstLine="516"/>
        <w:spacing w:after="0" w:line="252" w:lineRule="auto"/>
        <w:tabs>
          <w:tab w:leader="none" w:pos="130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possessing at least 80% of the total voting power, and having a value at least equal to 80% of the total value, of the stock in each corporation (except the common parent) is owned directly by one or more of the other corporations.</w:t>
      </w:r>
    </w:p>
    <w:p>
      <w:pPr>
        <w:spacing w:after="0" w:line="162" w:lineRule="exact"/>
        <w:rPr>
          <w:sz w:val="20"/>
          <w:szCs w:val="20"/>
          <w:color w:val="auto"/>
        </w:rPr>
      </w:pPr>
    </w:p>
    <w:p>
      <w:pPr>
        <w:ind w:left="440" w:right="3939"/>
        <w:spacing w:after="0" w:line="255" w:lineRule="auto"/>
        <w:rPr>
          <w:sz w:val="20"/>
          <w:szCs w:val="20"/>
          <w:color w:val="auto"/>
        </w:rPr>
      </w:pPr>
      <w:r>
        <w:rPr>
          <w:rFonts w:ascii="Courier New" w:cs="Courier New" w:eastAsia="Courier New" w:hAnsi="Courier New"/>
          <w:sz w:val="14"/>
          <w:szCs w:val="14"/>
          <w:color w:val="auto"/>
        </w:rPr>
        <w:t>For purposes of the preceding sentence, "stock" does not include any stock which</w:t>
      </w:r>
    </w:p>
    <w:p>
      <w:pPr>
        <w:spacing w:after="0" w:line="160" w:lineRule="exact"/>
        <w:rPr>
          <w:sz w:val="20"/>
          <w:szCs w:val="20"/>
          <w:color w:val="auto"/>
        </w:rPr>
      </w:pPr>
    </w:p>
    <w:p>
      <w:pPr>
        <w:ind w:left="1300" w:hanging="344"/>
        <w:spacing w:after="0"/>
        <w:tabs>
          <w:tab w:leader="none" w:pos="130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entitled to vote,</w:t>
      </w:r>
    </w:p>
    <w:p>
      <w:pPr>
        <w:spacing w:after="0" w:line="172" w:lineRule="exact"/>
        <w:rPr>
          <w:rFonts w:ascii="Courier New" w:cs="Courier New" w:eastAsia="Courier New" w:hAnsi="Courier New"/>
          <w:sz w:val="14"/>
          <w:szCs w:val="14"/>
          <w:color w:val="auto"/>
        </w:rPr>
      </w:pPr>
    </w:p>
    <w:p>
      <w:pPr>
        <w:ind w:left="440" w:right="4379" w:firstLine="516"/>
        <w:spacing w:after="0" w:line="255" w:lineRule="auto"/>
        <w:tabs>
          <w:tab w:leader="none" w:pos="1301"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limited and preferred as to dividends and does not participate in corporate growth to any significant extent,</w:t>
      </w:r>
    </w:p>
    <w:p>
      <w:pPr>
        <w:spacing w:after="0" w:line="159" w:lineRule="exact"/>
        <w:rPr>
          <w:rFonts w:ascii="Courier New" w:cs="Courier New" w:eastAsia="Courier New" w:hAnsi="Courier New"/>
          <w:sz w:val="14"/>
          <w:szCs w:val="14"/>
          <w:color w:val="auto"/>
        </w:rPr>
      </w:pPr>
    </w:p>
    <w:p>
      <w:pPr>
        <w:ind w:left="440" w:right="3939" w:firstLine="516"/>
        <w:spacing w:after="0" w:line="252" w:lineRule="auto"/>
        <w:tabs>
          <w:tab w:leader="none" w:pos="1301"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redemption and liquidation rights which do not exceed the issue price of such stock (except for a reasonable redemption or liquidation premium), and</w:t>
      </w:r>
    </w:p>
    <w:p>
      <w:pPr>
        <w:spacing w:after="0" w:line="162" w:lineRule="exact"/>
        <w:rPr>
          <w:rFonts w:ascii="Courier New" w:cs="Courier New" w:eastAsia="Courier New" w:hAnsi="Courier New"/>
          <w:sz w:val="14"/>
          <w:szCs w:val="14"/>
          <w:color w:val="auto"/>
        </w:rPr>
      </w:pPr>
    </w:p>
    <w:p>
      <w:pPr>
        <w:ind w:left="1300" w:hanging="344"/>
        <w:spacing w:after="0"/>
        <w:tabs>
          <w:tab w:leader="none" w:pos="130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convertible into another class of stock.</w:t>
      </w:r>
    </w:p>
    <w:p>
      <w:pPr>
        <w:spacing w:after="0" w:line="172"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Merger, Company will hold at least 90% of the fair market value of the net assets and at least 70% of the fair market value of the gross assets held by Merger Subsidiary immediately prior to the Merger, and at least 90% of the fair market value of the net assets and at least 70% of the fair market value of the gross assets held by Company immediately prior to the Merger. For purposes of this representation, assets of Merger Subsidiary or Company held immediately prior to the Merger include amounts paid or incurred by Merger Subsidiary or Company in connection with the Merger, including amounts used to pay reorganization expenses or dissenting shareholders or to make payments to shareholders who receive cash or other property (including cash in lieu of fractional shares) and all payments, redemptions and distributions (except for regular, normal dividends) made in contemplation or as part of the Merger.</w:t>
      </w:r>
    </w:p>
    <w:p>
      <w:pPr>
        <w:spacing w:after="0" w:line="328" w:lineRule="exact"/>
        <w:rPr>
          <w:rFonts w:ascii="Courier New" w:cs="Courier New" w:eastAsia="Courier New" w:hAnsi="Courier New"/>
          <w:sz w:val="14"/>
          <w:szCs w:val="14"/>
          <w:color w:val="auto"/>
        </w:rPr>
      </w:pPr>
    </w:p>
    <w:p>
      <w:pPr>
        <w:ind w:right="3419" w:firstLine="611"/>
        <w:spacing w:after="0" w:line="251" w:lineRule="auto"/>
        <w:tabs>
          <w:tab w:leader="none" w:pos="861"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and at the Effective Time of the Merger, Parent will be in Control of Merger Subsidiary. Merger Subsidiary is wholly and directly owned by Parent and has been newly formed solely in order to consummate the Merger, and at no time has or will Merger Subsidiary conduct any business activities or other operations of any kind other than the issuance of its stock to Parent prior to the Effective Time. For purposes of this Certificate, "Control" with respect to a corporation shall mean ownership of at least 80% of the total combined voting power of all classes of stock entitled to vote and at least 80% of the total number of shares of each other class of stock of the corporation.</w:t>
      </w:r>
    </w:p>
    <w:p>
      <w:pPr>
        <w:spacing w:after="0" w:line="163" w:lineRule="exact"/>
        <w:rPr>
          <w:rFonts w:ascii="Courier New" w:cs="Courier New" w:eastAsia="Courier New" w:hAnsi="Courier New"/>
          <w:sz w:val="14"/>
          <w:szCs w:val="14"/>
          <w:color w:val="auto"/>
        </w:rPr>
      </w:pPr>
    </w:p>
    <w:p>
      <w:pPr>
        <w:ind w:right="3339" w:firstLine="611"/>
        <w:spacing w:after="0" w:line="252" w:lineRule="auto"/>
        <w:tabs>
          <w:tab w:leader="none" w:pos="861"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has no plan or intention to cause Company to issue additional shares of stock, or any plan or intention to take any action, that could result in Parent losing Control of Company.</w:t>
      </w:r>
    </w:p>
    <w:p>
      <w:pPr>
        <w:spacing w:after="0" w:line="162"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no plan or intention to liquidate Company, to merge Company with or into another corporation, to sell, exchange, transfer or otherwise dispose of any stock of Company or to cause Company to sell, exchange, transfer or otherwise dispose of any of its assets or of any assets</w:t>
      </w:r>
    </w:p>
    <w:p>
      <w:pPr>
        <w:spacing w:after="0" w:line="1"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from Merger Subsidiary in the Merger, except for (i) dispositions made in the ordinary course of business, (ii) transfers or successive transfers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A-C-1-3</w:t>
      </w:r>
    </w:p>
    <w:p>
      <w:pPr>
        <w:sectPr>
          <w:pgSz w:w="11900" w:h="16838" w:orient="portrait"/>
          <w:cols w:equalWidth="0" w:num="1">
            <w:col w:w="10239"/>
          </w:cols>
          <w:pgMar w:left="220" w:top="782"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each case the transferor is in Control of the transferee, or (iii) arm's length dispositions to unrelated persons other than dispositions which would result in Parent ceasing to use a significant portion of the Company's historic business assets in a business.</w:t>
      </w:r>
    </w:p>
    <w:p>
      <w:pPr>
        <w:spacing w:after="0" w:line="162" w:lineRule="exact"/>
        <w:rPr>
          <w:sz w:val="20"/>
          <w:szCs w:val="20"/>
          <w:color w:val="auto"/>
        </w:rPr>
      </w:pPr>
    </w:p>
    <w:p>
      <w:pPr>
        <w:ind w:right="3519" w:firstLine="611"/>
        <w:spacing w:after="0" w:line="255" w:lineRule="auto"/>
        <w:tabs>
          <w:tab w:leader="none" w:pos="86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Merger Subsidiary will have no liabilities assumed by Company and will not transfer to Company any assets subject to liabilities.</w:t>
      </w:r>
    </w:p>
    <w:p>
      <w:pPr>
        <w:spacing w:after="0" w:line="159"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will cause Company to continue its historic business or use a significant portion of its historic business assets in a business. For this purpose, Parent will be treated as holding all of the businesses and assets of its Qualified Group and Parent will be treated as owning its proportionate share of the Company business assets used in a business of any partnership in which members of Parent's Qualified Group either own a significant interest or have active and substantial management functions as a partner with respect to that partnership business. A Qualified Group is one or more chains of corporations connected through stock ownership with Parent but only if Parent is in Control of at least one other corporation and each of the corporations (other than Parent) is Controlled directly by one of the other corporations.</w:t>
      </w:r>
    </w:p>
    <w:p>
      <w:pPr>
        <w:spacing w:after="0" w:line="328"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below, Parent, Merger Subsidiary, Company and the Company shareholders each will bear its or their own expenses, if any, incurred in connection with or as part of the Merger or related transactions. However, to the extent any expenses related to the Merger are to be funded directly or indirectly by a party other than the incurring party, such expenses are solely and directly related to the Merger, and do not include expenses incurred for investment or estate planning advice, or expenses incurred by an individual shareholder or group of shareholders for legal, accounting or investment advice or counsel relating to the merger. Neither Parent nor Merger Subsidiary has paid or will pay, directly or indirectly, any expenses (including transfer taxes) incurred or to be incurred by any holder of Company Stock or Series B Preferred Stock in connection with or as part of the Merger or any related transactions; provided that any stamp duties and stamp duty reserve taxes in connection with the issuance and creation of Parent Stock or Series B Preferred Stock of Parent in the Merger will be paid by Parent. Neither Parent nor Merger Subsidiary has agreed to assume, nor will it directly or indirectly assume, any other expense or other liability, whether fixed or contingent, of any holder of Company Stock or Series B Preferred Stock. To the extent that any transfer tax or other expense is a liability of a shareholder of Company, such liability will be paid by Company or such shareholder, but in no event by Parent.</w:t>
      </w:r>
    </w:p>
    <w:p>
      <w:pPr>
        <w:spacing w:after="0" w:line="174" w:lineRule="exact"/>
        <w:rPr>
          <w:rFonts w:ascii="Courier New" w:cs="Courier New" w:eastAsia="Courier New" w:hAnsi="Courier New"/>
          <w:sz w:val="14"/>
          <w:szCs w:val="14"/>
          <w:color w:val="auto"/>
        </w:rPr>
      </w:pPr>
    </w:p>
    <w:p>
      <w:pPr>
        <w:jc w:val="both"/>
        <w:ind w:right="3599" w:firstLine="525"/>
        <w:spacing w:after="0" w:line="252" w:lineRule="auto"/>
        <w:tabs>
          <w:tab w:leader="none" w:pos="86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or between Merger Subsidiary and Company that was issued, acquired or will be settled at a discount.</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Parent Stock into which shares of Company Stock will be converted pursuant to the Merger will be newly issued or treasury shares, and will be issued by Parent directly to record holders of Company Stock pursuant to the Merger. All shares of Parent Preferred Stock into which Series B Preferred Stock will be converted will be newly issued and will be issued by Parent directly to record holders of Series B Preferred Stock pursuant to the Merger.</w:t>
      </w:r>
    </w:p>
    <w:p>
      <w:pPr>
        <w:spacing w:after="0" w:line="164" w:lineRule="exact"/>
        <w:rPr>
          <w:rFonts w:ascii="Courier New" w:cs="Courier New" w:eastAsia="Courier New" w:hAnsi="Courier New"/>
          <w:sz w:val="14"/>
          <w:szCs w:val="14"/>
          <w:color w:val="auto"/>
        </w:rPr>
      </w:pPr>
    </w:p>
    <w:p>
      <w:pPr>
        <w:ind w:right="3339" w:firstLine="525"/>
        <w:spacing w:after="0" w:line="250" w:lineRule="auto"/>
        <w:tabs>
          <w:tab w:leader="none" w:pos="86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shares of Company Stock and Series B Preferred Stock representing Control of Company will be exchanged solely for voting stock of Parent and cash in lieu of fractional shares. Under the Agreement, all shares of Company Stock and Series B Preferred Stock as to which dissenters' rights are not perfected will be exchanged in the Merger for voting stock of Parent and cash in lieu of fractional shares. For purposes of this representation, if any stock of Company is exchanged for cash or other property originating with Parent, such stock will be treated as outstanding stock of Company acquired by Parent at the Effective Time. The payment of cash in lieu of fractional shares of Parent Stock to holders of Company Stock is solely for the purpose of avoiding the expense and inconvenience to Parent of issuing fractional</w:t>
      </w:r>
    </w:p>
    <w:p>
      <w:pPr>
        <w:spacing w:after="0" w:line="4" w:lineRule="exact"/>
        <w:rPr>
          <w:rFonts w:ascii="Courier New" w:cs="Courier New" w:eastAsia="Courier New" w:hAnsi="Courier New"/>
          <w:sz w:val="14"/>
          <w:szCs w:val="14"/>
          <w:color w:val="auto"/>
        </w:rPr>
      </w:pPr>
    </w:p>
    <w:p>
      <w:pPr>
        <w:ind w:right="39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and does not represent separately bargained for consideration. To the best knowledge of the management of Parent, the total cash consideration that will be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A-C-1-4</w:t>
      </w:r>
    </w:p>
    <w:p>
      <w:pPr>
        <w:sectPr>
          <w:pgSz w:w="11900" w:h="16838" w:orient="portrait"/>
          <w:cols w:equalWidth="0" w:num="1">
            <w:col w:w="10239"/>
          </w:cols>
          <w:pgMar w:left="220" w:top="782" w:right="1440" w:bottom="1440" w:gutter="0" w:footer="0" w:header="0"/>
        </w:sectPr>
      </w:pPr>
    </w:p>
    <w:bookmarkStart w:id="191" w:name="page192"/>
    <w:bookmarkEnd w:id="191"/>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the Merger to holders of Company Stock instead of issuing fractional shares of Parent Stock will not exceed one percent of the total consideration that will be issued to the holders of Company Stock in the Merger.</w:t>
      </w:r>
    </w:p>
    <w:p>
      <w:pPr>
        <w:spacing w:after="0" w:line="163" w:lineRule="exact"/>
        <w:rPr>
          <w:sz w:val="20"/>
          <w:szCs w:val="20"/>
          <w:color w:val="auto"/>
        </w:rPr>
      </w:pPr>
    </w:p>
    <w:p>
      <w:pPr>
        <w:ind w:right="3419" w:firstLine="525"/>
        <w:spacing w:after="0" w:line="251" w:lineRule="auto"/>
        <w:tabs>
          <w:tab w:leader="none" w:pos="86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no liabilities of shareholders of Company will be assumed by Parent, and Parent will not assume any liabilities relating to any Company Stock or Series B Preferred Stock acquired by Parent in the Merger. Furthermore, there is no plan or intention for Parent to assume any liabilities of Company.</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Preferred Stock is the only class of stock of Company that grants its holders dissenters' rights. In the event that any holders of Series B Preferred Stock of Company do not vote in favor of the Merger and perfect their right to appraisal and payment, any amounts paid to such holders in an appraisal proceeding will be paid by Company out of its own funds. No funds will be supplied for such payments, directly or indirectly, by Parent, nor will Parent directly or indirectly reimburse Company for any such payments.</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Merger Subsidiary is a regulated investment company, a real estate investment trust, or a corporation fifty percent (50%) or more of the value of whose assets are stock and securities and eighty percent (80%) or more of the value of whose total assets are assets held for investment (each, an "Investment Company"). For purposes of this representation, in making the 50% and 80% determinations under the preceding sentence, (i) stock and securities in any subsidiary corporation shall be disregarded and the parent corporation shall be deemed to own its ratable share of the subsidiary's assets, and (ii) a corporation shall be considered a subsidiary if the parent owns 50% or more of the combined voting power of all classes of stock entitled to vote or 50% or more of the total value of shares of all classes of stock outstanding. In determining total assets there shall be excluded cash and cash items (including receivables), government securities, and assets acquired (through incurring indebtedness or otherwise) for purposes of ceasing to be an Investment Company.</w:t>
      </w:r>
    </w:p>
    <w:p>
      <w:pPr>
        <w:spacing w:after="0" w:line="162" w:lineRule="exact"/>
        <w:rPr>
          <w:rFonts w:ascii="Courier New" w:cs="Courier New" w:eastAsia="Courier New" w:hAnsi="Courier New"/>
          <w:sz w:val="14"/>
          <w:szCs w:val="14"/>
          <w:color w:val="auto"/>
        </w:rPr>
      </w:pPr>
    </w:p>
    <w:p>
      <w:pPr>
        <w:ind w:right="3519" w:firstLine="525"/>
        <w:spacing w:after="0" w:line="251" w:lineRule="auto"/>
        <w:tabs>
          <w:tab w:leader="none" w:pos="86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employee compensation received or to be received by any shareholder-employees of Company is or will be separate consideration for, or allocable to, any of their shares of Company Stock or Series B Preferred Stock to be surrendered in the Merger. None of the shares of Parent Stock or Parent Preferred Stock to be received by any shareholder-employee of Company in the Merger is or will be separate consideration for, or allocable to, any employment, consulting or similar arrangement. Any compensation paid or to be paid to any shareholder of Company, who will be an employee of or perform advisory services for Parent, Company, or any affiliate thereof after the Merger, will be determined by bargaining at arm's length.</w:t>
      </w:r>
    </w:p>
    <w:p>
      <w:pPr>
        <w:spacing w:after="0" w:line="163"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neither Parent nor any Parent Related Person will own any class of stock of Company or any securities of Company or any instrument giving the holder the right to acquire any such stock or securities except for the Option Agreement that appears as Exhibit A to the Agreement.</w:t>
      </w:r>
    </w:p>
    <w:p>
      <w:pPr>
        <w:spacing w:after="0" w:line="162"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is being effected for bona fide business reasons and will be carried out strictly in accordance with the Agreement, and as described in the Proxy Statement, and none of the material terms and conditions therein have been or will be waived or modified.</w:t>
      </w:r>
    </w:p>
    <w:p>
      <w:pPr>
        <w:spacing w:after="0" w:line="162" w:lineRule="exact"/>
        <w:rPr>
          <w:rFonts w:ascii="Courier New" w:cs="Courier New" w:eastAsia="Courier New" w:hAnsi="Courier New"/>
          <w:sz w:val="14"/>
          <w:szCs w:val="14"/>
          <w:color w:val="auto"/>
        </w:rPr>
      </w:pPr>
    </w:p>
    <w:p>
      <w:pPr>
        <w:ind w:right="3419" w:firstLine="525"/>
        <w:spacing w:after="0" w:line="250" w:lineRule="auto"/>
        <w:tabs>
          <w:tab w:leader="none" w:pos="86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and the documents described in the Agreement, the Proxy Statement and the Form S-4 represent the entire understanding between or among</w:t>
      </w:r>
    </w:p>
    <w:p>
      <w:pPr>
        <w:ind w:right="3519" w:firstLine="8"/>
        <w:spacing w:after="0" w:line="251" w:lineRule="auto"/>
        <w:tabs>
          <w:tab w:leader="none" w:pos="344"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and (ii) Company and its subsidiaries and, to the best knowledge of the management of Parent, between or among such entities and the affiliates and shareholders of Parent and Company with respect to the Merger and there are no written or oral agreements regarding the Merger other than those expressly referred to in the Agreement, the Proxy Statement and the Form S-4.</w:t>
      </w:r>
    </w:p>
    <w:p>
      <w:pPr>
        <w:spacing w:after="0" w:line="164"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Parent, Merger Subsidiary or, after the Merger, Company will take any position on any Federal, state, or local income or franchise tax return, or take any other tax reporting position, that is inconsistent with the treatment of the Merger as a tax-free reorganization or any of the foregoing representations, unless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A-C-1-5</w:t>
      </w:r>
    </w:p>
    <w:p>
      <w:pPr>
        <w:sectPr>
          <w:pgSz w:w="11900" w:h="16838" w:orient="portrait"/>
          <w:cols w:equalWidth="0" w:num="1">
            <w:col w:w="10239"/>
          </w:cols>
          <w:pgMar w:left="220" w:top="782"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required by a decision by the Tax Court or a judgment, decree, or other order by any court of competent jurisdiction, which has become final, or by applicable state or local income or franchise tax law.</w:t>
      </w:r>
    </w:p>
    <w:p>
      <w:pPr>
        <w:spacing w:after="0" w:line="163" w:lineRule="exact"/>
        <w:rPr>
          <w:sz w:val="20"/>
          <w:szCs w:val="20"/>
          <w:color w:val="auto"/>
        </w:rPr>
      </w:pPr>
    </w:p>
    <w:p>
      <w:pPr>
        <w:ind w:right="3419" w:firstLine="525"/>
        <w:spacing w:after="0" w:line="251" w:lineRule="auto"/>
        <w:tabs>
          <w:tab w:leader="none" w:pos="861"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cash in lieu of fractional shares, Parent will acquire the Company Stock and the Series B Preferred Stock solely in exchange for voting shares of Parent Stock and Parent Preferred Stock. For purposes of this representation, stock of Company redeemed for cash or other property furnished by Parent will be considered as acquired by Parent. Further, no liabilities of Company or the Company shareholders will be assumed by Parent, and Parent will not assume any liabilities relating to any Company Stock or Series B Preferred Stock acquired by Parent in the Merger.</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understand that Davis Polk &amp; Wardwell and Skadden, Arps, Slate, Meagher</w:t>
      </w:r>
    </w:p>
    <w:p>
      <w:pPr>
        <w:spacing w:after="0" w:line="7" w:lineRule="exact"/>
        <w:rPr>
          <w:sz w:val="20"/>
          <w:szCs w:val="20"/>
          <w:color w:val="auto"/>
        </w:rPr>
      </w:pPr>
    </w:p>
    <w:p>
      <w:pPr>
        <w:ind w:right="3339" w:firstLine="8"/>
        <w:spacing w:after="0" w:line="251" w:lineRule="auto"/>
        <w:tabs>
          <w:tab w:leader="none" w:pos="172"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Flom LLP will rely, without further inquiry, on this Certificate in rendering their opinions as to certain United States Federal income tax consequences of the Merger, and we will promptly and timely inform them if, after signing this Certificate, we have reason to believe that any of the facts described herein or in the Proxy Statement or any of the representations made in this Certificate are or have become untrue, incorrect or incomplete in any respect.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EXXON CORPORATION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LION ACQUISITION SUBSIDIARY CORPORATION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A-C-1-6</w:t>
      </w:r>
    </w:p>
    <w:p>
      <w:pPr>
        <w:sectPr>
          <w:pgSz w:w="11900" w:h="16838" w:orient="portrait"/>
          <w:cols w:equalWidth="0" w:num="1">
            <w:col w:w="10239"/>
          </w:cols>
          <w:pgMar w:left="220" w:top="782" w:right="1440" w:bottom="1440" w:gutter="0" w:footer="0" w:header="0"/>
        </w:sectPr>
      </w:pPr>
    </w:p>
    <w:bookmarkStart w:id="193" w:name="page194"/>
    <w:bookmarkEnd w:id="193"/>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EXHIBIT C-2 TO ANNEX A</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(as amended April 2, 1999)</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MOBIL CORPORATION REPRESENTATION LETTER</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opinions to be delivered pursuant to Sections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8.02(e) and 8.03(b) of the Agreement and Plan of Merger (the "Agreement")*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1, 1998, among Mobil, a Delaware corporation ("Company"), Exxon,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New Jersey corporation ("Parent"), and Lion Acquisition 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 Delaware corporation and a wholly-owned subsidiary of Parent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Subsidiary"), and the opinions which, pursuant to the requirements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601(b)(8) of Regulation S-K under the Securities Act of 1933,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included in the Registration Statement on Form S-4,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Company hereby certifies and represents as to Company that the facts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merger (the "Merger") of Merger Subsidiary with and into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the Agreement and as described in the Joint Proxy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Statement/Prospectus of Parent and Company relating to the Merger (the "Proxy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are true, correct and complete in all respects as of the date 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will be true correct and complete in all respects at the Effective Time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73" w:lineRule="exact"/>
        <w:rPr>
          <w:sz w:val="20"/>
          <w:szCs w:val="20"/>
          <w:color w:val="auto"/>
        </w:rPr>
      </w:pPr>
    </w:p>
    <w:p>
      <w:pPr>
        <w:ind w:right="3339" w:firstLine="611"/>
        <w:spacing w:after="0" w:line="251" w:lineRule="auto"/>
        <w:tabs>
          <w:tab w:leader="none" w:pos="861"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Consideration and Preferred Merger Consideration to be received in the Merger by holders of common stock of the Company ("Company Stock") and Series B Preferred Stock of Company ("Series B Preferred Stock"), respectively, was determined by arm's length negotiations between the managements of Parent and Company and will be approximately equal to the fair market value of the Company Stock and Series B Preferred Stock, respectively, surrendered in exchange. In connection with the Merger, no holder of Company Stock will receive in exchange for such stock, directly or indirectly, any consideration other than common stock of Parent ("Parent Stock") and, in lieu of fractional shares of Parent Stock, cash. In connection with the Merger, no holder of Series B Preferred Stock of Company, other than any such holders who dissent in the Merger and perfect their right to appraisal and payment, will receive in exchange for such stock, directly or indirectly, any consideration other than preferred stock to be issued by Parent ("Parent Preferred Stock") at the Effective Time.</w:t>
      </w:r>
    </w:p>
    <w:p>
      <w:pPr>
        <w:spacing w:after="0" w:line="328"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management of Company, there is no plan or intention on the part of holders of Company Stock or Series B Preferred Stock to sell, exchange or otherwise transfer ownership (including by derivative transactions such as a an equity swap which would have the economic effect of a transfer of ownership) to Parent, Company or any Related Person with</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respect to either of them, directly or indirectly</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*References contained in this Certificate to the Agreement include, unless the context otherwise requires, each document attached as an exhibit or annex. All defined terms used herein and not otherwise defined have the meaning ascribed to them in the Agreement.</w:t>
      </w:r>
    </w:p>
    <w:p>
      <w:pPr>
        <w:sectPr>
          <w:pgSz w:w="11900" w:h="16838" w:orient="portrait"/>
          <w:cols w:equalWidth="0" w:num="1">
            <w:col w:w="10239"/>
          </w:cols>
          <w:pgMar w:left="220" w:top="782"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(including through partnerships or through third parties in connection with a plan to so transfer ownership), of a number of shares of Parent Stock or Parent Preferred Stock to be received by Company shareholders in connection with the Merger that would reduce the Company shareholders' ownership of Parent Stock and Parent Preferred Stock to a number of shares having a value, as of the Effective Time, of less than 50% of the total value of all of the formerly outstanding stock of Company immediately prior to the Effective Time. For purposes of this representation, shares of Company Stock exchanged for cash in lieu of fractional shares of Parent Stock and Series B Preferred Stock redeemed pursuant to the perfection of the holder's appraisal rights are treated as outstanding shares of Company Stock or Series B Preferred Stock at the Effective Time. Moreover, shares of Company Stock and Parent Stock and Parent Preferred Stock held by shareholders of Company that are redeemed or sold or otherwise transferred to Company, Parent, or any person related to Company or Parent prior or subsequent to the Merger and in contemplation or as part of the Merger will be taken into account for purposes of this representation.</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For purposes of this Certificate, a Related Person with respect to either Parent or Company shall mean</w:t>
      </w:r>
    </w:p>
    <w:p>
      <w:pPr>
        <w:spacing w:after="0" w:line="160" w:lineRule="exact"/>
        <w:rPr>
          <w:sz w:val="20"/>
          <w:szCs w:val="20"/>
          <w:color w:val="auto"/>
        </w:rPr>
      </w:pPr>
    </w:p>
    <w:p>
      <w:pPr>
        <w:ind w:left="440" w:right="3779" w:firstLine="430"/>
        <w:spacing w:after="0" w:line="252" w:lineRule="auto"/>
        <w:tabs>
          <w:tab w:leader="none" w:pos="121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that, immediately before or immediately after such purchase, exchange, redemption, or other acquisition, is a member of an Affiliated Group (as defined herein) of which Parent or Company, as the case may be, (or any successor corporation) is a member, or</w:t>
      </w:r>
    </w:p>
    <w:p>
      <w:pPr>
        <w:spacing w:after="0" w:line="162" w:lineRule="exact"/>
        <w:rPr>
          <w:rFonts w:ascii="Courier New" w:cs="Courier New" w:eastAsia="Courier New" w:hAnsi="Courier New"/>
          <w:sz w:val="14"/>
          <w:szCs w:val="14"/>
          <w:color w:val="auto"/>
        </w:rPr>
      </w:pPr>
    </w:p>
    <w:p>
      <w:pPr>
        <w:ind w:left="440" w:right="3779" w:firstLine="344"/>
        <w:spacing w:after="0" w:line="251" w:lineRule="auto"/>
        <w:tabs>
          <w:tab w:leader="none" w:pos="121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in which Parent or Company, as the case may be, (or any successor corporation), owns, or which owns with respect to Parent or Company, as the case may be, (or any successor corporation) directly or indirectly, immediately before or immediately after such purchase, exchange, redemption, or other acquisition, at least 50% of the total combined voting power of all classes of stock entitled to vote or at least 50% of the total value of shares of all classes of stock, taking into account for purposes of this clause (ii) any stock owned by 5% or greater stockholders of Parent or Company, as the case may be, (or any successor) or such corporation, a proportionate share of the stock owned by entities in which Parent or Company, as the case may be, (or any successor) or such corporation owns an interest, and any stock which may be acquired pursuant to the exercise of options.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purposes of this Certificate, "Affiliated Group" shall mean one or more chains of corporations connected through stock ownership with a common parent corporation, but only if</w:t>
      </w:r>
    </w:p>
    <w:p>
      <w:pPr>
        <w:spacing w:after="0" w:line="163" w:lineRule="exact"/>
        <w:rPr>
          <w:sz w:val="20"/>
          <w:szCs w:val="20"/>
          <w:color w:val="auto"/>
        </w:rPr>
      </w:pPr>
    </w:p>
    <w:p>
      <w:pPr>
        <w:ind w:left="440" w:right="3779" w:firstLine="430"/>
        <w:spacing w:after="0" w:line="252" w:lineRule="auto"/>
        <w:tabs>
          <w:tab w:leader="none" w:pos="121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parent owns directly stock that possesses at least 80% of the total voting power, and has a value at least equal to 80% of the total value, of the stock in at least one of the other corporations, and</w:t>
      </w:r>
    </w:p>
    <w:p>
      <w:pPr>
        <w:spacing w:after="0" w:line="162" w:lineRule="exact"/>
        <w:rPr>
          <w:rFonts w:ascii="Courier New" w:cs="Courier New" w:eastAsia="Courier New" w:hAnsi="Courier New"/>
          <w:sz w:val="14"/>
          <w:szCs w:val="14"/>
          <w:color w:val="auto"/>
        </w:rPr>
      </w:pPr>
    </w:p>
    <w:p>
      <w:pPr>
        <w:jc w:val="both"/>
        <w:ind w:left="440" w:right="3859" w:firstLine="430"/>
        <w:spacing w:after="0" w:line="252" w:lineRule="auto"/>
        <w:tabs>
          <w:tab w:leader="none" w:pos="121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possessing at least 80% of the total voting power, and having a value at least equal to 80% of the total value, of the stock in each corporation (except the common parent) is owned directly by one or more of the other corporations.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the preceding sentence, "stock" does not include any stock which</w:t>
      </w:r>
    </w:p>
    <w:p>
      <w:pPr>
        <w:spacing w:after="0" w:line="7" w:lineRule="exact"/>
        <w:rPr>
          <w:sz w:val="20"/>
          <w:szCs w:val="20"/>
          <w:color w:val="auto"/>
        </w:rPr>
      </w:pPr>
    </w:p>
    <w:p>
      <w:pPr>
        <w:ind w:right="3599" w:firstLine="8"/>
        <w:spacing w:after="0" w:line="251" w:lineRule="auto"/>
        <w:tabs>
          <w:tab w:leader="none" w:pos="344"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entitled to vote, (b) is limited and preferred as to dividends and does not participate in corporate growth to any significant extent, (c) has redemption and liquidation rights which do not exceed the issue price of such stock (except for a reasonable redemption or liquidation premium), and (d) is not convertible into another class of stock.</w:t>
      </w:r>
    </w:p>
    <w:p>
      <w:pPr>
        <w:spacing w:after="0" w:line="164"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Merger, to the knowledge of the management of Company, Company will hold at least 90% of the fair market value of the net assets and at least 70% of the fair market value of the gross assets held by Merger Subsidiary immediately prior to the Merger and at least 90% of the fair market value of the net assets and at least 70% of the fair market value of the gross assets held by Company immediately prior to the Merger. For purposes of this representation, assets of Merger Subsidiary or Company held immediately prior to the Merger include amounts paid or incurred by Merger Subsidiary or Company in connection with the Merger, including amounts used to pay Company's reorganization expenses or dissenting shareholders or to make payments to shareholders who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A-C-2-2</w:t>
      </w:r>
    </w:p>
    <w:p>
      <w:pPr>
        <w:sectPr>
          <w:pgSz w:w="11900" w:h="16838" w:orient="portrait"/>
          <w:cols w:equalWidth="0" w:num="1">
            <w:col w:w="10239"/>
          </w:cols>
          <w:pgMar w:left="220" w:top="782" w:right="1440" w:bottom="1440" w:gutter="0" w:footer="0" w:header="0"/>
        </w:sectPr>
      </w:pPr>
    </w:p>
    <w:bookmarkStart w:id="195" w:name="page196"/>
    <w:bookmarkEnd w:id="195"/>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cash or other property (including cash in lieu of fractional shares) and all payments, redemptions and distributions (except for regular, normal dividends, if any) made in contemplation or as part of the Merger. Any dispositions in contemplation or as part of the Merger of assets held by Company prior to the Merger will be for fair market value, and the proceeds thereof will be retained by the Company.</w:t>
      </w:r>
    </w:p>
    <w:p>
      <w:pPr>
        <w:spacing w:after="0" w:line="164" w:lineRule="exact"/>
        <w:rPr>
          <w:sz w:val="20"/>
          <w:szCs w:val="20"/>
          <w:color w:val="auto"/>
        </w:rPr>
      </w:pPr>
    </w:p>
    <w:p>
      <w:pPr>
        <w:ind w:right="3339" w:firstLine="611"/>
        <w:spacing w:after="0" w:line="251" w:lineRule="auto"/>
        <w:tabs>
          <w:tab w:leader="none" w:pos="86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 plan or intention to issue additional shares of its stock that would result in Parent losing Control of the Company. For purposes of this Certificate, "Control" with respect to a corporation shall mean ownership of at least 80% of the total combined voting power of all classes of stock entitled to vote and at least 80% of the total number of shares of each other class of stock of the corporation.</w:t>
      </w:r>
    </w:p>
    <w:p>
      <w:pPr>
        <w:spacing w:after="0" w:line="164" w:lineRule="exact"/>
        <w:rPr>
          <w:rFonts w:ascii="Courier New" w:cs="Courier New" w:eastAsia="Courier New" w:hAnsi="Courier New"/>
          <w:sz w:val="14"/>
          <w:szCs w:val="14"/>
          <w:color w:val="auto"/>
        </w:rPr>
      </w:pPr>
    </w:p>
    <w:p>
      <w:pPr>
        <w:ind w:right="3339" w:firstLine="611"/>
        <w:spacing w:after="0" w:line="252" w:lineRule="auto"/>
        <w:tabs>
          <w:tab w:leader="none" w:pos="86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to the knowledge of the management of Company, Merger Subsidiary will have no liabilities assumed by the Company and will not transfer to Company any assets subject to liabilities.</w:t>
      </w:r>
    </w:p>
    <w:p>
      <w:pPr>
        <w:spacing w:after="0" w:line="162" w:lineRule="exact"/>
        <w:rPr>
          <w:rFonts w:ascii="Courier New" w:cs="Courier New" w:eastAsia="Courier New" w:hAnsi="Courier New"/>
          <w:sz w:val="14"/>
          <w:szCs w:val="14"/>
          <w:color w:val="auto"/>
        </w:rPr>
      </w:pPr>
    </w:p>
    <w:p>
      <w:pPr>
        <w:ind w:right="3339" w:firstLine="611"/>
        <w:spacing w:after="0" w:line="251" w:lineRule="auto"/>
        <w:tabs>
          <w:tab w:leader="none" w:pos="86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assets of Company have been sold, transferred or otherwise disposed of which would prevent Parent from continuing the historic business of Company or from using a significant portion of Company's historic business assets in a business following the merger, and Company intends to continue its historic business or use a significant portion of its historic business assets in a business.</w:t>
      </w:r>
    </w:p>
    <w:p>
      <w:pPr>
        <w:spacing w:after="0" w:line="164" w:lineRule="exact"/>
        <w:rPr>
          <w:rFonts w:ascii="Courier New" w:cs="Courier New" w:eastAsia="Courier New" w:hAnsi="Courier New"/>
          <w:sz w:val="14"/>
          <w:szCs w:val="14"/>
          <w:color w:val="auto"/>
        </w:rPr>
      </w:pPr>
    </w:p>
    <w:p>
      <w:pPr>
        <w:ind w:right="3339" w:firstLine="611"/>
        <w:spacing w:after="0" w:line="250" w:lineRule="auto"/>
        <w:tabs>
          <w:tab w:leader="none" w:pos="86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specified below, Parent, Merger Subsidiary, Company and the Company shareholders each will bear its or their own expenses, if any, incurred in connection with or as part of the Merger or related transactions. However, to the extent any expenses related to the Merger are to be funded directly or indirectly by a party other than the incurring party, such expenses are solely and directly related to the Merger, and do not include expenses incurred for investment or estate planning advice, or expenses incurred by an individual shareholder or group of shareholders for legal, accounting or investment advice or counsel relating to the merger. Company has not paid or will not pay, directly or indirectly, any expenses incurred by any shareholder of Company in connection with or as part of the Merger or any related transactions; provided that all liability for transfer taxes (except for stamp duties and stamp duty reserve taxes to be paid by Parent in connection with the issuance and creation of Parent Stock or Parent Preferred Stock in the Merger) incurred by the holders of Company Stock or Series B Preferred Stock will be paid by Company or the Company shareholders and in no event by Parent. Company has not agreed to assume, nor will it directly or indirectly assume, any other expense or other liability, whether fixed or contingent, of any holder of Company Stock or Series B Preferred Stock.</w:t>
      </w:r>
    </w:p>
    <w:p>
      <w:pPr>
        <w:spacing w:after="0" w:line="339" w:lineRule="exact"/>
        <w:rPr>
          <w:rFonts w:ascii="Courier New" w:cs="Courier New" w:eastAsia="Courier New" w:hAnsi="Courier New"/>
          <w:sz w:val="14"/>
          <w:szCs w:val="14"/>
          <w:color w:val="auto"/>
        </w:rPr>
      </w:pPr>
    </w:p>
    <w:p>
      <w:pPr>
        <w:jc w:val="both"/>
        <w:ind w:right="3599" w:firstLine="611"/>
        <w:spacing w:after="0" w:line="252" w:lineRule="auto"/>
        <w:tabs>
          <w:tab w:leader="none" w:pos="86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or between Merger Subsidiary and Company that was issued, acquired or will be settled at a discount.</w:t>
      </w:r>
    </w:p>
    <w:p>
      <w:pPr>
        <w:spacing w:after="0" w:line="162" w:lineRule="exact"/>
        <w:rPr>
          <w:rFonts w:ascii="Courier New" w:cs="Courier New" w:eastAsia="Courier New" w:hAnsi="Courier New"/>
          <w:sz w:val="14"/>
          <w:szCs w:val="14"/>
          <w:color w:val="auto"/>
        </w:rPr>
      </w:pPr>
    </w:p>
    <w:p>
      <w:pPr>
        <w:ind w:left="860" w:hanging="249"/>
        <w:spacing w:after="0"/>
        <w:tabs>
          <w:tab w:leader="none" w:pos="8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has no authorized stock other than common stock par value</w:t>
      </w:r>
    </w:p>
    <w:p>
      <w:pPr>
        <w:spacing w:after="0" w:line="7"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$1.00 per share, and preferred stock, par value $1.00 per share. At the date hereof, the only capital stock of Company issued and outstanding is Company Stock and Series B Preferred Stock.</w:t>
      </w:r>
    </w:p>
    <w:p>
      <w:pPr>
        <w:spacing w:after="0" w:line="163" w:lineRule="exact"/>
        <w:rPr>
          <w:sz w:val="20"/>
          <w:szCs w:val="20"/>
          <w:color w:val="auto"/>
        </w:rPr>
      </w:pPr>
    </w:p>
    <w:p>
      <w:pPr>
        <w:ind w:right="3339" w:firstLine="525"/>
        <w:spacing w:after="0" w:line="250" w:lineRule="auto"/>
        <w:tabs>
          <w:tab w:leader="none" w:pos="861"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Company Stock and Series B Preferred Stock representing Control of Company will be exchanged solely for voting stock of Parent other than cash in lieu of fractional shares. For purposes of this representation, stock of Company exchanged for cash or other property originating with Parent, if any, will be treated as outstanding stock of Company acquired by Parent at the Effective Time. The payment of cash in lieu of fractional shares of Parent stock to holders of Company Stock is solely for the purpose of avoiding the expense and inconvenience to Parent of issuing fractional shares and does not represent separately bargained for consideration. To the best knowledge of the management of Company, the total cash consideration that will be paid in the Merger to holders of Company Stock instead of issuing fractional shares of Parent Stock will not exceed one percent of the total consideration that</w:t>
      </w:r>
    </w:p>
    <w:p>
      <w:pPr>
        <w:spacing w:after="0" w:line="5"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 be issued to the holders of Company Stock in the Merger. To the best knowledge of the management of Company, the fractional share interest of each Company shareholder will be aggregated,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A-C-2-3</w:t>
      </w:r>
    </w:p>
    <w:p>
      <w:pPr>
        <w:sectPr>
          <w:pgSz w:w="11900" w:h="16838" w:orient="portrait"/>
          <w:cols w:equalWidth="0" w:num="1">
            <w:col w:w="10239"/>
          </w:cols>
          <w:pgMar w:left="220" w:top="782"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Company shareholder is intended to receive cash in an amount greater than the value of one full share of Parent Stock.</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11. There exist no options, warrants, convertible securities, equity-linked securities or other rights to acquire Company Stock or Series B Preferred Stock (whether settled in stock or cash) other than rights pursuant to the Company Rights, the Series B Preferred Stock, the Option Agreement, the Company Awards and employee stock options and employee stock purchase plans in existence as of the date of the Agreement (all as referred to in Section 3.05 of the Agreement), and even if such rights were exercised or converted, it would not affect the acquisition or retention of Control of Company. All such rights will terminate at the Effective Time.</w:t>
      </w:r>
    </w:p>
    <w:p>
      <w:pPr>
        <w:spacing w:after="0" w:line="164" w:lineRule="exact"/>
        <w:rPr>
          <w:sz w:val="20"/>
          <w:szCs w:val="20"/>
          <w:color w:val="auto"/>
        </w:rPr>
      </w:pPr>
    </w:p>
    <w:p>
      <w:pPr>
        <w:ind w:right="3339" w:firstLine="525"/>
        <w:spacing w:after="0" w:line="251" w:lineRule="auto"/>
        <w:tabs>
          <w:tab w:leader="none" w:pos="86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management of Company, in the Merger, no liabilities of shareholders of Company will be assumed by Parent, and Parent will not assume any liabilities relating to any Company Stock or Series B Preferred Stock acquired by Parent in the Merger. Furthermore, to the knowledge of the management of Company, there is no plan or intention for Parent to assume any liabilities of Company.</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Preferred Stock is the only class of stock of Company that grants its holders dissenters' rights. In the event that any holders of Series B Preferred Stock of Company do not vote in favor of the Merger and perfect their right to appraisal and payment, any amounts paid to such holders in an appraisal proceeding will be paid by Company out of its own funds. No funds will be supplied for such payments, directly or indirectly, by Parent, nor will Parent directly or indirectly reimburse Company for any such payments.</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is not a regulated investment company, a real estate investment trust, or a corporation fifty percent (50%) or more of the value of whose assets are stock and securities and eighty percent (80%) or more of the value of whose total assets are assets held for investment (each, an "Investment Company"). For purposes of this representation, in making the 50% and 80% determinations under the preceding sentence, (i) stock and securities in any subsidiary corporation shall be disregarded and the parent corporation shall be deemed to own its ratable share of the subsidiary's assets, and (ii) a corporation shall be considered a subsidiary if the parent owns 50% or more of the combined voting power of all classes of stock entitled to vote or 50% or more of the total value of shares of all classes of stock outstanding. In determining total assets there shall be excluded cash and cash items (including receivables), government securities, and assets acquired (through incurring indebtedness or otherwise) for purposes of ceasing to be an Investment Company.</w:t>
      </w:r>
    </w:p>
    <w:p>
      <w:pPr>
        <w:spacing w:after="0" w:line="162" w:lineRule="exact"/>
        <w:rPr>
          <w:rFonts w:ascii="Courier New" w:cs="Courier New" w:eastAsia="Courier New" w:hAnsi="Courier New"/>
          <w:sz w:val="14"/>
          <w:szCs w:val="14"/>
          <w:color w:val="auto"/>
        </w:rPr>
      </w:pPr>
    </w:p>
    <w:p>
      <w:pPr>
        <w:ind w:right="3519" w:firstLine="525"/>
        <w:spacing w:after="0" w:line="251" w:lineRule="auto"/>
        <w:tabs>
          <w:tab w:leader="none" w:pos="86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employee compensation received or to be received by any shareholder-employees of Company is or will be separate consideration for, or allocable to, any of their shares of Company Stock or Series B Preferred Stock to be surrendered in the Merger. None of the shares of Parent Stock or Parent Preferred Stock to be received by any shareholder-employee of Company in the Merger is or will be separate consideration for, or allocable to, any employment, consulting or similar arrangement. Any compensation paid or to be paid to any shareholder of Company who will be an employee of or perform advisory services for Parent, Company, or any affiliate thereof after the Merger, will be determined by bargaining at arm's length.</w:t>
      </w:r>
    </w:p>
    <w:p>
      <w:pPr>
        <w:spacing w:after="0" w:line="163"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the Agreement, except for the issuance of Company Stock pursuant to the rights described in paragraph 11 hereof, Company has not issued any additional shares of Company Stock.</w:t>
      </w:r>
    </w:p>
    <w:p>
      <w:pPr>
        <w:spacing w:after="0" w:line="162" w:lineRule="exact"/>
        <w:rPr>
          <w:rFonts w:ascii="Courier New" w:cs="Courier New" w:eastAsia="Courier New" w:hAnsi="Courier New"/>
          <w:sz w:val="14"/>
          <w:szCs w:val="14"/>
          <w:color w:val="auto"/>
        </w:rPr>
      </w:pPr>
    </w:p>
    <w:p>
      <w:pPr>
        <w:ind w:right="3599" w:firstLine="525"/>
        <w:spacing w:after="0" w:line="255" w:lineRule="auto"/>
        <w:tabs>
          <w:tab w:leader="none" w:pos="86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holders of Company Stock have dissenters' rights with respect to the Merger under applicable laws.</w:t>
      </w:r>
    </w:p>
    <w:p>
      <w:pPr>
        <w:spacing w:after="0" w:line="159" w:lineRule="exact"/>
        <w:rPr>
          <w:rFonts w:ascii="Courier New" w:cs="Courier New" w:eastAsia="Courier New" w:hAnsi="Courier New"/>
          <w:sz w:val="14"/>
          <w:szCs w:val="14"/>
          <w:color w:val="auto"/>
        </w:rPr>
      </w:pPr>
    </w:p>
    <w:p>
      <w:pPr>
        <w:ind w:right="3419" w:firstLine="525"/>
        <w:spacing w:after="0" w:line="250" w:lineRule="auto"/>
        <w:tabs>
          <w:tab w:leader="none" w:pos="86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and in connection with the Merger no Company Stock or Series B Preferred Stock has been (i) redeemed by Company, (ii) acquired by a Related Person with respect to Company (except that for the purposes of this representation, clause (i) of the definition of Related Person shall not apply) with consideration other than stock of Company or Parent or (iii)</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subject of any extraordinary distribution by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A-C-2-4</w:t>
      </w:r>
    </w:p>
    <w:p>
      <w:pPr>
        <w:sectPr>
          <w:pgSz w:w="11900" w:h="16838" w:orient="portrait"/>
          <w:cols w:equalWidth="0" w:num="1">
            <w:col w:w="10239"/>
          </w:cols>
          <w:pgMar w:left="220" w:top="782" w:right="1440" w:bottom="1440" w:gutter="0" w:footer="0" w:header="0"/>
        </w:sectPr>
      </w:pPr>
    </w:p>
    <w:bookmarkStart w:id="197" w:name="page198"/>
    <w:bookmarkEnd w:id="197"/>
    <w:p>
      <w:pPr>
        <w:jc w:val="center"/>
        <w:ind w:right="139"/>
        <w:spacing w:after="0"/>
        <w:rPr>
          <w:sz w:val="20"/>
          <w:szCs w:val="20"/>
          <w:color w:val="auto"/>
        </w:rPr>
      </w:pPr>
      <w:r>
        <w:rPr>
          <w:rFonts w:ascii="Courier New" w:cs="Courier New" w:eastAsia="Courier New" w:hAnsi="Courier New"/>
          <w:sz w:val="14"/>
          <w:szCs w:val="14"/>
          <w:color w:val="auto"/>
        </w:rPr>
        <w:t>Annex A -- Agreement and Plan of Merger</w:t>
      </w:r>
    </w:p>
    <w:p>
      <w:pPr>
        <w:spacing w:after="0" w:line="338" w:lineRule="exact"/>
        <w:rPr>
          <w:sz w:val="20"/>
          <w:szCs w:val="20"/>
          <w:color w:val="auto"/>
        </w:rPr>
      </w:pPr>
    </w:p>
    <w:p>
      <w:pPr>
        <w:ind w:right="3339" w:firstLine="439"/>
        <w:spacing w:after="0" w:line="251" w:lineRule="auto"/>
        <w:tabs>
          <w:tab w:leader="none" w:pos="775"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Company's Schedule of Exceptions, Company has not redeemed any of its stock, made any distributions with respect to its stock, or disposed of any of its assets in contemplation or as part of the Merger, excluding for purposes of this representation regular, normal dividends and Company Stock acquired in the ordinary course of business in connection with employee incentive and benefit programs, or other programs or arrangements in existence on the date hereof.</w:t>
      </w:r>
    </w:p>
    <w:p>
      <w:pPr>
        <w:spacing w:after="0" w:line="164"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is being effected for bona fide business reasons and will be carried out strictly in accordance with the Agreement, and as described in the Proxy Statement, and none of the material terms and conditions therein has been or will be waived or modified.</w:t>
      </w:r>
    </w:p>
    <w:p>
      <w:pPr>
        <w:spacing w:after="0" w:line="162" w:lineRule="exact"/>
        <w:rPr>
          <w:rFonts w:ascii="Courier New" w:cs="Courier New" w:eastAsia="Courier New" w:hAnsi="Courier New"/>
          <w:sz w:val="14"/>
          <w:szCs w:val="14"/>
          <w:color w:val="auto"/>
        </w:rPr>
      </w:pPr>
    </w:p>
    <w:p>
      <w:pPr>
        <w:ind w:right="3419" w:firstLine="525"/>
        <w:spacing w:after="0" w:line="250" w:lineRule="auto"/>
        <w:tabs>
          <w:tab w:leader="none" w:pos="861"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and the documents described in the Agreement, the Proxy Statement and the Form S-4 represent the entire understanding between or among</w:t>
      </w:r>
    </w:p>
    <w:p>
      <w:pPr>
        <w:ind w:right="3339" w:firstLine="8"/>
        <w:spacing w:after="0" w:line="251" w:lineRule="auto"/>
        <w:tabs>
          <w:tab w:leader="none" w:pos="344"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and (ii) Company and its subsidiaries and, to the best knowledge of the management of Company, between or among such entities and the affiliates and shareholders of Parent and Company with respect to the Merger and there are no other written or oral agreements regarding the Merger other than those expressly referred to in the Agreement, the Proxy Statement and the Form S-4.</w:t>
      </w:r>
    </w:p>
    <w:p>
      <w:pPr>
        <w:spacing w:after="0" w:line="164" w:lineRule="exact"/>
        <w:rPr>
          <w:rFonts w:ascii="Courier New" w:cs="Courier New" w:eastAsia="Courier New" w:hAnsi="Courier New"/>
          <w:sz w:val="14"/>
          <w:szCs w:val="14"/>
          <w:color w:val="auto"/>
        </w:rPr>
      </w:pPr>
    </w:p>
    <w:p>
      <w:pPr>
        <w:ind w:right="3419" w:firstLine="525"/>
        <w:spacing w:after="0" w:line="252" w:lineRule="auto"/>
        <w:tabs>
          <w:tab w:leader="none" w:pos="861"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assets of Company will exceed the sum of its liabilities, plus the amount of liabilities, if any, to which those assets are subject.</w:t>
      </w:r>
    </w:p>
    <w:p>
      <w:pPr>
        <w:spacing w:after="0" w:line="162" w:lineRule="exact"/>
        <w:rPr>
          <w:rFonts w:ascii="Courier New" w:cs="Courier New" w:eastAsia="Courier New" w:hAnsi="Courier New"/>
          <w:sz w:val="14"/>
          <w:szCs w:val="14"/>
          <w:color w:val="auto"/>
        </w:rPr>
      </w:pPr>
    </w:p>
    <w:p>
      <w:pPr>
        <w:ind w:right="3339" w:firstLine="525"/>
        <w:spacing w:after="0" w:line="255" w:lineRule="auto"/>
        <w:tabs>
          <w:tab w:leader="none" w:pos="861"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will not be under the jurisdiction of a federal or state court in a Title 11 case or in a receivership, foreclosure or similar proceeding.</w:t>
      </w:r>
    </w:p>
    <w:p>
      <w:pPr>
        <w:spacing w:after="0" w:line="159"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cash in lieu of fractional shares, Parent will acquire the Company Stock and the Series B Preferred Stock solely in exchange for voting shares of Parent Stock and Parent Preferred Stock. For purposes of this representation, stock of Company redeemed for cash or other property furnished by Parent will be considered as acquired by Parent.</w:t>
      </w:r>
    </w:p>
    <w:p>
      <w:pPr>
        <w:spacing w:after="0" w:line="164"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Parent, Merger Subsidiary or, after the Merger, Company will take any position on any Federal, state, or local income or franchise tax return, or take any other tax reporting position, that is inconsistent with the treatment of the Merger as a tax-free reorganization or any of the foregoing representations, unless otherwise required by a decision by the Tax Court or a judgment, decree, or other order by any court of competent jurisdiction, which has become final, or by applicable state or local income or franchise tax law.</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We understand that Davis Polk &amp; Wardwell and Skadden, Arps, Slate, Meagher &amp; Flom LLP rely, without further inquiry, on this Certificate in rendering their opinions as to certain United States Federal income tax consequences of the Merger, and we will promptly and timely inform them if, after signing this Certificate, we have reason to believe that any of the facts described herein or in the Proxy Statement or any of the representations made in this Certificate are or have become untrue, incorrect or incomplete in any respect.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MOBIL CORPORATION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A-C-2-5</w:t>
      </w:r>
    </w:p>
    <w:p>
      <w:pPr>
        <w:sectPr>
          <w:pgSz w:w="11900" w:h="16838" w:orient="portrait"/>
          <w:cols w:equalWidth="0" w:num="1">
            <w:col w:w="10239"/>
          </w:cols>
          <w:pgMar w:left="220" w:top="782" w:right="1440" w:bottom="1440" w:gutter="0" w:footer="0" w:header="0"/>
        </w:sectPr>
      </w:pPr>
    </w:p>
    <w:bookmarkStart w:id="198" w:name="page199"/>
    <w:bookmarkEnd w:id="198"/>
    <w:p>
      <w:pPr>
        <w:ind w:left="6120"/>
        <w:spacing w:after="0"/>
        <w:rPr>
          <w:sz w:val="20"/>
          <w:szCs w:val="20"/>
          <w:color w:val="auto"/>
        </w:rPr>
      </w:pPr>
      <w:r>
        <w:rPr>
          <w:rFonts w:ascii="Courier New" w:cs="Courier New" w:eastAsia="Courier New" w:hAnsi="Courier New"/>
          <w:sz w:val="14"/>
          <w:szCs w:val="14"/>
          <w:color w:val="auto"/>
        </w:rPr>
        <w:t>Annex B</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STOCK OPTION AGREEMENT</w:t>
      </w:r>
    </w:p>
    <w:p>
      <w:pPr>
        <w:spacing w:after="0" w:line="17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STOCK OPTION AGREEMENT dated as of December 1, 1998 (the "Agreement") between Exxon Corporation, a New Jersey corporation ("Exxon"), and Mobil Corporation, a Delaware corporation ("Mobil").</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 I T N E S S E T H :</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Exxon and Mobil are simultaneously with the execution and delivery of this Agreement entering into an Agreement and Plan of Merger (the "Merger Agreement") pursuant to which, among other things, Merger Subsidiary will merge with and into Mobil on the terms and subject to the conditions stated therein; and</w:t>
      </w:r>
    </w:p>
    <w:p>
      <w:pPr>
        <w:spacing w:after="0" w:line="32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in order to induce Exxon to enter into the Merger Agreement, Mobil has granted to Exxon the Stock Option (as hereinafter defined), on the terms and conditions set forth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mutual covenants and agreements set forth herein and in the Merger Agreement, and for other good and valuable consideration, the adequacy of which is hereby acknowledged, the parties hereto agree as follows:</w:t>
      </w:r>
    </w:p>
    <w:p>
      <w:pPr>
        <w:spacing w:after="0" w:line="162" w:lineRule="exact"/>
        <w:rPr>
          <w:sz w:val="20"/>
          <w:szCs w:val="20"/>
          <w:color w:val="auto"/>
        </w:rPr>
      </w:pPr>
    </w:p>
    <w:p>
      <w:pPr>
        <w:ind w:right="4279" w:firstLine="431"/>
        <w:spacing w:after="0" w:line="252" w:lineRule="auto"/>
        <w:rPr>
          <w:sz w:val="20"/>
          <w:szCs w:val="20"/>
          <w:color w:val="auto"/>
        </w:rPr>
      </w:pPr>
      <w:r>
        <w:rPr>
          <w:rFonts w:ascii="Courier New" w:cs="Courier New" w:eastAsia="Courier New" w:hAnsi="Courier New"/>
          <w:sz w:val="14"/>
          <w:szCs w:val="14"/>
          <w:color w:val="auto"/>
        </w:rPr>
        <w:t>SECTION 1. Definitions. Capitalized terms used and not defined herein have the respective meanings ascribed to them in the Merger Agreement.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2. Grant of Stock Option. Mobil hereby grants to Exxon an irrevocable option (the "Stock Option") to purchase, on the terms and subject to the conditions hereof, for $95.96 per share (the "Exercise Price") in cash up to 136,500,000 fully paid and non-assessable shares (the "Option Shares") of Mobil's common stock, $1.00 par value per share (the "Common Stock"). The Exercise Price and number of Option Shares shall be subject to adjustment as provided in Section 6 below. Notwithstanding the foregoing, if at any time that this Stock Option is exercisable pursuant to the terms and conditions of this Agreement an Acquisition Proposal has theretofore been made for a per Share value (such value to be determined as of the close of the market on the trading day immediately prior to the date of the Stock Exercise Notice or Cash Exercise Notice, as applicable) below the Exercise Price, then Exxon's Exercise Price as to 1,000 Option Shares (as such 1,000 shares may be adjusted pursuant to Section</w:t>
      </w:r>
    </w:p>
    <w:p>
      <w:pPr>
        <w:spacing w:after="0" w:line="6" w:lineRule="exact"/>
        <w:rPr>
          <w:sz w:val="20"/>
          <w:szCs w:val="20"/>
          <w:color w:val="auto"/>
        </w:rPr>
      </w:pPr>
    </w:p>
    <w:p>
      <w:pPr>
        <w:ind w:right="3419" w:firstLine="8"/>
        <w:spacing w:after="0" w:line="255" w:lineRule="auto"/>
        <w:tabs>
          <w:tab w:leader="none" w:pos="258"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 adjusted to be 90% of such per Share value (it being understood that such adjusted Exercise Price will not apply as to any other Option Shares).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3. Exercise of Stock Option. (a) Exxon may, subject to the provisions of this Section, exercise the Stock Option, in whole or in part, at any time or from time to time, after the occurrence of a Trigger Event and prior to the Termination Date. "Termination Date" shall mean the earliest of (i) the Effective Time of the Merger, (ii) 90 days after the date full payment is made by Mobil to Exxon under Section 10.04(b) of the Merger Agreement or (iii) one day after the date of the termination of the Merger Agreement so long as, in the case of this clause (iii), no Trigger Event has occurred or could still occur under Section 10.04(b) of the Merger Agreement. Subject to the proviso in the last sentence of Section 3(c), notwithstanding the occurrence of the Termination Date, Exxon shall be entitled to purchase Option Shares pursuant to any exercise of the Stock Option, on the terms and subject to the conditions hereof, to the extent Exxon exercised the Stock Option prior to the occurrence of the Termination Date.</w:t>
      </w:r>
    </w:p>
    <w:p>
      <w:pPr>
        <w:spacing w:after="0" w:line="328" w:lineRule="exact"/>
        <w:rPr>
          <w:sz w:val="20"/>
          <w:szCs w:val="20"/>
          <w:color w:val="auto"/>
        </w:rPr>
      </w:pPr>
    </w:p>
    <w:p>
      <w:pPr>
        <w:ind w:right="3339" w:firstLine="439"/>
        <w:spacing w:after="0" w:line="251" w:lineRule="auto"/>
        <w:tabs>
          <w:tab w:leader="none" w:pos="77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may purchase Option Shares pursuant to the Stock Option only if all of the following conditions are satisfied: (i) no preliminary or permanent injunction or other order issued by any federal or state court of competent jurisdiction in the United States shall be in effect prohibiting delivery of the Option Shares, (ii) any applicable waiting period under the HSR Act shall have expired or been terminated, and (iii) any prior notification to or approval of any other regulatory authority in the U.S. or elsewhere required in connection with such purchase shall have been made or obtained other than those which if not made or obtained would not reasonably be expected to result in a significant detriment to Mobil and its Subsidiaries, taken as a whole.</w:t>
      </w:r>
    </w:p>
    <w:p>
      <w:pPr>
        <w:sectPr>
          <w:pgSz w:w="11900" w:h="16838" w:orient="portrait"/>
          <w:cols w:equalWidth="0" w:num="1">
            <w:col w:w="10239"/>
          </w:cols>
          <w:pgMar w:left="220" w:top="451"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339" w:firstLine="439"/>
        <w:spacing w:after="0" w:line="251" w:lineRule="auto"/>
        <w:tabs>
          <w:tab w:leader="none" w:pos="775"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Exxon shall be entitled to and wishes to exercise the Stock Option, it shall do so by giving Mobil written notice (the "Stock Exercise Notice") to such effect, specifying the number of Option Shares to be purchased and a place and closing date not earlier than three business days nor later than 10 business days from the date of such Stock Exercise Notice. If the closing cannot be consummated on such date because any condition to the purchase of Option Shares has not been satisfied or as a result of any restriction arising under any applicable law or regulation, the closing shall occur five days (or such earlier time as Exxon may specify) after satisfaction of all such conditions and the cessation of all such restrictions; provided that in no event shall the closing of the purchase be postponed by more than nine months after the Termination Date as a result of this clause (c).</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Stock Option is exercisable pursuant to the terms of Section 3(a) hereof, Exxon may elect, in lieu of exercising the Stock Option as provided in Section 3(c) hereof, to send a written notice to Mobil (the "Cash Exercise Notice") specifying a date not later than 20 business days and not earlier than 10 business days following the date such notice is given on which date Mobil shall pay to Exxon in exchange for the cancellation of the relevant portion of the Stock Option an amount in cash equal to the Spread (as hereinafter defined) multiplied by all or such portion of the Option Shares subject to the Stock Option as Exxon shall specify. As used herein "Spread" shall mean the excess, if any, over the Exercise Price of the higher of (x) if applicable, the highest price per share of Common Stock paid or proposed to be paid by any Person pursuant to any Acquisition Proposal (the "Alternative Exercise Price") or (y) the average of the closing price of the shares of Common Stock on the NYSE at the end of the regular session, as reported on the Consolidated Tape, Network A (the "Closing Price") for the five consecutive trading days ending on and including the trading date immediately preceding the date of the Cash Exercise Notice. If the Alternative Exercise Price includes any property other than cash, the Alternative Exercise Price shall be the sum of (i) the fixed cash amount, if any, included in the Alternative Exercise Price plus</w:t>
      </w:r>
    </w:p>
    <w:p>
      <w:pPr>
        <w:spacing w:after="0" w:line="8"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five days prior to the date of the Cash Exercise Notice shall be deemed to equal the fair market value of such property. If such other property consists of something other than cash or securities with an existing public trading market and, as of the payment date for the Spread, agreement on the value of such other property has not been reached, the Alternative Exercise Price shall be deemed to equal such Closing Price. Upon exercise of its right pursuant to this Section 3(d) and the receipt by Exxon of the applicable cash amount with respect to the Option Shares or the applicable portion thereof, the obligations of Mobil to deliver Option Shares pursuant to Section 3(e) shall be terminated with respect to the number of Option Shares for which Exxon shall have elected to be paid the Spread. The Spread shall be appropriately adjusted, if applicable, to give effect to Section 6.</w:t>
      </w:r>
    </w:p>
    <w:p>
      <w:pPr>
        <w:spacing w:after="0" w:line="338" w:lineRule="exact"/>
        <w:rPr>
          <w:rFonts w:ascii="Courier New" w:cs="Courier New" w:eastAsia="Courier New" w:hAnsi="Courier New"/>
          <w:sz w:val="14"/>
          <w:szCs w:val="14"/>
          <w:color w:val="auto"/>
        </w:rPr>
      </w:pPr>
    </w:p>
    <w:p>
      <w:pPr>
        <w:ind w:right="3599" w:firstLine="439"/>
        <w:spacing w:after="0" w:line="250" w:lineRule="auto"/>
        <w:tabs>
          <w:tab w:leader="none" w:pos="775"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At any closing pursuant to Section 3(c) hereof, Exxon shall make payment to Mobil of the aggregate purchase price for the Option Shares to be purchased and Mobil shall deliver to Exxon a certificate representing the purchased Option Shares, registered in the name of Exxon or its designee and</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closing pursuant to Section 3(d) hereof, Mobil will deliver to Exxon cash in an amount determined pursuant to Section 3(d) hereof. Any payment made by Exxon to Mobil, or by Mobil to Exxon, pursuant to this Agreement shall be made by certified or official bank check or by wire transfer of federal funds to a bank designated by the party receiving such funds.</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for Common Stock delivered at the closing described in Section 3(c) hereof shall be endorsed with a restrictive legend that shall read substantially as follows: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transfer of the shares represented by this certificate is subject to resale restrictions arising under the Securities Act of 1933, as amended."</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It is understood and agreed that the above legend shall be removed by delivery of substitute certificate(s) without such reference (i) if Exxon shall have delivered to Mobil a copy of a no-action letter from the staff of the Securities and Exchange Commission, or a written opinion of counsel, in form and substance reasonably satisfactory to Mobil,</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782" w:right="1440" w:bottom="1440" w:gutter="0" w:footer="0" w:header="0"/>
        </w:sectPr>
      </w:pPr>
    </w:p>
    <w:bookmarkStart w:id="200" w:name="page201"/>
    <w:bookmarkEnd w:id="200"/>
    <w:p>
      <w:pPr>
        <w:jc w:val="center"/>
        <w:ind w:right="-380"/>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to the effect that such legend is not required for purposes of, or resale may be effected pursuant to an exemption from registration under, the 1933 Act or (ii) in connection with any sale registered under the 1933 Act. In addition, such certificates shall bear any other legend as may be required by applicable law.</w:t>
      </w:r>
    </w:p>
    <w:p>
      <w:pPr>
        <w:spacing w:after="0" w:line="165"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SECTION 4. Representations and Warranties of Mobil. Mobil hereby represents and warrants to Exxon as follows:</w:t>
      </w:r>
    </w:p>
    <w:p>
      <w:pPr>
        <w:spacing w:after="0" w:line="160" w:lineRule="exact"/>
        <w:rPr>
          <w:sz w:val="20"/>
          <w:szCs w:val="20"/>
          <w:color w:val="auto"/>
        </w:rPr>
      </w:pPr>
    </w:p>
    <w:p>
      <w:pPr>
        <w:ind w:right="3339" w:firstLine="439"/>
        <w:spacing w:after="0" w:line="250" w:lineRule="auto"/>
        <w:tabs>
          <w:tab w:leader="none" w:pos="77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is a corporation duly incorporated, validly existing and in good standing under the laws of the State of Delaware. The execution, delivery and performance by Mobil of this Agreement and the consummation of the transactions contemplated hereby (i) are within Mobil's corporate powers, (ii) have been duly authorized by all necessary corporate action, (iii) require no action by or in respect of, or filing with, any governmental body, agency or official, except for any filings required to be made under the HSR Act, the EC Merger Regulation, the Canadian Act and the Exchange Act, (iv) do not contravene, or constitute a violation of, any provision of applicable law or regulation or of the certificate of incorporation or by-laws of Mobil or of any judgment, injunction, order or decree binding upon Mobil or any of its Subsidiaries, (v) do not and will not constitute a default under or give rise to a right of termination, cancellation or acceleration of any right or obligation of Mobil or any of its Subsidiaries or to a loss of any benefit to which Mobil or any of its Subsidiaries is entitled under any provision of any agreement, contract or other instrument binding upon Mobil or any of its Subsidiaries or any license, franchise, permit or other similar authorization held by Mobil or any of its Subsidiaries, and (vi) do not and will not result in the creation or imposition of any Lien on any asset of Mobil or any of its Subsidiaries, except for such contraventions, conflicts or violations referred to in clause (iv) or defaults, rights of termination, cancellation or acceleration, or losses or Liens referred to in clauses (v) and (vi) that would not, individually or in the aggregate, have a Material Adverse Effect on Mobil. This Agreement has been duly executed and delivered by Mobil and constitutes a valid and binding agreement of Mobil.</w:t>
      </w:r>
    </w:p>
    <w:p>
      <w:pPr>
        <w:spacing w:after="0" w:line="176"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has taken all necessary corporate action to authorize and reserve and to permit it to issue, and at all times from the date hereof until such time as the obligation to deliver Option Shares upon the exercise of the Stock Option terminates, will have reserved for issuance upon any exercise of the Stock Option, the number of Option Shares subject to the Stock Option (less the number of Option Shares previously issued upon any partial exercise of the Stock Option). All of the Option Shares to be issued pursuant to the Stock Option have been duly authorized and, upon issuance and delivery thereof pursuant to this Agreement, will be duly authorized, validly issued, fully paid and nonassessable, and shall be delivered free and clear of all claims, liens, charges, encumbrances and security interests (other than those created by this Agreement). Option Shares issued upon exercise of the Stock Option will not be subject to any preemptive or similar rights. The Board of Directors of Mobil has resolved to, and Mobil promptly after the execution hereof will, take all necessary action to render the Company Rights Agreement inapplicable to the grant or exercise of the Stock Option and the transactions contemplated hereby.</w:t>
      </w:r>
    </w:p>
    <w:p>
      <w:pPr>
        <w:spacing w:after="0" w:line="17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Mobil has taken the necessary action to make inapplicable the application of Section 203 of the Delaware Law, or any other applicable antitakeover statute or similar statute or regulation and the supermajority voting provisions of Article 6 of Mobil's certificate of incorporation to the acquisition of the Option Shares pursuant to this Agreement.</w:t>
      </w:r>
    </w:p>
    <w:p>
      <w:pPr>
        <w:spacing w:after="0" w:line="32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5. Representations and Warranties of Exxon. Exxon hereby represents and warrants to Mobil as follows: Exxon is a corporation duly incorporated, validly existing and in good standing under the laws of the State of New Jersey. The execution, delivery and performance by Exxon of this Agreement and the consummation of the transactions contemplated hereby (i) are within Exxon's corporate powers and (ii) have been duly authorized by all necessary corporate action. The Option Shares acquired by Exxon upon the exercise of the Stock Options will not be, and the Stock Option is not being, acquired by Exxon with the intention of making a public distribution thereof. Neither the Stock Option nor the Option Shares acquired upon exercise of the Stock Option will be sold or otherwise disposed of by Exxon except in compliance with the 1933 Act.</w:t>
      </w:r>
    </w:p>
    <w:p>
      <w:pPr>
        <w:spacing w:after="0" w:line="5" w:lineRule="exact"/>
        <w:rPr>
          <w:sz w:val="20"/>
          <w:szCs w:val="20"/>
          <w:color w:val="auto"/>
        </w:rPr>
      </w:pPr>
    </w:p>
    <w:p>
      <w:pPr>
        <w:ind w:right="4719"/>
        <w:spacing w:after="0" w:line="255" w:lineRule="auto"/>
        <w:rPr>
          <w:sz w:val="20"/>
          <w:szCs w:val="20"/>
          <w:color w:val="auto"/>
        </w:rPr>
      </w:pPr>
      <w:r>
        <w:rPr>
          <w:rFonts w:ascii="Courier New" w:cs="Courier New" w:eastAsia="Courier New" w:hAnsi="Courier New"/>
          <w:sz w:val="14"/>
          <w:szCs w:val="14"/>
          <w:color w:val="auto"/>
        </w:rPr>
        <w:t>This agreement has been duly executed and delivered by Exxon and constitutes a valid and binding agreement of Exxon.</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782"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6. Adjustment upon Changes in Capitalization or Merger. (a) In the event of any change in the outstanding shares of Common Stock by reason of a stock dividend, stock split, split-up, merger, consolidation, recapitalization, combination, conversion, exchange of shares, extraordinary or liquidating dividend or similar transaction which would have the effect of diluting Exxon's rights hereunder, the type and number of shares or securities purchasable upon the exercise of the Stock Option and the Exercise Price shall be adjusted appropriately, and proper provision will be made in the agreements governing such transaction, so that Exxon will receive upon exercise of the Stock Option the number and class of shares or other securities or property that Exxon would have received in respect of the Option Shares had the Stock Option been exercised immediately prior to such event or the record date therefor, as applicable. In no event shall the number of shares of Common Stock subject to the Stock Option exceed 14.9% of the number of shares of Common Stock issued and outstanding at the time of exercise (treating as outstanding for this purpose the shares subject to the Stock Option).</w:t>
      </w:r>
    </w:p>
    <w:p>
      <w:pPr>
        <w:spacing w:after="0" w:line="173" w:lineRule="exact"/>
        <w:rPr>
          <w:sz w:val="20"/>
          <w:szCs w:val="20"/>
          <w:color w:val="auto"/>
        </w:rPr>
      </w:pPr>
    </w:p>
    <w:p>
      <w:pPr>
        <w:ind w:right="3339" w:firstLine="439"/>
        <w:spacing w:after="0" w:line="251" w:lineRule="auto"/>
        <w:tabs>
          <w:tab w:leader="none" w:pos="7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whenever the number of Option Shares purchasable upon exercise of the Stock Option is adjusted as provided in this Section 6, the Exercise Price shall be adjusted by multiplying the Exercise Price by a fraction, the numerator of which is equal to the number of Option Shares purchasable prior to the adjustment and the denominator of which is equal to the number of Option Shares purchasable after the adjustment.</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parties' relative rights and obligations under the Merger Agreement, in the event that Mobil enters into an agreement (i) to consolidate with or merge into any person, other than Exxon or one of its subsidiaries, and Mobil will not be the continuing or surviving corporation in such consolidation or merger, (ii) to permit any person, other than Exxon or one of its subsidiaries, to merge into Mobil and Mobil will be the continuing or surviving corporation, but in connection with such merger, the shares of Common Stock outstanding immediately prior to the consummation of such merger will be changed into or exchanged for stock or other securities of Mobil or any other person or cash or any other property, or the shares of Common Stock outstanding immediately prior to the consummation of such merger will, after such merger, represent less than 50% of the outstanding voting securities of the merged company, or (iii) to sell or otherwise transfer all or substantially all of its assets to any person, other than Exxon or one of its subsidiaries, then, and in each such case, the agreement governing such transaction will make proper provision so that the Stock Option will, upon the consummation of any such transaction and upon the terms and conditions set forth herein, be converted into, or exchanged for, an option with identical terms appropriately adjusted to acquire the number and class of shares or other securities or property that Exxon would have received in respect of Option Shares had the Stock Option been exercised immediately prior to such consolidation, merger, sale or transfer or the record date therefor, as applicable, and will make any other necessary adjustments. Mobil shall take such steps in connection with such consolidation, merger, liquidation or other such transaction as may be reasonably necessary to assure that the provisions hereof shall thereafter apply as nearly as possible to any securities or property thereafter deliverable upon exercise of the Stock Option.</w:t>
      </w:r>
    </w:p>
    <w:p>
      <w:pPr>
        <w:spacing w:after="0" w:line="34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 Further Assurances; Remedies. (a) Mobil agrees to maintain, free from preemptive rights, sufficient authorized but unissued or treasury shares of Common Stock so that the Stock Option may be fully exercised without additional authorization of Common Stock after giving effect to all other options, warrants, convertible securities and other rights of third parties to purchase shares of Common Stock from Mobil, and to issue the appropriate number of shares of Common Stock pursuant to the terms of this Agreement.</w:t>
      </w:r>
    </w:p>
    <w:p>
      <w:pPr>
        <w:spacing w:after="0" w:line="164" w:lineRule="exact"/>
        <w:rPr>
          <w:sz w:val="20"/>
          <w:szCs w:val="20"/>
          <w:color w:val="auto"/>
        </w:rPr>
      </w:pPr>
    </w:p>
    <w:p>
      <w:pPr>
        <w:ind w:right="3419" w:firstLine="439"/>
        <w:spacing w:after="0" w:line="251"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agrees not to avoid or seek to avoid (whether by charter amendment or through reorganization, consolidation, merger, issuance of rights, dissolution or sale of assets, or by any other voluntary act) the observance or performance of any of the covenants, agreements or conditions to be observed or performed hereunder by Mobil.</w:t>
      </w:r>
    </w:p>
    <w:p>
      <w:pPr>
        <w:spacing w:after="0" w:line="164"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agrees that promptly after the date hereof it shall take all actions as may from time to time be required (including (i) complying with all applicable premerger notification, reporting and waiting period requirements under the HSR Act and (ii) in the event that prior notification to or approval of any other regulatory authority in the U.S. or elsewhere is necessary before the Stock Option may be exercised, cooperating with Exxon in preparing and processing</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782" w:right="1440" w:bottom="1440" w:gutter="0" w:footer="0" w:header="0"/>
        </w:sectPr>
      </w:pPr>
    </w:p>
    <w:bookmarkStart w:id="202" w:name="page203"/>
    <w:bookmarkEnd w:id="202"/>
    <w:p>
      <w:pPr>
        <w:jc w:val="center"/>
        <w:ind w:right="-380"/>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required notices or applications) in order to permit Exxon to exercise the Stock Option and purchase Option Shares pursuant to such exercise and to take all reasonable action necessary to protect the rights of Exxon against dilution.</w:t>
      </w:r>
    </w:p>
    <w:p>
      <w:pPr>
        <w:spacing w:after="0" w:line="162" w:lineRule="exact"/>
        <w:rPr>
          <w:sz w:val="20"/>
          <w:szCs w:val="20"/>
          <w:color w:val="auto"/>
        </w:rPr>
      </w:pPr>
    </w:p>
    <w:p>
      <w:pPr>
        <w:ind w:right="3339" w:firstLine="439"/>
        <w:spacing w:after="0" w:line="250" w:lineRule="auto"/>
        <w:tabs>
          <w:tab w:leader="none" w:pos="775"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Exxon would be irreparably damaged if for any reason Mobil failed to issue any of the Option Shares (or other securities or property deliverable pursuant to Section 6 hereof) upon exercise of the Stock Option or to perform any of its other obligations under this Agreement, and that Exxon would not have an adequate remedy at law for money damages in such event. Accordingly, Exxon shall be entitled to specific performance and injunctive and other equitable relief to enforce the performance of this Agreement by Mobil. Accordingly, if Exxon should institute an action or proceeding seeking specific enforcement of the provisions hereof, Mobil hereby waives the claim or defense that Exxon has an adequate remedy at law and hereby agrees not to assert in any such action or proceeding the claim or defense that such a remedy at law exists. Mobil further agrees to waive any requirements for the securing or posting of any bond in connection with obtaining any such equitable relief. This provision is without prejudice to any other rights that Exxon may have against Mobil for any failure to perform its obligations under this Agreement.</w:t>
      </w:r>
    </w:p>
    <w:p>
      <w:pPr>
        <w:spacing w:after="0" w:line="17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8. Listing of Option Shares. Promptly after the date hereof, and from time to time thereafter if necessary, Mobil will apply to list all of the Option Shares subject to the Stock Option on the New York Stock Exchange and will use its reasonable best efforts to obtain approval of such listing as soon as practicable.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9. Registration of the Option Shares. (a) If Exxon requests Mobil in writing, within two years of the exercise of the Stock Option, to register under the 1933 Act any of the Option Shares purchased by Exxon hereunder, Mobil will use its reasonable best efforts to cause the offering of the Option Shares so specified in such request to be registered as soon as practicable so as to permit the sale or other distribution by Exxon of the Option Shares specified in its request (and to keep such registration in effect for a period of at least 90 days), and in connection therewith Mobil will prepare and file as promptly as reasonably possible (but in no event later than 60 days from receipt of Exxon's request) a registration statement under the 1933 Act to effect such registration on an appropriate form, which would permit the sale of the Option Shares by Exxon in accordance with the plan of disposition specified by Exxon in its request. Mobil shall not be obligated to make effective more than two registration statements pursuant to the foregoing sentence; provided, however, that Mobil may postpone the filing of a registration statement relating to a registration request by Exxon under this Section 9 for a period of time (not in excess of 90 days) if in Mobil's reasonable, good faith judgment such filing would require the disclosure of material information that Mobil has a bonafide business purpose for preserving as confidential (but in no event shall Mobil exercise such postponement right more than once in any twelve-month period).</w:t>
      </w:r>
    </w:p>
    <w:p>
      <w:pPr>
        <w:spacing w:after="0" w:line="174" w:lineRule="exact"/>
        <w:rPr>
          <w:sz w:val="20"/>
          <w:szCs w:val="20"/>
          <w:color w:val="auto"/>
        </w:rPr>
      </w:pPr>
    </w:p>
    <w:p>
      <w:pPr>
        <w:ind w:right="3339" w:firstLine="439"/>
        <w:spacing w:after="0" w:line="251" w:lineRule="auto"/>
        <w:tabs>
          <w:tab w:leader="none" w:pos="77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Mobil shall notify Exxon in writing not less than 10 days prior to filing a registration statement under the 1933 Act (other than a filing on Form S-4 or S-8 or any successor form) with respect to any Common Stock. If Exxon wishes to have any portion of its Option Shares included in such registration statement, it shall advise Mobil in writing to that effect within two business days following receipt of such notice, and Mobil will thereupon include the number of Option Shares indicated by Exxon under such Registration Statement; provided that if the managing underwriter(s) of the offering pursuant to such registration statement advise Mobil that in their opinion the number of shares of Common Stock requested to be included in such registration exceeds the number which can be sold in such offering, Mobil shall only include in such registration such number or dollar amount of Option Shares which, in the good faith opinion of the managing underwriter(s), can be sold without materially and adversely affecting such offering.</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expenses relating to or in connection with any registration contemplated under this Section 9 and the transactions contemplated thereby (including all filing, printing, reasonable professional and other fees and expenses relating thereto) will be at Mobil's expense except for underwriting discounts or commissions and brokers' fees. Mobil and Exxon agree to enter into a customary underwriting agreement with underwriters upon such terms and conditions as are customarily contained in underwriting agreements with respect to secondary distributions. Mobil shall indemnify Exxon, its officers, directors, agents, other controlling persons and any underwriters retained by Exxon in connection</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782"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with such sale of such Option Shares in the customary way, and shall agree to customary contribution provisions with such persons, with respect to claims, damages, losses and liabilities (and any expenses relating thereto) arising (or to which Exxon, its officers, directors, agents, other controlling persons or underwriters may be subject) in connection with any such offer or sale under the federal securities laws or otherwise, except for information furnished in writing by Exxon or its underwriters to Mobil. Exxon and its underwriters, respectively, shall indemnify Mobil to the same extent with respect to information furnished in writing to Mobil by Exxon and such underwriters, respectively.</w:t>
      </w:r>
    </w:p>
    <w:p>
      <w:pPr>
        <w:spacing w:after="0" w:line="163" w:lineRule="exact"/>
        <w:rPr>
          <w:sz w:val="20"/>
          <w:szCs w:val="20"/>
          <w:color w:val="auto"/>
        </w:rPr>
      </w:pPr>
    </w:p>
    <w:p>
      <w:pPr>
        <w:ind w:right="3859" w:firstLine="431"/>
        <w:spacing w:after="0" w:line="251" w:lineRule="auto"/>
        <w:rPr>
          <w:sz w:val="20"/>
          <w:szCs w:val="20"/>
          <w:color w:val="auto"/>
        </w:rPr>
      </w:pPr>
      <w:r>
        <w:rPr>
          <w:rFonts w:ascii="Courier New" w:cs="Courier New" w:eastAsia="Courier New" w:hAnsi="Courier New"/>
          <w:sz w:val="14"/>
          <w:szCs w:val="14"/>
          <w:color w:val="auto"/>
        </w:rPr>
        <w:t>SECTION 10. Miscellaneous. (a) Extension of Exercise Periods. The periods for exercise of certain rights under Sections 3(d) and 3(e) hereof shall be extended in each such case at the request of Exxon to the extent necessary to avoid liability by Exxon under Section 16(b) of the Exchange Act by reason of such exercise.</w:t>
      </w:r>
    </w:p>
    <w:p>
      <w:pPr>
        <w:spacing w:after="0" w:line="165" w:lineRule="exact"/>
        <w:rPr>
          <w:sz w:val="20"/>
          <w:szCs w:val="20"/>
          <w:color w:val="auto"/>
        </w:rPr>
      </w:pPr>
    </w:p>
    <w:p>
      <w:pPr>
        <w:ind w:right="3419" w:firstLine="439"/>
        <w:spacing w:after="0" w:line="251"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Entire Agreement. This Agreement may not be modified, amended, altered or supplemented, except upon the execution and delivery of a written agreement executed by the parties hereto. This Agreement, together with the Merger Agreement (including any exhibits and schedules thereto), contains the entire agreement between the parties hereto with respect to the subject matter hereof and supersedes all prior and contemporaneous agreements and understandings, oral or written, with respect to such transactions.</w:t>
      </w:r>
    </w:p>
    <w:p>
      <w:pPr>
        <w:spacing w:after="0" w:line="164"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and other communications to either party hereunder shall be in writing (including facsimile or similar writing) and shall be given,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Exxon,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Charles W. Matthews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Irving, Texas 75039-2298</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(972) 444-1438</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George R. Bason, Jr.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Davis Polk &amp; Wardwell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450 Lexington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(212) 450-4800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Mobil,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Samuel H. Gillespie III</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Fairfax, Virginia 22037-0001</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(703) 846-4674</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Roger S. Aaron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10022</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No.: (212) 735-2000</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782" w:right="1440" w:bottom="1440" w:gutter="0" w:footer="0" w:header="0"/>
        </w:sectPr>
      </w:pPr>
    </w:p>
    <w:bookmarkStart w:id="204" w:name="page205"/>
    <w:bookmarkEnd w:id="204"/>
    <w:p>
      <w:pPr>
        <w:jc w:val="center"/>
        <w:ind w:right="-380"/>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or to such other address or facsimile number as either party may hereafter specify for the purpose by notice to the other party hereto. Each such notice, request or other communication shall be effective (i) if given by facsimile, when such facsimile is transmitted to the facsimile number specified in this Section and the appropriate facsimile confirmation is received or (ii) if given by any other means, when delivered at the address specified in this Section.</w:t>
      </w:r>
    </w:p>
    <w:p>
      <w:pPr>
        <w:spacing w:after="0" w:line="164" w:lineRule="exact"/>
        <w:rPr>
          <w:sz w:val="20"/>
          <w:szCs w:val="20"/>
          <w:color w:val="auto"/>
        </w:rPr>
      </w:pPr>
    </w:p>
    <w:p>
      <w:pPr>
        <w:ind w:right="3339" w:firstLine="439"/>
        <w:spacing w:after="0" w:line="252"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party hereto shall pay its own expenses incurred in connection with this Agreement, except as otherwise specifically provided herein and without limiting anything contained in the Merger Agreement.</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Agreement is held to be invalid, void or unenforceable, the remainder of the terms, provisions, covenants and restrictions of this Agreement shall remain in full force and effect and shall in no way be affected, impaired or invalidated.</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Jurisdiction. This Agreement shall be governed by and construed in accordance with the laws of the State of Delaware without regard to principles of conflicts of law. Any suit, action or proceeding seeking to enforce any provision of, or based on any matter arising out of or in connection with, this Agreement or the transactions contemplated hereby may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10(c) hereof shall be deemed effective service of process on such party.</w:t>
      </w:r>
    </w:p>
    <w:p>
      <w:pPr>
        <w:spacing w:after="0" w:line="338"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Jury Trial. EACH OF THE PARTIES HERETO HEREBY IRREVOCABLY WAIVES ANY AND ALL RIGHT TO TRIAL BY JURY IN ANY LEGAL PROCEEDING ARISING OUT OF OR RELATED TO THIS AGREEMENT OR THE TRANSACTIONS CONTEMPLATED HEREBY.</w:t>
      </w:r>
    </w:p>
    <w:p>
      <w:pPr>
        <w:spacing w:after="0" w:line="162" w:lineRule="exact"/>
        <w:rPr>
          <w:rFonts w:ascii="Courier New" w:cs="Courier New" w:eastAsia="Courier New" w:hAnsi="Courier New"/>
          <w:sz w:val="14"/>
          <w:szCs w:val="14"/>
          <w:color w:val="auto"/>
        </w:rPr>
      </w:pPr>
    </w:p>
    <w:p>
      <w:pPr>
        <w:ind w:right="3779" w:firstLine="439"/>
        <w:spacing w:after="0" w:line="252"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two or more counterparts, each of which shall be an original, but all of which together shall constitute one and the same agreement.</w:t>
      </w:r>
    </w:p>
    <w:p>
      <w:pPr>
        <w:spacing w:after="0" w:line="162" w:lineRule="exact"/>
        <w:rPr>
          <w:rFonts w:ascii="Courier New" w:cs="Courier New" w:eastAsia="Courier New" w:hAnsi="Courier New"/>
          <w:sz w:val="14"/>
          <w:szCs w:val="14"/>
          <w:color w:val="auto"/>
        </w:rPr>
      </w:pPr>
    </w:p>
    <w:p>
      <w:pPr>
        <w:ind w:right="3779" w:firstLine="439"/>
        <w:spacing w:after="0" w:line="255"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section headings herein are for convenience only and shall not affect the construction hereof.</w:t>
      </w:r>
    </w:p>
    <w:p>
      <w:pPr>
        <w:spacing w:after="0" w:line="15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shall be binding upon each party hereto and such party's successors and assigns. This Agreement shall not be assignable by Mobil, but may be assigned by Exxon in whole or in part to any direct or indirect wholly-owned subsidiary of Exxon, provided that Exxon shall remain liable for any obligations so assigned.</w:t>
      </w:r>
    </w:p>
    <w:p>
      <w:pPr>
        <w:spacing w:after="0" w:line="164" w:lineRule="exact"/>
        <w:rPr>
          <w:rFonts w:ascii="Courier New" w:cs="Courier New" w:eastAsia="Courier New" w:hAnsi="Courier New"/>
          <w:sz w:val="14"/>
          <w:szCs w:val="14"/>
          <w:color w:val="auto"/>
        </w:rPr>
      </w:pPr>
    </w:p>
    <w:p>
      <w:pPr>
        <w:ind w:right="3859" w:firstLine="439"/>
        <w:spacing w:after="0" w:line="252"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All representations, warranties and covenants contained herein shall survive the execution and delivery of this Agreement and the consummation of the transactions contemplated hereby.</w:t>
      </w:r>
    </w:p>
    <w:p>
      <w:pPr>
        <w:spacing w:after="0" w:line="162" w:lineRule="exact"/>
        <w:rPr>
          <w:rFonts w:ascii="Courier New" w:cs="Courier New" w:eastAsia="Courier New" w:hAnsi="Courier New"/>
          <w:sz w:val="14"/>
          <w:szCs w:val="14"/>
          <w:color w:val="auto"/>
        </w:rPr>
      </w:pPr>
    </w:p>
    <w:p>
      <w:pPr>
        <w:ind w:right="3939" w:firstLine="439"/>
        <w:spacing w:after="0" w:line="255"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the Essence. The parties agree that time shall be of the essence in the performance of obligations hereunder.</w:t>
      </w:r>
    </w:p>
    <w:p>
      <w:pPr>
        <w:spacing w:after="0" w:line="15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Announcement. Exxon and Mobil will consult with each other before issuing any press release or making any public statement with respect to this Agreement and the transactions contemplated hereby and shall not issue any such press release or make any such public statement without the prior consent of the other party, which shall not be unreasonably withheld. Notwithstanding the foregoing, any such press release or public statement as may be</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782"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required by applicable law or any listing agreement with any national securities exchange, may be issued prior to such consultation, if the party making such release or statement has used its reasonable efforts to consult with the other party.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11. Profit Limitation. (a) Notwithstanding any other provision of this Agreement or the Merger Agreement, in no event shall Exxon's Total Profit (as defined below) exceed $2,000,000,000 (the "Maximum Amount") and, if it otherwise would exceed such Maximum Amount, Exxon at its sole election may (i) pay cash to Mobil, (ii) deliver to Mobil for cancellation Option Shares previously purchased by Exxon, or (iii) any combination thereof, so that Exxon's actually realized Total Profit (as defined below) shall not exceed the Maximum Amount after taking into account the foregoing actions.</w:t>
      </w:r>
    </w:p>
    <w:p>
      <w:pPr>
        <w:spacing w:after="0" w:line="164" w:lineRule="exact"/>
        <w:rPr>
          <w:sz w:val="20"/>
          <w:szCs w:val="20"/>
          <w:color w:val="auto"/>
        </w:rPr>
      </w:pPr>
    </w:p>
    <w:p>
      <w:pPr>
        <w:ind w:right="3339" w:firstLine="439"/>
        <w:spacing w:after="0" w:line="251" w:lineRule="auto"/>
        <w:tabs>
          <w:tab w:leader="none" w:pos="775"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Stock Option may not be exercised for a number of Option Shares as would, as of the date of the Stock Exercise Notice, result in a Notional Total Profit (as defined below) of more than the Maximum Amount and, if exercise of the Stock Option otherwise would result in the Notional Total Profit exceeding such amount, Exxon, at its discretion, may (in addition to any of the actions specified in Section 11(a) above) increase the Exercise Price for that number of Option Shares set forth in the Stock Exercise Notice so that the Notional Total Profit shall not exceed the Maximum Amount; provided, that nothing in this sentence shall restrict any exercise of the Stock Option permitted hereby on any subsequent date at the Exercise Price set forth in Section 3(d) hereof.</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term "Total Profit" shall mean the aggregate amount (before taxes) of the following: (i) the cash amount actually received by Exxon pursuant to Section 10.04(b) of the Merger Agreement less any repayment by Exxon to Mobil pursuant to Section 11(a)(i) hereof, (ii) (x) the net cash amounts or the fair market value of any property received by Exxon pursuant to the sale of Option Shares (or of any other securities into or for which such Option Shares are converted or exchanged), less (y) Exxon's purchase price for such Option Shares (or other securities) plus (iii) the aggregate amounts received by Exxon pursuant to Section 3(d).</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term "Notional Total Profit" with respect to any number of Option Shares as to which Exxon may propose to exercise the Stock Option shall be the Total Profit determined as of the date of the Stock Exercise Notice assuming that the Stock Option was exercised on such date for such number of Option Shares and assuming that such Option Shares, together with all other Option Shares previously acquired upon exercise of the Stock Option and held by Exxon and its affiliates as of such date, were sold for cash at the Closing Price on the preceding trading day (less customary brokerage commissions).</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782" w:right="1440" w:bottom="1440" w:gutter="0" w:footer="0" w:header="0"/>
        </w:sectPr>
      </w:pPr>
    </w:p>
    <w:bookmarkStart w:id="206" w:name="page207"/>
    <w:bookmarkEnd w:id="206"/>
    <w:p>
      <w:pPr>
        <w:jc w:val="center"/>
        <w:ind w:right="-360"/>
        <w:spacing w:after="0"/>
        <w:rPr>
          <w:sz w:val="20"/>
          <w:szCs w:val="20"/>
          <w:color w:val="auto"/>
        </w:rPr>
      </w:pPr>
      <w:r>
        <w:rPr>
          <w:rFonts w:ascii="Courier New" w:cs="Courier New" w:eastAsia="Courier New" w:hAnsi="Courier New"/>
          <w:sz w:val="14"/>
          <w:szCs w:val="14"/>
          <w:color w:val="auto"/>
        </w:rPr>
        <w:t>Annex B -- Stock Option Agreement</w:t>
      </w:r>
    </w:p>
    <w:p>
      <w:pPr>
        <w:spacing w:after="0" w:line="338" w:lineRule="exact"/>
        <w:rPr>
          <w:sz w:val="20"/>
          <w:szCs w:val="20"/>
          <w:color w:val="auto"/>
        </w:rPr>
      </w:pPr>
    </w:p>
    <w:p>
      <w:pPr>
        <w:jc w:val="both"/>
        <w:ind w:right="3519" w:firstLine="431"/>
        <w:spacing w:after="0" w:line="255" w:lineRule="auto"/>
        <w:rPr>
          <w:sz w:val="20"/>
          <w:szCs w:val="20"/>
          <w:color w:val="auto"/>
        </w:rPr>
      </w:pPr>
      <w:r>
        <w:rPr>
          <w:rFonts w:ascii="Courier New" w:cs="Courier New" w:eastAsia="Courier New" w:hAnsi="Courier New"/>
          <w:sz w:val="14"/>
          <w:szCs w:val="14"/>
          <w:color w:val="auto"/>
        </w:rPr>
        <w:t>IN WITNESS WHEREOF, Mobil and Exxon have caused this Agreement to be duly executed as of the day and year first above written.</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MOBIL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Lucio A. Noto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Lucio A. Noto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Chairman and Chief</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EXXON CORPORATION</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Lee R. Raymond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Lee R. Raymond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B-9</w:t>
      </w:r>
    </w:p>
    <w:p>
      <w:pPr>
        <w:sectPr>
          <w:pgSz w:w="11900" w:h="16838" w:orient="portrait"/>
          <w:cols w:equalWidth="0" w:num="1">
            <w:col w:w="10239"/>
          </w:cols>
          <w:pgMar w:left="220" w:top="782" w:right="1440" w:bottom="1440" w:gutter="0" w:footer="0" w:header="0"/>
        </w:sectPr>
      </w:pPr>
    </w:p>
    <w:bookmarkStart w:id="207" w:name="page208"/>
    <w:bookmarkEnd w:id="207"/>
    <w:p>
      <w:pPr>
        <w:jc w:val="right"/>
        <w:ind w:right="3519"/>
        <w:spacing w:after="0"/>
        <w:rPr>
          <w:sz w:val="20"/>
          <w:szCs w:val="20"/>
          <w:color w:val="auto"/>
        </w:rPr>
      </w:pPr>
      <w:r>
        <w:rPr>
          <w:rFonts w:ascii="Courier New" w:cs="Courier New" w:eastAsia="Courier New" w:hAnsi="Courier New"/>
          <w:sz w:val="14"/>
          <w:szCs w:val="14"/>
          <w:color w:val="auto"/>
        </w:rPr>
        <w:t>Annex C</w:t>
      </w:r>
    </w:p>
    <w:p>
      <w:pPr>
        <w:spacing w:after="0" w:line="338"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JPMorgan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Wall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10260-0060</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April 2, 1999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Exxon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5959 Las Colinas Boulevard</w:t>
      </w:r>
    </w:p>
    <w:p>
      <w:pPr>
        <w:spacing w:after="0" w:line="7"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Irving, Texas</w:t>
        <w:tab/>
        <w:t>75039-2298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440" w:right="3779" w:firstLine="431"/>
        <w:spacing w:after="0" w:line="250"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Exxon Corporation (the "Acquiror") of the consideration proposed to be paid by the Acquiror in connection with the proposed merger (the "Merger") of Lion Acquisition Subsidiary Corporation, a wholly-owned subsidiary of the Acquiror ("Merger Subsidiary"), with and into Mobil Corporation (the "Company"). Pursuant to the Agreement and Plan of Merger, dated as of December 1, 1998 (together with its exhibits, the "Agreement"), among the Acquiror, Merger Subsidiary and the Company, Merger Subsidiary will merge with and into the Company, the Company will continue as the surviving corporation and become a wholly-owned subsidiary of the Acquiror, and (i) each share of common stock, par value $1.00 per share, of the Company outstanding immediately prior to the effective time of the Merger (other than shares held by the Company as treasury stock (excluding certain such shares held in "Rabbi trusts") or owned by the Acquiror or any subsidiary of the Acquiror) shall be converted into the right to receive 1.32015 shares of fully-paid and non-assessable common stock, without par value, of the Acquiror (the "Acquiror's Common Stock") and (ii) each share of Series B ESOP Convertible Preferred Stock, par value $1.00 per share, of the Company shall be converted into the right to receive one fully-paid and non-assessable share of a new series of preferred stock to be issued by the Acquiror having terms and conditions that are, to the extent possible, identical to the terms and conditions of the Series B ESOP Convertible Preferred Stock immediately prior to the effective time of the Merger.</w:t>
      </w:r>
    </w:p>
    <w:p>
      <w:pPr>
        <w:spacing w:after="0" w:line="34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arriving at our opinion, we have reviewed (i) the Agreement;</w:t>
      </w:r>
    </w:p>
    <w:p>
      <w:pPr>
        <w:spacing w:after="0" w:line="7" w:lineRule="exact"/>
        <w:rPr>
          <w:sz w:val="20"/>
          <w:szCs w:val="20"/>
          <w:color w:val="auto"/>
        </w:rPr>
      </w:pPr>
    </w:p>
    <w:p>
      <w:pPr>
        <w:ind w:left="440" w:right="3779" w:hanging="1"/>
        <w:spacing w:after="0" w:line="251" w:lineRule="auto"/>
        <w:tabs>
          <w:tab w:leader="none" w:pos="871"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Joint Proxy Statement/Prospectus of the Acquiror and the Company relating to the Merger (the "Proxy Statement); (iii) certain publicly available information concerning the business of the Company and of certain other companies engaged in businesses comparable to those of the Company, and the reported market prices for certain other companies' securities deemed comparable; (iv) publicly available terms of certain transactions involving companies comparable to the Company and the consideration received for such companies; (v) current and historical market prices of the common stock of the Company and the Acquiror; (vi) the audited financial statements of the Acquiror and the</w:t>
      </w:r>
    </w:p>
    <w:p>
      <w:pPr>
        <w:sectPr>
          <w:pgSz w:w="11900" w:h="16838" w:orient="portrait"/>
          <w:cols w:equalWidth="0" w:num="1">
            <w:col w:w="10239"/>
          </w:cols>
          <w:pgMar w:left="220" w:top="616" w:right="1440" w:bottom="1440" w:gutter="0" w:footer="0" w:header="0"/>
        </w:sectPr>
      </w:pPr>
    </w:p>
    <w:bookmarkStart w:id="208" w:name="page209"/>
    <w:bookmarkEnd w:id="208"/>
    <w:p>
      <w:pPr>
        <w:spacing w:after="0"/>
        <w:tabs>
          <w:tab w:leader="none" w:pos="6020" w:val="left"/>
        </w:tabs>
        <w:rPr>
          <w:sz w:val="20"/>
          <w:szCs w:val="20"/>
          <w:color w:val="auto"/>
        </w:rPr>
      </w:pPr>
      <w:r>
        <w:rPr>
          <w:rFonts w:ascii="Courier New" w:cs="Courier New" w:eastAsia="Courier New" w:hAnsi="Courier New"/>
          <w:sz w:val="14"/>
          <w:szCs w:val="14"/>
          <w:color w:val="auto"/>
        </w:rPr>
        <w:t>Annex C -- Opinion of J.P. Morgan Securities Inc.</w:t>
      </w:r>
      <w:r>
        <w:rPr>
          <w:sz w:val="20"/>
          <w:szCs w:val="20"/>
          <w:color w:val="auto"/>
        </w:rPr>
        <w:tab/>
      </w:r>
      <w:r>
        <w:rPr>
          <w:rFonts w:ascii="Courier New" w:cs="Courier New" w:eastAsia="Courier New" w:hAnsi="Courier New"/>
          <w:sz w:val="14"/>
          <w:szCs w:val="14"/>
          <w:color w:val="auto"/>
        </w:rPr>
        <w:t>JPMORGAN</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440" w:right="3859"/>
        <w:spacing w:after="0" w:line="251" w:lineRule="auto"/>
        <w:rPr>
          <w:sz w:val="20"/>
          <w:szCs w:val="20"/>
          <w:color w:val="auto"/>
        </w:rPr>
      </w:pPr>
      <w:r>
        <w:rPr>
          <w:rFonts w:ascii="Courier New" w:cs="Courier New" w:eastAsia="Courier New" w:hAnsi="Courier New"/>
          <w:sz w:val="14"/>
          <w:szCs w:val="14"/>
          <w:color w:val="auto"/>
        </w:rPr>
        <w:t>Company for the fiscal year ended December 31, 1998; (vii) certain internal financial analyses of potential synergies that may be realized from the Merger prepared by the Acquiror and the Company and their respective managements; (viii) certain presentations made by the Acquiror and the Company in 1998 to equity analysts regarding the performance of their respective businesses; and (ix) the terms of other business combinations that we deemed relevant.</w:t>
      </w:r>
    </w:p>
    <w:p>
      <w:pPr>
        <w:spacing w:after="0" w:line="164"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In addition, we have participated in discussions with certain members of the management of the Acquiror and the Company with respect to certain aspects of the Merger, the past and current business operations of the Acquiror and the Company, the financial condition and future prospects and operations of the Acquiror and the Company, and certain other matters we believed necessary or appropriate to our inquiry. We have reviewed such other financial studies and analyses and considered such other information as we deemed appropriate for the purposes of this opinion.</w:t>
      </w:r>
    </w:p>
    <w:p>
      <w:pPr>
        <w:spacing w:after="0" w:line="164" w:lineRule="exact"/>
        <w:rPr>
          <w:sz w:val="20"/>
          <w:szCs w:val="20"/>
          <w:color w:val="auto"/>
        </w:rPr>
      </w:pPr>
    </w:p>
    <w:p>
      <w:pPr>
        <w:ind w:left="440" w:right="3779" w:firstLine="431"/>
        <w:spacing w:after="0" w:line="250" w:lineRule="auto"/>
        <w:rPr>
          <w:sz w:val="20"/>
          <w:szCs w:val="20"/>
          <w:color w:val="auto"/>
        </w:rPr>
      </w:pPr>
      <w:r>
        <w:rPr>
          <w:rFonts w:ascii="Courier New" w:cs="Courier New" w:eastAsia="Courier New" w:hAnsi="Courier New"/>
          <w:sz w:val="14"/>
          <w:szCs w:val="14"/>
          <w:color w:val="auto"/>
        </w:rPr>
        <w:t>In giving our opinion, we have relied upon and assumed, without independent verification, the accuracy and completeness of all information that was publicly available or was furnished to us by the Acquiror and the Company or otherwise reviewed by us, and we have not assumed any responsibility or liability therefor. We have not conducted any valuation or appraisal of any assets or liabilities, nor have any such valuations or appraisals been provided to us. In relying on financial analyses provided to us of potential synergies that may be realized from the Merger, we have assumed that they have been reasonably prepared based on assumptions reflecting the best currently available estimates and judgments by management as to such potential synergies. We have also assumed that the Merger will have the tax consequences and pooling-of-interests accounting treatment described in the Agreement and the Proxy Statement, and that the transactions contemplated by the Agreement will be consummated as described in the Agreement and the Proxy Statement. We have relied as to all legal matters relevant to rendering our opinion upon the advice of counsel.</w:t>
      </w:r>
    </w:p>
    <w:p>
      <w:pPr>
        <w:spacing w:after="0" w:line="339" w:lineRule="exact"/>
        <w:rPr>
          <w:sz w:val="20"/>
          <w:szCs w:val="20"/>
          <w:color w:val="auto"/>
        </w:rPr>
      </w:pPr>
    </w:p>
    <w:p>
      <w:pPr>
        <w:ind w:left="440" w:right="3939" w:firstLine="431"/>
        <w:spacing w:after="0" w:line="251" w:lineRule="auto"/>
        <w:rPr>
          <w:sz w:val="20"/>
          <w:szCs w:val="20"/>
          <w:color w:val="auto"/>
        </w:rPr>
      </w:pPr>
      <w:r>
        <w:rPr>
          <w:rFonts w:ascii="Courier New" w:cs="Courier New" w:eastAsia="Courier New" w:hAnsi="Courier New"/>
          <w:sz w:val="14"/>
          <w:szCs w:val="14"/>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We are expressing no opinion herein as to the price at which the Acquiror's Common Stock will trade at any future time.</w:t>
      </w:r>
    </w:p>
    <w:p>
      <w:pPr>
        <w:spacing w:after="0" w:line="164" w:lineRule="exact"/>
        <w:rPr>
          <w:sz w:val="20"/>
          <w:szCs w:val="20"/>
          <w:color w:val="auto"/>
        </w:rPr>
      </w:pPr>
    </w:p>
    <w:p>
      <w:pPr>
        <w:ind w:left="440" w:right="3779" w:firstLine="431"/>
        <w:spacing w:after="0" w:line="251" w:lineRule="auto"/>
        <w:rPr>
          <w:sz w:val="20"/>
          <w:szCs w:val="20"/>
          <w:color w:val="auto"/>
        </w:rPr>
      </w:pPr>
      <w:r>
        <w:rPr>
          <w:rFonts w:ascii="Courier New" w:cs="Courier New" w:eastAsia="Courier New" w:hAnsi="Courier New"/>
          <w:sz w:val="14"/>
          <w:szCs w:val="14"/>
          <w:color w:val="auto"/>
        </w:rPr>
        <w:t>We have acted as financial advisor to the Acquiror with respect to the proposed Merger and will receive a fee from the Acquiror for our services. We will also receive all additional fee if the proposed Merger is consummated. As you are aware, in the past we have provided financial advisory services to a subsidiary of the Acquiror. Please be advised that in the past we have provided financial advisory and other services to the Company. In the ordinary course of their businesses, our affiliates may actively trade the debt and equity securities of the Acquiror or the Company for their own account or for the accounts of customers and, accordingly, they may at any time hold long or short positions in such securities.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6" w:right="1440" w:bottom="1440" w:gutter="0" w:footer="0" w:header="0"/>
          <w:type w:val="continuous"/>
        </w:sectPr>
      </w:pPr>
    </w:p>
    <w:bookmarkStart w:id="209" w:name="page210"/>
    <w:bookmarkEnd w:id="209"/>
    <w:p>
      <w:pPr>
        <w:jc w:val="right"/>
        <w:ind w:right="3519"/>
        <w:spacing w:after="0"/>
        <w:rPr>
          <w:sz w:val="20"/>
          <w:szCs w:val="20"/>
          <w:color w:val="auto"/>
        </w:rPr>
      </w:pPr>
      <w:r>
        <w:rPr>
          <w:rFonts w:ascii="Courier New" w:cs="Courier New" w:eastAsia="Courier New" w:hAnsi="Courier New"/>
          <w:sz w:val="14"/>
          <w:szCs w:val="14"/>
          <w:color w:val="auto"/>
        </w:rPr>
        <w:t>Annex C -- Opinion of J.P. Morgan Securities Inc.</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JPMORGAN</w:t>
      </w:r>
    </w:p>
    <w:p>
      <w:pPr>
        <w:spacing w:after="0" w:line="338"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On the basis of and subject to the foregoing, it is our opinion as of the date hereof that the consideration to be paid by the Acquiror in the proposed Merger is fair, from a financial point of view, to the Acquiror.</w:t>
      </w:r>
    </w:p>
    <w:p>
      <w:pPr>
        <w:spacing w:after="0" w:line="162"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This letter is provided to the Board of Directors of the Acquiror in connection with and for the purposes of its evaluation of the Merger. This opinion does not constitute a recommendation to any stockholder of the Acquiror as to how such stockholder should vote with respect to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James R. Elliott III</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 James R. Elliott III</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 Managing Director</w:t>
      </w:r>
    </w:p>
    <w:p>
      <w:pPr>
        <w:spacing w:after="0" w:line="173"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9799"/>
          </w:cols>
          <w:pgMar w:left="660" w:top="616" w:right="1440" w:bottom="1440" w:gutter="0" w:footer="0" w:header="0"/>
        </w:sectPr>
      </w:pPr>
    </w:p>
    <w:bookmarkStart w:id="210" w:name="page211"/>
    <w:bookmarkEnd w:id="210"/>
    <w:p>
      <w:pPr>
        <w:ind w:left="6120"/>
        <w:spacing w:after="0"/>
        <w:rPr>
          <w:sz w:val="20"/>
          <w:szCs w:val="20"/>
          <w:color w:val="auto"/>
        </w:rPr>
      </w:pPr>
      <w:r>
        <w:rPr>
          <w:rFonts w:ascii="Courier New" w:cs="Courier New" w:eastAsia="Courier New" w:hAnsi="Courier New"/>
          <w:sz w:val="14"/>
          <w:szCs w:val="14"/>
          <w:color w:val="auto"/>
        </w:rPr>
        <w:t>Annex D</w:t>
      </w:r>
    </w:p>
    <w:p>
      <w:pPr>
        <w:spacing w:after="0" w:line="173" w:lineRule="exact"/>
        <w:rPr>
          <w:sz w:val="20"/>
          <w:szCs w:val="20"/>
          <w:color w:val="auto"/>
        </w:rPr>
      </w:pPr>
    </w:p>
    <w:p>
      <w:pPr>
        <w:ind w:left="180" w:hanging="172"/>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Goldman, Sachs &amp; Co. | 85 Broad Street | New York, New York 10004 Tel: 212-902-1000</w:t>
      </w:r>
    </w:p>
    <w:p>
      <w:pPr>
        <w:spacing w:after="0" w:line="326"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Goldman</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Sachs 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AND CONFIDENTIAL</w:t>
      </w:r>
    </w:p>
    <w:p>
      <w:pPr>
        <w:spacing w:after="0" w:line="7" w:lineRule="exact"/>
        <w:rPr>
          <w:sz w:val="20"/>
          <w:szCs w:val="20"/>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April 2,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3225 Gallows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Fairfax, Virginia 22037-0001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(other than Exxon Corporation ("Acquiror") or any of its subsidiaries or affiliates) (the "Holders") of the outstanding shares of Common Stock, par value $1.00 per share (the "Shares"), of Mobil Corporation (the "Company") of the exchange ratio of 1.32015 shares of Common Stock, without par value ("Acquiror Shares"), of Acquiror to be received for each Share (the "Exchange Ratio") pursuant to the Agreement and Plan of Merger, dated as of December 1, 1998, among Acquiror, Lion Acquisition Subsidiary Corporation, a wholly-owned subsidiary of Acquiror, and the Company (the "Agreement").</w:t>
      </w:r>
    </w:p>
    <w:p>
      <w:pPr>
        <w:spacing w:after="0" w:line="16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Goldman, Sachs &amp; Co.,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We are familiar with the Company having provided certain investment banking services to the Company from time to time, including having acted as dealer on the Company's commercial paper program; having acted as agent on the Company's stock repurchase program and medium term note program; and having acted as lead-managing underwriter of a public offering of Mobil Corporation Pass Through Certificates, Series 1997-A in May 1997. We also have provided certain investment banking services to Acquiror from time to time and may provide investment banking services to Acquiror in the future. Goldman, Sachs &amp; Co. provides a full range of financial advisory and securities services and, in the course of its normal trading activities,</w:t>
      </w:r>
    </w:p>
    <w:p>
      <w:pPr>
        <w:spacing w:after="0" w:line="7"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may from time to time effect transactions and hold securities, including derivative securities, of the Company or Acquiror for its own account and for the accounts of customers. As of March 29, 1999, Goldman, Sachs &amp; Co. accumulated a net short position of 299,546 Shares. As of March 29, 1999, Goldman, Sachs &amp; Co. accumulated a net short position of 71,699 Acquiror Shares, a net short position of options to purchase 150,000 Acquiror Shares and a net long position of warrants to purchase 4,175,795 Acquiror Shares.</w:t>
      </w:r>
    </w:p>
    <w:p>
      <w:pPr>
        <w:spacing w:after="0" w:line="164"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In connection with this opinion, we have reviewed, among other things, the Agreement; the Stock Option Agreement dated as of December 1, 1998 between Acquiror and the Company; the Joint Proxy Statement/Prospectus relating to the Annual Meetings of Stockholders of the Company and the</w:t>
      </w:r>
    </w:p>
    <w:p>
      <w:pPr>
        <w:sectPr>
          <w:pgSz w:w="11900" w:h="16838" w:orient="portrait"/>
          <w:cols w:equalWidth="0" w:num="1">
            <w:col w:w="10239"/>
          </w:cols>
          <w:pgMar w:left="220" w:top="616" w:right="1440" w:bottom="1440" w:gutter="0" w:footer="0" w:header="0"/>
        </w:sectPr>
      </w:pPr>
    </w:p>
    <w:bookmarkStart w:id="211" w:name="page212"/>
    <w:bookmarkEnd w:id="211"/>
    <w:p>
      <w:pPr>
        <w:jc w:val="center"/>
        <w:ind w:right="319"/>
        <w:spacing w:after="0"/>
        <w:rPr>
          <w:sz w:val="20"/>
          <w:szCs w:val="20"/>
          <w:color w:val="auto"/>
        </w:rPr>
      </w:pPr>
      <w:r>
        <w:rPr>
          <w:rFonts w:ascii="Courier New" w:cs="Courier New" w:eastAsia="Courier New" w:hAnsi="Courier New"/>
          <w:sz w:val="14"/>
          <w:szCs w:val="14"/>
          <w:color w:val="auto"/>
        </w:rPr>
        <w:t>Annex D - Opinion of Goldman, Sachs &amp; 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Acquiror to be held in connection with the Agreement; Annual Reports to Stockholders and Annual Reports on Form 10-K of the Company and Acquiror for the five years ended December 31, 1998; certain interim reports to stockholders and Quarterly Reports on Form 10-Q of the Company and Acquiror; certain other communications from the Company and Acquiror to their respective stockholders; certain internal financial analyses and forecasts for the Company prepared by its management; and certain cost savings and operating synergies projected by the managements of the Company and Acquiror to result from the transaction contemplated by the Agreement (the "Synergies"). We also have held discussions with members of the senior management of the Company regarding the strategic rationale for, and the potential benefits of, the transaction contemplated by the Agreement and the Company's past and current business operations, financial condition and future prospects. We reviewed forecasts regarding selected measures of future operating and financial performance of Acquiror in summary form prepared by management of the Company based on their discussions with management of Acquiror. Internal financial analyses and forecasts prepared by Acquiror were not otherwise made available for our review. In addition, we have reviewed the reported price and trading activity for the Shares and Acquiror Shares, compared certain financial and stock market information for the Company and Acquiror with similar information for certain other companies the securities of which are publicly traded, reviewed the financial terms of certain recent business combinations and performed such other studies and analyses as we considered appropriate.</w:t>
      </w:r>
    </w:p>
    <w:p>
      <w:pPr>
        <w:spacing w:after="0" w:line="176"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We have relied upon the accuracy and completeness of all of the financial and other information reviewed by us and have assumed such accuracy and completeness for purposes of rendering this opinion. In that regard, we have assumed with your consent that the Synergies have been reasonably prepared on a basis reflecting the best currently available estimates and judgments of the Company and Acquiror. We have assumed with your consent that the transaction contemplated by the Agreement will be accounted for as a pooling-of-interests under generally accepted accounting principles. We also have assumed that all material governmental, regulatory or other consents and approvals necessary for the consummation of the transaction contemplated by the Agreement will be obtained without any meaningful adverse effect on the Company or Acquiror. In addition, we have not made an independent evaluation or appraisal of the assets and liabilities of the Company or Acquiror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transaction contemplated by the Agreement and such opinion does not constitute a recommendation as to how any holder of Shares should vote with respect to such transaction.</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9"/>
          </w:cols>
          <w:pgMar w:left="220" w:top="616" w:right="1440" w:bottom="1440" w:gutter="0" w:footer="0" w:header="0"/>
        </w:sectPr>
      </w:pPr>
    </w:p>
    <w:bookmarkStart w:id="212" w:name="page213"/>
    <w:bookmarkEnd w:id="212"/>
    <w:p>
      <w:pPr>
        <w:jc w:val="center"/>
        <w:ind w:right="319"/>
        <w:spacing w:after="0"/>
        <w:rPr>
          <w:sz w:val="20"/>
          <w:szCs w:val="20"/>
          <w:color w:val="auto"/>
        </w:rPr>
      </w:pPr>
      <w:r>
        <w:rPr>
          <w:rFonts w:ascii="Courier New" w:cs="Courier New" w:eastAsia="Courier New" w:hAnsi="Courier New"/>
          <w:sz w:val="14"/>
          <w:szCs w:val="14"/>
          <w:color w:val="auto"/>
        </w:rPr>
        <w:t>Annex D - Opinion of Goldman, Sachs &amp; 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200" w:lineRule="exact"/>
        <w:rPr>
          <w:sz w:val="20"/>
          <w:szCs w:val="20"/>
          <w:color w:val="auto"/>
        </w:rPr>
      </w:pPr>
    </w:p>
    <w:p>
      <w:pPr>
        <w:spacing w:after="0" w:line="30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Based upon and subject to the foregoing and based upon such other matters as we consider relevant, it is our opinion that as of the date hereof the Exchange Ratio pursuant to the Agreement is fair from a financial point of view to the Holders of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616" w:right="1440" w:bottom="1440" w:gutter="0" w:footer="0" w:header="0"/>
        </w:sectPr>
      </w:pPr>
    </w:p>
    <w:bookmarkStart w:id="213" w:name="page214"/>
    <w:bookmarkEnd w:id="213"/>
    <w:p>
      <w:pPr>
        <w:ind w:left="860"/>
        <w:spacing w:after="0"/>
        <w:rPr>
          <w:sz w:val="20"/>
          <w:szCs w:val="20"/>
          <w:color w:val="auto"/>
        </w:rPr>
      </w:pPr>
      <w:r>
        <w:rPr>
          <w:rFonts w:ascii="Courier New" w:cs="Courier New" w:eastAsia="Courier New" w:hAnsi="Courier New"/>
          <w:sz w:val="14"/>
          <w:szCs w:val="14"/>
          <w:color w:val="auto"/>
        </w:rPr>
        <w:t>FORM OF EXXON PROXY CARD</w:t>
      </w:r>
    </w:p>
    <w:p>
      <w:pPr>
        <w:sectPr>
          <w:pgSz w:w="11900" w:h="16838" w:orient="portrait"/>
          <w:cols w:equalWidth="0" w:num="1">
            <w:col w:w="9019"/>
          </w:cols>
          <w:pgMar w:left="1440" w:top="616" w:right="1440" w:bottom="1440" w:gutter="0" w:footer="0" w:header="0"/>
        </w:sectPr>
      </w:pPr>
    </w:p>
    <w:bookmarkStart w:id="214" w:name="page215"/>
    <w:bookmarkEnd w:id="214"/>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EXXON CORPORATION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ANNUAL MEETING</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ADMISSION TICKET</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You are cordially invited to attend the annual meeting of shareholders of Exxon Corporation on Thursday, May 27 at the Trinity Conference Center, Wyndham Anatole Hotel, 2201 Steemons Freeway, Dallas, Texas. The meeting will begin at 10:00 a.m., Central Time. Admission is limited to shareholders and guests of the Corporation. This ticket will admit you and an approved guest and should be presented at the meeting to expedite registration. Free parking is available. You should allow time for possible traffic delays and for walking to the conference center after arriving at the hotel.</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avoid delays, please arrive early and present this ticket.</w:t>
      </w:r>
    </w:p>
    <w:p>
      <w:pPr>
        <w:spacing w:after="0" w:line="7" w:lineRule="exact"/>
        <w:rPr>
          <w:sz w:val="20"/>
          <w:szCs w:val="20"/>
          <w:color w:val="auto"/>
        </w:rPr>
      </w:pPr>
    </w:p>
    <w:p>
      <w:pPr>
        <w:ind w:left="180" w:hanging="172"/>
        <w:spacing w:after="0"/>
        <w:tabs>
          <w:tab w:leader="none" w:pos="1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VOTING INSTRUCTIONS</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Exxon Corporation encourages all shareholders to vote their proxies. We now provide three convenient methods for voting:</w:t>
      </w:r>
    </w:p>
    <w:p>
      <w:pPr>
        <w:spacing w:after="0" w:line="160" w:lineRule="exact"/>
        <w:rPr>
          <w:sz w:val="20"/>
          <w:szCs w:val="20"/>
          <w:color w:val="auto"/>
        </w:rPr>
      </w:pPr>
    </w:p>
    <w:p>
      <w:pPr>
        <w:ind w:left="260" w:right="4820" w:hanging="252"/>
        <w:spacing w:after="0" w:line="255" w:lineRule="auto"/>
        <w:tabs>
          <w:tab w:leader="none" w:pos="26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CARD: Complete, sign, date, and return the proxy card attached below in the enclosed postage-paid envelope, or</w:t>
      </w:r>
    </w:p>
    <w:p>
      <w:pPr>
        <w:spacing w:after="0" w:line="159" w:lineRule="exact"/>
        <w:rPr>
          <w:rFonts w:ascii="Courier New" w:cs="Courier New" w:eastAsia="Courier New" w:hAnsi="Courier New"/>
          <w:sz w:val="14"/>
          <w:szCs w:val="14"/>
          <w:color w:val="auto"/>
        </w:rPr>
      </w:pPr>
    </w:p>
    <w:p>
      <w:pPr>
        <w:ind w:left="260" w:right="4980" w:hanging="252"/>
        <w:spacing w:after="0" w:line="255" w:lineRule="auto"/>
        <w:tabs>
          <w:tab w:leader="none" w:pos="26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Call toll-free on a touch-tone phone 1-877-779-8683, 7 days a week, 24 hours a day, or</w:t>
      </w:r>
    </w:p>
    <w:p>
      <w:pPr>
        <w:spacing w:after="0" w:line="15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Log on to the Web site http://www.eproxyvote.com/xon</w:t>
      </w:r>
    </w:p>
    <w:p>
      <w:pPr>
        <w:spacing w:after="0" w:line="172" w:lineRule="exact"/>
        <w:rPr>
          <w:rFonts w:ascii="Courier New" w:cs="Courier New" w:eastAsia="Courier New" w:hAnsi="Courier New"/>
          <w:sz w:val="14"/>
          <w:szCs w:val="14"/>
          <w:color w:val="auto"/>
        </w:rPr>
      </w:pPr>
    </w:p>
    <w:p>
      <w:pPr>
        <w:ind w:left="260" w:right="532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you choose to vote by telephone or Internet, you will be given instructions and asked to enter the 14-digit voter control number located above your name on this proxy card. Choosing either of these options eliminates the need to return your proxy card.</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DETACH CARD BEFORE MAILING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votes as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example.</w:t>
      </w:r>
    </w:p>
    <w:p>
      <w:pPr>
        <w:spacing w:after="0" w:line="200" w:lineRule="exact"/>
        <w:rPr>
          <w:sz w:val="20"/>
          <w:szCs w:val="20"/>
          <w:color w:val="auto"/>
        </w:rPr>
      </w:pPr>
    </w:p>
    <w:p>
      <w:pPr>
        <w:spacing w:after="0" w:line="304" w:lineRule="exact"/>
        <w:rPr>
          <w:sz w:val="20"/>
          <w:szCs w:val="20"/>
          <w:color w:val="auto"/>
        </w:rPr>
      </w:pPr>
    </w:p>
    <w:p>
      <w:pPr>
        <w:ind w:left="360"/>
        <w:spacing w:after="0"/>
        <w:tabs>
          <w:tab w:leader="none" w:pos="4380" w:val="left"/>
          <w:tab w:leader="none" w:pos="8000" w:val="left"/>
        </w:tabs>
        <w:rPr>
          <w:sz w:val="20"/>
          <w:szCs w:val="20"/>
          <w:color w:val="auto"/>
        </w:rPr>
      </w:pP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p>
    <w:p>
      <w:pPr>
        <w:spacing w:after="0" w:line="7" w:lineRule="exact"/>
        <w:rPr>
          <w:sz w:val="20"/>
          <w:szCs w:val="20"/>
          <w:color w:val="auto"/>
        </w:rPr>
      </w:pPr>
    </w:p>
    <w:p>
      <w:pPr>
        <w:ind w:left="780"/>
        <w:spacing w:after="0"/>
        <w:tabs>
          <w:tab w:leader="none" w:pos="4820" w:val="left"/>
          <w:tab w:leader="none" w:pos="8000" w:val="left"/>
        </w:tabs>
        <w:rPr>
          <w:sz w:val="20"/>
          <w:szCs w:val="20"/>
          <w:color w:val="auto"/>
        </w:rPr>
      </w:pPr>
      <w:r>
        <w:rPr>
          <w:rFonts w:ascii="Courier New" w:cs="Courier New" w:eastAsia="Courier New" w:hAnsi="Courier New"/>
          <w:sz w:val="14"/>
          <w:szCs w:val="14"/>
          <w:color w:val="auto"/>
        </w:rPr>
        <w:t>a vote FOR items 1 and 2.</w:t>
      </w:r>
      <w:r>
        <w:rPr>
          <w:sz w:val="20"/>
          <w:szCs w:val="20"/>
          <w:color w:val="auto"/>
        </w:rPr>
        <w:tab/>
      </w:r>
      <w:r>
        <w:rPr>
          <w:rFonts w:ascii="Courier New" w:cs="Courier New" w:eastAsia="Courier New" w:hAnsi="Courier New"/>
          <w:sz w:val="14"/>
          <w:szCs w:val="14"/>
          <w:color w:val="auto"/>
        </w:rPr>
        <w:t>a vote FOR items 3 and 4.</w:t>
      </w:r>
      <w:r>
        <w:rPr>
          <w:sz w:val="20"/>
          <w:szCs w:val="20"/>
          <w:color w:val="auto"/>
        </w:rPr>
        <w:tab/>
      </w:r>
      <w:r>
        <w:rPr>
          <w:rFonts w:ascii="Courier New" w:cs="Courier New" w:eastAsia="Courier New" w:hAnsi="Courier New"/>
          <w:sz w:val="14"/>
          <w:szCs w:val="14"/>
          <w:color w:val="auto"/>
        </w:rPr>
        <w:t>a vote AGAINST items 5 through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782"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in favor of the merger, you must vote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both merger proposals: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Approve merger and</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related issuance of</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Exxon stock (p. I-14)</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Amendment of Exxon</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charter (p. III-10)</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Other annual</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meeting proposals: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Term limit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WITHHELD</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nonemployee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FOR ALL</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FROM ALL</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directors (p. IV-19)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3. Election of</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Limitation</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300" w:type="dxa"/>
            <w:vAlign w:val="bottom"/>
          </w:tcPr>
          <w:p>
            <w:pPr>
              <w:spacing w:after="0"/>
              <w:rPr>
                <w:sz w:val="14"/>
                <w:szCs w:val="14"/>
                <w:color w:val="auto"/>
              </w:rPr>
            </w:pP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shareholder voting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IV-20)</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on climate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IV-21)</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rPr>
              <w:t>For all nominees except as noted above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Sexual orientation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AGAINST  ABSTAIN</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principles</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(p. IV-24)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4. Ratify</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independent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6"/>
                <w:szCs w:val="6"/>
                <w:color w:val="auto"/>
                <w:w w:val="72"/>
              </w:rPr>
              <w:t>---------------------------------------------</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accountants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IV-19)</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gridSpan w:val="5"/>
          </w:tcPr>
          <w:p>
            <w:pPr>
              <w:spacing w:after="0"/>
              <w:rPr>
                <w:sz w:val="20"/>
                <w:szCs w:val="20"/>
                <w:color w:val="auto"/>
              </w:rPr>
            </w:pPr>
            <w:r>
              <w:rPr>
                <w:rFonts w:ascii="Courier New" w:cs="Courier New" w:eastAsia="Courier New" w:hAnsi="Courier New"/>
                <w:sz w:val="14"/>
                <w:szCs w:val="14"/>
                <w:color w:val="auto"/>
              </w:rPr>
              <w:t>A. I have made comments on this card</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or an attachment.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 Discontinue duplicate annual report. [ ]</w:t>
      </w:r>
    </w:p>
    <w:p>
      <w:pPr>
        <w:spacing w:after="0" w:line="200" w:lineRule="exact"/>
        <w:rPr>
          <w:sz w:val="20"/>
          <w:szCs w:val="20"/>
          <w:color w:val="auto"/>
        </w:rPr>
      </w:pPr>
    </w:p>
    <w:p>
      <w:pPr>
        <w:sectPr>
          <w:pgSz w:w="11900" w:h="16838" w:orient="portrait"/>
          <w:cols w:equalWidth="0" w:num="2">
            <w:col w:w="4060" w:space="160"/>
            <w:col w:w="7320"/>
          </w:cols>
          <w:pgMar w:left="220" w:top="782"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480" w:val="left"/>
          <w:tab w:leader="none" w:pos="4640" w:val="left"/>
          <w:tab w:leader="none" w:pos="7140" w:val="left"/>
        </w:tabs>
        <w:rPr>
          <w:sz w:val="20"/>
          <w:szCs w:val="20"/>
          <w:color w:val="auto"/>
        </w:rPr>
      </w:pPr>
      <w:r>
        <w:rPr>
          <w:rFonts w:ascii="Courier New" w:cs="Courier New" w:eastAsia="Courier New" w:hAnsi="Courier New"/>
          <w:sz w:val="14"/>
          <w:szCs w:val="14"/>
          <w:color w:val="auto"/>
        </w:rPr>
        <w:t>Signature: ________________</w:t>
        <w:tab/>
        <w:t>Date: ________ 1999</w:t>
      </w:r>
      <w:r>
        <w:rPr>
          <w:sz w:val="20"/>
          <w:szCs w:val="20"/>
          <w:color w:val="auto"/>
        </w:rPr>
        <w:tab/>
      </w:r>
      <w:r>
        <w:rPr>
          <w:rFonts w:ascii="Courier New" w:cs="Courier New" w:eastAsia="Courier New" w:hAnsi="Courier New"/>
          <w:sz w:val="14"/>
          <w:szCs w:val="14"/>
          <w:color w:val="auto"/>
        </w:rPr>
        <w:t>Signature: ________________</w:t>
        <w:tab/>
        <w:t>Date: ________ 1999</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NOTE: Please sign exactly as name appears hereon. When signing as attorney, executor, administrator, trustee, or guardian, please give full name as such.</w:t>
      </w:r>
    </w:p>
    <w:p>
      <w:pPr>
        <w:sectPr>
          <w:pgSz w:w="11900" w:h="16838" w:orient="portrait"/>
          <w:cols w:equalWidth="0" w:num="1">
            <w:col w:w="11540"/>
          </w:cols>
          <w:pgMar w:left="220" w:top="782" w:right="139" w:bottom="1440" w:gutter="0" w:footer="0" w:header="0"/>
          <w:type w:val="continuous"/>
        </w:sectPr>
      </w:pPr>
    </w:p>
    <w:bookmarkStart w:id="215" w:name="page216"/>
    <w:bookmarkEnd w:id="215"/>
    <w:p>
      <w:pPr>
        <w:ind w:left="2340"/>
        <w:spacing w:after="0"/>
        <w:rPr>
          <w:sz w:val="20"/>
          <w:szCs w:val="20"/>
          <w:color w:val="auto"/>
        </w:rPr>
      </w:pPr>
      <w:r>
        <w:rPr>
          <w:rFonts w:ascii="Courier New" w:cs="Courier New" w:eastAsia="Courier New" w:hAnsi="Courier New"/>
          <w:sz w:val="14"/>
          <w:szCs w:val="14"/>
          <w:color w:val="auto"/>
        </w:rPr>
        <w:t>(MAP AND DIRECTIONS)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3780" w:type="dxa"/>
            <w:vAlign w:val="bottom"/>
          </w:tcPr>
          <w:p>
            <w:pPr>
              <w:jc w:val="center"/>
              <w:ind w:left="1048"/>
              <w:spacing w:after="0"/>
              <w:rPr>
                <w:sz w:val="20"/>
                <w:szCs w:val="20"/>
                <w:color w:val="auto"/>
              </w:rPr>
            </w:pPr>
            <w:r>
              <w:rPr>
                <w:rFonts w:ascii="Courier New" w:cs="Courier New" w:eastAsia="Courier New" w:hAnsi="Courier New"/>
                <w:sz w:val="14"/>
                <w:szCs w:val="14"/>
                <w:color w:val="auto"/>
                <w:w w:val="99"/>
              </w:rPr>
              <w:t>PROXY</w:t>
            </w:r>
          </w:p>
        </w:tc>
      </w:tr>
      <w:tr>
        <w:trPr>
          <w:trHeight w:val="166"/>
        </w:trPr>
        <w:tc>
          <w:tcPr>
            <w:tcW w:w="2940" w:type="dxa"/>
            <w:vAlign w:val="bottom"/>
          </w:tcPr>
          <w:p>
            <w:pPr>
              <w:spacing w:after="0"/>
              <w:rPr>
                <w:sz w:val="14"/>
                <w:szCs w:val="14"/>
                <w:color w:val="auto"/>
              </w:rPr>
            </w:pPr>
          </w:p>
        </w:tc>
        <w:tc>
          <w:tcPr>
            <w:tcW w:w="37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SOLICITED BY BOARD OF DIRECTORS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 Proxy Services</w:t>
            </w:r>
          </w:p>
        </w:tc>
        <w:tc>
          <w:tcPr>
            <w:tcW w:w="3780" w:type="dxa"/>
            <w:vAlign w:val="bottom"/>
          </w:tcPr>
          <w:p>
            <w:pPr>
              <w:ind w:left="1200"/>
              <w:spacing w:after="0"/>
              <w:rPr>
                <w:sz w:val="20"/>
                <w:szCs w:val="20"/>
                <w:color w:val="auto"/>
              </w:rPr>
            </w:pPr>
            <w:r>
              <w:rPr>
                <w:rFonts w:ascii="Courier New" w:cs="Courier New" w:eastAsia="Courier New" w:hAnsi="Courier New"/>
                <w:sz w:val="14"/>
                <w:szCs w:val="14"/>
                <w:color w:val="auto"/>
              </w:rPr>
              <w:t>ANNUAL MEETING, MAY 27, 1999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P.O. Box 8033</w:t>
            </w:r>
          </w:p>
        </w:tc>
        <w:tc>
          <w:tcPr>
            <w:tcW w:w="3780" w:type="dxa"/>
            <w:vAlign w:val="bottom"/>
          </w:tcPr>
          <w:p>
            <w:pPr>
              <w:ind w:left="1980"/>
              <w:spacing w:after="0"/>
              <w:rPr>
                <w:sz w:val="20"/>
                <w:szCs w:val="20"/>
                <w:color w:val="auto"/>
              </w:rPr>
            </w:pPr>
            <w:r>
              <w:rPr>
                <w:rFonts w:ascii="Courier New" w:cs="Courier New" w:eastAsia="Courier New" w:hAnsi="Courier New"/>
                <w:sz w:val="14"/>
                <w:szCs w:val="14"/>
                <w:color w:val="auto"/>
              </w:rPr>
              <w:t>DALLAS, TEXAS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Boston, MA 02266-8033</w:t>
            </w:r>
          </w:p>
        </w:tc>
        <w:tc>
          <w:tcPr>
            <w:tcW w:w="3780" w:type="dxa"/>
            <w:vAlign w:val="bottom"/>
          </w:tcPr>
          <w:p>
            <w:pPr>
              <w:spacing w:after="0"/>
              <w:rPr>
                <w:sz w:val="14"/>
                <w:szCs w:val="14"/>
                <w:color w:val="auto"/>
              </w:rPr>
            </w:pPr>
          </w:p>
        </w:tc>
      </w:tr>
    </w:tbl>
    <w:p>
      <w:pPr>
        <w:spacing w:after="0" w:line="33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undersigned hereby appoints J. Hay, W.R. Howell, P.E. Lippincott, M.C. Nelson, and L.R. Raymond, or each or any of them, with power of substitution, proxies for the undersigned to act and vote at the 1999 annual meeting of shareholders of Exxon Corporation and at any adjournments thereof, as indicated, upon all matters referred to on the reverse side and described in the proxy statement for the meeting and, at their discretion, upon any other matters that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 Election of Directors(1)</w:t>
            </w: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Nominees: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M.J. Boskin,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 Dahan,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Esrey,</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(04)</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J. Hay,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J.R. Houghton,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W.R. Howell,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R.C. King,</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(08)</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P.E. Lippincott,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H.J. Longwell,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M.C. Nelson,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L.R. Raymond,</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(12)</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W.V. Shipley,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R.E. Wilhelm.</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779"/>
        <w:spacing w:after="0" w:line="253" w:lineRule="auto"/>
        <w:rPr>
          <w:sz w:val="20"/>
          <w:szCs w:val="20"/>
          <w:color w:val="auto"/>
        </w:rPr>
      </w:pPr>
      <w:r>
        <w:rPr>
          <w:rFonts w:ascii="Courier New" w:cs="Courier New" w:eastAsia="Courier New" w:hAnsi="Courier New"/>
          <w:sz w:val="14"/>
          <w:szCs w:val="14"/>
          <w:color w:val="auto"/>
        </w:rPr>
        <w:t>If no other indication is made, the proxies shall vote (a) for the election of the director nominees and (b) in accordance with the recommendations of the Board of Directors on the other matters referred to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right="3939" w:hanging="352"/>
        <w:spacing w:after="0" w:line="255" w:lineRule="auto"/>
        <w:tabs>
          <w:tab w:leader="none" w:pos="36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front of the nominees' names are provided to assist in telephone and Internet voting.</w:t>
      </w:r>
    </w:p>
    <w:p>
      <w:pPr>
        <w:spacing w:after="0" w:line="160"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(OVER)</w:t>
      </w:r>
    </w:p>
    <w:p>
      <w:pPr>
        <w:sectPr>
          <w:pgSz w:w="11900" w:h="16838" w:orient="portrait"/>
          <w:cols w:equalWidth="0" w:num="1">
            <w:col w:w="10239"/>
          </w:cols>
          <w:pgMar w:left="220" w:top="1113" w:right="1440" w:bottom="1440" w:gutter="0" w:footer="0" w:header="0"/>
        </w:sectPr>
      </w:pPr>
    </w:p>
    <w:bookmarkStart w:id="216" w:name="page217"/>
    <w:bookmarkEnd w:id="216"/>
    <w:p>
      <w:pPr>
        <w:ind w:left="180" w:hanging="172"/>
        <w:spacing w:after="0"/>
        <w:tabs>
          <w:tab w:leader="none" w:pos="1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EXXON CORPORATION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ANNUAL MEETING</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ADMISSION TICKET</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You are cordially invited to attend the annual meeting of shareholders of Exxon Corporation on Thursday, May 27 at the Trinity Conference Center, Wyndham Anatole Hotel, 2201 Steemons Freeway, Dallas, Texas. The meeting will begin at 10:00 a.m., Central Time. Admission is limited to shareholders and guests of the Corporation. This ticket will admit you and an approved guest and should be presented at the meeting to expedite registration. Free parking is available. You should allow time for possible traffic delays and for walking to the conference center after arriving at the hotel.</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avoid delays, please arrive early and present this ticket.</w:t>
      </w:r>
    </w:p>
    <w:p>
      <w:pPr>
        <w:spacing w:after="0" w:line="7" w:lineRule="exact"/>
        <w:rPr>
          <w:sz w:val="20"/>
          <w:szCs w:val="20"/>
          <w:color w:val="auto"/>
        </w:rPr>
      </w:pPr>
    </w:p>
    <w:p>
      <w:pPr>
        <w:ind w:left="180" w:hanging="172"/>
        <w:spacing w:after="0"/>
        <w:tabs>
          <w:tab w:leader="none" w:pos="18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VOTING INSTRUCTIONS</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Exxon Corporation encourages all shareholders to vote their proxies. We now provide three convenient methods for voting:</w:t>
      </w:r>
    </w:p>
    <w:p>
      <w:pPr>
        <w:spacing w:after="0" w:line="160" w:lineRule="exact"/>
        <w:rPr>
          <w:sz w:val="20"/>
          <w:szCs w:val="20"/>
          <w:color w:val="auto"/>
        </w:rPr>
      </w:pPr>
    </w:p>
    <w:p>
      <w:pPr>
        <w:ind w:left="260" w:right="4820" w:hanging="252"/>
        <w:spacing w:after="0" w:line="255" w:lineRule="auto"/>
        <w:tabs>
          <w:tab w:leader="none" w:pos="2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CARD: Complete, sign, date, and return the proxy card attached below in the enclosed postage-paid envelope, or</w:t>
      </w:r>
    </w:p>
    <w:p>
      <w:pPr>
        <w:spacing w:after="0" w:line="159" w:lineRule="exact"/>
        <w:rPr>
          <w:rFonts w:ascii="Courier New" w:cs="Courier New" w:eastAsia="Courier New" w:hAnsi="Courier New"/>
          <w:sz w:val="14"/>
          <w:szCs w:val="14"/>
          <w:color w:val="auto"/>
        </w:rPr>
      </w:pPr>
    </w:p>
    <w:p>
      <w:pPr>
        <w:ind w:left="260" w:right="4980" w:hanging="252"/>
        <w:spacing w:after="0" w:line="255" w:lineRule="auto"/>
        <w:tabs>
          <w:tab w:leader="none" w:pos="2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Call toll-free on a touch-tone phone 1-877-779-8683, 7 days a week, 24 hours a day, or</w:t>
      </w:r>
    </w:p>
    <w:p>
      <w:pPr>
        <w:spacing w:after="0" w:line="15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Log on to the Web site http://www.eproxyvote.com/xon</w:t>
      </w:r>
    </w:p>
    <w:p>
      <w:pPr>
        <w:spacing w:after="0" w:line="173" w:lineRule="exact"/>
        <w:rPr>
          <w:sz w:val="20"/>
          <w:szCs w:val="20"/>
          <w:color w:val="auto"/>
        </w:rPr>
      </w:pPr>
    </w:p>
    <w:p>
      <w:pPr>
        <w:ind w:left="260" w:right="5320"/>
        <w:spacing w:after="0" w:line="252" w:lineRule="auto"/>
        <w:rPr>
          <w:sz w:val="20"/>
          <w:szCs w:val="20"/>
          <w:color w:val="auto"/>
        </w:rPr>
      </w:pPr>
      <w:r>
        <w:rPr>
          <w:rFonts w:ascii="Courier New" w:cs="Courier New" w:eastAsia="Courier New" w:hAnsi="Courier New"/>
          <w:sz w:val="14"/>
          <w:szCs w:val="14"/>
          <w:color w:val="auto"/>
        </w:rPr>
        <w:t>If you choose to vote by telephone or Internet, you will be given instructions and asked to enter the 14-digit voter control number located above your name on this proxy card. Choosing either of these options eliminates the need to return your proxy card.</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DETACH CARD BEFORE MAILING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votes as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example.</w:t>
      </w:r>
    </w:p>
    <w:p>
      <w:pPr>
        <w:spacing w:after="0" w:line="200" w:lineRule="exact"/>
        <w:rPr>
          <w:sz w:val="20"/>
          <w:szCs w:val="20"/>
          <w:color w:val="auto"/>
        </w:rPr>
      </w:pPr>
    </w:p>
    <w:p>
      <w:pPr>
        <w:spacing w:after="0" w:line="304" w:lineRule="exact"/>
        <w:rPr>
          <w:sz w:val="20"/>
          <w:szCs w:val="20"/>
          <w:color w:val="auto"/>
        </w:rPr>
      </w:pPr>
    </w:p>
    <w:p>
      <w:pPr>
        <w:ind w:left="360"/>
        <w:spacing w:after="0"/>
        <w:tabs>
          <w:tab w:leader="none" w:pos="4380" w:val="left"/>
          <w:tab w:leader="none" w:pos="8000" w:val="left"/>
        </w:tabs>
        <w:rPr>
          <w:sz w:val="20"/>
          <w:szCs w:val="20"/>
          <w:color w:val="auto"/>
        </w:rPr>
      </w:pP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p>
    <w:p>
      <w:pPr>
        <w:spacing w:after="0" w:line="7" w:lineRule="exact"/>
        <w:rPr>
          <w:sz w:val="20"/>
          <w:szCs w:val="20"/>
          <w:color w:val="auto"/>
        </w:rPr>
      </w:pPr>
    </w:p>
    <w:p>
      <w:pPr>
        <w:ind w:left="780"/>
        <w:spacing w:after="0"/>
        <w:tabs>
          <w:tab w:leader="none" w:pos="4820" w:val="left"/>
          <w:tab w:leader="none" w:pos="8000" w:val="left"/>
        </w:tabs>
        <w:rPr>
          <w:sz w:val="20"/>
          <w:szCs w:val="20"/>
          <w:color w:val="auto"/>
        </w:rPr>
      </w:pPr>
      <w:r>
        <w:rPr>
          <w:rFonts w:ascii="Courier New" w:cs="Courier New" w:eastAsia="Courier New" w:hAnsi="Courier New"/>
          <w:sz w:val="14"/>
          <w:szCs w:val="14"/>
          <w:color w:val="auto"/>
        </w:rPr>
        <w:t>a vote FOR items 1 and 2.</w:t>
      </w:r>
      <w:r>
        <w:rPr>
          <w:sz w:val="20"/>
          <w:szCs w:val="20"/>
          <w:color w:val="auto"/>
        </w:rPr>
        <w:tab/>
      </w:r>
      <w:r>
        <w:rPr>
          <w:rFonts w:ascii="Courier New" w:cs="Courier New" w:eastAsia="Courier New" w:hAnsi="Courier New"/>
          <w:sz w:val="14"/>
          <w:szCs w:val="14"/>
          <w:color w:val="auto"/>
        </w:rPr>
        <w:t>a vote FOR items 3 and 4.</w:t>
      </w:r>
      <w:r>
        <w:rPr>
          <w:sz w:val="20"/>
          <w:szCs w:val="20"/>
          <w:color w:val="auto"/>
        </w:rPr>
        <w:tab/>
      </w:r>
      <w:r>
        <w:rPr>
          <w:rFonts w:ascii="Courier New" w:cs="Courier New" w:eastAsia="Courier New" w:hAnsi="Courier New"/>
          <w:sz w:val="14"/>
          <w:szCs w:val="14"/>
          <w:color w:val="auto"/>
        </w:rPr>
        <w:t>a vote AGAINST items 5 through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in favor of the merger, you must vote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both merger proposals: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Approve merger and</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related issuance of</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Exxon stock (p. I-14)</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Amendment of Exxon</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charter (p. III-10)</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Other annual</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meeting proposals: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Term limit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WITHHELD</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nonemployee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FOR ALL</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FROM ALL</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directors (p. IV-19)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3. Election of</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Limitation</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300" w:type="dxa"/>
            <w:vAlign w:val="bottom"/>
          </w:tcPr>
          <w:p>
            <w:pPr>
              <w:spacing w:after="0"/>
              <w:rPr>
                <w:sz w:val="14"/>
                <w:szCs w:val="14"/>
                <w:color w:val="auto"/>
              </w:rPr>
            </w:pP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shareholder voting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IV-20)</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on climate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IV-21)</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rPr>
              <w:t>For all nominees except as noted above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Sexual orientation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AGAINST  ABSTAIN</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principles</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(p. IV-24)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4. Ratify</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independent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6"/>
                <w:szCs w:val="6"/>
                <w:color w:val="auto"/>
                <w:w w:val="72"/>
              </w:rPr>
              <w:t>---------------------------------------------</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accountants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IV-19)</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gridSpan w:val="5"/>
          </w:tcPr>
          <w:p>
            <w:pPr>
              <w:spacing w:after="0"/>
              <w:rPr>
                <w:sz w:val="20"/>
                <w:szCs w:val="20"/>
                <w:color w:val="auto"/>
              </w:rPr>
            </w:pPr>
            <w:r>
              <w:rPr>
                <w:rFonts w:ascii="Courier New" w:cs="Courier New" w:eastAsia="Courier New" w:hAnsi="Courier New"/>
                <w:sz w:val="14"/>
                <w:szCs w:val="14"/>
                <w:color w:val="auto"/>
              </w:rPr>
              <w:t>A. I have made comments on this card</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or an attachment.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4060" w:space="160"/>
            <w:col w:w="7320"/>
          </w:cols>
          <w:pgMar w:left="220" w:top="6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2480" w:val="left"/>
          <w:tab w:leader="none" w:pos="4640" w:val="left"/>
          <w:tab w:leader="none" w:pos="7140" w:val="left"/>
        </w:tabs>
        <w:rPr>
          <w:sz w:val="20"/>
          <w:szCs w:val="20"/>
          <w:color w:val="auto"/>
        </w:rPr>
      </w:pPr>
      <w:r>
        <w:rPr>
          <w:rFonts w:ascii="Courier New" w:cs="Courier New" w:eastAsia="Courier New" w:hAnsi="Courier New"/>
          <w:sz w:val="14"/>
          <w:szCs w:val="14"/>
          <w:color w:val="auto"/>
        </w:rPr>
        <w:t>Signature: ________________</w:t>
        <w:tab/>
        <w:t>Date: ________ 1999</w:t>
      </w:r>
      <w:r>
        <w:rPr>
          <w:sz w:val="20"/>
          <w:szCs w:val="20"/>
          <w:color w:val="auto"/>
        </w:rPr>
        <w:tab/>
      </w:r>
      <w:r>
        <w:rPr>
          <w:rFonts w:ascii="Courier New" w:cs="Courier New" w:eastAsia="Courier New" w:hAnsi="Courier New"/>
          <w:sz w:val="14"/>
          <w:szCs w:val="14"/>
          <w:color w:val="auto"/>
        </w:rPr>
        <w:t>Signature: ________________</w:t>
        <w:tab/>
        <w:t>Date: ________ 1999</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NOTE: Please sign exactly as name appears hereon. When signing as attorney, executor, administrator, trustee, or guardian, please give full name as such.</w:t>
      </w:r>
    </w:p>
    <w:p>
      <w:pPr>
        <w:sectPr>
          <w:pgSz w:w="11900" w:h="16838" w:orient="portrait"/>
          <w:cols w:equalWidth="0" w:num="1">
            <w:col w:w="11540"/>
          </w:cols>
          <w:pgMar w:left="220" w:top="616" w:right="139" w:bottom="1440" w:gutter="0" w:footer="0" w:header="0"/>
          <w:type w:val="continuous"/>
        </w:sectPr>
      </w:pPr>
    </w:p>
    <w:bookmarkStart w:id="217" w:name="page218"/>
    <w:bookmarkEnd w:id="217"/>
    <w:p>
      <w:pPr>
        <w:ind w:left="2340"/>
        <w:spacing w:after="0"/>
        <w:rPr>
          <w:sz w:val="20"/>
          <w:szCs w:val="20"/>
          <w:color w:val="auto"/>
        </w:rPr>
      </w:pPr>
      <w:r>
        <w:rPr>
          <w:rFonts w:ascii="Courier New" w:cs="Courier New" w:eastAsia="Courier New" w:hAnsi="Courier New"/>
          <w:sz w:val="14"/>
          <w:szCs w:val="14"/>
          <w:color w:val="auto"/>
        </w:rPr>
        <w:t>(MAP AND DIRECTIONS)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37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VOTING INSTRUCTION CARD</w:t>
            </w:r>
          </w:p>
        </w:tc>
      </w:tr>
      <w:tr>
        <w:trPr>
          <w:trHeight w:val="166"/>
        </w:trPr>
        <w:tc>
          <w:tcPr>
            <w:tcW w:w="2940" w:type="dxa"/>
            <w:vAlign w:val="bottom"/>
          </w:tcPr>
          <w:p>
            <w:pPr>
              <w:spacing w:after="0"/>
              <w:rPr>
                <w:sz w:val="14"/>
                <w:szCs w:val="14"/>
                <w:color w:val="auto"/>
              </w:rPr>
            </w:pPr>
          </w:p>
        </w:tc>
        <w:tc>
          <w:tcPr>
            <w:tcW w:w="37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SOLICITED BY BOARD OF DIRECTORS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 Proxy Services</w:t>
            </w:r>
          </w:p>
        </w:tc>
        <w:tc>
          <w:tcPr>
            <w:tcW w:w="3780" w:type="dxa"/>
            <w:vAlign w:val="bottom"/>
          </w:tcPr>
          <w:p>
            <w:pPr>
              <w:ind w:left="1200"/>
              <w:spacing w:after="0"/>
              <w:rPr>
                <w:sz w:val="20"/>
                <w:szCs w:val="20"/>
                <w:color w:val="auto"/>
              </w:rPr>
            </w:pPr>
            <w:r>
              <w:rPr>
                <w:rFonts w:ascii="Courier New" w:cs="Courier New" w:eastAsia="Courier New" w:hAnsi="Courier New"/>
                <w:sz w:val="14"/>
                <w:szCs w:val="14"/>
                <w:color w:val="auto"/>
              </w:rPr>
              <w:t>ANNUAL MEETING, MAY 27, 1999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P.O. Box 8033</w:t>
            </w:r>
          </w:p>
        </w:tc>
        <w:tc>
          <w:tcPr>
            <w:tcW w:w="3780" w:type="dxa"/>
            <w:vAlign w:val="bottom"/>
          </w:tcPr>
          <w:p>
            <w:pPr>
              <w:ind w:left="1980"/>
              <w:spacing w:after="0"/>
              <w:rPr>
                <w:sz w:val="20"/>
                <w:szCs w:val="20"/>
                <w:color w:val="auto"/>
              </w:rPr>
            </w:pPr>
            <w:r>
              <w:rPr>
                <w:rFonts w:ascii="Courier New" w:cs="Courier New" w:eastAsia="Courier New" w:hAnsi="Courier New"/>
                <w:sz w:val="14"/>
                <w:szCs w:val="14"/>
                <w:color w:val="auto"/>
              </w:rPr>
              <w:t>DALLAS, TEXAS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Boston, MA 02266-8033</w:t>
            </w:r>
          </w:p>
        </w:tc>
        <w:tc>
          <w:tcPr>
            <w:tcW w:w="3780" w:type="dxa"/>
            <w:vAlign w:val="bottom"/>
          </w:tcPr>
          <w:p>
            <w:pPr>
              <w:spacing w:after="0"/>
              <w:rPr>
                <w:sz w:val="14"/>
                <w:szCs w:val="14"/>
                <w:color w:val="auto"/>
              </w:rPr>
            </w:pPr>
          </w:p>
        </w:tc>
      </w:tr>
    </w:tbl>
    <w:p>
      <w:pPr>
        <w:spacing w:after="0" w:line="33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To Trustee-Thrift Fund: You are hereby instructed to appoint J. Hay, W.R. Howell, P.E. Lippincott, M.C. Nelson, and L.R. Raymond, or each or any of them, with power of substitution, proxies to act and vote at the 1999 annual meeting of shareholders of Exxon Corporation and at any adjournments thereof, any shares of common stock of the Corporation in my account in the Thrift Fund (including all shares, if any, in my Thrift Account, E Account, K Account, and Direct Dividend Account), as indicated, upon all matters referred to on the reverse side and described in the proxy statement for the meeting and, at their discretion, upon any other matters that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 Election of Directors(1)</w:t>
            </w: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Nominees: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M.J. Boskin,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 Dahan,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Esrey,</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(04)</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J. Hay,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J.R. Houghton,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W.R. Howell,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R.C. King,</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(08)</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P.E. Lippincott,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H.J. Longwell,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M.C. Nelson,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L.R. Raymond,</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(12)</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W.V. Shipley,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R.E. Wilhelm.</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779"/>
        <w:spacing w:after="0" w:line="253" w:lineRule="auto"/>
        <w:rPr>
          <w:sz w:val="20"/>
          <w:szCs w:val="20"/>
          <w:color w:val="auto"/>
        </w:rPr>
      </w:pPr>
      <w:r>
        <w:rPr>
          <w:rFonts w:ascii="Courier New" w:cs="Courier New" w:eastAsia="Courier New" w:hAnsi="Courier New"/>
          <w:sz w:val="14"/>
          <w:szCs w:val="14"/>
          <w:color w:val="auto"/>
        </w:rPr>
        <w:t>If no other indication is made, the proxies shall vote (a) for the election of the director nominees and (b) in accordance with the recommendations of the Board of Directors on the other matters referred to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right="3939" w:hanging="352"/>
        <w:spacing w:after="0" w:line="255" w:lineRule="auto"/>
        <w:tabs>
          <w:tab w:leader="none" w:pos="3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front of the nominees' names are provided to assist in telephone and Internet voting.</w:t>
      </w:r>
    </w:p>
    <w:p>
      <w:pPr>
        <w:spacing w:after="0" w:line="160"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(OVER)</w:t>
      </w:r>
    </w:p>
    <w:p>
      <w:pPr>
        <w:sectPr>
          <w:pgSz w:w="11900" w:h="16838" w:orient="portrait"/>
          <w:cols w:equalWidth="0" w:num="1">
            <w:col w:w="10239"/>
          </w:cols>
          <w:pgMar w:left="220" w:top="1113" w:right="1440" w:bottom="1440" w:gutter="0" w:footer="0" w:header="0"/>
        </w:sectPr>
      </w:pPr>
    </w:p>
    <w:bookmarkStart w:id="218" w:name="page219"/>
    <w:bookmarkEnd w:id="218"/>
    <w:p>
      <w:pPr>
        <w:ind w:left="180" w:hanging="172"/>
        <w:spacing w:after="0"/>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EXXON CORPORATION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ANNUAL MEETING</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ADMISSION TICKET</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You are cordially invited to attend the annual meeting of shareholders of Exxon Corporation on Thursday, May 27 at the Trinity Conference Center, Wyndham Anatole Hotel, 2201 Steemons Freeway, Dallas, Texas. The meeting will begin at 10:00 a.m., Central Time. Admission is limited to shareholders and guests of the Corporation. This ticket will admit you and an approved guest and should be presented at the meeting to expedite registration. Free parking is available. You should allow time for possible traffic delays and for walking to the conference center after arriving at the hotel.</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avoid delays, please arrive early and present this ticket.</w:t>
      </w:r>
    </w:p>
    <w:p>
      <w:pPr>
        <w:spacing w:after="0" w:line="7" w:lineRule="exact"/>
        <w:rPr>
          <w:sz w:val="20"/>
          <w:szCs w:val="20"/>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VOTING INSTRUCTIONS</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Exxon Corporation encourages all shareholders to vote their proxies. We now provide three convenient methods for voting:</w:t>
      </w:r>
    </w:p>
    <w:p>
      <w:pPr>
        <w:spacing w:after="0" w:line="160" w:lineRule="exact"/>
        <w:rPr>
          <w:sz w:val="20"/>
          <w:szCs w:val="20"/>
          <w:color w:val="auto"/>
        </w:rPr>
      </w:pPr>
    </w:p>
    <w:p>
      <w:pPr>
        <w:ind w:left="260" w:right="4820" w:hanging="252"/>
        <w:spacing w:after="0" w:line="255" w:lineRule="auto"/>
        <w:tabs>
          <w:tab w:leader="none" w:pos="26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CARD: Complete, sign, date, and return the proxy card attached below in the enclosed postage-paid envelope, or</w:t>
      </w:r>
    </w:p>
    <w:p>
      <w:pPr>
        <w:spacing w:after="0" w:line="159" w:lineRule="exact"/>
        <w:rPr>
          <w:rFonts w:ascii="Courier New" w:cs="Courier New" w:eastAsia="Courier New" w:hAnsi="Courier New"/>
          <w:sz w:val="14"/>
          <w:szCs w:val="14"/>
          <w:color w:val="auto"/>
        </w:rPr>
      </w:pPr>
    </w:p>
    <w:p>
      <w:pPr>
        <w:ind w:left="260" w:right="4980" w:hanging="252"/>
        <w:spacing w:after="0" w:line="255" w:lineRule="auto"/>
        <w:tabs>
          <w:tab w:leader="none" w:pos="26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Call toll-free on a touch-tone phone 1-877-779-8683, 7 days a week, 24 hours a day, or</w:t>
      </w:r>
    </w:p>
    <w:p>
      <w:pPr>
        <w:spacing w:after="0" w:line="15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Log on to the Web site http://www.eproxyvote.com/xon</w:t>
      </w:r>
    </w:p>
    <w:p>
      <w:pPr>
        <w:spacing w:after="0" w:line="173" w:lineRule="exact"/>
        <w:rPr>
          <w:sz w:val="20"/>
          <w:szCs w:val="20"/>
          <w:color w:val="auto"/>
        </w:rPr>
      </w:pPr>
    </w:p>
    <w:p>
      <w:pPr>
        <w:ind w:left="260" w:right="5320"/>
        <w:spacing w:after="0" w:line="252" w:lineRule="auto"/>
        <w:rPr>
          <w:sz w:val="20"/>
          <w:szCs w:val="20"/>
          <w:color w:val="auto"/>
        </w:rPr>
      </w:pPr>
      <w:r>
        <w:rPr>
          <w:rFonts w:ascii="Courier New" w:cs="Courier New" w:eastAsia="Courier New" w:hAnsi="Courier New"/>
          <w:sz w:val="14"/>
          <w:szCs w:val="14"/>
          <w:color w:val="auto"/>
        </w:rPr>
        <w:t>If you choose to vote by telephone or Internet, you will be given instructions and asked to enter the 14-digit voter control number located above your name on this proxy card. Choosing either of these options eliminates the need to return your proxy card.</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DETACH CARD BEFORE MAILING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votes as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example.</w:t>
      </w:r>
    </w:p>
    <w:p>
      <w:pPr>
        <w:spacing w:after="0" w:line="200" w:lineRule="exact"/>
        <w:rPr>
          <w:sz w:val="20"/>
          <w:szCs w:val="20"/>
          <w:color w:val="auto"/>
        </w:rPr>
      </w:pPr>
    </w:p>
    <w:p>
      <w:pPr>
        <w:spacing w:after="0" w:line="304" w:lineRule="exact"/>
        <w:rPr>
          <w:sz w:val="20"/>
          <w:szCs w:val="20"/>
          <w:color w:val="auto"/>
        </w:rPr>
      </w:pPr>
    </w:p>
    <w:p>
      <w:pPr>
        <w:ind w:left="360"/>
        <w:spacing w:after="0"/>
        <w:tabs>
          <w:tab w:leader="none" w:pos="4380" w:val="left"/>
          <w:tab w:leader="none" w:pos="8000" w:val="left"/>
        </w:tabs>
        <w:rPr>
          <w:sz w:val="20"/>
          <w:szCs w:val="20"/>
          <w:color w:val="auto"/>
        </w:rPr>
      </w:pP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r>
        <w:rPr>
          <w:sz w:val="20"/>
          <w:szCs w:val="20"/>
          <w:color w:val="auto"/>
        </w:rPr>
        <w:tab/>
      </w:r>
      <w:r>
        <w:rPr>
          <w:rFonts w:ascii="Courier New" w:cs="Courier New" w:eastAsia="Courier New" w:hAnsi="Courier New"/>
          <w:sz w:val="14"/>
          <w:szCs w:val="14"/>
          <w:color w:val="auto"/>
        </w:rPr>
        <w:t>The Board of Directors recommends</w:t>
      </w:r>
    </w:p>
    <w:p>
      <w:pPr>
        <w:spacing w:after="0" w:line="7" w:lineRule="exact"/>
        <w:rPr>
          <w:sz w:val="20"/>
          <w:szCs w:val="20"/>
          <w:color w:val="auto"/>
        </w:rPr>
      </w:pPr>
    </w:p>
    <w:p>
      <w:pPr>
        <w:ind w:left="780"/>
        <w:spacing w:after="0"/>
        <w:tabs>
          <w:tab w:leader="none" w:pos="4820" w:val="left"/>
          <w:tab w:leader="none" w:pos="8000" w:val="left"/>
        </w:tabs>
        <w:rPr>
          <w:sz w:val="20"/>
          <w:szCs w:val="20"/>
          <w:color w:val="auto"/>
        </w:rPr>
      </w:pPr>
      <w:r>
        <w:rPr>
          <w:rFonts w:ascii="Courier New" w:cs="Courier New" w:eastAsia="Courier New" w:hAnsi="Courier New"/>
          <w:sz w:val="14"/>
          <w:szCs w:val="14"/>
          <w:color w:val="auto"/>
        </w:rPr>
        <w:t>a vote FOR items 1 and 2.</w:t>
      </w:r>
      <w:r>
        <w:rPr>
          <w:sz w:val="20"/>
          <w:szCs w:val="20"/>
          <w:color w:val="auto"/>
        </w:rPr>
        <w:tab/>
      </w:r>
      <w:r>
        <w:rPr>
          <w:rFonts w:ascii="Courier New" w:cs="Courier New" w:eastAsia="Courier New" w:hAnsi="Courier New"/>
          <w:sz w:val="14"/>
          <w:szCs w:val="14"/>
          <w:color w:val="auto"/>
        </w:rPr>
        <w:t>a vote FOR items 3 and 4.</w:t>
      </w:r>
      <w:r>
        <w:rPr>
          <w:sz w:val="20"/>
          <w:szCs w:val="20"/>
          <w:color w:val="auto"/>
        </w:rPr>
        <w:tab/>
      </w:r>
      <w:r>
        <w:rPr>
          <w:rFonts w:ascii="Courier New" w:cs="Courier New" w:eastAsia="Courier New" w:hAnsi="Courier New"/>
          <w:sz w:val="14"/>
          <w:szCs w:val="14"/>
          <w:color w:val="auto"/>
        </w:rPr>
        <w:t>a vote AGAINST items 5 through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in favor of the merger, you must vote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both merger proposals: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Approve merger and</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related issuance of</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Exxon stock (p. I-14)</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Amendment of Exxon</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2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charter (p. III-10)</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Other annual</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meeting proposals: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Term limit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WITHHELD</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nonemployee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FOR ALL</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FROM ALL</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directors (p. IV-19)</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3. Election of</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Limitation</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300" w:type="dxa"/>
            <w:vAlign w:val="bottom"/>
          </w:tcPr>
          <w:p>
            <w:pPr>
              <w:spacing w:after="0"/>
              <w:rPr>
                <w:sz w:val="14"/>
                <w:szCs w:val="14"/>
                <w:color w:val="auto"/>
              </w:rPr>
            </w:pP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shareholder voting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IV-20)</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on climate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 IV-21)</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rPr>
              <w:t>For all nominees except as noted above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Sexual orientation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AGAINST  ABSTAIN</w:t>
            </w:r>
          </w:p>
        </w:tc>
        <w:tc>
          <w:tcPr>
            <w:tcW w:w="2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principles</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(p. IV-24)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4. Ratify</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independent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6"/>
                <w:szCs w:val="6"/>
                <w:color w:val="auto"/>
                <w:w w:val="72"/>
              </w:rPr>
              <w:t>---------------------------------------------</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accountants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(p. IV-19)</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gridSpan w:val="5"/>
          </w:tcPr>
          <w:p>
            <w:pPr>
              <w:spacing w:after="0"/>
              <w:rPr>
                <w:sz w:val="20"/>
                <w:szCs w:val="20"/>
                <w:color w:val="auto"/>
              </w:rPr>
            </w:pPr>
            <w:r>
              <w:rPr>
                <w:rFonts w:ascii="Courier New" w:cs="Courier New" w:eastAsia="Courier New" w:hAnsi="Courier New"/>
                <w:sz w:val="14"/>
                <w:szCs w:val="14"/>
                <w:color w:val="auto"/>
              </w:rPr>
              <w:t>A. I have made comments on this card</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or an attachment.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4060" w:space="160"/>
            <w:col w:w="7320"/>
          </w:cols>
          <w:pgMar w:left="220" w:top="6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2480" w:val="left"/>
          <w:tab w:leader="none" w:pos="4640" w:val="left"/>
          <w:tab w:leader="none" w:pos="7140" w:val="left"/>
        </w:tabs>
        <w:rPr>
          <w:sz w:val="20"/>
          <w:szCs w:val="20"/>
          <w:color w:val="auto"/>
        </w:rPr>
      </w:pPr>
      <w:r>
        <w:rPr>
          <w:rFonts w:ascii="Courier New" w:cs="Courier New" w:eastAsia="Courier New" w:hAnsi="Courier New"/>
          <w:sz w:val="14"/>
          <w:szCs w:val="14"/>
          <w:color w:val="auto"/>
        </w:rPr>
        <w:t>Signature: ________________</w:t>
        <w:tab/>
        <w:t>Date: ________ 1999</w:t>
      </w:r>
      <w:r>
        <w:rPr>
          <w:sz w:val="20"/>
          <w:szCs w:val="20"/>
          <w:color w:val="auto"/>
        </w:rPr>
        <w:tab/>
      </w:r>
      <w:r>
        <w:rPr>
          <w:rFonts w:ascii="Courier New" w:cs="Courier New" w:eastAsia="Courier New" w:hAnsi="Courier New"/>
          <w:sz w:val="14"/>
          <w:szCs w:val="14"/>
          <w:color w:val="auto"/>
        </w:rPr>
        <w:t>Signature: ________________</w:t>
        <w:tab/>
        <w:t>Date: ________ 1999</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NOTE: Please sign exactly as name appears hereon. When signing as attorney, executor, administrator, trustee, or guardian, please give full name as such.</w:t>
      </w:r>
    </w:p>
    <w:p>
      <w:pPr>
        <w:sectPr>
          <w:pgSz w:w="11900" w:h="16838" w:orient="portrait"/>
          <w:cols w:equalWidth="0" w:num="1">
            <w:col w:w="11540"/>
          </w:cols>
          <w:pgMar w:left="220" w:top="616" w:right="139" w:bottom="1440" w:gutter="0" w:footer="0" w:header="0"/>
          <w:type w:val="continuous"/>
        </w:sectPr>
      </w:pPr>
    </w:p>
    <w:bookmarkStart w:id="219" w:name="page220"/>
    <w:bookmarkEnd w:id="219"/>
    <w:p>
      <w:pPr>
        <w:ind w:left="2340"/>
        <w:spacing w:after="0"/>
        <w:rPr>
          <w:sz w:val="20"/>
          <w:szCs w:val="20"/>
          <w:color w:val="auto"/>
        </w:rPr>
      </w:pPr>
      <w:r>
        <w:rPr>
          <w:rFonts w:ascii="Courier New" w:cs="Courier New" w:eastAsia="Courier New" w:hAnsi="Courier New"/>
          <w:sz w:val="14"/>
          <w:szCs w:val="14"/>
          <w:color w:val="auto"/>
        </w:rPr>
        <w:t>(MAP AND DIRECTIONS)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EXXON CORPORATION</w:t>
      </w:r>
      <w:r>
        <w:rPr>
          <w:sz w:val="20"/>
          <w:szCs w:val="20"/>
          <w:color w:val="auto"/>
        </w:rPr>
        <w:tab/>
      </w:r>
      <w:r>
        <w:rPr>
          <w:rFonts w:ascii="Courier New" w:cs="Courier New" w:eastAsia="Courier New" w:hAnsi="Courier New"/>
          <w:sz w:val="14"/>
          <w:szCs w:val="14"/>
          <w:color w:val="auto"/>
        </w:rPr>
        <w:t>VOTING INSTRUCTION CARD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SOLICITED BY BOARD OF DIRECTORS</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c/o Proxy Services</w:t>
      </w:r>
      <w:r>
        <w:rPr>
          <w:sz w:val="20"/>
          <w:szCs w:val="20"/>
          <w:color w:val="auto"/>
        </w:rPr>
        <w:tab/>
      </w:r>
      <w:r>
        <w:rPr>
          <w:rFonts w:ascii="Courier New" w:cs="Courier New" w:eastAsia="Courier New" w:hAnsi="Courier New"/>
          <w:sz w:val="14"/>
          <w:szCs w:val="14"/>
          <w:color w:val="auto"/>
        </w:rPr>
        <w:t>ANNUAL MEETING, MAY 27, 1999</w:t>
      </w:r>
    </w:p>
    <w:p>
      <w:pPr>
        <w:spacing w:after="0" w:line="7"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color w:val="auto"/>
        </w:rPr>
        <w:t>P.O. Box 8033</w:t>
      </w:r>
      <w:r>
        <w:rPr>
          <w:sz w:val="20"/>
          <w:szCs w:val="20"/>
          <w:color w:val="auto"/>
        </w:rPr>
        <w:tab/>
      </w:r>
      <w:r>
        <w:rPr>
          <w:rFonts w:ascii="Courier New" w:cs="Courier New" w:eastAsia="Courier New" w:hAnsi="Courier New"/>
          <w:sz w:val="14"/>
          <w:szCs w:val="14"/>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 02266-8033</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To Trustee-Exxon Shareholder Investment Program IRA: You are hereby instructed to appoint J. Hay, W.R. Howell, P.E. Lippincott, M.C. Nelson, and L.R. Raymond, or each or any of them, with power of substitution, proxies to act and vote at the 1999 annual meeting of shareholders of Exxon Corporation and at any adjournments thereof, any shares of common stock of the Corporation in my Exxon Shareholder Investment Program IRA account, as indicated, upon all matters referred to on the reverse side and described in the proxy statement for the meeting and, at their discretion, upon any other matters that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 Election of Directors(1)</w:t>
            </w: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Nominees: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M.J. Boskin,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 Dahan,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Esrey,</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(04)</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J. Hay,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J.R. Houghton,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W.R. Howell,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R.C. King,</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(08)</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P.E. Lippincott,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H.J. Longwell,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M.C. Nelson,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L.R. Raymond,</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(12)</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W.V. Shipley,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R.E. Wilhelm.</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779"/>
        <w:spacing w:after="0" w:line="253" w:lineRule="auto"/>
        <w:rPr>
          <w:sz w:val="20"/>
          <w:szCs w:val="20"/>
          <w:color w:val="auto"/>
        </w:rPr>
      </w:pPr>
      <w:r>
        <w:rPr>
          <w:rFonts w:ascii="Courier New" w:cs="Courier New" w:eastAsia="Courier New" w:hAnsi="Courier New"/>
          <w:sz w:val="14"/>
          <w:szCs w:val="14"/>
          <w:color w:val="auto"/>
        </w:rPr>
        <w:t>If no other indication is made, the proxies shall vote (a) for the election of the director nominees and (b) in accordance with the recommendations of the Board of Directors on the other matters referred to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right="3939" w:hanging="352"/>
        <w:spacing w:after="0" w:line="255" w:lineRule="auto"/>
        <w:tabs>
          <w:tab w:leader="none" w:pos="3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front of the nominees' names are provided to assist in telephone and Internet voting.</w:t>
      </w:r>
    </w:p>
    <w:p>
      <w:pPr>
        <w:spacing w:after="0" w:line="160"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[OVER]</w:t>
      </w:r>
    </w:p>
    <w:sectPr>
      <w:pgSz w:w="11900" w:h="16838" w:orient="portrait"/>
      <w:cols w:equalWidth="0" w:num="1">
        <w:col w:w="10239"/>
      </w:cols>
      <w:pgMar w:left="220" w:top="1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9E21B5"/>
    <w:multiLevelType w:val="hybridMultilevel"/>
    <w:lvl w:ilvl="0">
      <w:lvlJc w:val="left"/>
      <w:lvlText w:val="[%1]"/>
      <w:numFmt w:val="upperLetter"/>
      <w:start w:val="24"/>
    </w:lvl>
  </w:abstractNum>
  <w:abstractNum w:abstractNumId="1">
    <w:nsid w:val="69E373"/>
    <w:multiLevelType w:val="hybridMultilevel"/>
    <w:lvl w:ilvl="0">
      <w:lvlJc w:val="left"/>
      <w:lvlText w:val="["/>
      <w:numFmt w:val="bullet"/>
      <w:start w:val="1"/>
    </w:lvl>
    <w:lvl w:ilvl="1">
      <w:lvlJc w:val="left"/>
      <w:lvlText w:val="(%2)"/>
      <w:numFmt w:val="decimal"/>
      <w:start w:val="1"/>
    </w:lvl>
  </w:abstractNum>
  <w:abstractNum w:abstractNumId="2">
    <w:nsid w:val="2C27173B"/>
    <w:multiLevelType w:val="hybridMultilevel"/>
    <w:lvl w:ilvl="0">
      <w:lvlJc w:val="left"/>
      <w:lvlText w:val="-"/>
      <w:numFmt w:val="bullet"/>
      <w:start w:val="1"/>
    </w:lvl>
  </w:abstractNum>
  <w:abstractNum w:abstractNumId="3">
    <w:nsid w:val="4C9B0904"/>
    <w:multiLevelType w:val="hybridMultilevel"/>
    <w:lvl w:ilvl="0">
      <w:lvlJc w:val="left"/>
      <w:lvlText w:val="%1:"/>
      <w:numFmt w:val="upperLetter"/>
      <w:start w:val="1"/>
    </w:lvl>
  </w:abstractNum>
  <w:abstractNum w:abstractNumId="4">
    <w:nsid w:val="6AA7B75C"/>
    <w:multiLevelType w:val="hybridMultilevel"/>
    <w:lvl w:ilvl="0">
      <w:lvlJc w:val="left"/>
      <w:lvlText w:val="%1:"/>
      <w:numFmt w:val="upperLetter"/>
      <w:start w:val="1"/>
    </w:lvl>
  </w:abstractNum>
  <w:abstractNum w:abstractNumId="5">
    <w:nsid w:val="1DF029D3"/>
    <w:multiLevelType w:val="hybridMultilevel"/>
    <w:lvl w:ilvl="0">
      <w:lvlJc w:val="left"/>
      <w:lvlText w:val="%1:"/>
      <w:numFmt w:val="upperLetter"/>
      <w:start w:val="1"/>
    </w:lvl>
  </w:abstractNum>
  <w:abstractNum w:abstractNumId="6">
    <w:nsid w:val="5675FF36"/>
    <w:multiLevelType w:val="hybridMultilevel"/>
    <w:lvl w:ilvl="0">
      <w:lvlJc w:val="left"/>
      <w:lvlText w:val="%1:"/>
      <w:numFmt w:val="upperLetter"/>
      <w:start w:val="17"/>
    </w:lvl>
  </w:abstractNum>
  <w:abstractNum w:abstractNumId="7">
    <w:nsid w:val="3DD15094"/>
    <w:multiLevelType w:val="hybridMultilevel"/>
    <w:lvl w:ilvl="0">
      <w:lvlJc w:val="left"/>
      <w:lvlText w:val="%1:"/>
      <w:numFmt w:val="upperLetter"/>
      <w:start w:val="1"/>
    </w:lvl>
  </w:abstractNum>
  <w:abstractNum w:abstractNumId="8">
    <w:nsid w:val="3DB012B3"/>
    <w:multiLevelType w:val="hybridMultilevel"/>
    <w:lvl w:ilvl="0">
      <w:lvlJc w:val="left"/>
      <w:lvlText w:val="%1:"/>
      <w:numFmt w:val="upperLetter"/>
      <w:start w:val="1"/>
    </w:lvl>
  </w:abstractNum>
  <w:abstractNum w:abstractNumId="9">
    <w:nsid w:val="2708C9AF"/>
    <w:multiLevelType w:val="hybridMultilevel"/>
    <w:lvl w:ilvl="0">
      <w:lvlJc w:val="left"/>
      <w:lvlText w:val="%1:"/>
      <w:numFmt w:val="upperLetter"/>
      <w:start w:val="1"/>
    </w:lvl>
  </w:abstractNum>
  <w:abstractNum w:abstractNumId="10">
    <w:nsid w:val="5B25ACE2"/>
    <w:multiLevelType w:val="hybridMultilevel"/>
    <w:lvl w:ilvl="0">
      <w:lvlJc w:val="left"/>
      <w:lvlText w:val="%1:"/>
      <w:numFmt w:val="upperLetter"/>
      <w:start w:val="1"/>
    </w:lvl>
  </w:abstractNum>
  <w:abstractNum w:abstractNumId="11">
    <w:nsid w:val="175DFCF0"/>
    <w:multiLevelType w:val="hybridMultilevel"/>
    <w:lvl w:ilvl="0">
      <w:lvlJc w:val="left"/>
      <w:lvlText w:val="%1:"/>
      <w:numFmt w:val="upperLetter"/>
      <w:start w:val="1"/>
    </w:lvl>
  </w:abstractNum>
  <w:abstractNum w:abstractNumId="12">
    <w:nsid w:val="4F97E3E4"/>
    <w:multiLevelType w:val="hybridMultilevel"/>
    <w:lvl w:ilvl="0">
      <w:lvlJc w:val="left"/>
      <w:lvlText w:val="o"/>
      <w:numFmt w:val="bullet"/>
      <w:start w:val="1"/>
    </w:lvl>
  </w:abstractNum>
  <w:abstractNum w:abstractNumId="13">
    <w:nsid w:val="53B0A9E"/>
    <w:multiLevelType w:val="hybridMultilevel"/>
    <w:lvl w:ilvl="0">
      <w:lvlJc w:val="left"/>
      <w:lvlText w:val="o"/>
      <w:numFmt w:val="bullet"/>
      <w:start w:val="1"/>
    </w:lvl>
  </w:abstractNum>
  <w:abstractNum w:abstractNumId="14">
    <w:nsid w:val="34FD6B4F"/>
    <w:multiLevelType w:val="hybridMultilevel"/>
    <w:lvl w:ilvl="0">
      <w:lvlJc w:val="left"/>
      <w:lvlText w:val="(%1)"/>
      <w:numFmt w:val="decimal"/>
      <w:start w:val="1"/>
    </w:lvl>
  </w:abstractNum>
  <w:abstractNum w:abstractNumId="15">
    <w:nsid w:val="5915FF32"/>
    <w:multiLevelType w:val="hybridMultilevel"/>
    <w:lvl w:ilvl="0">
      <w:lvlJc w:val="left"/>
      <w:lvlText w:val="(%1)"/>
      <w:numFmt w:val="decimal"/>
      <w:start w:val="1"/>
    </w:lvl>
  </w:abstractNum>
  <w:abstractNum w:abstractNumId="16">
    <w:nsid w:val="56438D15"/>
    <w:multiLevelType w:val="hybridMultilevel"/>
    <w:lvl w:ilvl="0">
      <w:lvlJc w:val="left"/>
      <w:lvlText w:val="o"/>
      <w:numFmt w:val="bullet"/>
      <w:start w:val="1"/>
    </w:lvl>
  </w:abstractNum>
  <w:abstractNum w:abstractNumId="17">
    <w:nsid w:val="519E3149"/>
    <w:multiLevelType w:val="hybridMultilevel"/>
    <w:lvl w:ilvl="0">
      <w:lvlJc w:val="left"/>
      <w:lvlText w:val="(%1)"/>
      <w:numFmt w:val="decimal"/>
      <w:start w:val="1"/>
    </w:lvl>
  </w:abstractNum>
  <w:abstractNum w:abstractNumId="18">
    <w:nsid w:val="2C6E4AFD"/>
    <w:multiLevelType w:val="hybridMultilevel"/>
    <w:lvl w:ilvl="0">
      <w:lvlJc w:val="left"/>
      <w:lvlText w:val="(%1)"/>
      <w:numFmt w:val="decimal"/>
      <w:start w:val="2"/>
    </w:lvl>
  </w:abstractNum>
  <w:abstractNum w:abstractNumId="19">
    <w:nsid w:val="17A1B582"/>
    <w:multiLevelType w:val="hybridMultilevel"/>
    <w:lvl w:ilvl="0">
      <w:lvlJc w:val="left"/>
      <w:lvlText w:val="o"/>
      <w:numFmt w:val="bullet"/>
      <w:start w:val="1"/>
    </w:lvl>
  </w:abstractNum>
  <w:abstractNum w:abstractNumId="20">
    <w:nsid w:val="4DF72E4E"/>
    <w:multiLevelType w:val="hybridMultilevel"/>
    <w:lvl w:ilvl="0">
      <w:lvlJc w:val="left"/>
      <w:lvlText w:val="o"/>
      <w:numFmt w:val="bullet"/>
      <w:start w:val="1"/>
    </w:lvl>
  </w:abstractNum>
  <w:abstractNum w:abstractNumId="21">
    <w:nsid w:val="5046B5A9"/>
    <w:multiLevelType w:val="hybridMultilevel"/>
    <w:lvl w:ilvl="0">
      <w:lvlJc w:val="left"/>
      <w:lvlText w:val="o"/>
      <w:numFmt w:val="bullet"/>
      <w:start w:val="1"/>
    </w:lvl>
  </w:abstractNum>
  <w:abstractNum w:abstractNumId="22">
    <w:nsid w:val="5D888A08"/>
    <w:multiLevelType w:val="hybridMultilevel"/>
    <w:lvl w:ilvl="0">
      <w:lvlJc w:val="left"/>
      <w:lvlText w:val="o"/>
      <w:numFmt w:val="bullet"/>
      <w:start w:val="1"/>
    </w:lvl>
  </w:abstractNum>
  <w:abstractNum w:abstractNumId="23">
    <w:nsid w:val="2A082C70"/>
    <w:multiLevelType w:val="hybridMultilevel"/>
    <w:lvl w:ilvl="0">
      <w:lvlJc w:val="left"/>
      <w:lvlText w:val="(%1)"/>
      <w:numFmt w:val="decimal"/>
      <w:start w:val="1"/>
    </w:lvl>
  </w:abstractNum>
  <w:abstractNum w:abstractNumId="24">
    <w:nsid w:val="5EC6AFD4"/>
    <w:multiLevelType w:val="hybridMultilevel"/>
    <w:lvl w:ilvl="0">
      <w:lvlJc w:val="left"/>
      <w:lvlText w:val="o"/>
      <w:numFmt w:val="bullet"/>
      <w:start w:val="1"/>
    </w:lvl>
  </w:abstractNum>
  <w:abstractNum w:abstractNumId="25">
    <w:nsid w:val="19E21BB2"/>
    <w:multiLevelType w:val="hybridMultilevel"/>
    <w:lvl w:ilvl="0">
      <w:lvlJc w:val="left"/>
      <w:lvlText w:val="o"/>
      <w:numFmt w:val="bullet"/>
      <w:start w:val="1"/>
    </w:lvl>
  </w:abstractNum>
  <w:abstractNum w:abstractNumId="26">
    <w:nsid w:val="75E0858A"/>
    <w:multiLevelType w:val="hybridMultilevel"/>
    <w:lvl w:ilvl="0">
      <w:lvlJc w:val="left"/>
      <w:lvlText w:val="o"/>
      <w:numFmt w:val="bullet"/>
      <w:start w:val="1"/>
    </w:lvl>
  </w:abstractNum>
  <w:abstractNum w:abstractNumId="27">
    <w:nsid w:val="57A61A29"/>
    <w:multiLevelType w:val="hybridMultilevel"/>
    <w:lvl w:ilvl="0">
      <w:lvlJc w:val="left"/>
      <w:lvlText w:val="o"/>
      <w:numFmt w:val="bullet"/>
      <w:start w:val="1"/>
    </w:lvl>
  </w:abstractNum>
  <w:abstractNum w:abstractNumId="28">
    <w:nsid w:val="5399C654"/>
    <w:multiLevelType w:val="hybridMultilevel"/>
    <w:lvl w:ilvl="0">
      <w:lvlJc w:val="left"/>
      <w:lvlText w:val="o"/>
      <w:numFmt w:val="bullet"/>
      <w:start w:val="1"/>
    </w:lvl>
  </w:abstractNum>
  <w:abstractNum w:abstractNumId="29">
    <w:nsid w:val="20EE1348"/>
    <w:multiLevelType w:val="hybridMultilevel"/>
    <w:lvl w:ilvl="0">
      <w:lvlJc w:val="left"/>
      <w:lvlText w:val="(%1)"/>
      <w:numFmt w:val="decimal"/>
      <w:start w:val="1"/>
    </w:lvl>
  </w:abstractNum>
  <w:abstractNum w:abstractNumId="30">
    <w:nsid w:val="4427069A"/>
    <w:multiLevelType w:val="hybridMultilevel"/>
    <w:lvl w:ilvl="0">
      <w:lvlJc w:val="left"/>
      <w:lvlText w:val="(%1)"/>
      <w:numFmt w:val="decimal"/>
      <w:start w:val="3"/>
    </w:lvl>
  </w:abstractNum>
  <w:abstractNum w:abstractNumId="31">
    <w:nsid w:val="B37E80A"/>
    <w:multiLevelType w:val="hybridMultilevel"/>
    <w:lvl w:ilvl="0">
      <w:lvlJc w:val="left"/>
      <w:lvlText w:val="(%1)"/>
      <w:numFmt w:val="decimal"/>
      <w:start w:val="1"/>
    </w:lvl>
  </w:abstractNum>
  <w:abstractNum w:abstractNumId="32">
    <w:nsid w:val="2157F6BC"/>
    <w:multiLevelType w:val="hybridMultilevel"/>
    <w:lvl w:ilvl="0">
      <w:lvlJc w:val="left"/>
      <w:lvlText w:val="(%1)"/>
      <w:numFmt w:val="decimal"/>
      <w:start w:val="1"/>
    </w:lvl>
  </w:abstractNum>
  <w:abstractNum w:abstractNumId="33">
    <w:nsid w:val="704E1DD5"/>
    <w:multiLevelType w:val="hybridMultilevel"/>
    <w:lvl w:ilvl="0">
      <w:lvlJc w:val="left"/>
      <w:lvlText w:val="(%1)"/>
      <w:numFmt w:val="decimal"/>
      <w:start w:val="1"/>
    </w:lvl>
  </w:abstractNum>
  <w:abstractNum w:abstractNumId="34">
    <w:nsid w:val="57D2F10E"/>
    <w:multiLevelType w:val="hybridMultilevel"/>
    <w:lvl w:ilvl="0">
      <w:lvlJc w:val="left"/>
      <w:lvlText w:val="o"/>
      <w:numFmt w:val="bullet"/>
      <w:start w:val="1"/>
    </w:lvl>
  </w:abstractNum>
  <w:abstractNum w:abstractNumId="35">
    <w:nsid w:val="BFFAE18"/>
    <w:multiLevelType w:val="hybridMultilevel"/>
    <w:lvl w:ilvl="0">
      <w:lvlJc w:val="left"/>
      <w:lvlText w:val="o"/>
      <w:numFmt w:val="bullet"/>
      <w:start w:val="1"/>
    </w:lvl>
  </w:abstractNum>
  <w:abstractNum w:abstractNumId="36">
    <w:nsid w:val="E3E47A8"/>
    <w:multiLevelType w:val="hybridMultilevel"/>
    <w:lvl w:ilvl="0">
      <w:lvlJc w:val="left"/>
      <w:lvlText w:val="o"/>
      <w:numFmt w:val="bullet"/>
      <w:start w:val="1"/>
    </w:lvl>
  </w:abstractNum>
  <w:abstractNum w:abstractNumId="37">
    <w:nsid w:val="2E48F044"/>
    <w:multiLevelType w:val="hybridMultilevel"/>
    <w:lvl w:ilvl="0">
      <w:lvlJc w:val="left"/>
      <w:lvlText w:val="(%1)"/>
      <w:numFmt w:val="lowerRoman"/>
      <w:start w:val="1"/>
    </w:lvl>
  </w:abstractNum>
  <w:abstractNum w:abstractNumId="38">
    <w:nsid w:val="49D0FEAC"/>
    <w:multiLevelType w:val="hybridMultilevel"/>
    <w:lvl w:ilvl="0">
      <w:lvlJc w:val="left"/>
      <w:lvlText w:val="(%1)"/>
      <w:numFmt w:val="decimal"/>
      <w:start w:val="1"/>
    </w:lvl>
  </w:abstractNum>
  <w:abstractNum w:abstractNumId="39">
    <w:nsid w:val="4BEE5A5B"/>
    <w:multiLevelType w:val="hybridMultilevel"/>
    <w:lvl w:ilvl="0">
      <w:lvlJc w:val="left"/>
      <w:lvlText w:val="(%1)"/>
      <w:numFmt w:val="decimal"/>
      <w:start w:val="3"/>
    </w:lvl>
  </w:abstractNum>
  <w:abstractNum w:abstractNumId="40">
    <w:nsid w:val="5551B9F3"/>
    <w:multiLevelType w:val="hybridMultilevel"/>
    <w:lvl w:ilvl="0">
      <w:lvlJc w:val="left"/>
      <w:lvlText w:val="(%1)"/>
      <w:numFmt w:val="decimal"/>
      <w:start w:val="1"/>
    </w:lvl>
  </w:abstractNum>
  <w:abstractNum w:abstractNumId="41">
    <w:nsid w:val="24F6AB8E"/>
    <w:multiLevelType w:val="hybridMultilevel"/>
    <w:lvl w:ilvl="0">
      <w:lvlJc w:val="left"/>
      <w:lvlText w:val="(%1)"/>
      <w:numFmt w:val="decimal"/>
      <w:start w:val="6"/>
    </w:lvl>
  </w:abstractNum>
  <w:abstractNum w:abstractNumId="42">
    <w:nsid w:val="634C574C"/>
    <w:multiLevelType w:val="hybridMultilevel"/>
    <w:lvl w:ilvl="0">
      <w:lvlJc w:val="left"/>
      <w:lvlText w:val="(%1)"/>
      <w:numFmt w:val="decimal"/>
      <w:start w:val="17"/>
    </w:lvl>
  </w:abstractNum>
  <w:abstractNum w:abstractNumId="43">
    <w:nsid w:val="24E99DD7"/>
    <w:multiLevelType w:val="hybridMultilevel"/>
    <w:lvl w:ilvl="0">
      <w:lvlJc w:val="left"/>
      <w:lvlText w:val="(%1)"/>
      <w:numFmt w:val="upperLetter"/>
      <w:start w:val="1"/>
    </w:lvl>
  </w:abstractNum>
  <w:abstractNum w:abstractNumId="44">
    <w:nsid w:val="2A31B62D"/>
    <w:multiLevelType w:val="hybridMultilevel"/>
    <w:lvl w:ilvl="0">
      <w:lvlJc w:val="left"/>
      <w:lvlText w:val="o"/>
      <w:numFmt w:val="bullet"/>
      <w:start w:val="1"/>
    </w:lvl>
  </w:abstractNum>
  <w:abstractNum w:abstractNumId="45">
    <w:nsid w:val="1849C29B"/>
    <w:multiLevelType w:val="hybridMultilevel"/>
    <w:lvl w:ilvl="0">
      <w:lvlJc w:val="left"/>
      <w:lvlText w:val="o"/>
      <w:numFmt w:val="bullet"/>
      <w:start w:val="1"/>
    </w:lvl>
  </w:abstractNum>
  <w:abstractNum w:abstractNumId="46">
    <w:nsid w:val="7DFF9D09"/>
    <w:multiLevelType w:val="hybridMultilevel"/>
    <w:lvl w:ilvl="0">
      <w:lvlJc w:val="left"/>
      <w:lvlText w:val="%1."/>
      <w:numFmt w:val="decimal"/>
      <w:start w:val="1"/>
    </w:lvl>
  </w:abstractNum>
  <w:abstractNum w:abstractNumId="47">
    <w:nsid w:val="754342"/>
    <w:multiLevelType w:val="hybridMultilevel"/>
    <w:lvl w:ilvl="0">
      <w:lvlJc w:val="left"/>
      <w:lvlText w:val="%1."/>
      <w:numFmt w:val="decimal"/>
      <w:start w:val="3"/>
    </w:lvl>
  </w:abstractNum>
  <w:abstractNum w:abstractNumId="48">
    <w:nsid w:val="69E7F3E5"/>
    <w:multiLevelType w:val="hybridMultilevel"/>
    <w:lvl w:ilvl="0">
      <w:lvlJc w:val="left"/>
      <w:lvlText w:val="%1."/>
      <w:numFmt w:val="decimal"/>
      <w:start w:val="4"/>
    </w:lvl>
  </w:abstractNum>
  <w:abstractNum w:abstractNumId="49">
    <w:nsid w:val="2A6DE806"/>
    <w:multiLevelType w:val="hybridMultilevel"/>
    <w:lvl w:ilvl="0">
      <w:lvlJc w:val="left"/>
      <w:lvlText w:val="o"/>
      <w:numFmt w:val="bullet"/>
      <w:start w:val="1"/>
    </w:lvl>
  </w:abstractNum>
  <w:abstractNum w:abstractNumId="50">
    <w:nsid w:val="1816F8C4"/>
    <w:multiLevelType w:val="hybridMultilevel"/>
    <w:lvl w:ilvl="0">
      <w:lvlJc w:val="left"/>
      <w:lvlText w:val="%1."/>
      <w:numFmt w:val="decimal"/>
      <w:start w:val="5"/>
    </w:lvl>
  </w:abstractNum>
  <w:abstractNum w:abstractNumId="51">
    <w:nsid w:val="37DF2233"/>
    <w:multiLevelType w:val="hybridMultilevel"/>
    <w:lvl w:ilvl="0">
      <w:lvlJc w:val="left"/>
      <w:lvlText w:val="%1."/>
      <w:numFmt w:val="decimal"/>
      <w:start w:val="6"/>
    </w:lvl>
  </w:abstractNum>
  <w:abstractNum w:abstractNumId="52">
    <w:nsid w:val="7AB49DAF"/>
    <w:multiLevelType w:val="hybridMultilevel"/>
    <w:lvl w:ilvl="0">
      <w:lvlJc w:val="left"/>
      <w:lvlText w:val="%1."/>
      <w:numFmt w:val="decimal"/>
      <w:start w:val="7"/>
    </w:lvl>
  </w:abstractNum>
  <w:abstractNum w:abstractNumId="53">
    <w:nsid w:val="759F82CD"/>
    <w:multiLevelType w:val="hybridMultilevel"/>
    <w:lvl w:ilvl="0">
      <w:lvlJc w:val="left"/>
      <w:lvlText w:val="o"/>
      <w:numFmt w:val="bullet"/>
      <w:start w:val="1"/>
    </w:lvl>
  </w:abstractNum>
  <w:abstractNum w:abstractNumId="54">
    <w:nsid w:val="61E74EA3"/>
    <w:multiLevelType w:val="hybridMultilevel"/>
    <w:lvl w:ilvl="0">
      <w:lvlJc w:val="left"/>
      <w:lvlText w:val="o"/>
      <w:numFmt w:val="bullet"/>
      <w:start w:val="1"/>
    </w:lvl>
  </w:abstractNum>
  <w:abstractNum w:abstractNumId="55">
    <w:nsid w:val="597B4D84"/>
    <w:multiLevelType w:val="hybridMultilevel"/>
    <w:lvl w:ilvl="0">
      <w:lvlJc w:val="left"/>
      <w:lvlText w:val="o"/>
      <w:numFmt w:val="bullet"/>
      <w:start w:val="1"/>
    </w:lvl>
  </w:abstractNum>
  <w:abstractNum w:abstractNumId="56">
    <w:nsid w:val="F819E7F"/>
    <w:multiLevelType w:val="hybridMultilevel"/>
    <w:lvl w:ilvl="0">
      <w:lvlJc w:val="left"/>
      <w:lvlText w:val="%1."/>
      <w:numFmt w:val="decimal"/>
      <w:start w:val="1"/>
    </w:lvl>
  </w:abstractNum>
  <w:abstractNum w:abstractNumId="57">
    <w:nsid w:val="57C7D42D"/>
    <w:multiLevelType w:val="hybridMultilevel"/>
    <w:lvl w:ilvl="0">
      <w:lvlJc w:val="left"/>
      <w:lvlText w:val="o"/>
      <w:numFmt w:val="bullet"/>
      <w:start w:val="1"/>
    </w:lvl>
  </w:abstractNum>
  <w:abstractNum w:abstractNumId="58">
    <w:nsid w:val="312167AD"/>
    <w:multiLevelType w:val="hybridMultilevel"/>
    <w:lvl w:ilvl="0">
      <w:lvlJc w:val="left"/>
      <w:lvlText w:val="%1."/>
      <w:numFmt w:val="decimal"/>
      <w:start w:val="2"/>
    </w:lvl>
  </w:abstractNum>
  <w:abstractNum w:abstractNumId="59">
    <w:nsid w:val="631B64D4"/>
    <w:multiLevelType w:val="hybridMultilevel"/>
    <w:lvl w:ilvl="0">
      <w:lvlJc w:val="left"/>
      <w:lvlText w:val="o"/>
      <w:numFmt w:val="bullet"/>
      <w:start w:val="1"/>
    </w:lvl>
  </w:abstractNum>
  <w:abstractNum w:abstractNumId="60">
    <w:nsid w:val="78B5E776"/>
    <w:multiLevelType w:val="hybridMultilevel"/>
    <w:lvl w:ilvl="0">
      <w:lvlJc w:val="left"/>
      <w:lvlText w:val="o"/>
      <w:numFmt w:val="bullet"/>
      <w:start w:val="1"/>
    </w:lvl>
  </w:abstractNum>
  <w:abstractNum w:abstractNumId="61">
    <w:nsid w:val="75486E47"/>
    <w:multiLevelType w:val="hybridMultilevel"/>
    <w:lvl w:ilvl="0">
      <w:lvlJc w:val="left"/>
      <w:lvlText w:val="%1."/>
      <w:numFmt w:val="decimal"/>
      <w:start w:val="3"/>
    </w:lvl>
  </w:abstractNum>
  <w:abstractNum w:abstractNumId="62">
    <w:nsid w:val="6E534CDE"/>
    <w:multiLevelType w:val="hybridMultilevel"/>
    <w:lvl w:ilvl="0">
      <w:lvlJc w:val="left"/>
      <w:lvlText w:val="%1."/>
      <w:numFmt w:val="decimal"/>
      <w:start w:val="4"/>
    </w:lvl>
  </w:abstractNum>
  <w:abstractNum w:abstractNumId="63">
    <w:nsid w:val="1A0DDE32"/>
    <w:multiLevelType w:val="hybridMultilevel"/>
    <w:lvl w:ilvl="0">
      <w:lvlJc w:val="left"/>
      <w:lvlText w:val="o"/>
      <w:numFmt w:val="bullet"/>
      <w:start w:val="1"/>
    </w:lvl>
  </w:abstractNum>
  <w:abstractNum w:abstractNumId="64">
    <w:nsid w:val="65968C1C"/>
    <w:multiLevelType w:val="hybridMultilevel"/>
    <w:lvl w:ilvl="0">
      <w:lvlJc w:val="left"/>
      <w:lvlText w:val="%1."/>
      <w:numFmt w:val="decimal"/>
      <w:start w:val="5"/>
    </w:lvl>
  </w:abstractNum>
  <w:abstractNum w:abstractNumId="65">
    <w:nsid w:val="46263DEC"/>
    <w:multiLevelType w:val="hybridMultilevel"/>
    <w:lvl w:ilvl="0">
      <w:lvlJc w:val="left"/>
      <w:lvlText w:val="o"/>
      <w:numFmt w:val="bullet"/>
      <w:start w:val="1"/>
    </w:lvl>
  </w:abstractNum>
  <w:abstractNum w:abstractNumId="66">
    <w:nsid w:val="260D8C4A"/>
    <w:multiLevelType w:val="hybridMultilevel"/>
    <w:lvl w:ilvl="0">
      <w:lvlJc w:val="left"/>
      <w:lvlText w:val="o"/>
      <w:numFmt w:val="bullet"/>
      <w:start w:val="1"/>
    </w:lvl>
  </w:abstractNum>
  <w:abstractNum w:abstractNumId="67">
    <w:nsid w:val="73D4D3C4"/>
    <w:multiLevelType w:val="hybridMultilevel"/>
    <w:lvl w:ilvl="0">
      <w:lvlJc w:val="left"/>
      <w:lvlText w:val="%1."/>
      <w:numFmt w:val="decimal"/>
      <w:start w:val="6"/>
    </w:lvl>
  </w:abstractNum>
  <w:abstractNum w:abstractNumId="68">
    <w:nsid w:val="746F2E30"/>
    <w:multiLevelType w:val="hybridMultilevel"/>
    <w:lvl w:ilvl="0">
      <w:lvlJc w:val="left"/>
      <w:lvlText w:val="o"/>
      <w:numFmt w:val="bullet"/>
      <w:start w:val="1"/>
    </w:lvl>
  </w:abstractNum>
  <w:abstractNum w:abstractNumId="69">
    <w:nsid w:val="6FDE8AF6"/>
    <w:multiLevelType w:val="hybridMultilevel"/>
    <w:lvl w:ilvl="0">
      <w:lvlJc w:val="left"/>
      <w:lvlText w:val="o"/>
      <w:numFmt w:val="bullet"/>
      <w:start w:val="1"/>
    </w:lvl>
  </w:abstractNum>
  <w:abstractNum w:abstractNumId="70">
    <w:nsid w:val="3FC32E20"/>
    <w:multiLevelType w:val="hybridMultilevel"/>
    <w:lvl w:ilvl="0">
      <w:lvlJc w:val="left"/>
      <w:lvlText w:val="o"/>
      <w:numFmt w:val="bullet"/>
      <w:start w:val="1"/>
    </w:lvl>
  </w:abstractNum>
  <w:abstractNum w:abstractNumId="71">
    <w:nsid w:val="49C0E823"/>
    <w:multiLevelType w:val="hybridMultilevel"/>
    <w:lvl w:ilvl="0">
      <w:lvlJc w:val="left"/>
      <w:lvlText w:val="o"/>
      <w:numFmt w:val="bullet"/>
      <w:start w:val="1"/>
    </w:lvl>
  </w:abstractNum>
  <w:abstractNum w:abstractNumId="72">
    <w:nsid w:val="14D53685"/>
    <w:multiLevelType w:val="hybridMultilevel"/>
    <w:lvl w:ilvl="0">
      <w:lvlJc w:val="left"/>
      <w:lvlText w:val="o"/>
      <w:numFmt w:val="bullet"/>
      <w:start w:val="1"/>
    </w:lvl>
  </w:abstractNum>
  <w:abstractNum w:abstractNumId="73">
    <w:nsid w:val="230F856C"/>
    <w:multiLevelType w:val="hybridMultilevel"/>
    <w:lvl w:ilvl="0">
      <w:lvlJc w:val="left"/>
      <w:lvlText w:val="o"/>
      <w:numFmt w:val="bullet"/>
      <w:start w:val="1"/>
    </w:lvl>
  </w:abstractNum>
  <w:abstractNum w:abstractNumId="74">
    <w:nsid w:val="6EAA85FB"/>
    <w:multiLevelType w:val="hybridMultilevel"/>
    <w:lvl w:ilvl="0">
      <w:lvlJc w:val="left"/>
      <w:lvlText w:val="o"/>
      <w:numFmt w:val="bullet"/>
      <w:start w:val="1"/>
    </w:lvl>
  </w:abstractNum>
  <w:abstractNum w:abstractNumId="75">
    <w:nsid w:val="3F06ECB2"/>
    <w:multiLevelType w:val="hybridMultilevel"/>
    <w:lvl w:ilvl="0">
      <w:lvlJc w:val="left"/>
      <w:lvlText w:val="o"/>
      <w:numFmt w:val="bullet"/>
      <w:start w:val="1"/>
    </w:lvl>
  </w:abstractNum>
  <w:abstractNum w:abstractNumId="76">
    <w:nsid w:val="3B594807"/>
    <w:multiLevelType w:val="hybridMultilevel"/>
    <w:lvl w:ilvl="0">
      <w:lvlJc w:val="left"/>
      <w:lvlText w:val="o"/>
      <w:numFmt w:val="bullet"/>
      <w:start w:val="1"/>
    </w:lvl>
  </w:abstractNum>
  <w:abstractNum w:abstractNumId="77">
    <w:nsid w:val="6CAA2304"/>
    <w:multiLevelType w:val="hybridMultilevel"/>
    <w:lvl w:ilvl="0">
      <w:lvlJc w:val="left"/>
      <w:lvlText w:val="*"/>
      <w:numFmt w:val="bullet"/>
      <w:start w:val="1"/>
    </w:lvl>
  </w:abstractNum>
  <w:abstractNum w:abstractNumId="78">
    <w:nsid w:val="3F7C2FF4"/>
    <w:multiLevelType w:val="hybridMultilevel"/>
    <w:lvl w:ilvl="0">
      <w:lvlJc w:val="left"/>
      <w:lvlText w:val="o"/>
      <w:numFmt w:val="bullet"/>
      <w:start w:val="1"/>
    </w:lvl>
  </w:abstractNum>
  <w:abstractNum w:abstractNumId="79">
    <w:nsid w:val="25413BEC"/>
    <w:multiLevelType w:val="hybridMultilevel"/>
    <w:lvl w:ilvl="0">
      <w:lvlJc w:val="left"/>
      <w:lvlText w:val="o"/>
      <w:numFmt w:val="bullet"/>
      <w:start w:val="1"/>
    </w:lvl>
  </w:abstractNum>
  <w:abstractNum w:abstractNumId="80">
    <w:nsid w:val="17180B0B"/>
    <w:multiLevelType w:val="hybridMultilevel"/>
    <w:lvl w:ilvl="0">
      <w:lvlJc w:val="left"/>
      <w:lvlText w:val="*"/>
      <w:numFmt w:val="bullet"/>
      <w:start w:val="1"/>
    </w:lvl>
  </w:abstractNum>
  <w:abstractNum w:abstractNumId="81">
    <w:nsid w:val="579328B9"/>
    <w:multiLevelType w:val="hybridMultilevel"/>
    <w:lvl w:ilvl="0">
      <w:lvlJc w:val="left"/>
      <w:lvlText w:val="o"/>
      <w:numFmt w:val="bullet"/>
      <w:start w:val="1"/>
    </w:lvl>
  </w:abstractNum>
  <w:abstractNum w:abstractNumId="82">
    <w:nsid w:val="5D205E20"/>
    <w:multiLevelType w:val="hybridMultilevel"/>
    <w:lvl w:ilvl="0">
      <w:lvlJc w:val="left"/>
      <w:lvlText w:val="o"/>
      <w:numFmt w:val="bullet"/>
      <w:start w:val="1"/>
    </w:lvl>
  </w:abstractNum>
  <w:abstractNum w:abstractNumId="83">
    <w:nsid w:val="11CCA8BA"/>
    <w:multiLevelType w:val="hybridMultilevel"/>
    <w:lvl w:ilvl="0">
      <w:lvlJc w:val="left"/>
      <w:lvlText w:val="o"/>
      <w:numFmt w:val="bullet"/>
      <w:start w:val="1"/>
    </w:lvl>
  </w:abstractNum>
  <w:abstractNum w:abstractNumId="84">
    <w:nsid w:val="4D32AB86"/>
    <w:multiLevelType w:val="hybridMultilevel"/>
    <w:lvl w:ilvl="0">
      <w:lvlJc w:val="left"/>
      <w:lvlText w:val="(%1)"/>
      <w:numFmt w:val="lowerLetter"/>
      <w:start w:val="1"/>
    </w:lvl>
  </w:abstractNum>
  <w:abstractNum w:abstractNumId="85">
    <w:nsid w:val="3F07ACC3"/>
    <w:multiLevelType w:val="hybridMultilevel"/>
    <w:lvl w:ilvl="0">
      <w:lvlJc w:val="left"/>
      <w:lvlText w:val="(%1)"/>
      <w:numFmt w:val="lowerLetter"/>
      <w:start w:val="2"/>
    </w:lvl>
    <w:lvl w:ilvl="1">
      <w:lvlJc w:val="left"/>
      <w:lvlText w:val="o"/>
      <w:numFmt w:val="bullet"/>
      <w:start w:val="1"/>
    </w:lvl>
  </w:abstractNum>
  <w:abstractNum w:abstractNumId="86">
    <w:nsid w:val="6B47F63E"/>
    <w:multiLevelType w:val="hybridMultilevel"/>
    <w:lvl w:ilvl="0">
      <w:lvlJc w:val="left"/>
      <w:lvlText w:val="(%1)"/>
      <w:numFmt w:val="lowerLetter"/>
      <w:start w:val="4"/>
    </w:lvl>
    <w:lvl w:ilvl="1">
      <w:lvlJc w:val="left"/>
      <w:lvlText w:val="o"/>
      <w:numFmt w:val="bullet"/>
      <w:start w:val="1"/>
    </w:lvl>
  </w:abstractNum>
  <w:abstractNum w:abstractNumId="87">
    <w:nsid w:val="5CB44A05"/>
    <w:multiLevelType w:val="hybridMultilevel"/>
    <w:lvl w:ilvl="0">
      <w:lvlJc w:val="left"/>
      <w:lvlText w:val="o"/>
      <w:numFmt w:val="bullet"/>
      <w:start w:val="1"/>
    </w:lvl>
  </w:abstractNum>
  <w:abstractNum w:abstractNumId="88">
    <w:nsid w:val="16CF80F1"/>
    <w:multiLevelType w:val="hybridMultilevel"/>
    <w:lvl w:ilvl="0">
      <w:lvlJc w:val="left"/>
      <w:lvlText w:val="(%1)"/>
      <w:numFmt w:val="decimal"/>
      <w:start w:val="1"/>
    </w:lvl>
  </w:abstractNum>
  <w:abstractNum w:abstractNumId="89">
    <w:nsid w:val="1C695DEC"/>
    <w:multiLevelType w:val="hybridMultilevel"/>
    <w:lvl w:ilvl="0">
      <w:lvlJc w:val="left"/>
      <w:lvlText w:val="(%1)"/>
      <w:numFmt w:val="decimal"/>
      <w:start w:val="1"/>
    </w:lvl>
  </w:abstractNum>
  <w:abstractNum w:abstractNumId="90">
    <w:nsid w:val="3FCFAED9"/>
    <w:multiLevelType w:val="hybridMultilevel"/>
    <w:lvl w:ilvl="0">
      <w:lvlJc w:val="left"/>
      <w:lvlText w:val="%1."/>
      <w:numFmt w:val="decimal"/>
      <w:start w:val="1"/>
    </w:lvl>
  </w:abstractNum>
  <w:abstractNum w:abstractNumId="91">
    <w:nsid w:val="F856867"/>
    <w:multiLevelType w:val="hybridMultilevel"/>
    <w:lvl w:ilvl="0">
      <w:lvlJc w:val="left"/>
      <w:lvlText w:val="*"/>
      <w:numFmt w:val="bullet"/>
      <w:start w:val="1"/>
    </w:lvl>
  </w:abstractNum>
  <w:abstractNum w:abstractNumId="92">
    <w:nsid w:val="11B1CC33"/>
    <w:multiLevelType w:val="hybridMultilevel"/>
    <w:lvl w:ilvl="0">
      <w:lvlJc w:val="left"/>
      <w:lvlText w:val="%1."/>
      <w:numFmt w:val="upperLetter"/>
      <w:start w:val="61"/>
    </w:lvl>
  </w:abstractNum>
  <w:abstractNum w:abstractNumId="93">
    <w:nsid w:val="2E22FBB7"/>
    <w:multiLevelType w:val="hybridMultilevel"/>
    <w:lvl w:ilvl="0">
      <w:lvlJc w:val="left"/>
      <w:lvlText w:val="*"/>
      <w:numFmt w:val="bullet"/>
      <w:start w:val="1"/>
    </w:lvl>
  </w:abstractNum>
  <w:abstractNum w:abstractNumId="94">
    <w:nsid w:val="29934699"/>
    <w:multiLevelType w:val="hybridMultilevel"/>
    <w:lvl w:ilvl="0">
      <w:lvlJc w:val="left"/>
      <w:lvlText w:val="*"/>
      <w:numFmt w:val="bullet"/>
      <w:start w:val="1"/>
    </w:lvl>
  </w:abstractNum>
  <w:abstractNum w:abstractNumId="95">
    <w:nsid w:val="77485850"/>
    <w:multiLevelType w:val="hybridMultilevel"/>
    <w:lvl w:ilvl="0">
      <w:lvlJc w:val="left"/>
      <w:lvlText w:val="o"/>
      <w:numFmt w:val="bullet"/>
      <w:start w:val="1"/>
    </w:lvl>
  </w:abstractNum>
  <w:abstractNum w:abstractNumId="96">
    <w:nsid w:val="744939A3"/>
    <w:multiLevelType w:val="hybridMultilevel"/>
    <w:lvl w:ilvl="0">
      <w:lvlJc w:val="left"/>
      <w:lvlText w:val="o"/>
      <w:numFmt w:val="bullet"/>
      <w:start w:val="1"/>
    </w:lvl>
  </w:abstractNum>
  <w:abstractNum w:abstractNumId="97">
    <w:nsid w:val="4FA0D2E3"/>
    <w:multiLevelType w:val="hybridMultilevel"/>
    <w:lvl w:ilvl="0">
      <w:lvlJc w:val="left"/>
      <w:lvlText w:val="*"/>
      <w:numFmt w:val="bullet"/>
      <w:start w:val="1"/>
    </w:lvl>
  </w:abstractNum>
  <w:abstractNum w:abstractNumId="98">
    <w:nsid w:val="6B1D2C14"/>
    <w:multiLevelType w:val="hybridMultilevel"/>
    <w:lvl w:ilvl="0">
      <w:lvlJc w:val="left"/>
      <w:lvlText w:val="o"/>
      <w:numFmt w:val="bullet"/>
      <w:start w:val="1"/>
    </w:lvl>
  </w:abstractNum>
  <w:abstractNum w:abstractNumId="99">
    <w:nsid w:val="68B867D3"/>
    <w:multiLevelType w:val="hybridMultilevel"/>
    <w:lvl w:ilvl="0">
      <w:lvlJc w:val="left"/>
      <w:lvlText w:val="*"/>
      <w:numFmt w:val="bullet"/>
      <w:start w:val="1"/>
    </w:lvl>
  </w:abstractNum>
  <w:abstractNum w:abstractNumId="100">
    <w:nsid w:val="3F7F5DD9"/>
    <w:multiLevelType w:val="hybridMultilevel"/>
    <w:lvl w:ilvl="0">
      <w:lvlJc w:val="left"/>
      <w:lvlText w:val="(%1)"/>
      <w:numFmt w:val="decimal"/>
      <w:start w:val="1"/>
    </w:lvl>
  </w:abstractNum>
  <w:abstractNum w:abstractNumId="101">
    <w:nsid w:val="2AE05A34"/>
    <w:multiLevelType w:val="hybridMultilevel"/>
    <w:lvl w:ilvl="0">
      <w:lvlJc w:val="left"/>
      <w:lvlText w:val="*"/>
      <w:numFmt w:val="bullet"/>
      <w:start w:val="1"/>
    </w:lvl>
  </w:abstractNum>
  <w:abstractNum w:abstractNumId="102">
    <w:nsid w:val="32794FF7"/>
    <w:multiLevelType w:val="hybridMultilevel"/>
    <w:lvl w:ilvl="0">
      <w:lvlJc w:val="left"/>
      <w:lvlText w:val="(%1)"/>
      <w:numFmt w:val="decimal"/>
      <w:start w:val="1"/>
    </w:lvl>
  </w:abstractNum>
  <w:abstractNum w:abstractNumId="103">
    <w:nsid w:val="5454945E"/>
    <w:multiLevelType w:val="hybridMultilevel"/>
    <w:lvl w:ilvl="0">
      <w:lvlJc w:val="left"/>
      <w:lvlText w:val="o"/>
      <w:numFmt w:val="bullet"/>
      <w:start w:val="1"/>
    </w:lvl>
  </w:abstractNum>
  <w:abstractNum w:abstractNumId="104">
    <w:nsid w:val="4DEFDFA0"/>
    <w:multiLevelType w:val="hybridMultilevel"/>
    <w:lvl w:ilvl="0">
      <w:lvlJc w:val="left"/>
      <w:lvlText w:val="(%1)"/>
      <w:numFmt w:val="decimal"/>
      <w:start w:val="1"/>
    </w:lvl>
    <w:lvl w:ilvl="1">
      <w:lvlJc w:val="left"/>
      <w:lvlText w:val="(%2)"/>
      <w:numFmt w:val="decimal"/>
      <w:start w:val="6"/>
    </w:lvl>
  </w:abstractNum>
  <w:abstractNum w:abstractNumId="105">
    <w:nsid w:val="2123D5F2"/>
    <w:multiLevelType w:val="hybridMultilevel"/>
    <w:lvl w:ilvl="0">
      <w:lvlJc w:val="left"/>
      <w:lvlText w:val="(%1)"/>
      <w:numFmt w:val="decimal"/>
      <w:start w:val="1"/>
    </w:lvl>
  </w:abstractNum>
  <w:abstractNum w:abstractNumId="106">
    <w:nsid w:val="135B8110"/>
    <w:multiLevelType w:val="hybridMultilevel"/>
    <w:lvl w:ilvl="0">
      <w:lvlJc w:val="left"/>
      <w:lvlText w:val="*"/>
      <w:numFmt w:val="bullet"/>
      <w:start w:val="1"/>
    </w:lvl>
  </w:abstractNum>
  <w:abstractNum w:abstractNumId="107">
    <w:nsid w:val="94927A8"/>
    <w:multiLevelType w:val="hybridMultilevel"/>
    <w:lvl w:ilvl="0">
      <w:lvlJc w:val="left"/>
      <w:lvlText w:val="*"/>
      <w:numFmt w:val="bullet"/>
      <w:start w:val="1"/>
    </w:lvl>
  </w:abstractNum>
  <w:abstractNum w:abstractNumId="108">
    <w:nsid w:val="DCDF8F6"/>
    <w:multiLevelType w:val="hybridMultilevel"/>
    <w:lvl w:ilvl="0">
      <w:lvlJc w:val="left"/>
      <w:lvlText w:val="*"/>
      <w:numFmt w:val="bullet"/>
      <w:start w:val="1"/>
    </w:lvl>
  </w:abstractNum>
  <w:abstractNum w:abstractNumId="109">
    <w:nsid w:val="52D7B105"/>
    <w:multiLevelType w:val="hybridMultilevel"/>
    <w:lvl w:ilvl="0">
      <w:lvlJc w:val="left"/>
      <w:lvlText w:val="--"/>
      <w:numFmt w:val="bullet"/>
      <w:start w:val="1"/>
    </w:lvl>
  </w:abstractNum>
  <w:abstractNum w:abstractNumId="110">
    <w:nsid w:val="2E8A6394"/>
    <w:multiLevelType w:val="hybridMultilevel"/>
    <w:lvl w:ilvl="0">
      <w:lvlJc w:val="left"/>
      <w:lvlText w:val="%1."/>
      <w:numFmt w:val="decimal"/>
      <w:start w:val="1"/>
    </w:lvl>
  </w:abstractNum>
  <w:abstractNum w:abstractNumId="111">
    <w:nsid w:val="24E60401"/>
    <w:multiLevelType w:val="hybridMultilevel"/>
    <w:lvl w:ilvl="0">
      <w:lvlJc w:val="left"/>
      <w:lvlText w:val="--"/>
      <w:numFmt w:val="bullet"/>
      <w:start w:val="1"/>
    </w:lvl>
  </w:abstractNum>
  <w:abstractNum w:abstractNumId="112">
    <w:nsid w:val="2A6AD9BE"/>
    <w:multiLevelType w:val="hybridMultilevel"/>
    <w:lvl w:ilvl="0">
      <w:lvlJc w:val="left"/>
      <w:lvlText w:val="%1."/>
      <w:numFmt w:val="decimal"/>
      <w:start w:val="1"/>
    </w:lvl>
  </w:abstractNum>
  <w:abstractNum w:abstractNumId="113">
    <w:nsid w:val="BAAC1B4"/>
    <w:multiLevelType w:val="hybridMultilevel"/>
    <w:lvl w:ilvl="0">
      <w:lvlJc w:val="left"/>
      <w:lvlText w:val="%1."/>
      <w:numFmt w:val="decimal"/>
      <w:start w:val="6"/>
    </w:lvl>
  </w:abstractNum>
  <w:abstractNum w:abstractNumId="114">
    <w:nsid w:val="36B2ACBC"/>
    <w:multiLevelType w:val="hybridMultilevel"/>
    <w:lvl w:ilvl="0">
      <w:lvlJc w:val="left"/>
      <w:lvlText w:val="o"/>
      <w:numFmt w:val="bullet"/>
      <w:start w:val="1"/>
    </w:lvl>
  </w:abstractNum>
  <w:abstractNum w:abstractNumId="115">
    <w:nsid w:val="779D8544"/>
    <w:multiLevelType w:val="hybridMultilevel"/>
    <w:lvl w:ilvl="0">
      <w:lvlJc w:val="left"/>
      <w:lvlText w:val="(%1)"/>
      <w:numFmt w:val="lowerRoman"/>
      <w:start w:val="3"/>
    </w:lvl>
  </w:abstractNum>
  <w:abstractNum w:abstractNumId="116">
    <w:nsid w:val="4AB26E78"/>
    <w:multiLevelType w:val="hybridMultilevel"/>
    <w:lvl w:ilvl="0">
      <w:lvlJc w:val="left"/>
      <w:lvlText w:val="(%1)"/>
      <w:numFmt w:val="decimal"/>
      <w:start w:val="5"/>
    </w:lvl>
  </w:abstractNum>
  <w:abstractNum w:abstractNumId="117">
    <w:nsid w:val="21FAA2FA"/>
    <w:multiLevelType w:val="hybridMultilevel"/>
    <w:lvl w:ilvl="0">
      <w:lvlJc w:val="left"/>
      <w:lvlText w:val="(%1)"/>
      <w:numFmt w:val="decimal"/>
      <w:start w:val="1"/>
    </w:lvl>
  </w:abstractNum>
  <w:abstractNum w:abstractNumId="118">
    <w:nsid w:val="5451CF49"/>
    <w:multiLevelType w:val="hybridMultilevel"/>
    <w:lvl w:ilvl="0">
      <w:lvlJc w:val="left"/>
      <w:lvlText w:val="(%1)"/>
      <w:numFmt w:val="decimal"/>
      <w:start w:val="1"/>
    </w:lvl>
  </w:abstractNum>
  <w:abstractNum w:abstractNumId="119">
    <w:nsid w:val="6181EF69"/>
    <w:multiLevelType w:val="hybridMultilevel"/>
    <w:lvl w:ilvl="0">
      <w:lvlJc w:val="left"/>
      <w:lvlText w:val="(%1)"/>
      <w:numFmt w:val="decimal"/>
      <w:start w:val="1"/>
    </w:lvl>
  </w:abstractNum>
  <w:abstractNum w:abstractNumId="120">
    <w:nsid w:val="3E6400E6"/>
    <w:multiLevelType w:val="hybridMultilevel"/>
    <w:lvl w:ilvl="0">
      <w:lvlJc w:val="left"/>
      <w:lvlText w:val="(%1)"/>
      <w:numFmt w:val="decimal"/>
      <w:start w:val="1"/>
    </w:lvl>
  </w:abstractNum>
  <w:abstractNum w:abstractNumId="121">
    <w:nsid w:val="14217E23"/>
    <w:multiLevelType w:val="hybridMultilevel"/>
    <w:lvl w:ilvl="0">
      <w:lvlJc w:val="left"/>
      <w:lvlText w:val="*"/>
      <w:numFmt w:val="bullet"/>
      <w:start w:val="1"/>
    </w:lvl>
  </w:abstractNum>
  <w:abstractNum w:abstractNumId="122">
    <w:nsid w:val="710757D0"/>
    <w:multiLevelType w:val="hybridMultilevel"/>
    <w:lvl w:ilvl="0">
      <w:lvlJc w:val="left"/>
      <w:lvlText w:val="(%1)"/>
      <w:numFmt w:val="lowerLetter"/>
      <w:start w:val="2"/>
    </w:lvl>
    <w:lvl w:ilvl="1">
      <w:lvlJc w:val="left"/>
      <w:lvlText w:val="(%2)"/>
      <w:numFmt w:val="lowerLetter"/>
      <w:start w:val="4"/>
    </w:lvl>
  </w:abstractNum>
  <w:abstractNum w:abstractNumId="123">
    <w:nsid w:val="5015CD1A"/>
    <w:multiLevelType w:val="hybridMultilevel"/>
    <w:lvl w:ilvl="0">
      <w:lvlJc w:val="left"/>
      <w:lvlText w:val="%1"/>
      <w:numFmt w:val="lowerLetter"/>
      <w:start w:val="1"/>
    </w:lvl>
    <w:lvl w:ilvl="1">
      <w:lvlJc w:val="left"/>
      <w:lvlText w:val="(%2)"/>
      <w:numFmt w:val="lowerRoman"/>
      <w:start w:val="1"/>
    </w:lvl>
  </w:abstractNum>
  <w:abstractNum w:abstractNumId="124">
    <w:nsid w:val="424479DA"/>
    <w:multiLevelType w:val="hybridMultilevel"/>
    <w:lvl w:ilvl="0">
      <w:lvlJc w:val="left"/>
      <w:lvlText w:val="(%1)"/>
      <w:numFmt w:val="lowerLetter"/>
      <w:start w:val="2"/>
    </w:lvl>
    <w:lvl w:ilvl="1">
      <w:lvlJc w:val="left"/>
      <w:lvlText w:val="%2"/>
      <w:numFmt w:val="lowerRoman"/>
      <w:start w:val="1"/>
    </w:lvl>
  </w:abstractNum>
  <w:abstractNum w:abstractNumId="125">
    <w:nsid w:val="1A9A9E69"/>
    <w:multiLevelType w:val="hybridMultilevel"/>
    <w:lvl w:ilvl="0">
      <w:lvlJc w:val="left"/>
      <w:lvlText w:val="(%1)"/>
      <w:numFmt w:val="lowerLetter"/>
      <w:start w:val="4"/>
    </w:lvl>
  </w:abstractNum>
  <w:abstractNum w:abstractNumId="126">
    <w:nsid w:val="475E256A"/>
    <w:multiLevelType w:val="hybridMultilevel"/>
    <w:lvl w:ilvl="0">
      <w:lvlJc w:val="left"/>
      <w:lvlText w:val="(%1)"/>
      <w:numFmt w:val="lowerLetter"/>
      <w:start w:val="2"/>
    </w:lvl>
  </w:abstractNum>
  <w:abstractNum w:abstractNumId="127">
    <w:nsid w:val="368DB37E"/>
    <w:multiLevelType w:val="hybridMultilevel"/>
    <w:lvl w:ilvl="0">
      <w:lvlJc w:val="left"/>
      <w:lvlText w:val="(%1)"/>
      <w:numFmt w:val="lowerLetter"/>
      <w:start w:val="6"/>
    </w:lvl>
  </w:abstractNum>
  <w:abstractNum w:abstractNumId="128">
    <w:nsid w:val="6A3B714C"/>
    <w:multiLevelType w:val="hybridMultilevel"/>
    <w:lvl w:ilvl="0">
      <w:lvlJc w:val="left"/>
      <w:lvlText w:val="(%1)"/>
      <w:numFmt w:val="lowerLetter"/>
      <w:start w:val="2"/>
    </w:lvl>
  </w:abstractNum>
  <w:abstractNum w:abstractNumId="129">
    <w:nsid w:val="327B517E"/>
    <w:multiLevelType w:val="hybridMultilevel"/>
    <w:lvl w:ilvl="0">
      <w:lvlJc w:val="left"/>
      <w:lvlText w:val="(%1)"/>
      <w:numFmt w:val="lowerLetter"/>
      <w:start w:val="4"/>
    </w:lvl>
  </w:abstractNum>
  <w:abstractNum w:abstractNumId="130">
    <w:nsid w:val="1F461B51"/>
    <w:multiLevelType w:val="hybridMultilevel"/>
    <w:lvl w:ilvl="0">
      <w:lvlJc w:val="left"/>
      <w:lvlText w:val="(%1)"/>
      <w:numFmt w:val="lowerLetter"/>
      <w:start w:val="2"/>
    </w:lvl>
  </w:abstractNum>
  <w:abstractNum w:abstractNumId="131">
    <w:nsid w:val="29BACF25"/>
    <w:multiLevelType w:val="hybridMultilevel"/>
    <w:lvl w:ilvl="0">
      <w:lvlJc w:val="left"/>
      <w:lvlText w:val="(%1)"/>
      <w:numFmt w:val="lowerLetter"/>
      <w:start w:val="3"/>
    </w:lvl>
  </w:abstractNum>
  <w:abstractNum w:abstractNumId="132">
    <w:nsid w:val="5D5BABB3"/>
    <w:multiLevelType w:val="hybridMultilevel"/>
    <w:lvl w:ilvl="0">
      <w:lvlJc w:val="left"/>
      <w:lvlText w:val="(%1)"/>
      <w:numFmt w:val="lowerLetter"/>
      <w:start w:val="2"/>
    </w:lvl>
  </w:abstractNum>
  <w:abstractNum w:abstractNumId="133">
    <w:nsid w:val="51BF6B48"/>
    <w:multiLevelType w:val="hybridMultilevel"/>
    <w:lvl w:ilvl="0">
      <w:lvlJc w:val="left"/>
      <w:lvlText w:val="(%1)"/>
      <w:numFmt w:val="lowerLetter"/>
      <w:start w:val="25"/>
    </w:lvl>
  </w:abstractNum>
  <w:abstractNum w:abstractNumId="134">
    <w:nsid w:val="7E0F6384"/>
    <w:multiLevelType w:val="hybridMultilevel"/>
    <w:lvl w:ilvl="0">
      <w:lvlJc w:val="left"/>
      <w:lvlText w:val="(%1)"/>
      <w:numFmt w:val="lowerLetter"/>
      <w:start w:val="2"/>
    </w:lvl>
  </w:abstractNum>
  <w:abstractNum w:abstractNumId="135">
    <w:nsid w:val="2B4B8B53"/>
    <w:multiLevelType w:val="hybridMultilevel"/>
    <w:lvl w:ilvl="0">
      <w:lvlJc w:val="left"/>
      <w:lvlText w:val="(%1)"/>
      <w:numFmt w:val="lowerLetter"/>
      <w:start w:val="1"/>
    </w:lvl>
  </w:abstractNum>
  <w:abstractNum w:abstractNumId="136">
    <w:nsid w:val="72E3413A"/>
    <w:multiLevelType w:val="hybridMultilevel"/>
    <w:lvl w:ilvl="0">
      <w:lvlJc w:val="left"/>
      <w:lvlText w:val="(%1)"/>
      <w:numFmt w:val="lowerLetter"/>
      <w:start w:val="5"/>
    </w:lvl>
  </w:abstractNum>
  <w:abstractNum w:abstractNumId="137">
    <w:nsid w:val="116AE494"/>
    <w:multiLevelType w:val="hybridMultilevel"/>
    <w:lvl w:ilvl="0">
      <w:lvlJc w:val="left"/>
      <w:lvlText w:val="(%1)"/>
      <w:numFmt w:val="lowerLetter"/>
      <w:start w:val="2"/>
    </w:lvl>
  </w:abstractNum>
  <w:abstractNum w:abstractNumId="138">
    <w:nsid w:val="3494B2FB"/>
    <w:multiLevelType w:val="hybridMultilevel"/>
    <w:lvl w:ilvl="0">
      <w:lvlJc w:val="left"/>
      <w:lvlText w:val="(%1)"/>
      <w:numFmt w:val="lowerLetter"/>
      <w:start w:val="2"/>
    </w:lvl>
  </w:abstractNum>
  <w:abstractNum w:abstractNumId="139">
    <w:nsid w:val="B13A31"/>
    <w:multiLevelType w:val="hybridMultilevel"/>
    <w:lvl w:ilvl="0">
      <w:lvlJc w:val="left"/>
      <w:lvlText w:val="(%1)"/>
      <w:numFmt w:val="lowerLetter"/>
      <w:start w:val="2"/>
    </w:lvl>
  </w:abstractNum>
  <w:abstractNum w:abstractNumId="140">
    <w:nsid w:val="64429599"/>
    <w:multiLevelType w:val="hybridMultilevel"/>
    <w:lvl w:ilvl="0">
      <w:lvlJc w:val="left"/>
      <w:lvlText w:val="(%1)"/>
      <w:numFmt w:val="lowerLetter"/>
      <w:start w:val="1"/>
    </w:lvl>
  </w:abstractNum>
  <w:abstractNum w:abstractNumId="141">
    <w:nsid w:val="631F1690"/>
    <w:multiLevelType w:val="hybridMultilevel"/>
    <w:lvl w:ilvl="0">
      <w:lvlJc w:val="left"/>
      <w:lvlText w:val="(%1)"/>
      <w:numFmt w:val="lowerLetter"/>
      <w:start w:val="5"/>
    </w:lvl>
  </w:abstractNum>
  <w:abstractNum w:abstractNumId="142">
    <w:nsid w:val="25973E32"/>
    <w:multiLevelType w:val="hybridMultilevel"/>
    <w:lvl w:ilvl="0">
      <w:lvlJc w:val="left"/>
      <w:lvlText w:val="%1"/>
      <w:numFmt w:val="lowerLetter"/>
      <w:start w:val="1"/>
    </w:lvl>
    <w:lvl w:ilvl="1">
      <w:lvlJc w:val="left"/>
      <w:lvlText w:val="(%2)"/>
      <w:numFmt w:val="lowerLetter"/>
      <w:start w:val="1"/>
    </w:lvl>
  </w:abstractNum>
  <w:abstractNum w:abstractNumId="143">
    <w:nsid w:val="EAD6F57"/>
    <w:multiLevelType w:val="hybridMultilevel"/>
    <w:lvl w:ilvl="0">
      <w:lvlJc w:val="left"/>
      <w:lvlText w:val="(%1)"/>
      <w:numFmt w:val="lowerLetter"/>
      <w:start w:val="2"/>
    </w:lvl>
    <w:lvl w:ilvl="1">
      <w:lvlJc w:val="left"/>
      <w:lvlText w:val="%2"/>
      <w:numFmt w:val="lowerLetter"/>
      <w:start w:val="1"/>
    </w:lvl>
  </w:abstractNum>
  <w:abstractNum w:abstractNumId="144">
    <w:nsid w:val="6EC9D844"/>
    <w:multiLevelType w:val="hybridMultilevel"/>
    <w:lvl w:ilvl="0">
      <w:lvlJc w:val="left"/>
      <w:lvlText w:val="(%1)"/>
      <w:numFmt w:val="lowerLetter"/>
      <w:start w:val="2"/>
    </w:lvl>
  </w:abstractNum>
  <w:abstractNum w:abstractNumId="145">
    <w:nsid w:val="5C49EAEE"/>
    <w:multiLevelType w:val="hybridMultilevel"/>
    <w:lvl w:ilvl="0">
      <w:lvlJc w:val="left"/>
      <w:lvlText w:val="(%1)"/>
      <w:numFmt w:val="lowerLetter"/>
      <w:start w:val="7"/>
    </w:lvl>
  </w:abstractNum>
  <w:abstractNum w:abstractNumId="146">
    <w:nsid w:val="64AF49B"/>
    <w:multiLevelType w:val="hybridMultilevel"/>
    <w:lvl w:ilvl="0">
      <w:lvlJc w:val="left"/>
      <w:lvlText w:val="(%1)"/>
      <w:numFmt w:val="lowerLetter"/>
      <w:start w:val="2"/>
    </w:lvl>
  </w:abstractNum>
  <w:abstractNum w:abstractNumId="147">
    <w:nsid w:val="397C46BC"/>
    <w:multiLevelType w:val="hybridMultilevel"/>
    <w:lvl w:ilvl="0">
      <w:lvlJc w:val="left"/>
      <w:lvlText w:val="(%1)"/>
      <w:numFmt w:val="lowerLetter"/>
      <w:start w:val="2"/>
    </w:lvl>
  </w:abstractNum>
  <w:abstractNum w:abstractNumId="148">
    <w:nsid w:val="7E448DE9"/>
    <w:multiLevelType w:val="hybridMultilevel"/>
    <w:lvl w:ilvl="0">
      <w:lvlJc w:val="left"/>
      <w:lvlText w:val="&amp;"/>
      <w:numFmt w:val="bullet"/>
      <w:start w:val="1"/>
    </w:lvl>
  </w:abstractNum>
  <w:abstractNum w:abstractNumId="149">
    <w:nsid w:val="5A9CC3E5"/>
    <w:multiLevelType w:val="hybridMultilevel"/>
    <w:lvl w:ilvl="0">
      <w:lvlJc w:val="left"/>
      <w:lvlText w:val="%1"/>
      <w:numFmt w:val="lowerLetter"/>
      <w:start w:val="1"/>
    </w:lvl>
    <w:lvl w:ilvl="1">
      <w:lvlJc w:val="left"/>
      <w:lvlText w:val="(%2)"/>
      <w:numFmt w:val="lowerLetter"/>
      <w:start w:val="2"/>
    </w:lvl>
  </w:abstractNum>
  <w:abstractNum w:abstractNumId="150">
    <w:nsid w:val="1AFE3625"/>
    <w:multiLevelType w:val="hybridMultilevel"/>
    <w:lvl w:ilvl="0">
      <w:lvlJc w:val="left"/>
      <w:lvlText w:val="(%1)"/>
      <w:numFmt w:val="lowerLetter"/>
      <w:start w:val="9"/>
    </w:lvl>
    <w:lvl w:ilvl="1">
      <w:lvlJc w:val="left"/>
      <w:lvlText w:val="%2"/>
      <w:numFmt w:val="lowerLetter"/>
      <w:start w:val="1"/>
    </w:lvl>
  </w:abstractNum>
  <w:abstractNum w:abstractNumId="151">
    <w:nsid w:val="3CA88ECF"/>
    <w:multiLevelType w:val="hybridMultilevel"/>
    <w:lvl w:ilvl="0">
      <w:lvlJc w:val="left"/>
      <w:lvlText w:val="(%1)"/>
      <w:numFmt w:val="lowerLetter"/>
      <w:start w:val="4"/>
    </w:lvl>
  </w:abstractNum>
  <w:abstractNum w:abstractNumId="152">
    <w:nsid w:val="6EBE4208"/>
    <w:multiLevelType w:val="hybridMultilevel"/>
    <w:lvl w:ilvl="0">
      <w:lvlJc w:val="left"/>
      <w:lvlText w:val="(%1)"/>
      <w:numFmt w:val="lowerLetter"/>
      <w:start w:val="2"/>
    </w:lvl>
  </w:abstractNum>
  <w:abstractNum w:abstractNumId="153">
    <w:nsid w:val="C058DF5"/>
    <w:multiLevelType w:val="hybridMultilevel"/>
    <w:lvl w:ilvl="0">
      <w:lvlJc w:val="left"/>
      <w:lvlText w:val="(%1)"/>
      <w:numFmt w:val="lowerLetter"/>
      <w:start w:val="2"/>
    </w:lvl>
  </w:abstractNum>
  <w:abstractNum w:abstractNumId="154">
    <w:nsid w:val="CBE5BE9"/>
    <w:multiLevelType w:val="hybridMultilevel"/>
    <w:lvl w:ilvl="0">
      <w:lvlJc w:val="left"/>
      <w:lvlText w:val="(%1)"/>
      <w:numFmt w:val="lowerLetter"/>
      <w:start w:val="2"/>
    </w:lvl>
  </w:abstractNum>
  <w:abstractNum w:abstractNumId="155">
    <w:nsid w:val="3102BBE2"/>
    <w:multiLevelType w:val="hybridMultilevel"/>
    <w:lvl w:ilvl="0">
      <w:lvlJc w:val="left"/>
      <w:lvlText w:val="(%1)"/>
      <w:numFmt w:val="lowerLetter"/>
      <w:start w:val="1"/>
    </w:lvl>
  </w:abstractNum>
  <w:abstractNum w:abstractNumId="156">
    <w:nsid w:val="26A02C5E"/>
    <w:multiLevelType w:val="hybridMultilevel"/>
    <w:lvl w:ilvl="0">
      <w:lvlJc w:val="left"/>
      <w:lvlText w:val="(%1)"/>
      <w:numFmt w:val="lowerLetter"/>
      <w:start w:val="1"/>
    </w:lvl>
  </w:abstractNum>
  <w:abstractNum w:abstractNumId="157">
    <w:nsid w:val="541C8153"/>
    <w:multiLevelType w:val="hybridMultilevel"/>
    <w:lvl w:ilvl="0">
      <w:lvlJc w:val="left"/>
      <w:lvlText w:val="(%1)"/>
      <w:numFmt w:val="lowerRoman"/>
      <w:start w:val="2"/>
    </w:lvl>
  </w:abstractNum>
  <w:abstractNum w:abstractNumId="158">
    <w:nsid w:val="67906F60"/>
    <w:multiLevelType w:val="hybridMultilevel"/>
    <w:lvl w:ilvl="0">
      <w:lvlJc w:val="left"/>
      <w:lvlText w:val="(%1)"/>
      <w:numFmt w:val="lowerLetter"/>
      <w:start w:val="2"/>
    </w:lvl>
  </w:abstractNum>
  <w:abstractNum w:abstractNumId="159">
    <w:nsid w:val="10DB9DAA"/>
    <w:multiLevelType w:val="hybridMultilevel"/>
    <w:lvl w:ilvl="0">
      <w:lvlJc w:val="left"/>
      <w:lvlText w:val="(%1)"/>
      <w:numFmt w:val="lowerLetter"/>
      <w:start w:val="2"/>
    </w:lvl>
  </w:abstractNum>
  <w:abstractNum w:abstractNumId="160">
    <w:nsid w:val="697D2D2"/>
    <w:multiLevelType w:val="hybridMultilevel"/>
    <w:lvl w:ilvl="0">
      <w:lvlJc w:val="left"/>
      <w:lvlText w:val="%1"/>
      <w:numFmt w:val="lowerLetter"/>
      <w:start w:val="1"/>
    </w:lvl>
    <w:lvl w:ilvl="1">
      <w:lvlJc w:val="left"/>
      <w:lvlText w:val="(%2)"/>
      <w:numFmt w:val="lowerLetter"/>
      <w:start w:val="1"/>
    </w:lvl>
  </w:abstractNum>
  <w:abstractNum w:abstractNumId="161">
    <w:nsid w:val="6D68AB2"/>
    <w:multiLevelType w:val="hybridMultilevel"/>
    <w:lvl w:ilvl="0">
      <w:lvlJc w:val="left"/>
      <w:lvlText w:val="(%1)"/>
      <w:numFmt w:val="lowerLetter"/>
      <w:start w:val="35"/>
    </w:lvl>
    <w:lvl w:ilvl="1">
      <w:lvlJc w:val="left"/>
      <w:lvlText w:val="%2"/>
      <w:numFmt w:val="lowerLetter"/>
      <w:start w:val="1"/>
    </w:lvl>
  </w:abstractNum>
  <w:abstractNum w:abstractNumId="162">
    <w:nsid w:val="3A966CD0"/>
    <w:multiLevelType w:val="hybridMultilevel"/>
    <w:lvl w:ilvl="0">
      <w:lvlJc w:val="left"/>
      <w:lvlText w:val="%1"/>
      <w:numFmt w:val="lowerLetter"/>
      <w:start w:val="1"/>
    </w:lvl>
    <w:lvl w:ilvl="1">
      <w:lvlJc w:val="left"/>
      <w:lvlText w:val="(%2)"/>
      <w:numFmt w:val="lowerLetter"/>
      <w:start w:val="4"/>
    </w:lvl>
  </w:abstractNum>
  <w:abstractNum w:abstractNumId="163">
    <w:nsid w:val="63F37E85"/>
    <w:multiLevelType w:val="hybridMultilevel"/>
    <w:lvl w:ilvl="0">
      <w:lvlJc w:val="left"/>
      <w:lvlText w:val="(%1)"/>
      <w:numFmt w:val="lowerLetter"/>
      <w:start w:val="25"/>
    </w:lvl>
    <w:lvl w:ilvl="1">
      <w:lvlJc w:val="left"/>
      <w:lvlText w:val="(%2)"/>
      <w:numFmt w:val="lowerLetter"/>
      <w:start w:val="6"/>
    </w:lvl>
  </w:abstractNum>
  <w:abstractNum w:abstractNumId="164">
    <w:nsid w:val="5895F5FA"/>
    <w:multiLevelType w:val="hybridMultilevel"/>
    <w:lvl w:ilvl="0">
      <w:lvlJc w:val="left"/>
      <w:lvlText w:val="(%1)"/>
      <w:numFmt w:val="lowerLetter"/>
      <w:start w:val="9"/>
    </w:lvl>
  </w:abstractNum>
  <w:abstractNum w:abstractNumId="165">
    <w:nsid w:val="38A5D054"/>
    <w:multiLevelType w:val="hybridMultilevel"/>
    <w:lvl w:ilvl="0">
      <w:lvlJc w:val="left"/>
      <w:lvlText w:val="%1"/>
      <w:numFmt w:val="lowerLetter"/>
      <w:start w:val="1"/>
    </w:lvl>
    <w:lvl w:ilvl="1">
      <w:lvlJc w:val="left"/>
      <w:lvlText w:val="(%2)"/>
      <w:numFmt w:val="lowerLetter"/>
      <w:start w:val="1"/>
    </w:lvl>
  </w:abstractNum>
  <w:abstractNum w:abstractNumId="166">
    <w:nsid w:val="F3F09D8"/>
    <w:multiLevelType w:val="hybridMultilevel"/>
    <w:lvl w:ilvl="0">
      <w:lvlJc w:val="left"/>
      <w:lvlText w:val="(%1)"/>
      <w:numFmt w:val="lowerLetter"/>
      <w:start w:val="35"/>
    </w:lvl>
    <w:lvl w:ilvl="1">
      <w:lvlJc w:val="left"/>
      <w:lvlText w:val="(%2)"/>
      <w:numFmt w:val="lowerLetter"/>
      <w:start w:val="4"/>
    </w:lvl>
  </w:abstractNum>
  <w:abstractNum w:abstractNumId="167">
    <w:nsid w:val="4B793735"/>
    <w:multiLevelType w:val="hybridMultilevel"/>
    <w:lvl w:ilvl="0">
      <w:lvlJc w:val="left"/>
      <w:lvlText w:val="(%1)"/>
      <w:numFmt w:val="lowerLetter"/>
      <w:start w:val="2"/>
    </w:lvl>
  </w:abstractNum>
  <w:abstractNum w:abstractNumId="168">
    <w:nsid w:val="4A10B4E8"/>
    <w:multiLevelType w:val="hybridMultilevel"/>
    <w:lvl w:ilvl="0">
      <w:lvlJc w:val="left"/>
      <w:lvlText w:val="(%1)"/>
      <w:numFmt w:val="lowerLetter"/>
      <w:start w:val="2"/>
    </w:lvl>
  </w:abstractNum>
  <w:abstractNum w:abstractNumId="169">
    <w:nsid w:val="43D3BCD4"/>
    <w:multiLevelType w:val="hybridMultilevel"/>
    <w:lvl w:ilvl="0">
      <w:lvlJc w:val="left"/>
      <w:lvlText w:val="(%1)"/>
      <w:numFmt w:val="lowerLetter"/>
      <w:start w:val="5"/>
    </w:lvl>
  </w:abstractNum>
  <w:abstractNum w:abstractNumId="170">
    <w:nsid w:val="4C2A7166"/>
    <w:multiLevelType w:val="hybridMultilevel"/>
    <w:lvl w:ilvl="0">
      <w:lvlJc w:val="left"/>
      <w:lvlText w:val="(%1)"/>
      <w:numFmt w:val="lowerLetter"/>
      <w:start w:val="2"/>
    </w:lvl>
  </w:abstractNum>
  <w:abstractNum w:abstractNumId="171">
    <w:nsid w:val="2E534A82"/>
    <w:multiLevelType w:val="hybridMultilevel"/>
    <w:lvl w:ilvl="0">
      <w:lvlJc w:val="left"/>
      <w:lvlText w:val="&amp;"/>
      <w:numFmt w:val="bullet"/>
      <w:start w:val="1"/>
    </w:lvl>
    <w:lvl w:ilvl="1">
      <w:lvlJc w:val="left"/>
      <w:lvlText w:val="(%2)"/>
      <w:numFmt w:val="lowerLetter"/>
      <w:start w:val="2"/>
    </w:lvl>
  </w:abstractNum>
  <w:abstractNum w:abstractNumId="172">
    <w:nsid w:val="26F2D364"/>
    <w:multiLevelType w:val="hybridMultilevel"/>
    <w:lvl w:ilvl="0">
      <w:lvlJc w:val="left"/>
      <w:lvlText w:val="%1"/>
      <w:numFmt w:val="lowerLetter"/>
      <w:start w:val="1"/>
    </w:lvl>
    <w:lvl w:ilvl="1">
      <w:lvlJc w:val="left"/>
      <w:lvlText w:val="(%2)"/>
      <w:numFmt w:val="lowerRoman"/>
      <w:start w:val="1"/>
    </w:lvl>
  </w:abstractNum>
  <w:abstractNum w:abstractNumId="173">
    <w:nsid w:val="71C1AF98"/>
    <w:multiLevelType w:val="hybridMultilevel"/>
    <w:lvl w:ilvl="0">
      <w:lvlJc w:val="left"/>
      <w:lvlText w:val="(%1)"/>
      <w:numFmt w:val="lowerLetter"/>
      <w:start w:val="2"/>
    </w:lvl>
    <w:lvl w:ilvl="1">
      <w:lvlJc w:val="left"/>
      <w:lvlText w:val="%2"/>
      <w:numFmt w:val="lowerRoman"/>
      <w:start w:val="1"/>
    </w:lvl>
  </w:abstractNum>
  <w:abstractNum w:abstractNumId="174">
    <w:nsid w:val="3D00B9D9"/>
    <w:multiLevelType w:val="hybridMultilevel"/>
    <w:lvl w:ilvl="0">
      <w:lvlJc w:val="left"/>
      <w:lvlText w:val="(%1)"/>
      <w:numFmt w:val="lowerLetter"/>
      <w:start w:val="2"/>
    </w:lvl>
  </w:abstractNum>
  <w:abstractNum w:abstractNumId="175">
    <w:nsid w:val="15BCABA8"/>
    <w:multiLevelType w:val="hybridMultilevel"/>
    <w:lvl w:ilvl="0">
      <w:lvlJc w:val="left"/>
      <w:lvlText w:val="(%1)"/>
      <w:numFmt w:val="lowerLetter"/>
      <w:start w:val="1"/>
    </w:lvl>
  </w:abstractNum>
  <w:abstractNum w:abstractNumId="176">
    <w:nsid w:val="4E0B9A87"/>
    <w:multiLevelType w:val="hybridMultilevel"/>
    <w:lvl w:ilvl="0">
      <w:lvlJc w:val="left"/>
      <w:lvlText w:val="(%1)"/>
      <w:numFmt w:val="lowerLetter"/>
      <w:start w:val="4"/>
    </w:lvl>
  </w:abstractNum>
  <w:abstractNum w:abstractNumId="177">
    <w:nsid w:val="434BAE75"/>
    <w:multiLevelType w:val="hybridMultilevel"/>
    <w:lvl w:ilvl="0">
      <w:lvlJc w:val="left"/>
      <w:lvlText w:val="%1"/>
      <w:numFmt w:val="lowerLetter"/>
      <w:start w:val="1"/>
    </w:lvl>
    <w:lvl w:ilvl="1">
      <w:lvlJc w:val="left"/>
      <w:lvlText w:val="(%2)"/>
      <w:numFmt w:val="lowerLetter"/>
      <w:start w:val="1"/>
    </w:lvl>
  </w:abstractNum>
  <w:abstractNum w:abstractNumId="178">
    <w:nsid w:val="4F38F265"/>
    <w:multiLevelType w:val="hybridMultilevel"/>
    <w:lvl w:ilvl="0">
      <w:lvlJc w:val="left"/>
      <w:lvlText w:val="(%1)"/>
      <w:numFmt w:val="lowerLetter"/>
      <w:start w:val="24"/>
    </w:lvl>
    <w:lvl w:ilvl="1">
      <w:lvlJc w:val="left"/>
      <w:lvlText w:val="(%2)"/>
      <w:numFmt w:val="lowerLetter"/>
      <w:start w:val="2"/>
    </w:lvl>
  </w:abstractNum>
  <w:abstractNum w:abstractNumId="179">
    <w:nsid w:val="4C502870"/>
    <w:multiLevelType w:val="hybridMultilevel"/>
    <w:lvl w:ilvl="0">
      <w:lvlJc w:val="left"/>
      <w:lvlText w:val="(%1)"/>
      <w:numFmt w:val="lowerLetter"/>
      <w:start w:val="3"/>
    </w:lvl>
  </w:abstractNum>
  <w:abstractNum w:abstractNumId="180">
    <w:nsid w:val="1DE8725A"/>
    <w:multiLevelType w:val="hybridMultilevel"/>
    <w:lvl w:ilvl="0">
      <w:lvlJc w:val="left"/>
      <w:lvlText w:val="(%1)"/>
      <w:numFmt w:val="lowerLetter"/>
      <w:start w:val="1"/>
    </w:lvl>
  </w:abstractNum>
  <w:abstractNum w:abstractNumId="181">
    <w:nsid w:val="6A37288A"/>
    <w:multiLevelType w:val="hybridMultilevel"/>
    <w:lvl w:ilvl="0">
      <w:lvlJc w:val="left"/>
      <w:lvlText w:val="(%1)"/>
      <w:numFmt w:val="lowerLetter"/>
      <w:start w:val="3"/>
    </w:lvl>
  </w:abstractNum>
  <w:abstractNum w:abstractNumId="182">
    <w:nsid w:val="8F8B73F"/>
    <w:multiLevelType w:val="hybridMultilevel"/>
    <w:lvl w:ilvl="0">
      <w:lvlJc w:val="left"/>
      <w:lvlText w:val="(%1)"/>
      <w:numFmt w:val="lowerLetter"/>
      <w:start w:val="1"/>
    </w:lvl>
    <w:lvl w:ilvl="1">
      <w:lvlJc w:val="left"/>
      <w:lvlText w:val="(%2)"/>
      <w:numFmt w:val="lowerRoman"/>
      <w:start w:val="1"/>
    </w:lvl>
  </w:abstractNum>
  <w:abstractNum w:abstractNumId="183">
    <w:nsid w:val="CA6B462"/>
    <w:multiLevelType w:val="hybridMultilevel"/>
    <w:lvl w:ilvl="0">
      <w:lvlJc w:val="left"/>
      <w:lvlText w:val="(%1)"/>
      <w:numFmt w:val="lowerLetter"/>
      <w:start w:val="5"/>
    </w:lvl>
  </w:abstractNum>
  <w:abstractNum w:abstractNumId="184">
    <w:nsid w:val="763CB680"/>
    <w:multiLevelType w:val="hybridMultilevel"/>
    <w:lvl w:ilvl="0">
      <w:lvlJc w:val="left"/>
      <w:lvlText w:val="(%1)"/>
      <w:numFmt w:val="lowerLetter"/>
      <w:start w:val="2"/>
    </w:lvl>
  </w:abstractNum>
  <w:abstractNum w:abstractNumId="185">
    <w:nsid w:val="15B71329"/>
    <w:multiLevelType w:val="hybridMultilevel"/>
    <w:lvl w:ilvl="0">
      <w:lvlJc w:val="left"/>
      <w:lvlText w:val="(%1)"/>
      <w:numFmt w:val="lowerLetter"/>
      <w:start w:val="2"/>
    </w:lvl>
    <w:lvl w:ilvl="1">
      <w:lvlJc w:val="left"/>
      <w:lvlText w:val="(%2)"/>
      <w:numFmt w:val="lowerRoman"/>
      <w:start w:val="1"/>
    </w:lvl>
  </w:abstractNum>
  <w:abstractNum w:abstractNumId="186">
    <w:nsid w:val="3DA97044"/>
    <w:multiLevelType w:val="hybridMultilevel"/>
    <w:lvl w:ilvl="0">
      <w:lvlJc w:val="left"/>
      <w:lvlText w:val="-"/>
      <w:numFmt w:val="bullet"/>
      <w:start w:val="1"/>
    </w:lvl>
    <w:lvl w:ilvl="1">
      <w:lvlJc w:val="left"/>
      <w:lvlText w:val="%2."/>
      <w:numFmt w:val="decimal"/>
      <w:start w:val="1"/>
    </w:lvl>
  </w:abstractNum>
  <w:abstractNum w:abstractNumId="187">
    <w:nsid w:val="1CDCE2DE"/>
    <w:multiLevelType w:val="hybridMultilevel"/>
    <w:lvl w:ilvl="0">
      <w:lvlJc w:val="left"/>
      <w:lvlText w:val="(%1)"/>
      <w:numFmt w:val="lowerRoman"/>
      <w:start w:val="1"/>
    </w:lvl>
  </w:abstractNum>
  <w:abstractNum w:abstractNumId="188">
    <w:nsid w:val="69D3947C"/>
    <w:multiLevelType w:val="hybridMultilevel"/>
    <w:lvl w:ilvl="0">
      <w:lvlJc w:val="left"/>
      <w:lvlText w:val="(%1)"/>
      <w:numFmt w:val="lowerLetter"/>
      <w:start w:val="1"/>
    </w:lvl>
    <w:lvl w:ilvl="1">
      <w:lvlJc w:val="left"/>
      <w:lvlText w:val="(%2)"/>
      <w:numFmt w:val="lowerLetter"/>
      <w:start w:val="3"/>
    </w:lvl>
  </w:abstractNum>
  <w:abstractNum w:abstractNumId="189">
    <w:nsid w:val="2539DFA5"/>
    <w:multiLevelType w:val="hybridMultilevel"/>
    <w:lvl w:ilvl="0">
      <w:lvlJc w:val="left"/>
      <w:lvlText w:val="(%1)"/>
      <w:numFmt w:val="lowerLetter"/>
      <w:start w:val="24"/>
    </w:lvl>
  </w:abstractNum>
  <w:abstractNum w:abstractNumId="190">
    <w:nsid w:val="2DB88089"/>
    <w:multiLevelType w:val="hybridMultilevel"/>
    <w:lvl w:ilvl="0">
      <w:lvlJc w:val="left"/>
      <w:lvlText w:val="%1"/>
      <w:numFmt w:val="decimal"/>
      <w:start w:val="1"/>
    </w:lvl>
    <w:lvl w:ilvl="1">
      <w:lvlJc w:val="left"/>
      <w:lvlText w:val="(%2)"/>
      <w:numFmt w:val="lowerLetter"/>
      <w:start w:val="1"/>
    </w:lvl>
  </w:abstractNum>
  <w:abstractNum w:abstractNumId="191">
    <w:nsid w:val="706B674E"/>
    <w:multiLevelType w:val="hybridMultilevel"/>
    <w:lvl w:ilvl="0">
      <w:lvlJc w:val="left"/>
      <w:lvlText w:val="%1."/>
      <w:numFmt w:val="decimal"/>
      <w:start w:val="3"/>
    </w:lvl>
    <w:lvl w:ilvl="1">
      <w:lvlJc w:val="left"/>
      <w:lvlText w:val="%2"/>
      <w:numFmt w:val="lowerLetter"/>
      <w:start w:val="1"/>
    </w:lvl>
  </w:abstractNum>
  <w:abstractNum w:abstractNumId="192">
    <w:nsid w:val="2C106A57"/>
    <w:multiLevelType w:val="hybridMultilevel"/>
    <w:lvl w:ilvl="0">
      <w:lvlJc w:val="left"/>
      <w:lvlText w:val="%1."/>
      <w:numFmt w:val="decimal"/>
      <w:start w:val="7"/>
    </w:lvl>
  </w:abstractNum>
  <w:abstractNum w:abstractNumId="193">
    <w:nsid w:val="684EED59"/>
    <w:multiLevelType w:val="hybridMultilevel"/>
    <w:lvl w:ilvl="0">
      <w:lvlJc w:val="left"/>
      <w:lvlText w:val="%1"/>
      <w:numFmt w:val="lowerRoman"/>
      <w:start w:val="1"/>
    </w:lvl>
    <w:lvl w:ilvl="1">
      <w:lvlJc w:val="left"/>
      <w:lvlText w:val="%2."/>
      <w:numFmt w:val="decimal"/>
      <w:start w:val="13"/>
    </w:lvl>
  </w:abstractNum>
  <w:abstractNum w:abstractNumId="194">
    <w:nsid w:val="545EE5D3"/>
    <w:multiLevelType w:val="hybridMultilevel"/>
    <w:lvl w:ilvl="0">
      <w:lvlJc w:val="left"/>
      <w:lvlText w:val="(%1)"/>
      <w:numFmt w:val="lowerRoman"/>
      <w:start w:val="1"/>
    </w:lvl>
    <w:lvl w:ilvl="1">
      <w:lvlJc w:val="left"/>
      <w:lvlText w:val="%2."/>
      <w:numFmt w:val="decimal"/>
      <w:start w:val="20"/>
    </w:lvl>
  </w:abstractNum>
  <w:abstractNum w:abstractNumId="195">
    <w:nsid w:val="4A66051"/>
    <w:multiLevelType w:val="hybridMultilevel"/>
    <w:lvl w:ilvl="0">
      <w:lvlJc w:val="left"/>
      <w:lvlText w:val="%1."/>
      <w:numFmt w:val="decimal"/>
      <w:start w:val="21"/>
    </w:lvl>
  </w:abstractNum>
  <w:abstractNum w:abstractNumId="196">
    <w:nsid w:val="20F4BDAD"/>
    <w:multiLevelType w:val="hybridMultilevel"/>
    <w:lvl w:ilvl="0">
      <w:lvlJc w:val="left"/>
      <w:lvlText w:val="&amp;"/>
      <w:numFmt w:val="bullet"/>
      <w:start w:val="1"/>
    </w:lvl>
  </w:abstractNum>
  <w:abstractNum w:abstractNumId="197">
    <w:nsid w:val="639DEFAC"/>
    <w:multiLevelType w:val="hybridMultilevel"/>
    <w:lvl w:ilvl="0">
      <w:lvlJc w:val="left"/>
      <w:lvlText w:val="-"/>
      <w:numFmt w:val="bullet"/>
      <w:start w:val="1"/>
    </w:lvl>
    <w:lvl w:ilvl="1">
      <w:lvlJc w:val="left"/>
      <w:lvlText w:val="%2."/>
      <w:numFmt w:val="decimal"/>
      <w:start w:val="1"/>
    </w:lvl>
  </w:abstractNum>
  <w:abstractNum w:abstractNumId="198">
    <w:nsid w:val="501F9786"/>
    <w:multiLevelType w:val="hybridMultilevel"/>
    <w:lvl w:ilvl="0">
      <w:lvlJc w:val="left"/>
      <w:lvlText w:val="(%1)"/>
      <w:numFmt w:val="lowerRoman"/>
      <w:start w:val="1"/>
    </w:lvl>
  </w:abstractNum>
  <w:abstractNum w:abstractNumId="199">
    <w:nsid w:val="6B057295"/>
    <w:multiLevelType w:val="hybridMultilevel"/>
    <w:lvl w:ilvl="0">
      <w:lvlJc w:val="left"/>
      <w:lvlText w:val="(%1)"/>
      <w:numFmt w:val="lowerLetter"/>
      <w:start w:val="24"/>
    </w:lvl>
  </w:abstractNum>
  <w:abstractNum w:abstractNumId="200">
    <w:nsid w:val="2771AC80"/>
    <w:multiLevelType w:val="hybridMultilevel"/>
    <w:lvl w:ilvl="0">
      <w:lvlJc w:val="left"/>
      <w:lvlText w:val="(%1)"/>
      <w:numFmt w:val="lowerLetter"/>
      <w:start w:val="1"/>
    </w:lvl>
    <w:lvl w:ilvl="1">
      <w:lvlJc w:val="left"/>
      <w:lvlText w:val="%2."/>
      <w:numFmt w:val="decimal"/>
      <w:start w:val="3"/>
    </w:lvl>
  </w:abstractNum>
  <w:abstractNum w:abstractNumId="201">
    <w:nsid w:val="1C4A08EC"/>
    <w:multiLevelType w:val="hybridMultilevel"/>
    <w:lvl w:ilvl="0">
      <w:lvlJc w:val="left"/>
      <w:lvlText w:val="%1."/>
      <w:numFmt w:val="decimal"/>
      <w:start w:val="4"/>
    </w:lvl>
  </w:abstractNum>
  <w:abstractNum w:abstractNumId="202">
    <w:nsid w:val="1958BD17"/>
    <w:multiLevelType w:val="hybridMultilevel"/>
    <w:lvl w:ilvl="0">
      <w:lvlJc w:val="left"/>
      <w:lvlText w:val="%1."/>
      <w:numFmt w:val="decimal"/>
      <w:start w:val="10"/>
    </w:lvl>
  </w:abstractNum>
  <w:abstractNum w:abstractNumId="203">
    <w:nsid w:val="4E647FE4"/>
    <w:multiLevelType w:val="hybridMultilevel"/>
    <w:lvl w:ilvl="0">
      <w:lvlJc w:val="left"/>
      <w:lvlText w:val="%1."/>
      <w:numFmt w:val="decimal"/>
      <w:start w:val="12"/>
    </w:lvl>
  </w:abstractNum>
  <w:abstractNum w:abstractNumId="204">
    <w:nsid w:val="E0BB885"/>
    <w:multiLevelType w:val="hybridMultilevel"/>
    <w:lvl w:ilvl="0">
      <w:lvlJc w:val="left"/>
      <w:lvlText w:val="%1"/>
      <w:numFmt w:val="lowerRoman"/>
      <w:start w:val="1"/>
    </w:lvl>
    <w:lvl w:ilvl="1">
      <w:lvlJc w:val="left"/>
      <w:lvlText w:val="%2."/>
      <w:numFmt w:val="decimal"/>
      <w:start w:val="19"/>
    </w:lvl>
    <w:lvl w:ilvl="2">
      <w:lvlJc w:val="left"/>
      <w:lvlText w:val="%3."/>
      <w:numFmt w:val="decimal"/>
      <w:start w:val="20"/>
    </w:lvl>
  </w:abstractNum>
  <w:abstractNum w:abstractNumId="205">
    <w:nsid w:val="565976F1"/>
    <w:multiLevelType w:val="hybridMultilevel"/>
    <w:lvl w:ilvl="0">
      <w:lvlJc w:val="left"/>
      <w:lvlText w:val="(%1)"/>
      <w:numFmt w:val="lowerRoman"/>
      <w:start w:val="1"/>
    </w:lvl>
    <w:lvl w:ilvl="1">
      <w:lvlJc w:val="left"/>
      <w:lvlText w:val="%2"/>
      <w:numFmt w:val="decimal"/>
      <w:start w:val="1"/>
    </w:lvl>
    <w:lvl w:ilvl="2">
      <w:lvlJc w:val="left"/>
      <w:lvlText w:val="%3."/>
      <w:numFmt w:val="decimal"/>
      <w:start w:val="22"/>
    </w:lvl>
  </w:abstractNum>
  <w:abstractNum w:abstractNumId="206">
    <w:nsid w:val="64212B8C"/>
    <w:multiLevelType w:val="hybridMultilevel"/>
    <w:lvl w:ilvl="0">
      <w:lvlJc w:val="left"/>
      <w:lvlText w:val="%1)"/>
      <w:numFmt w:val="decimal"/>
      <w:start w:val="6"/>
    </w:lvl>
  </w:abstractNum>
  <w:abstractNum w:abstractNumId="207">
    <w:nsid w:val="5C17530C"/>
    <w:multiLevelType w:val="hybridMultilevel"/>
    <w:lvl w:ilvl="0">
      <w:lvlJc w:val="left"/>
      <w:lvlText w:val="(%1)"/>
      <w:numFmt w:val="lowerLetter"/>
      <w:start w:val="2"/>
    </w:lvl>
  </w:abstractNum>
  <w:abstractNum w:abstractNumId="208">
    <w:nsid w:val="19A52566"/>
    <w:multiLevelType w:val="hybridMultilevel"/>
    <w:lvl w:ilvl="0">
      <w:lvlJc w:val="left"/>
      <w:lvlText w:val="%1"/>
      <w:numFmt w:val="lowerLetter"/>
      <w:start w:val="1"/>
    </w:lvl>
    <w:lvl w:ilvl="1">
      <w:lvlJc w:val="left"/>
      <w:lvlText w:val="(%2)"/>
      <w:numFmt w:val="lowerLetter"/>
      <w:start w:val="3"/>
    </w:lvl>
  </w:abstractNum>
  <w:abstractNum w:abstractNumId="209">
    <w:nsid w:val="335A1DF1"/>
    <w:multiLevelType w:val="hybridMultilevel"/>
    <w:lvl w:ilvl="0">
      <w:lvlJc w:val="left"/>
      <w:lvlText w:val="(%1)"/>
      <w:numFmt w:val="lowerLetter"/>
      <w:start w:val="35"/>
    </w:lvl>
    <w:lvl w:ilvl="1">
      <w:lvlJc w:val="left"/>
      <w:lvlText w:val="(%2)"/>
      <w:numFmt w:val="lowerLetter"/>
      <w:start w:val="5"/>
    </w:lvl>
  </w:abstractNum>
  <w:abstractNum w:abstractNumId="210">
    <w:nsid w:val="28677B7C"/>
    <w:multiLevelType w:val="hybridMultilevel"/>
    <w:lvl w:ilvl="0">
      <w:lvlJc w:val="left"/>
      <w:lvlText w:val="(%1)"/>
      <w:numFmt w:val="lowerLetter"/>
      <w:start w:val="35"/>
    </w:lvl>
    <w:lvl w:ilvl="1">
      <w:lvlJc w:val="left"/>
      <w:lvlText w:val="(%2)"/>
      <w:numFmt w:val="lowerLetter"/>
      <w:start w:val="6"/>
    </w:lvl>
  </w:abstractNum>
  <w:abstractNum w:abstractNumId="211">
    <w:nsid w:val="378D97C0"/>
    <w:multiLevelType w:val="hybridMultilevel"/>
    <w:lvl w:ilvl="0">
      <w:lvlJc w:val="left"/>
      <w:lvlText w:val="(%1)"/>
      <w:numFmt w:val="lowerLetter"/>
      <w:start w:val="1"/>
    </w:lvl>
  </w:abstractNum>
  <w:abstractNum w:abstractNumId="212">
    <w:nsid w:val="1D91467C"/>
    <w:multiLevelType w:val="hybridMultilevel"/>
    <w:lvl w:ilvl="0">
      <w:lvlJc w:val="left"/>
      <w:lvlText w:val="(%1)"/>
      <w:numFmt w:val="lowerLetter"/>
      <w:start w:val="2"/>
    </w:lvl>
  </w:abstractNum>
  <w:abstractNum w:abstractNumId="213">
    <w:nsid w:val="316032BB"/>
    <w:multiLevelType w:val="hybridMultilevel"/>
    <w:lvl w:ilvl="0">
      <w:lvlJc w:val="left"/>
      <w:lvlText w:val="(%1)"/>
      <w:numFmt w:val="lowerLetter"/>
      <w:start w:val="2"/>
    </w:lvl>
  </w:abstractNum>
  <w:abstractNum w:abstractNumId="214">
    <w:nsid w:val="44344C22"/>
    <w:multiLevelType w:val="hybridMultilevel"/>
    <w:lvl w:ilvl="0">
      <w:lvlJc w:val="left"/>
      <w:lvlText w:val="(%1)"/>
      <w:numFmt w:val="lowerLetter"/>
      <w:start w:val="4"/>
    </w:lvl>
  </w:abstractNum>
  <w:abstractNum w:abstractNumId="215">
    <w:nsid w:val="13CDFCFC"/>
    <w:multiLevelType w:val="hybridMultilevel"/>
    <w:lvl w:ilvl="0">
      <w:lvlJc w:val="left"/>
      <w:lvlText w:val="(%1)"/>
      <w:numFmt w:val="lowerLetter"/>
      <w:start w:val="2"/>
    </w:lvl>
  </w:abstractNum>
  <w:abstractNum w:abstractNumId="216">
    <w:nsid w:val="471745E4"/>
    <w:multiLevelType w:val="hybridMultilevel"/>
    <w:lvl w:ilvl="0">
      <w:lvlJc w:val="left"/>
      <w:lvlText w:val="(%1)"/>
      <w:numFmt w:val="lowerLetter"/>
      <w:start w:val="2"/>
    </w:lvl>
  </w:abstractNum>
  <w:abstractNum w:abstractNumId="217">
    <w:nsid w:val="1DDBC66"/>
    <w:multiLevelType w:val="hybridMultilevel"/>
    <w:lvl w:ilvl="0">
      <w:lvlJc w:val="left"/>
      <w:lvlText w:val="(%1)"/>
      <w:numFmt w:val="lowerLetter"/>
      <w:start w:val="4"/>
    </w:lvl>
  </w:abstractNum>
  <w:abstractNum w:abstractNumId="218">
    <w:nsid w:val="30AADFDA"/>
    <w:multiLevelType w:val="hybridMultilevel"/>
    <w:lvl w:ilvl="0">
      <w:lvlJc w:val="left"/>
      <w:lvlText w:val="(%1)"/>
      <w:numFmt w:val="lowerLetter"/>
      <w:start w:val="2"/>
    </w:lvl>
  </w:abstractNum>
  <w:abstractNum w:abstractNumId="219">
    <w:nsid w:val="30EADA61"/>
    <w:multiLevelType w:val="hybridMultilevel"/>
    <w:lvl w:ilvl="0">
      <w:lvlJc w:val="left"/>
      <w:lvlText w:val="(%1)"/>
      <w:numFmt w:val="lowerRoman"/>
      <w:start w:val="2"/>
    </w:lvl>
  </w:abstractNum>
  <w:abstractNum w:abstractNumId="220">
    <w:nsid w:val="27179C0B"/>
    <w:multiLevelType w:val="hybridMultilevel"/>
    <w:lvl w:ilvl="0">
      <w:lvlJc w:val="left"/>
      <w:lvlText w:val="-"/>
      <w:numFmt w:val="bullet"/>
      <w:start w:val="1"/>
    </w:lvl>
  </w:abstractNum>
  <w:abstractNum w:abstractNumId="221">
    <w:nsid w:val="5E636063"/>
    <w:multiLevelType w:val="hybridMultilevel"/>
    <w:lvl w:ilvl="0">
      <w:lvlJc w:val="left"/>
      <w:lvlText w:val="-"/>
      <w:numFmt w:val="bullet"/>
      <w:start w:val="1"/>
    </w:lvl>
  </w:abstractNum>
  <w:abstractNum w:abstractNumId="222">
    <w:nsid w:val="215641AF"/>
    <w:multiLevelType w:val="hybridMultilevel"/>
    <w:lvl w:ilvl="0">
      <w:lvlJc w:val="left"/>
      <w:lvlText w:val="-"/>
      <w:numFmt w:val="bullet"/>
      <w:start w:val="1"/>
    </w:lvl>
  </w:abstractNum>
  <w:abstractNum w:abstractNumId="223">
    <w:nsid w:val="53280662"/>
    <w:multiLevelType w:val="hybridMultilevel"/>
    <w:lvl w:ilvl="0">
      <w:lvlJc w:val="left"/>
      <w:lvlText w:val="-"/>
      <w:numFmt w:val="bullet"/>
      <w:start w:val="1"/>
    </w:lvl>
  </w:abstractNum>
  <w:abstractNum w:abstractNumId="224">
    <w:nsid w:val="46B24DBC"/>
    <w:multiLevelType w:val="hybridMultilevel"/>
    <w:lvl w:ilvl="0">
      <w:lvlJc w:val="left"/>
      <w:lvlText w:val="%1."/>
      <w:numFmt w:val="decimal"/>
      <w:start w:val="1"/>
    </w:lvl>
  </w:abstractNum>
  <w:abstractNum w:abstractNumId="225">
    <w:nsid w:val="75B52783"/>
    <w:multiLevelType w:val="hybridMultilevel"/>
    <w:lvl w:ilvl="0">
      <w:lvlJc w:val="left"/>
      <w:lvlText w:val="(%1)"/>
      <w:numFmt w:val="decimal"/>
      <w:start w:val="1"/>
    </w:lvl>
  </w:abstractNum>
  <w:abstractNum w:abstractNumId="226">
    <w:nsid w:val="57CE66B4"/>
    <w:multiLevelType w:val="hybridMultilevel"/>
    <w:lvl w:ilvl="0">
      <w:lvlJc w:val="left"/>
      <w:lvlText w:val="-"/>
      <w:numFmt w:val="bullet"/>
      <w:start w:val="1"/>
    </w:lvl>
  </w:abstractNum>
  <w:abstractNum w:abstractNumId="227">
    <w:nsid w:val="67A70B69"/>
    <w:multiLevelType w:val="hybridMultilevel"/>
    <w:lvl w:ilvl="0">
      <w:lvlJc w:val="left"/>
      <w:lvlText w:val="-"/>
      <w:numFmt w:val="bullet"/>
      <w:start w:val="1"/>
    </w:lvl>
  </w:abstractNum>
  <w:abstractNum w:abstractNumId="228">
    <w:nsid w:val="5953172F"/>
    <w:multiLevelType w:val="hybridMultilevel"/>
    <w:lvl w:ilvl="0">
      <w:lvlJc w:val="left"/>
      <w:lvlText w:val="%1."/>
      <w:numFmt w:val="decimal"/>
      <w:start w:val="1"/>
    </w:lvl>
  </w:abstractNum>
  <w:abstractNum w:abstractNumId="229">
    <w:nsid w:val="27EDFE3A"/>
    <w:multiLevelType w:val="hybridMultilevel"/>
    <w:lvl w:ilvl="0">
      <w:lvlJc w:val="left"/>
      <w:lvlText w:val="(%1)"/>
      <w:numFmt w:val="decimal"/>
      <w:start w:val="1"/>
    </w:lvl>
  </w:abstractNum>
  <w:abstractNum w:abstractNumId="230">
    <w:nsid w:val="52AC7DFF"/>
    <w:multiLevelType w:val="hybridMultilevel"/>
    <w:lvl w:ilvl="0">
      <w:lvlJc w:val="left"/>
      <w:lvlText w:val="-"/>
      <w:numFmt w:val="bullet"/>
      <w:start w:val="1"/>
    </w:lvl>
  </w:abstractNum>
  <w:abstractNum w:abstractNumId="231">
    <w:nsid w:val="C4C3AF"/>
    <w:multiLevelType w:val="hybridMultilevel"/>
    <w:lvl w:ilvl="0">
      <w:lvlJc w:val="left"/>
      <w:lvlText w:val="-"/>
      <w:numFmt w:val="bullet"/>
      <w:start w:val="1"/>
    </w:lvl>
  </w:abstractNum>
  <w:abstractNum w:abstractNumId="232">
    <w:nsid w:val="44380727"/>
    <w:multiLevelType w:val="hybridMultilevel"/>
    <w:lvl w:ilvl="0">
      <w:lvlJc w:val="left"/>
      <w:lvlText w:val="%1."/>
      <w:numFmt w:val="decimal"/>
      <w:start w:val="1"/>
    </w:lvl>
  </w:abstractNum>
  <w:abstractNum w:abstractNumId="233">
    <w:nsid w:val="6C053B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2020-02-22T11:19:04Z</dcterms:created>
  <dcterms:modified xsi:type="dcterms:W3CDTF">2020-02-22T11:19:04Z</dcterms:modified>
</cp:coreProperties>
</file>